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7E" w:rsidRDefault="0062317E" w:rsidP="0062317E">
      <w:pPr>
        <w:pStyle w:val="Heading3"/>
      </w:pPr>
      <w:bookmarkStart w:id="0" w:name="_Toc256000906"/>
      <w:bookmarkStart w:id="1" w:name="_GoBack"/>
      <w:bookmarkEnd w:id="1"/>
      <w:r>
        <w:rPr>
          <w:noProof/>
        </w:rPr>
        <w:t>Вино</w:t>
      </w:r>
      <w:bookmarkEnd w:id="0"/>
    </w:p>
    <w:p w:rsidR="0062317E" w:rsidRDefault="0062317E" w:rsidP="0062317E">
      <w:pPr>
        <w:pStyle w:val="Heading4"/>
      </w:pPr>
      <w:bookmarkStart w:id="2" w:name="_Toc256000907"/>
      <w:r>
        <w:rPr>
          <w:noProof/>
        </w:rPr>
        <w:t>RESTRVINEY(58(1)(a)) -  - преструктуриране и преобразуване на лозовите масиви</w:t>
      </w:r>
      <w:bookmarkEnd w:id="2"/>
    </w:p>
    <w:p w:rsidR="0062317E" w:rsidRDefault="0062317E" w:rsidP="0062317E">
      <w:pPr>
        <w:pStyle w:val="Heading5"/>
      </w:pPr>
      <w:bookmarkStart w:id="3" w:name="_Toc256000908"/>
      <w:r>
        <w:rPr>
          <w:noProof/>
        </w:rPr>
        <w:t>І.Д.1 - Преструктуриране и конверсия на лозята</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І.Д.1</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Преструктуриране и конверсия на лозята</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RESTRVINEY(58(1)(a)) - преструктуриране и преобразуване на лозовите масиви</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O.36. Брой на подпомогнатите дейности или единици във винарския сектор</w:t>
            </w:r>
          </w:p>
        </w:tc>
      </w:tr>
    </w:tbl>
    <w:p w:rsidR="0062317E" w:rsidRDefault="0062317E" w:rsidP="0062317E">
      <w:pPr>
        <w:pStyle w:val="Heading6"/>
        <w:rPr>
          <w:b w:val="0"/>
          <w:color w:val="000000"/>
          <w:sz w:val="24"/>
        </w:rPr>
      </w:pPr>
      <w:bookmarkStart w:id="4" w:name="_Toc256000909"/>
      <w:r>
        <w:rPr>
          <w:b w:val="0"/>
          <w:noProof/>
          <w:color w:val="000000"/>
          <w:sz w:val="24"/>
        </w:rPr>
        <w:t>1 Териториално приложение и ако е уместно, регионално измерение</w:t>
      </w:r>
      <w:bookmarkEnd w:id="4"/>
    </w:p>
    <w:p w:rsidR="0062317E" w:rsidRDefault="0062317E" w:rsidP="0062317E">
      <w:pPr>
        <w:rPr>
          <w:color w:val="000000"/>
          <w:sz w:val="0"/>
        </w:rPr>
      </w:pPr>
      <w:r>
        <w:rPr>
          <w:noProof/>
          <w:color w:val="000000"/>
        </w:rPr>
        <w:t xml:space="preserve">Териториално приложение: </w:t>
      </w:r>
      <w:r>
        <w:rPr>
          <w:b/>
          <w:noProof/>
          <w:color w:val="000000"/>
        </w:rPr>
        <w:t>Национално равнище</w:t>
      </w:r>
    </w:p>
    <w:p w:rsidR="0062317E" w:rsidRDefault="0062317E" w:rsidP="0062317E">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2317E" w:rsidTr="002C77E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317E" w:rsidRDefault="0062317E" w:rsidP="002C77E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317E" w:rsidRDefault="0062317E" w:rsidP="002C77E1">
            <w:pPr>
              <w:rPr>
                <w:color w:val="000000"/>
                <w:sz w:val="20"/>
              </w:rPr>
            </w:pPr>
            <w:r>
              <w:rPr>
                <w:b/>
                <w:noProof/>
                <w:color w:val="000000"/>
                <w:sz w:val="20"/>
              </w:rPr>
              <w:t>Описание</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 xml:space="preserve">България </w:t>
            </w:r>
          </w:p>
        </w:tc>
      </w:tr>
    </w:tbl>
    <w:p w:rsidR="0062317E" w:rsidRDefault="0062317E" w:rsidP="0062317E">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Дейностите по интервенцията се осъществят на територията на Република България.</w:t>
            </w:r>
          </w:p>
        </w:tc>
      </w:tr>
    </w:tbl>
    <w:p w:rsidR="0062317E" w:rsidRDefault="0062317E" w:rsidP="0062317E">
      <w:pPr>
        <w:pStyle w:val="Heading6"/>
        <w:spacing w:before="20" w:after="20"/>
        <w:rPr>
          <w:b w:val="0"/>
          <w:color w:val="000000"/>
          <w:sz w:val="24"/>
        </w:rPr>
      </w:pPr>
      <w:bookmarkStart w:id="5" w:name="_Toc256000910"/>
      <w:r>
        <w:rPr>
          <w:b w:val="0"/>
          <w:noProof/>
          <w:color w:val="000000"/>
          <w:sz w:val="24"/>
        </w:rPr>
        <w:t>2 Свързани специфични цели, междусекторна цел и уместни секторни цели</w:t>
      </w:r>
      <w:bookmarkEnd w:id="5"/>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 xml:space="preserve">СЕКТОРНА ЦЕЛ ПО ОСП Код + Описание </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COMPWINE(57(a)) подобряване на икономическата устойчивост и конкурентоспособността на винопроизводителите в Съюза</w:t>
            </w:r>
          </w:p>
        </w:tc>
      </w:tr>
    </w:tbl>
    <w:p w:rsidR="0062317E" w:rsidRDefault="0062317E" w:rsidP="0062317E">
      <w:pPr>
        <w:spacing w:before="20" w:after="20"/>
        <w:rPr>
          <w:color w:val="000000"/>
          <w:sz w:val="0"/>
        </w:rPr>
      </w:pPr>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62317E" w:rsidRDefault="0062317E" w:rsidP="0062317E">
      <w:pPr>
        <w:spacing w:before="20" w:after="20"/>
        <w:rPr>
          <w:color w:val="000000"/>
          <w:sz w:val="0"/>
        </w:rPr>
      </w:pPr>
    </w:p>
    <w:p w:rsidR="0062317E" w:rsidRDefault="0062317E" w:rsidP="0062317E">
      <w:pPr>
        <w:pStyle w:val="Heading6"/>
        <w:spacing w:before="20" w:after="20"/>
        <w:rPr>
          <w:b w:val="0"/>
          <w:color w:val="000000"/>
          <w:sz w:val="24"/>
        </w:rPr>
      </w:pPr>
      <w:bookmarkStart w:id="6" w:name="_Toc256000911"/>
      <w:r>
        <w:rPr>
          <w:b w:val="0"/>
          <w:noProof/>
          <w:color w:val="000000"/>
          <w:sz w:val="24"/>
        </w:rPr>
        <w:t>3 Потребности, обхванати от интервенцията</w:t>
      </w:r>
      <w:bookmarkEnd w:id="6"/>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Разгледана в стратегически план по ОСП</w:t>
            </w:r>
          </w:p>
        </w:tc>
      </w:tr>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П.2.8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Повишаване на конкурентоспособността на производителите и преработвателите в лозаро-винарския сект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Да</w:t>
            </w:r>
          </w:p>
        </w:tc>
      </w:tr>
    </w:tbl>
    <w:p w:rsidR="0062317E" w:rsidRDefault="0062317E" w:rsidP="0062317E">
      <w:pPr>
        <w:pStyle w:val="Heading6"/>
        <w:spacing w:before="20" w:after="20"/>
        <w:rPr>
          <w:b w:val="0"/>
          <w:color w:val="000000"/>
          <w:sz w:val="24"/>
        </w:rPr>
      </w:pPr>
      <w:bookmarkStart w:id="7" w:name="_Toc256000912"/>
      <w:r>
        <w:rPr>
          <w:b w:val="0"/>
          <w:noProof/>
          <w:color w:val="000000"/>
          <w:sz w:val="24"/>
        </w:rPr>
        <w:t>4 Показател(и) за резултатите</w:t>
      </w:r>
      <w:bookmarkEnd w:id="7"/>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R.9 Дял на земеделските стопани, получаващи подпомагане за инвестиции с цел преструктуриране и модернизиране, включително подобряване на ресурсната ефективност</w:t>
            </w:r>
          </w:p>
        </w:tc>
      </w:tr>
    </w:tbl>
    <w:p w:rsidR="0062317E" w:rsidRDefault="0062317E" w:rsidP="0062317E">
      <w:pPr>
        <w:pStyle w:val="Heading6"/>
        <w:spacing w:before="20" w:after="20"/>
        <w:rPr>
          <w:b w:val="0"/>
          <w:color w:val="000000"/>
          <w:sz w:val="24"/>
        </w:rPr>
      </w:pPr>
      <w:bookmarkStart w:id="8" w:name="_Toc256000913"/>
      <w:r>
        <w:rPr>
          <w:b w:val="0"/>
          <w:noProof/>
          <w:color w:val="000000"/>
          <w:sz w:val="24"/>
        </w:rPr>
        <w:t>5 Конкретен план, изисквания и условия за допустимост на интервенцията</w:t>
      </w:r>
      <w:bookmarkEnd w:id="8"/>
    </w:p>
    <w:p w:rsidR="0062317E" w:rsidRDefault="0062317E" w:rsidP="0062317E">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Допустими бенефициери са земеделски стопани и признати от министъра на земеделието и храните групи и организации на производители на винено грозде, вписани в лозарския регистър като гроздопроизводители.</w:t>
            </w:r>
          </w:p>
          <w:p w:rsidR="0062317E" w:rsidRDefault="0062317E" w:rsidP="002C77E1">
            <w:pPr>
              <w:spacing w:before="40" w:after="40"/>
              <w:jc w:val="both"/>
            </w:pPr>
            <w:r>
              <w:rPr>
                <w:noProof/>
              </w:rPr>
              <w:t>По „Преструктуриране и конверсия на лозя“ (дейности "Конверсия на сортовия състав на насажденията" и "Промяна на местонахождението на лозята") се подпомагат производители на винено грозде, които имат валидни разрешения за презасаждане и стопанисваните от тях площи са в добро агротехническо състояние.</w:t>
            </w:r>
          </w:p>
          <w:p w:rsidR="0062317E" w:rsidRDefault="0062317E" w:rsidP="002C77E1">
            <w:pPr>
              <w:spacing w:before="40" w:after="40"/>
              <w:jc w:val="both"/>
            </w:pPr>
            <w:r>
              <w:rPr>
                <w:noProof/>
              </w:rPr>
              <w:t xml:space="preserve">Kандидатите за финансиране по интервенцията следва да предоставят влязъл в сила акт от </w:t>
            </w:r>
            <w:r>
              <w:rPr>
                <w:noProof/>
              </w:rPr>
              <w:lastRenderedPageBreak/>
              <w:t>компетентния орган по околна среда по реда и условията на глава шеста от Закона за опазване на околната среда и водите и/или чл. 31 от Закона за биологичното разнообразие.</w:t>
            </w:r>
          </w:p>
          <w:p w:rsidR="0062317E" w:rsidRDefault="0062317E" w:rsidP="002C77E1">
            <w:pPr>
              <w:spacing w:before="40" w:after="40"/>
              <w:jc w:val="both"/>
            </w:pPr>
            <w:r>
              <w:rPr>
                <w:noProof/>
                <w:u w:val="single"/>
              </w:rPr>
              <w:t>Допустими за подпомагане са следните дейности:</w:t>
            </w:r>
          </w:p>
          <w:p w:rsidR="0062317E" w:rsidRDefault="0062317E" w:rsidP="002C77E1">
            <w:pPr>
              <w:spacing w:before="40" w:after="40"/>
            </w:pPr>
            <w:r>
              <w:rPr>
                <w:noProof/>
              </w:rPr>
              <w:t>I. „Конверсия на сортовия състав на насажденията“:</w:t>
            </w:r>
          </w:p>
          <w:p w:rsidR="0062317E" w:rsidRDefault="0062317E" w:rsidP="002C77E1">
            <w:pPr>
              <w:spacing w:before="40" w:after="40"/>
            </w:pPr>
            <w:r>
              <w:rPr>
                <w:noProof/>
              </w:rPr>
              <w:t>1. Изкореняване</w:t>
            </w:r>
          </w:p>
          <w:p w:rsidR="0062317E" w:rsidRDefault="0062317E" w:rsidP="002C77E1">
            <w:pPr>
              <w:spacing w:before="40" w:after="40"/>
            </w:pPr>
            <w:r>
              <w:rPr>
                <w:noProof/>
              </w:rPr>
              <w:t>2. Засаждане</w:t>
            </w:r>
          </w:p>
          <w:p w:rsidR="0062317E" w:rsidRDefault="0062317E" w:rsidP="002C77E1">
            <w:pPr>
              <w:spacing w:before="40" w:after="40"/>
            </w:pPr>
            <w:r>
              <w:rPr>
                <w:noProof/>
              </w:rPr>
              <w:t>3. Изграждане на подпорна конструкция</w:t>
            </w:r>
          </w:p>
          <w:p w:rsidR="0062317E" w:rsidRDefault="0062317E" w:rsidP="002C77E1">
            <w:pPr>
              <w:spacing w:before="40" w:after="40"/>
            </w:pPr>
            <w:r>
              <w:rPr>
                <w:noProof/>
              </w:rPr>
              <w:t>II. „Промяна на местонахождението на лозята“:</w:t>
            </w:r>
          </w:p>
          <w:p w:rsidR="0062317E" w:rsidRDefault="0062317E" w:rsidP="002C77E1">
            <w:pPr>
              <w:spacing w:before="40" w:after="40"/>
            </w:pPr>
            <w:r>
              <w:rPr>
                <w:noProof/>
              </w:rPr>
              <w:t>1.  Изкореняване</w:t>
            </w:r>
          </w:p>
          <w:p w:rsidR="0062317E" w:rsidRDefault="0062317E" w:rsidP="002C77E1">
            <w:pPr>
              <w:spacing w:before="40" w:after="40"/>
            </w:pPr>
            <w:r>
              <w:rPr>
                <w:noProof/>
              </w:rPr>
              <w:t>2.  Засаждане</w:t>
            </w:r>
          </w:p>
          <w:p w:rsidR="0062317E" w:rsidRDefault="0062317E" w:rsidP="002C77E1">
            <w:pPr>
              <w:spacing w:before="40" w:after="40"/>
            </w:pPr>
            <w:r>
              <w:rPr>
                <w:noProof/>
              </w:rPr>
              <w:t>3.  Изграждане на подпорна конструкция</w:t>
            </w:r>
          </w:p>
          <w:p w:rsidR="0062317E" w:rsidRDefault="0062317E" w:rsidP="002C77E1">
            <w:pPr>
              <w:spacing w:before="40" w:after="40"/>
            </w:pPr>
            <w:r>
              <w:rPr>
                <w:noProof/>
              </w:rPr>
              <w:t>III. „Подобряване на техниките за управление на лозята“:</w:t>
            </w:r>
          </w:p>
          <w:p w:rsidR="0062317E" w:rsidRDefault="0062317E" w:rsidP="002C77E1">
            <w:pPr>
              <w:spacing w:before="40" w:after="40"/>
            </w:pPr>
            <w:r>
              <w:rPr>
                <w:noProof/>
              </w:rPr>
              <w:t>1.  Изграждане на подземни колектори за дренаж, шахти и канали за отводняване</w:t>
            </w:r>
          </w:p>
          <w:p w:rsidR="0062317E" w:rsidRDefault="0062317E" w:rsidP="002C77E1">
            <w:pPr>
              <w:spacing w:before="40" w:after="40"/>
            </w:pPr>
            <w:r>
              <w:rPr>
                <w:noProof/>
              </w:rPr>
              <w:t>2.  Изграждане/реконструкция на тераси</w:t>
            </w:r>
          </w:p>
          <w:p w:rsidR="0062317E" w:rsidRDefault="0062317E" w:rsidP="002C77E1">
            <w:pPr>
              <w:spacing w:before="40" w:after="40"/>
            </w:pPr>
            <w:r>
              <w:rPr>
                <w:noProof/>
              </w:rPr>
              <w:t>3.  Изграждане на автоматизирани системи за капково напояване</w:t>
            </w:r>
          </w:p>
          <w:p w:rsidR="0062317E" w:rsidRDefault="0062317E" w:rsidP="002C77E1">
            <w:pPr>
              <w:spacing w:before="40" w:after="40"/>
            </w:pPr>
            <w:r>
              <w:rPr>
                <w:noProof/>
              </w:rPr>
              <w:t>4. Смяна на подпорна конструкция</w:t>
            </w:r>
          </w:p>
          <w:p w:rsidR="0062317E" w:rsidRDefault="0062317E" w:rsidP="002C77E1">
            <w:pPr>
              <w:spacing w:before="40" w:after="40"/>
            </w:pPr>
            <w:r>
              <w:rPr>
                <w:noProof/>
              </w:rPr>
              <w:t>5. Изграждане на подпорна конструкция на новосъздадени насаждения</w:t>
            </w:r>
          </w:p>
          <w:p w:rsidR="0062317E" w:rsidRDefault="0062317E" w:rsidP="002C77E1">
            <w:pPr>
              <w:spacing w:before="40" w:after="40"/>
            </w:pPr>
            <w:r>
              <w:rPr>
                <w:noProof/>
              </w:rPr>
              <w:t>6.  Смяната на формировката</w:t>
            </w:r>
          </w:p>
          <w:p w:rsidR="0062317E" w:rsidRDefault="0062317E" w:rsidP="002C77E1">
            <w:pPr>
              <w:spacing w:before="40" w:after="40"/>
            </w:pPr>
          </w:p>
          <w:p w:rsidR="0062317E" w:rsidRDefault="0062317E" w:rsidP="002C77E1">
            <w:pPr>
              <w:spacing w:before="40" w:after="40"/>
            </w:pPr>
            <w:r>
              <w:rPr>
                <w:noProof/>
              </w:rPr>
              <w:t>Допуска се обявяване на целеви приеми по интервенцията само за отделни дейности, след съгласуване с представителите на лозаро-винарския сектор. </w:t>
            </w:r>
          </w:p>
          <w:p w:rsidR="0062317E" w:rsidRDefault="0062317E" w:rsidP="002C77E1">
            <w:pPr>
              <w:spacing w:before="40" w:after="40"/>
            </w:pPr>
          </w:p>
          <w:p w:rsidR="0062317E" w:rsidRDefault="0062317E" w:rsidP="002C77E1">
            <w:pPr>
              <w:spacing w:before="40" w:after="40"/>
            </w:pPr>
            <w:r>
              <w:rPr>
                <w:noProof/>
              </w:rPr>
              <w:t>Считано от 2024 финансова година в случай на недостатъчен бюджет, подадените заявления за предоставяне на финансова помощ се оценяват по критерии за оценка и се класират в низходящ ред до наличния бюджет.</w:t>
            </w:r>
          </w:p>
          <w:p w:rsidR="0062317E" w:rsidRDefault="0062317E" w:rsidP="002C77E1">
            <w:pPr>
              <w:spacing w:before="40" w:after="40"/>
            </w:pPr>
            <w:r>
              <w:rPr>
                <w:noProof/>
              </w:rPr>
              <w:t>Критерии за приоритет по интервенцията:</w:t>
            </w:r>
          </w:p>
          <w:p w:rsidR="0062317E" w:rsidRDefault="0062317E" w:rsidP="0062317E">
            <w:pPr>
              <w:numPr>
                <w:ilvl w:val="0"/>
                <w:numId w:val="1"/>
              </w:numPr>
              <w:spacing w:before="40" w:after="40"/>
              <w:ind w:hanging="280"/>
              <w:jc w:val="both"/>
            </w:pPr>
            <w:r>
              <w:rPr>
                <w:noProof/>
              </w:rPr>
              <w:t>Проектът не е подпомаган по мярката през предходни програмни периоди;</w:t>
            </w:r>
          </w:p>
          <w:p w:rsidR="0062317E" w:rsidRDefault="0062317E" w:rsidP="0062317E">
            <w:pPr>
              <w:numPr>
                <w:ilvl w:val="0"/>
                <w:numId w:val="1"/>
              </w:numPr>
              <w:spacing w:before="40" w:after="40"/>
              <w:ind w:hanging="280"/>
              <w:jc w:val="both"/>
            </w:pPr>
            <w:r>
              <w:rPr>
                <w:noProof/>
              </w:rPr>
              <w:t>Проект с дейности в стопанства за производство на биологични продукти и/или стопанства в преход към биологично производство на продукти;</w:t>
            </w:r>
          </w:p>
          <w:p w:rsidR="0062317E" w:rsidRDefault="0062317E" w:rsidP="0062317E">
            <w:pPr>
              <w:numPr>
                <w:ilvl w:val="0"/>
                <w:numId w:val="1"/>
              </w:numPr>
              <w:spacing w:before="40" w:after="40"/>
              <w:ind w:hanging="280"/>
              <w:jc w:val="both"/>
            </w:pPr>
            <w:r>
              <w:rPr>
                <w:noProof/>
              </w:rPr>
              <w:t>Проектът е представен от групи/организации на производители на винено грозде;</w:t>
            </w:r>
          </w:p>
          <w:p w:rsidR="0062317E" w:rsidRDefault="0062317E" w:rsidP="0062317E">
            <w:pPr>
              <w:numPr>
                <w:ilvl w:val="0"/>
                <w:numId w:val="1"/>
              </w:numPr>
              <w:spacing w:before="40" w:after="40"/>
              <w:ind w:hanging="280"/>
              <w:jc w:val="both"/>
            </w:pPr>
            <w:r>
              <w:rPr>
                <w:noProof/>
              </w:rPr>
              <w:t>Проектът предвижда засаждане на местни и интродуцирани устойчиви сортове;</w:t>
            </w:r>
          </w:p>
          <w:p w:rsidR="0062317E" w:rsidRDefault="0062317E" w:rsidP="0062317E">
            <w:pPr>
              <w:numPr>
                <w:ilvl w:val="0"/>
                <w:numId w:val="1"/>
              </w:numPr>
              <w:spacing w:before="40" w:after="40"/>
              <w:ind w:hanging="280"/>
              <w:jc w:val="both"/>
            </w:pPr>
            <w:r>
              <w:rPr>
                <w:noProof/>
              </w:rPr>
              <w:t>Проектът е за райони и сортове грозде за производство на вина със ЗНП;</w:t>
            </w:r>
          </w:p>
          <w:p w:rsidR="0062317E" w:rsidRDefault="0062317E" w:rsidP="0062317E">
            <w:pPr>
              <w:numPr>
                <w:ilvl w:val="0"/>
                <w:numId w:val="1"/>
              </w:numPr>
              <w:spacing w:before="40" w:after="40"/>
              <w:ind w:hanging="280"/>
              <w:jc w:val="both"/>
            </w:pPr>
            <w:r>
              <w:rPr>
                <w:noProof/>
              </w:rPr>
              <w:t>Проектът е за район за производство на вина със ЗГУ;</w:t>
            </w:r>
          </w:p>
          <w:p w:rsidR="0062317E" w:rsidRDefault="0062317E" w:rsidP="0062317E">
            <w:pPr>
              <w:numPr>
                <w:ilvl w:val="0"/>
                <w:numId w:val="1"/>
              </w:numPr>
              <w:spacing w:before="40" w:after="40"/>
              <w:ind w:hanging="280"/>
              <w:jc w:val="both"/>
            </w:pPr>
            <w:r>
              <w:rPr>
                <w:noProof/>
              </w:rPr>
              <w:t>Проект за лозарски стопанства с размер от 2 до 30 ха;</w:t>
            </w:r>
          </w:p>
          <w:p w:rsidR="0062317E" w:rsidRDefault="0062317E" w:rsidP="0062317E">
            <w:pPr>
              <w:numPr>
                <w:ilvl w:val="0"/>
                <w:numId w:val="1"/>
              </w:numPr>
              <w:spacing w:before="40" w:after="40"/>
              <w:ind w:hanging="280"/>
              <w:jc w:val="both"/>
            </w:pPr>
            <w:r>
              <w:rPr>
                <w:noProof/>
              </w:rPr>
              <w:t>Проект на млад земеделски стопанин – гроздопроизводител;</w:t>
            </w:r>
          </w:p>
          <w:p w:rsidR="0062317E" w:rsidRDefault="0062317E" w:rsidP="002C77E1">
            <w:pPr>
              <w:spacing w:before="40" w:after="40"/>
              <w:jc w:val="both"/>
            </w:pPr>
            <w:r>
              <w:rPr>
                <w:noProof/>
              </w:rPr>
              <w:t>Критериите за приоритет и тяхната тежест са подбрани въз основа на определените цели на интервенцията. Критериите са избрани така, че обхващат лозарските стопанства с пазарна ориентация и висока необходимост от засилване на конкурентоспособността.</w:t>
            </w:r>
          </w:p>
        </w:tc>
      </w:tr>
    </w:tbl>
    <w:p w:rsidR="0062317E" w:rsidRDefault="0062317E" w:rsidP="0062317E">
      <w:pPr>
        <w:pStyle w:val="Heading6"/>
        <w:spacing w:before="20" w:after="20"/>
        <w:rPr>
          <w:b w:val="0"/>
          <w:color w:val="000000"/>
          <w:sz w:val="24"/>
        </w:rPr>
      </w:pPr>
      <w:bookmarkStart w:id="9" w:name="_Toc256000914"/>
      <w:r>
        <w:rPr>
          <w:b w:val="0"/>
          <w:noProof/>
          <w:color w:val="000000"/>
          <w:sz w:val="24"/>
        </w:rPr>
        <w:lastRenderedPageBreak/>
        <w:t>6 Форма и ставка на подпомагане/суми/методи за изчисляване</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1456F" w:rsidRDefault="0062317E" w:rsidP="000C0978">
            <w:pPr>
              <w:spacing w:before="40" w:after="40"/>
              <w:jc w:val="both"/>
              <w:rPr>
                <w:ins w:id="10" w:author="Kalina Tuteva" w:date="2024-08-16T14:27:00Z"/>
                <w:noProof/>
              </w:rPr>
            </w:pPr>
            <w:r>
              <w:rPr>
                <w:noProof/>
              </w:rPr>
              <w:t xml:space="preserve">Максималният размер на финансовата помощ е до 75 % от стойността на действителните разходи за изпълнение на всяка дейност. </w:t>
            </w:r>
          </w:p>
          <w:p w:rsidR="000C0978" w:rsidRPr="0071456F" w:rsidRDefault="0071456F" w:rsidP="000C0978">
            <w:pPr>
              <w:spacing w:before="40" w:after="40"/>
              <w:jc w:val="both"/>
              <w:rPr>
                <w:lang w:val="bg-BG"/>
              </w:rPr>
            </w:pPr>
            <w:ins w:id="11" w:author="Kalina Tuteva" w:date="2024-08-16T14:27:00Z">
              <w:r w:rsidRPr="0071456F">
                <w:rPr>
                  <w:noProof/>
                </w:rPr>
                <w:t>Разходите по интервенцията се възстановяват на база разходо-оправдателни документи.</w:t>
              </w:r>
            </w:ins>
            <w:del w:id="12" w:author="Kalina Tuteva" w:date="2024-08-16T14:27:00Z">
              <w:r w:rsidR="0062317E" w:rsidDel="0071456F">
                <w:rPr>
                  <w:noProof/>
                </w:rPr>
                <w:delText>Размерът на подпомагането се изчислява на база пределни цени по операции</w:delText>
              </w:r>
              <w:r w:rsidR="000C0978" w:rsidDel="0071456F">
                <w:rPr>
                  <w:noProof/>
                </w:rPr>
                <w:delText xml:space="preserve"> и допълнителен контрол – </w:delText>
              </w:r>
            </w:del>
            <w:del w:id="13" w:author="Kalina Tuteva" w:date="2024-08-16T11:28:00Z">
              <w:r w:rsidR="000C0978" w:rsidDel="0012319B">
                <w:rPr>
                  <w:noProof/>
                </w:rPr>
                <w:delText>сравняване на три оферти</w:delText>
              </w:r>
            </w:del>
            <w:del w:id="14" w:author="Kalina Tuteva" w:date="2024-08-16T14:27:00Z">
              <w:r w:rsidR="000C0978" w:rsidDel="0071456F">
                <w:rPr>
                  <w:noProof/>
                </w:rPr>
                <w:delText>.</w:delText>
              </w:r>
            </w:del>
          </w:p>
          <w:p w:rsidR="0062317E" w:rsidRDefault="0062317E" w:rsidP="002C77E1">
            <w:pPr>
              <w:spacing w:before="40" w:after="40"/>
              <w:jc w:val="both"/>
            </w:pPr>
            <w:r>
              <w:rPr>
                <w:noProof/>
              </w:rPr>
              <w:t>При изпълнение на дейности изкореняване и засаждане (презасаждане) кандидатите имат право на парично обезщетение за загуба на доход. Обезщетението се изчислява въз основа на средния годишен добив от хектар за последните две винарски години преди изкореняване на насаждението.</w:t>
            </w:r>
          </w:p>
          <w:p w:rsidR="0062317E" w:rsidRDefault="0062317E" w:rsidP="002C77E1">
            <w:pPr>
              <w:spacing w:before="40" w:after="40"/>
            </w:pPr>
            <w:r>
              <w:rPr>
                <w:noProof/>
              </w:rPr>
              <w:t>Финансовата помощ може да се изплаща авансово.</w:t>
            </w:r>
          </w:p>
          <w:p w:rsidR="0062317E" w:rsidRDefault="0062317E" w:rsidP="002C77E1">
            <w:pPr>
              <w:spacing w:before="40" w:after="40"/>
            </w:pPr>
            <w:r>
              <w:rPr>
                <w:noProof/>
              </w:rPr>
              <w:t xml:space="preserve">За прилагането на интервенциите от СП e разработена методика за определяне на допустимите </w:t>
            </w:r>
            <w:r>
              <w:rPr>
                <w:noProof/>
              </w:rPr>
              <w:lastRenderedPageBreak/>
              <w:t>операции към всяка от дейностите от интервенцията и за техните пределни цени.</w:t>
            </w:r>
          </w:p>
        </w:tc>
      </w:tr>
    </w:tbl>
    <w:p w:rsidR="0062317E" w:rsidRDefault="0062317E" w:rsidP="0062317E">
      <w:pPr>
        <w:pStyle w:val="Heading6"/>
        <w:spacing w:before="20" w:after="20"/>
        <w:rPr>
          <w:b w:val="0"/>
          <w:color w:val="000000"/>
          <w:sz w:val="24"/>
        </w:rPr>
      </w:pPr>
      <w:bookmarkStart w:id="15" w:name="_Toc256000915"/>
      <w:r>
        <w:rPr>
          <w:b w:val="0"/>
          <w:noProof/>
          <w:color w:val="000000"/>
          <w:sz w:val="24"/>
        </w:rPr>
        <w:lastRenderedPageBreak/>
        <w:t>7 Допълнителна информация за вида на интервенцията</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Регистрираните през 2020 г. гроздопроизводители по реда на Закона за виното и спиртните напитки са 3 471, като те управляват 3 494 лозарски стопанства. Структурата на лозарските стопанства в голяма степен е отражение на структурата на земеделските стопанства в страната – голям брой малки стопанства, стопанисващи малко площи и малък брой големи стопанства, управляващи основната част от площите.</w:t>
            </w:r>
          </w:p>
          <w:p w:rsidR="0062317E" w:rsidRDefault="0062317E" w:rsidP="002C77E1">
            <w:pPr>
              <w:spacing w:before="40" w:after="40"/>
            </w:pPr>
          </w:p>
          <w:p w:rsidR="0062317E" w:rsidRDefault="0062317E" w:rsidP="002C77E1">
            <w:pPr>
              <w:spacing w:before="40" w:after="40"/>
            </w:pPr>
            <w:r>
              <w:rPr>
                <w:noProof/>
              </w:rPr>
              <w:t>Стопанствата с размер до 0,5 ха и тези с размер от 0,5 до 1 ха произвеждат грозде най-често за лична консумация, а произведеното вино най-често е в рамките на допустимото за лична консумация. Тези стопанства често са управлявани от хоби-лозари и те нямат икономическо значение за сектора или за самите производители. Въпреки че броят им не е незначителен (44,39% от всички стопанства), съвкупно те стопанисват 2,63% от насажденията, или 756,8 ха.</w:t>
            </w:r>
          </w:p>
          <w:p w:rsidR="0062317E" w:rsidRDefault="0062317E" w:rsidP="002C77E1">
            <w:pPr>
              <w:spacing w:before="40" w:after="40"/>
            </w:pPr>
            <w:r>
              <w:rPr>
                <w:noProof/>
              </w:rPr>
              <w:t>Най-многобройната самостоятелна група лозарски стопанства е тази с размер от 1 до 5 хектара – 1 201, или 34,37% от всички регистрирани стопанства, като обаче те отглеждат едва 9,06% от общите насаждения – общо 2 605,2 ха. Тези стопанства притежават потенциал за развитие и възможност да бъдат фактор в икономическите процеси в сектора. Сред най-удачните възможности за тяхното бъдещо развитие е кооперирането с цел повишаване на конкурентоспособността им.</w:t>
            </w:r>
          </w:p>
          <w:p w:rsidR="0062317E" w:rsidRDefault="0062317E" w:rsidP="002C77E1">
            <w:pPr>
              <w:spacing w:before="40" w:after="40"/>
            </w:pPr>
          </w:p>
          <w:p w:rsidR="0062317E" w:rsidRDefault="0062317E" w:rsidP="002C77E1">
            <w:pPr>
              <w:spacing w:before="40" w:after="40"/>
            </w:pPr>
            <w:r>
              <w:rPr>
                <w:noProof/>
              </w:rPr>
              <w:t>Лозарските стопанства от 5 до 30 ха са 532 броя и стопанисват 15,23% от насажденията. В тази група попадат стопанства, част от които притежават собствени винарски изби, които успяват да задоволят и собствените си потребности от суровина. Това са най-често стопанства - производители на качествени и бутикови вина от по-висок ценови клас. Те притежават сериозен потенциал за развитие и адаптиране към тенденциите на пазара на вино, но в същото време са чувствителни към постоянно променящата се пазарна среда.</w:t>
            </w:r>
          </w:p>
          <w:p w:rsidR="0062317E" w:rsidRDefault="0062317E" w:rsidP="002C77E1">
            <w:pPr>
              <w:spacing w:before="40" w:after="40"/>
            </w:pPr>
          </w:p>
          <w:p w:rsidR="0062317E" w:rsidRDefault="0062317E" w:rsidP="002C77E1">
            <w:pPr>
              <w:spacing w:before="40" w:after="40"/>
            </w:pPr>
            <w:r>
              <w:rPr>
                <w:noProof/>
              </w:rPr>
              <w:t>Стопанствата с размер от 30 до 650 и над 650 ха са значително по-малко на брой – 5,98% и 0,03%, но съвкупно те управляват 63,97% от общата площ с лозя в регистрираните стопанства.</w:t>
            </w:r>
          </w:p>
          <w:p w:rsidR="0062317E" w:rsidRDefault="0062317E" w:rsidP="002C77E1">
            <w:pPr>
              <w:spacing w:before="40" w:after="40"/>
              <w:jc w:val="both"/>
            </w:pPr>
          </w:p>
          <w:p w:rsidR="0062317E" w:rsidRDefault="0062317E" w:rsidP="002C77E1">
            <w:pPr>
              <w:spacing w:before="40" w:after="40"/>
              <w:jc w:val="both"/>
            </w:pPr>
            <w:r>
              <w:rPr>
                <w:noProof/>
              </w:rPr>
              <w:t>Прилагането на интервенцията ще допринесе за приспособяване на производството на винено грозде към динамиката на свободния пазар, повишаване на доходите в сектора, предпазване на селските райони от обезлюдяване. Изпълнението на мярката ще спомогне и за преодоляване на неблагоприятната възрастова и сортова структура на лозята в България, която ограничава възможностите за устойчиво и конкурентно развитие на сектора.</w:t>
            </w:r>
          </w:p>
          <w:p w:rsidR="0062317E" w:rsidRDefault="0062317E" w:rsidP="002C77E1">
            <w:pPr>
              <w:spacing w:before="40" w:after="40"/>
              <w:jc w:val="both"/>
            </w:pPr>
          </w:p>
          <w:p w:rsidR="0062317E" w:rsidRDefault="0062317E" w:rsidP="002C77E1">
            <w:pPr>
              <w:spacing w:before="40" w:after="40"/>
              <w:jc w:val="both"/>
            </w:pPr>
            <w:r>
              <w:rPr>
                <w:noProof/>
              </w:rPr>
              <w:t>Изпълнението на предвижданите дейности ще допринесе за оптимизиране на използването на водните ресурси в лозарските стопанства чрез въвеждане на автоматизирани системи за напояване, с контролирано подаване и ниска консумация на вода, както и чрез извършването на редовен мониторинг на потреблението на вода.</w:t>
            </w:r>
          </w:p>
          <w:p w:rsidR="0062317E" w:rsidRDefault="0062317E" w:rsidP="002C77E1">
            <w:pPr>
              <w:spacing w:before="40" w:after="40"/>
              <w:jc w:val="both"/>
            </w:pPr>
          </w:p>
          <w:p w:rsidR="0062317E" w:rsidRDefault="0062317E" w:rsidP="002C77E1">
            <w:pPr>
              <w:spacing w:before="40" w:after="40"/>
            </w:pPr>
            <w:r>
              <w:rPr>
                <w:noProof/>
              </w:rPr>
              <w:t>Производството на вина със защитено географско указание и защитено наименование на произход е приоритет за България, а архитектурата на интервенцията е съобразено със стремежа към увеличаване на площите засадени с винени сортове лозя, подходящи за тяхното производство. Създаването на лозови насаждения на нови по-подходящи терени и с конкурентни сортове, както и грижовната поддръжка на вече създадените ще допринесе за повишаване на интереса на винопроизводителите към вина със ЗНП, вина със ЗГУ и вина, произведени по метода на биологично производство.</w:t>
            </w:r>
          </w:p>
        </w:tc>
      </w:tr>
    </w:tbl>
    <w:p w:rsidR="0062317E" w:rsidRDefault="0062317E" w:rsidP="0062317E">
      <w:pPr>
        <w:spacing w:before="20" w:after="20"/>
        <w:rPr>
          <w:color w:val="000000"/>
        </w:rPr>
      </w:pPr>
    </w:p>
    <w:p w:rsidR="0062317E" w:rsidRDefault="0062317E" w:rsidP="0062317E">
      <w:pPr>
        <w:pStyle w:val="Heading6"/>
        <w:spacing w:before="20" w:after="20"/>
        <w:rPr>
          <w:b w:val="0"/>
          <w:color w:val="000000"/>
          <w:sz w:val="24"/>
        </w:rPr>
      </w:pPr>
      <w:bookmarkStart w:id="16" w:name="_Toc256000916"/>
      <w:r>
        <w:rPr>
          <w:b w:val="0"/>
          <w:noProof/>
          <w:color w:val="000000"/>
          <w:sz w:val="24"/>
        </w:rPr>
        <w:t>8 Съответствие с правилата на СТО</w:t>
      </w:r>
      <w:bookmarkEnd w:id="16"/>
    </w:p>
    <w:p w:rsidR="0062317E" w:rsidRDefault="0062317E" w:rsidP="0062317E">
      <w:pPr>
        <w:spacing w:before="20" w:after="20"/>
        <w:rPr>
          <w:color w:val="000000"/>
        </w:rPr>
      </w:pPr>
      <w:r>
        <w:rPr>
          <w:noProof/>
          <w:color w:val="000000"/>
        </w:rPr>
        <w:t xml:space="preserve"> Зелена кутия</w:t>
      </w:r>
    </w:p>
    <w:p w:rsidR="0062317E" w:rsidRDefault="0062317E" w:rsidP="0062317E">
      <w:pPr>
        <w:spacing w:before="20" w:after="20"/>
        <w:rPr>
          <w:color w:val="000000"/>
        </w:rPr>
      </w:pPr>
      <w:r>
        <w:rPr>
          <w:noProof/>
          <w:color w:val="000000"/>
        </w:rPr>
        <w:t>Параграф 11 от приложение 2 към Споразумението за СТО</w:t>
      </w:r>
    </w:p>
    <w:p w:rsidR="0062317E" w:rsidRDefault="0062317E" w:rsidP="0062317E">
      <w:pPr>
        <w:spacing w:before="20" w:after="20"/>
        <w:rPr>
          <w:color w:val="000000"/>
        </w:rPr>
      </w:pPr>
      <w:r>
        <w:rPr>
          <w:noProof/>
          <w:color w:val="000000"/>
        </w:rPr>
        <w:lastRenderedPageBreak/>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jc w:val="both"/>
            </w:pPr>
            <w:r>
              <w:rPr>
                <w:noProof/>
              </w:rPr>
              <w:t>Интервенцията „Преструктуриране и конверсия на лозя“ представлява форма на вътрешна подкрепа, която съответства на изискванията, определени в Приложение 2, параграф 11 на Споразумението за селско стопанство на СТО.</w:t>
            </w:r>
          </w:p>
          <w:p w:rsidR="0062317E" w:rsidRDefault="0062317E" w:rsidP="002C77E1">
            <w:pPr>
              <w:spacing w:before="40" w:after="40"/>
              <w:jc w:val="both"/>
            </w:pPr>
            <w:r>
              <w:rPr>
                <w:noProof/>
              </w:rPr>
              <w:t>Допустимите за подпомагане дейности са базирани на ясно определени критерии и цели, заложени със Стратегическия план по ОСП.</w:t>
            </w:r>
          </w:p>
          <w:p w:rsidR="0062317E" w:rsidRDefault="0062317E" w:rsidP="002C77E1">
            <w:pPr>
              <w:spacing w:before="40" w:after="40"/>
              <w:jc w:val="both"/>
            </w:pPr>
            <w:r>
              <w:rPr>
                <w:noProof/>
              </w:rPr>
              <w:t>Допустимите дейности и разходи допринасят за преструктурирането на лозарските стопанства във връзка с идентифицираните потребности на сектора.</w:t>
            </w:r>
          </w:p>
          <w:p w:rsidR="0062317E" w:rsidRDefault="0062317E" w:rsidP="002C77E1">
            <w:pPr>
              <w:spacing w:before="40" w:after="40"/>
              <w:jc w:val="both"/>
            </w:pPr>
            <w:r>
              <w:rPr>
                <w:noProof/>
              </w:rPr>
              <w:t>Предвидените по интервенцията плащания не са обвързани с обема на произвежданата продукция, а се основават на направените по интервенцията допустими разходи.</w:t>
            </w:r>
          </w:p>
          <w:p w:rsidR="0062317E" w:rsidRDefault="0062317E" w:rsidP="002C77E1">
            <w:pPr>
              <w:spacing w:before="40" w:after="40"/>
              <w:jc w:val="both"/>
            </w:pPr>
            <w:r>
              <w:rPr>
                <w:noProof/>
              </w:rPr>
              <w:t>Плащанията по интервенцията са изцяло обвързани с допустимия срок за изпълнение на инвестицията и не налагат ограничения, свързани с вида на произвежданите земеделски продукти.</w:t>
            </w:r>
          </w:p>
          <w:p w:rsidR="0062317E" w:rsidRDefault="0062317E" w:rsidP="002C77E1">
            <w:pPr>
              <w:spacing w:before="40" w:after="40"/>
            </w:pPr>
            <w:r>
              <w:rPr>
                <w:noProof/>
              </w:rPr>
              <w:t>Плащанията, предвидени по интервенцията, не надвишават предварително определен процент от допустимите разходи.</w:t>
            </w:r>
          </w:p>
        </w:tc>
      </w:tr>
    </w:tbl>
    <w:p w:rsidR="0062317E" w:rsidRDefault="0062317E" w:rsidP="0062317E">
      <w:pPr>
        <w:spacing w:before="20" w:after="20"/>
        <w:rPr>
          <w:color w:val="000000"/>
        </w:rPr>
        <w:sectPr w:rsidR="0062317E">
          <w:pgSz w:w="11906" w:h="16838"/>
          <w:pgMar w:top="720" w:right="720" w:bottom="864" w:left="936" w:header="288" w:footer="72" w:gutter="0"/>
          <w:cols w:space="720"/>
          <w:noEndnote/>
          <w:docGrid w:linePitch="360"/>
        </w:sectPr>
      </w:pPr>
    </w:p>
    <w:p w:rsidR="0062317E" w:rsidRDefault="0062317E" w:rsidP="0062317E">
      <w:pPr>
        <w:pStyle w:val="Heading6"/>
        <w:spacing w:before="20" w:after="20"/>
        <w:rPr>
          <w:b w:val="0"/>
          <w:color w:val="000000"/>
          <w:sz w:val="24"/>
        </w:rPr>
      </w:pPr>
      <w:bookmarkStart w:id="17" w:name="_Toc256000917"/>
      <w:r>
        <w:rPr>
          <w:b w:val="0"/>
          <w:noProof/>
          <w:color w:val="000000"/>
          <w:sz w:val="24"/>
        </w:rPr>
        <w:lastRenderedPageBreak/>
        <w:t>9 Планирани единични суми — определение</w:t>
      </w:r>
      <w:bookmarkEnd w:id="17"/>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0"/>
        <w:gridCol w:w="3539"/>
        <w:gridCol w:w="994"/>
        <w:gridCol w:w="2819"/>
      </w:tblGrid>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Показател(и) за резултатите</w:t>
            </w:r>
          </w:p>
        </w:tc>
      </w:tr>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I.Д.1 - 001 - Единична сума за интервенция „Преструктуриране и конверсия на лозя“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R.9</w:t>
            </w:r>
          </w:p>
        </w:tc>
      </w:tr>
    </w:tbl>
    <w:p w:rsidR="0062317E" w:rsidRDefault="0062317E" w:rsidP="0062317E">
      <w:pPr>
        <w:spacing w:before="20" w:after="20"/>
        <w:rPr>
          <w:color w:val="000000"/>
        </w:rPr>
      </w:pPr>
      <w:r>
        <w:rPr>
          <w:noProof/>
          <w:color w:val="000000"/>
        </w:rPr>
        <w:t>Описание</w:t>
      </w:r>
    </w:p>
    <w:p w:rsidR="0062317E" w:rsidRDefault="0062317E" w:rsidP="0062317E">
      <w:pPr>
        <w:spacing w:before="20" w:after="20"/>
        <w:rPr>
          <w:color w:val="000000"/>
        </w:rPr>
      </w:pPr>
      <w:r>
        <w:rPr>
          <w:noProof/>
          <w:color w:val="000000"/>
        </w:rPr>
        <w:t>I.Д.1 - 001 - Единична сума за интервенция „Преструктуриране и конверсия на лозя“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2"/>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 xml:space="preserve">С определения годишен бюджет по интервенцията е планирано да бъдат подпомогнати определени хектари с лозови насаждения. </w:t>
            </w:r>
          </w:p>
        </w:tc>
      </w:tr>
    </w:tbl>
    <w:p w:rsidR="0062317E" w:rsidRDefault="0062317E" w:rsidP="0062317E">
      <w:pPr>
        <w:pStyle w:val="Heading6"/>
        <w:spacing w:before="20" w:after="20"/>
        <w:rPr>
          <w:b w:val="0"/>
          <w:color w:val="000000"/>
          <w:sz w:val="24"/>
        </w:rPr>
      </w:pPr>
      <w:bookmarkStart w:id="18" w:name="_Toc256000918"/>
      <w:r>
        <w:rPr>
          <w:b w:val="0"/>
          <w:noProof/>
          <w:color w:val="000000"/>
          <w:sz w:val="24"/>
        </w:rPr>
        <w:t>10 Планирани единични суми — финансова таблица с краен продукт</w:t>
      </w:r>
      <w:bookmarkEnd w:id="18"/>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4447"/>
        <w:gridCol w:w="440"/>
        <w:gridCol w:w="1190"/>
        <w:gridCol w:w="1190"/>
        <w:gridCol w:w="1190"/>
        <w:gridCol w:w="1190"/>
        <w:gridCol w:w="1895"/>
      </w:tblGrid>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Финансова година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Общо за периода 2023—2027 г.</w:t>
            </w:r>
          </w:p>
        </w:tc>
      </w:tr>
      <w:tr w:rsidR="0062317E" w:rsidTr="002C77E1">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 xml:space="preserve">I.Д.1 - 001 - </w:t>
            </w:r>
          </w:p>
          <w:p w:rsidR="0062317E" w:rsidRDefault="0062317E" w:rsidP="002C77E1">
            <w:pPr>
              <w:spacing w:before="20" w:after="20"/>
              <w:rPr>
                <w:color w:val="000000"/>
                <w:sz w:val="20"/>
              </w:rPr>
            </w:pPr>
            <w:r>
              <w:rPr>
                <w:noProof/>
                <w:color w:val="000000"/>
                <w:sz w:val="20"/>
              </w:rPr>
              <w:t>Единична сума за интервенция „Преструктуриране и конверсия на лозя“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Планирана единична сума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10 902,02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8 237,14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8 237,14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8 237,14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r>
      <w:tr w:rsidR="0062317E"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O.36 (единица: Хектари)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1 000,00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1 500,00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1 500,00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1 500,00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b/>
                <w:color w:val="000000"/>
                <w:sz w:val="20"/>
              </w:rPr>
            </w:pPr>
            <w:r>
              <w:rPr>
                <w:b/>
                <w:noProof/>
                <w:color w:val="000000"/>
                <w:sz w:val="20"/>
              </w:rPr>
              <w:t xml:space="preserve">Сума: </w:t>
            </w:r>
          </w:p>
          <w:p w:rsidR="0062317E" w:rsidRDefault="0062317E" w:rsidP="002C77E1">
            <w:pPr>
              <w:spacing w:before="20" w:after="20"/>
              <w:jc w:val="right"/>
              <w:rPr>
                <w:color w:val="000000"/>
                <w:sz w:val="20"/>
              </w:rPr>
            </w:pPr>
            <w:r>
              <w:rPr>
                <w:noProof/>
                <w:color w:val="000000"/>
                <w:sz w:val="20"/>
              </w:rPr>
              <w:t>5 500,00</w:t>
            </w:r>
          </w:p>
          <w:p w:rsidR="0062317E" w:rsidRDefault="0062317E" w:rsidP="002C77E1">
            <w:pPr>
              <w:spacing w:before="20" w:after="20"/>
              <w:rPr>
                <w:b/>
                <w:color w:val="000000"/>
                <w:sz w:val="20"/>
              </w:rPr>
            </w:pPr>
            <w:r>
              <w:rPr>
                <w:b/>
                <w:noProof/>
                <w:color w:val="000000"/>
                <w:sz w:val="20"/>
              </w:rPr>
              <w:t xml:space="preserve">Макс.: </w:t>
            </w:r>
          </w:p>
          <w:p w:rsidR="0062317E" w:rsidRDefault="0062317E" w:rsidP="002C77E1">
            <w:pPr>
              <w:spacing w:before="20" w:after="20"/>
              <w:jc w:val="right"/>
              <w:rPr>
                <w:color w:val="000000"/>
                <w:sz w:val="20"/>
              </w:rPr>
            </w:pPr>
            <w:r>
              <w:rPr>
                <w:noProof/>
                <w:color w:val="000000"/>
                <w:sz w:val="20"/>
              </w:rPr>
              <w:t>1 500,00</w:t>
            </w:r>
          </w:p>
        </w:tc>
      </w:tr>
      <w:tr w:rsidR="0062317E"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10 902 020,16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12 355 713,58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12 355 713,58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12 355 713,58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47 969 160,90</w:t>
            </w:r>
          </w:p>
        </w:tc>
      </w:tr>
    </w:tbl>
    <w:p w:rsidR="0062317E" w:rsidRDefault="0062317E" w:rsidP="0062317E">
      <w:pPr>
        <w:spacing w:before="20" w:after="20"/>
        <w:rPr>
          <w:color w:val="000000"/>
        </w:rPr>
        <w:sectPr w:rsidR="0062317E">
          <w:pgSz w:w="16838" w:h="11906" w:orient="landscape"/>
          <w:pgMar w:top="720" w:right="720" w:bottom="864" w:left="936" w:header="288" w:footer="72" w:gutter="0"/>
          <w:cols w:space="720"/>
          <w:noEndnote/>
          <w:docGrid w:linePitch="360"/>
        </w:sectPr>
      </w:pPr>
    </w:p>
    <w:p w:rsidR="0062317E" w:rsidRDefault="0062317E" w:rsidP="0062317E">
      <w:pPr>
        <w:pStyle w:val="Heading4"/>
      </w:pPr>
      <w:bookmarkStart w:id="19" w:name="_Toc256000919"/>
      <w:r>
        <w:rPr>
          <w:noProof/>
        </w:rPr>
        <w:lastRenderedPageBreak/>
        <w:t>INVWINE(58(1)(b)) -  - инвестиции в материални и нематериални активи в селскостопански системи за отглеждане на лозя, с изключение на операциите, отнасящи се до вида интервенция, посочена в буква а), в съоръжения за преработка и в инфраструктура на предприятията за производство на вино, както и в структури и механизми за предлагане на пазара</w:t>
      </w:r>
      <w:bookmarkEnd w:id="19"/>
    </w:p>
    <w:p w:rsidR="0062317E" w:rsidRDefault="0062317E" w:rsidP="0062317E">
      <w:pPr>
        <w:pStyle w:val="Heading5"/>
      </w:pPr>
      <w:bookmarkStart w:id="20" w:name="_Toc256000920"/>
      <w:r>
        <w:rPr>
          <w:noProof/>
        </w:rPr>
        <w:t>I.Д.2 - Инвестиции в лозаро-винарския сектор</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I.Д.2</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Инвестиции в лозаро-винарския сектор</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INVWINE(58(1)(b)) - инвестиции в материални и нематериални активи в селскостопански системи за отглеждане на лозя, с изключение на операциите, отнасящи се до вида интервенция, посочена в буква а), в съоръжения за преработка и в инфраструктура на предприятията за производство на вино, както и в структури и механизми за предлагане на пазара</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O.36. Брой на подпомогнатите дейности или единици във винарския сектор</w:t>
            </w:r>
          </w:p>
        </w:tc>
      </w:tr>
    </w:tbl>
    <w:p w:rsidR="0062317E" w:rsidRDefault="0062317E" w:rsidP="0062317E">
      <w:pPr>
        <w:pStyle w:val="Heading6"/>
        <w:rPr>
          <w:b w:val="0"/>
          <w:color w:val="000000"/>
          <w:sz w:val="24"/>
        </w:rPr>
      </w:pPr>
      <w:bookmarkStart w:id="21" w:name="_Toc256000921"/>
      <w:r>
        <w:rPr>
          <w:b w:val="0"/>
          <w:noProof/>
          <w:color w:val="000000"/>
          <w:sz w:val="24"/>
        </w:rPr>
        <w:t>1 Териториално приложение и ако е уместно, регионално измерение</w:t>
      </w:r>
      <w:bookmarkEnd w:id="21"/>
    </w:p>
    <w:p w:rsidR="0062317E" w:rsidRDefault="0062317E" w:rsidP="0062317E">
      <w:pPr>
        <w:rPr>
          <w:color w:val="000000"/>
          <w:sz w:val="0"/>
        </w:rPr>
      </w:pPr>
      <w:r>
        <w:rPr>
          <w:noProof/>
          <w:color w:val="000000"/>
        </w:rPr>
        <w:t xml:space="preserve">Териториално приложение: </w:t>
      </w:r>
      <w:r>
        <w:rPr>
          <w:b/>
          <w:noProof/>
          <w:color w:val="000000"/>
        </w:rPr>
        <w:t>Национално равнище</w:t>
      </w:r>
    </w:p>
    <w:p w:rsidR="0062317E" w:rsidRDefault="0062317E" w:rsidP="0062317E">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2317E" w:rsidTr="002C77E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317E" w:rsidRDefault="0062317E" w:rsidP="002C77E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317E" w:rsidRDefault="0062317E" w:rsidP="002C77E1">
            <w:pPr>
              <w:rPr>
                <w:color w:val="000000"/>
                <w:sz w:val="20"/>
              </w:rPr>
            </w:pPr>
            <w:r>
              <w:rPr>
                <w:b/>
                <w:noProof/>
                <w:color w:val="000000"/>
                <w:sz w:val="20"/>
              </w:rPr>
              <w:t>Описание</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rPr>
                <w:color w:val="000000"/>
                <w:sz w:val="20"/>
              </w:rPr>
            </w:pPr>
            <w:r>
              <w:rPr>
                <w:noProof/>
                <w:color w:val="000000"/>
                <w:sz w:val="20"/>
              </w:rPr>
              <w:t xml:space="preserve">България </w:t>
            </w:r>
          </w:p>
        </w:tc>
      </w:tr>
    </w:tbl>
    <w:p w:rsidR="0062317E" w:rsidRDefault="0062317E" w:rsidP="0062317E">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color w:val="333333"/>
                <w:shd w:val="clear" w:color="auto" w:fill="FFFFFF"/>
              </w:rPr>
              <w:t>Дейностите по интервенцията се осъществят на територията на Република България.</w:t>
            </w:r>
          </w:p>
        </w:tc>
      </w:tr>
    </w:tbl>
    <w:p w:rsidR="0062317E" w:rsidRDefault="0062317E" w:rsidP="0062317E">
      <w:pPr>
        <w:pStyle w:val="Heading6"/>
        <w:spacing w:before="20" w:after="20"/>
        <w:rPr>
          <w:b w:val="0"/>
          <w:color w:val="000000"/>
          <w:sz w:val="24"/>
        </w:rPr>
      </w:pPr>
      <w:bookmarkStart w:id="22" w:name="_Toc256000922"/>
      <w:r>
        <w:rPr>
          <w:b w:val="0"/>
          <w:noProof/>
          <w:color w:val="000000"/>
          <w:sz w:val="24"/>
        </w:rPr>
        <w:t>2 Свързани специфични цели, междусекторна цел и уместни секторни цели</w:t>
      </w:r>
      <w:bookmarkEnd w:id="22"/>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 xml:space="preserve">СЕКТОРНА ЦЕЛ ПО ОСП Код + Описание </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COMPWINE(57(a)) подобряване на икономическата устойчивост и конкурентоспособността на винопроизводителите в Съюза</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PERFWINE(57(d)) повишаване на ефективността на лозаро-винарските предприятия в Съюза и тяхното приспособяване към търсенето на пазара, както и повишаване на дългосрочната им конкурентоспособност при производството и предлагането на пазара на лозаро-винарските продукти, включително икономия на енергия, глобална енергийна ефективност и устойчивост на процесите</w:t>
            </w:r>
          </w:p>
        </w:tc>
      </w:tr>
    </w:tbl>
    <w:p w:rsidR="0062317E" w:rsidRDefault="0062317E" w:rsidP="0062317E">
      <w:pPr>
        <w:spacing w:before="20" w:after="20"/>
        <w:rPr>
          <w:color w:val="000000"/>
          <w:sz w:val="0"/>
        </w:rPr>
      </w:pPr>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62317E"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62317E" w:rsidRDefault="0062317E" w:rsidP="0062317E">
      <w:pPr>
        <w:spacing w:before="20" w:after="20"/>
        <w:rPr>
          <w:color w:val="000000"/>
          <w:sz w:val="0"/>
        </w:rPr>
      </w:pPr>
    </w:p>
    <w:p w:rsidR="0062317E" w:rsidRDefault="0062317E" w:rsidP="0062317E">
      <w:pPr>
        <w:pStyle w:val="Heading6"/>
        <w:spacing w:before="20" w:after="20"/>
        <w:rPr>
          <w:b w:val="0"/>
          <w:color w:val="000000"/>
          <w:sz w:val="24"/>
        </w:rPr>
      </w:pPr>
      <w:bookmarkStart w:id="23" w:name="_Toc256000923"/>
      <w:r>
        <w:rPr>
          <w:b w:val="0"/>
          <w:noProof/>
          <w:color w:val="000000"/>
          <w:sz w:val="24"/>
        </w:rPr>
        <w:t>3 Потребности, обхванати от интервенцията</w:t>
      </w:r>
      <w:bookmarkEnd w:id="23"/>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Разгледана в стратегически план по ОСП</w:t>
            </w:r>
          </w:p>
        </w:tc>
      </w:tr>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П.2.8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Повишаване на конкурентоспособността на производителите и преработвателите в лозаро-винарския сект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Да</w:t>
            </w:r>
          </w:p>
        </w:tc>
      </w:tr>
    </w:tbl>
    <w:p w:rsidR="0062317E" w:rsidRDefault="0062317E" w:rsidP="0062317E">
      <w:pPr>
        <w:pStyle w:val="Heading6"/>
        <w:spacing w:before="20" w:after="20"/>
        <w:rPr>
          <w:b w:val="0"/>
          <w:color w:val="000000"/>
          <w:sz w:val="24"/>
        </w:rPr>
      </w:pPr>
      <w:bookmarkStart w:id="24" w:name="_Toc256000924"/>
      <w:r>
        <w:rPr>
          <w:b w:val="0"/>
          <w:noProof/>
          <w:color w:val="000000"/>
          <w:sz w:val="24"/>
        </w:rPr>
        <w:t>4 Показател(и) за резултатите</w:t>
      </w:r>
      <w:bookmarkEnd w:id="24"/>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R.39 Брой на селскостопанските предприятия, включително предприятия от сферата на биоикономиката, развити с подпомагане по ОСП</w:t>
            </w:r>
          </w:p>
        </w:tc>
      </w:tr>
      <w:tr w:rsidR="0062317E"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 xml:space="preserve">R.9 Дял на земеделските стопани, получаващи подпомагане за инвестиции с цел преструктуриране и модернизиране, </w:t>
            </w:r>
            <w:r>
              <w:rPr>
                <w:noProof/>
                <w:color w:val="000000"/>
                <w:sz w:val="20"/>
              </w:rPr>
              <w:lastRenderedPageBreak/>
              <w:t>включително подобряване на ресурсната ефективност</w:t>
            </w:r>
          </w:p>
        </w:tc>
      </w:tr>
    </w:tbl>
    <w:p w:rsidR="0062317E" w:rsidRDefault="0062317E" w:rsidP="0062317E">
      <w:pPr>
        <w:pStyle w:val="Heading6"/>
        <w:spacing w:before="20" w:after="20"/>
        <w:rPr>
          <w:b w:val="0"/>
          <w:color w:val="000000"/>
          <w:sz w:val="24"/>
        </w:rPr>
      </w:pPr>
      <w:bookmarkStart w:id="25" w:name="_Toc256000925"/>
      <w:r>
        <w:rPr>
          <w:b w:val="0"/>
          <w:noProof/>
          <w:color w:val="000000"/>
          <w:sz w:val="24"/>
        </w:rPr>
        <w:lastRenderedPageBreak/>
        <w:t>5 Конкретен план, изисквания и условия за допустимост на интервенцията</w:t>
      </w:r>
      <w:bookmarkEnd w:id="25"/>
    </w:p>
    <w:p w:rsidR="0062317E" w:rsidRDefault="0062317E" w:rsidP="0062317E">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Допустими бенефициери:</w:t>
            </w:r>
          </w:p>
          <w:p w:rsidR="0062317E" w:rsidRDefault="0062317E" w:rsidP="0062317E">
            <w:pPr>
              <w:numPr>
                <w:ilvl w:val="0"/>
                <w:numId w:val="2"/>
              </w:numPr>
              <w:spacing w:before="40" w:after="40"/>
              <w:ind w:hanging="210"/>
            </w:pPr>
            <w:r>
              <w:rPr>
                <w:noProof/>
              </w:rPr>
              <w:t>Еднолични търговци и юридически лица, включително признати от министъра на земеделието и храните групи и организации на производители на вино, вписани в лозарския регистър като винопроизводители;</w:t>
            </w:r>
          </w:p>
          <w:p w:rsidR="0062317E" w:rsidRDefault="0062317E" w:rsidP="0062317E">
            <w:pPr>
              <w:numPr>
                <w:ilvl w:val="0"/>
                <w:numId w:val="2"/>
              </w:numPr>
              <w:spacing w:before="40" w:after="40"/>
              <w:ind w:hanging="210"/>
            </w:pPr>
            <w:r>
              <w:rPr>
                <w:noProof/>
              </w:rPr>
              <w:t>Земеделски стопани и признати от министъра на земеделието и храните групи и организации на производители на винено грозде, вписани в лозарския регистър като гроздопроизводители.</w:t>
            </w:r>
          </w:p>
          <w:p w:rsidR="0062317E" w:rsidRDefault="0062317E" w:rsidP="002C77E1">
            <w:pPr>
              <w:spacing w:before="40" w:after="40"/>
              <w:jc w:val="both"/>
            </w:pPr>
            <w:r>
              <w:rPr>
                <w:noProof/>
              </w:rPr>
              <w:t>I. Допустими за подпомагане дейности, насочени към предприятия за производството на вино,са:</w:t>
            </w:r>
          </w:p>
          <w:p w:rsidR="0062317E" w:rsidRDefault="0062317E" w:rsidP="002C77E1">
            <w:pPr>
              <w:spacing w:before="40" w:after="40"/>
              <w:jc w:val="both"/>
            </w:pPr>
            <w:r>
              <w:rPr>
                <w:noProof/>
              </w:rPr>
              <w:t>1. Инфраструктура на предприятието:</w:t>
            </w:r>
          </w:p>
          <w:p w:rsidR="0062317E" w:rsidRDefault="0062317E" w:rsidP="002C77E1">
            <w:pPr>
              <w:spacing w:before="40" w:after="40"/>
              <w:jc w:val="both"/>
            </w:pPr>
            <w:r>
              <w:rPr>
                <w:noProof/>
              </w:rPr>
              <w:t>a. Закупуване или закупуване на лизинг на нови машини и оборудване, включително и на компютърен софтуер по отношение на:</w:t>
            </w:r>
          </w:p>
          <w:p w:rsidR="0062317E" w:rsidRDefault="0062317E" w:rsidP="002C77E1">
            <w:pPr>
              <w:spacing w:before="40" w:after="40"/>
              <w:jc w:val="both"/>
            </w:pPr>
            <w:r>
              <w:rPr>
                <w:noProof/>
              </w:rPr>
              <w:t>-  машини/оборудване за преработката на грозде;</w:t>
            </w:r>
          </w:p>
          <w:p w:rsidR="0062317E" w:rsidRDefault="0062317E" w:rsidP="002C77E1">
            <w:pPr>
              <w:spacing w:before="40" w:after="40"/>
              <w:jc w:val="both"/>
            </w:pPr>
            <w:r>
              <w:rPr>
                <w:noProof/>
              </w:rPr>
              <w:t>-          оборудване за контрол на ферментацията, оборудване за обработка на вино и гроздова мъст;</w:t>
            </w:r>
          </w:p>
          <w:p w:rsidR="0062317E" w:rsidRDefault="0062317E" w:rsidP="002C77E1">
            <w:pPr>
              <w:spacing w:before="40" w:after="40"/>
              <w:jc w:val="both"/>
            </w:pPr>
            <w:r>
              <w:rPr>
                <w:noProof/>
              </w:rPr>
              <w:t>-          оборудване за контрол на температурата;</w:t>
            </w:r>
          </w:p>
          <w:p w:rsidR="0062317E" w:rsidRDefault="0062317E" w:rsidP="002C77E1">
            <w:pPr>
              <w:spacing w:before="40" w:after="40"/>
              <w:jc w:val="both"/>
            </w:pPr>
            <w:r>
              <w:rPr>
                <w:noProof/>
              </w:rPr>
              <w:t>-          оборудване за преместване на виното в избените помещения;</w:t>
            </w:r>
          </w:p>
          <w:p w:rsidR="0062317E" w:rsidRDefault="0062317E" w:rsidP="002C77E1">
            <w:pPr>
              <w:spacing w:before="40" w:after="40"/>
              <w:jc w:val="both"/>
            </w:pPr>
            <w:r>
              <w:rPr>
                <w:noProof/>
              </w:rPr>
              <w:t>-          оборудване за технология, свързана с пенливи вина;</w:t>
            </w:r>
          </w:p>
          <w:p w:rsidR="0062317E" w:rsidRDefault="0062317E" w:rsidP="002C77E1">
            <w:pPr>
              <w:spacing w:before="40" w:after="40"/>
              <w:jc w:val="both"/>
            </w:pPr>
            <w:r>
              <w:rPr>
                <w:noProof/>
              </w:rPr>
              <w:t>-          оборудване за бутилиране, етикетиране, опаковане;</w:t>
            </w:r>
          </w:p>
          <w:p w:rsidR="0062317E" w:rsidRDefault="0062317E" w:rsidP="002C77E1">
            <w:pPr>
              <w:spacing w:before="40" w:after="40"/>
              <w:jc w:val="both"/>
            </w:pPr>
            <w:r>
              <w:rPr>
                <w:noProof/>
              </w:rPr>
              <w:t>-          оборудване за управление на отпадните води;</w:t>
            </w:r>
          </w:p>
          <w:p w:rsidR="0062317E" w:rsidRDefault="0062317E" w:rsidP="002C77E1">
            <w:pPr>
              <w:spacing w:before="40" w:after="40"/>
              <w:jc w:val="both"/>
            </w:pPr>
            <w:r>
              <w:rPr>
                <w:noProof/>
              </w:rPr>
              <w:t>-          оборудване на инфраструктурата на избата:</w:t>
            </w:r>
          </w:p>
          <w:p w:rsidR="0062317E" w:rsidRDefault="0062317E" w:rsidP="002C77E1">
            <w:pPr>
              <w:spacing w:before="40" w:after="40"/>
              <w:jc w:val="both"/>
            </w:pPr>
            <w:r>
              <w:rPr>
                <w:noProof/>
              </w:rPr>
              <w:t>•          тръбни линии, тръбопровод, различни мрежи (кислород, азот, вода, SO2 и др.);</w:t>
            </w:r>
          </w:p>
          <w:p w:rsidR="0062317E" w:rsidRDefault="0062317E" w:rsidP="002C77E1">
            <w:pPr>
              <w:spacing w:before="40" w:after="40"/>
              <w:jc w:val="both"/>
            </w:pPr>
            <w:r>
              <w:rPr>
                <w:noProof/>
              </w:rPr>
              <w:t>•          монтаж и помощни съоръжения;</w:t>
            </w:r>
          </w:p>
          <w:p w:rsidR="0062317E" w:rsidRDefault="0062317E" w:rsidP="002C77E1">
            <w:pPr>
              <w:spacing w:before="40" w:after="40"/>
              <w:jc w:val="both"/>
            </w:pPr>
            <w:r>
              <w:rPr>
                <w:noProof/>
              </w:rPr>
              <w:t>•          автоматични системи;</w:t>
            </w:r>
          </w:p>
          <w:p w:rsidR="0062317E" w:rsidRDefault="0062317E" w:rsidP="002C77E1">
            <w:pPr>
              <w:spacing w:before="40" w:after="40"/>
              <w:jc w:val="both"/>
            </w:pPr>
            <w:r>
              <w:rPr>
                <w:noProof/>
              </w:rPr>
              <w:t>-          оборудване за съхранение, смесване, грижа и стареене на виното:</w:t>
            </w:r>
          </w:p>
          <w:p w:rsidR="0062317E" w:rsidRDefault="0062317E" w:rsidP="002C77E1">
            <w:pPr>
              <w:spacing w:before="40" w:after="40"/>
              <w:jc w:val="both"/>
            </w:pPr>
            <w:r>
              <w:rPr>
                <w:noProof/>
              </w:rPr>
              <w:t>•          бъчви за ферментация, съхранение и стареене на виното, в т.ч. и термо-регулиращи бъчви;</w:t>
            </w:r>
          </w:p>
          <w:p w:rsidR="0062317E" w:rsidRDefault="0062317E" w:rsidP="002C77E1">
            <w:pPr>
              <w:spacing w:before="40" w:after="40"/>
              <w:jc w:val="both"/>
            </w:pPr>
            <w:r>
              <w:rPr>
                <w:noProof/>
              </w:rPr>
              <w:t>•          резервоари от неръждаема стомана за винопроизводство и съхранение на вино – стационарни и подвижни;</w:t>
            </w:r>
          </w:p>
          <w:p w:rsidR="0062317E" w:rsidRDefault="0062317E" w:rsidP="002C77E1">
            <w:pPr>
              <w:spacing w:before="40" w:after="40"/>
              <w:jc w:val="both"/>
            </w:pPr>
            <w:r>
              <w:rPr>
                <w:noProof/>
              </w:rPr>
              <w:t>•          пластмасови резервоари за винопроизводство и съхранение на вино (сертифицирани за хранителни цели);</w:t>
            </w:r>
          </w:p>
          <w:p w:rsidR="0062317E" w:rsidRDefault="0062317E" w:rsidP="002C77E1">
            <w:pPr>
              <w:spacing w:before="40" w:after="40"/>
              <w:jc w:val="both"/>
            </w:pPr>
            <w:r>
              <w:rPr>
                <w:noProof/>
              </w:rPr>
              <w:t>•          възстановяване на стоманобетонни съоръжения за съхранение на лозаро-винарски продукти чрез полагане на вътрешно покритие от типа епоксидна смола или неръждаема стомана;</w:t>
            </w:r>
          </w:p>
          <w:p w:rsidR="0062317E" w:rsidRDefault="0062317E" w:rsidP="002C77E1">
            <w:pPr>
              <w:spacing w:before="40" w:after="40"/>
              <w:jc w:val="both"/>
            </w:pPr>
            <w:r>
              <w:rPr>
                <w:noProof/>
              </w:rPr>
              <w:t>•          оборудване за избено помещение за ферментация, съхранение и стареене на виното – стелажи, контейнери, хумидизатори, микрооксиженация (микрооксиженатори), парогенератори;</w:t>
            </w:r>
          </w:p>
          <w:p w:rsidR="0062317E" w:rsidRDefault="0062317E" w:rsidP="002C77E1">
            <w:pPr>
              <w:spacing w:before="40" w:after="40"/>
              <w:jc w:val="both"/>
            </w:pPr>
            <w:r>
              <w:rPr>
                <w:noProof/>
              </w:rPr>
              <w:t>•          модулна система за позициониране на бъчви;</w:t>
            </w:r>
          </w:p>
          <w:p w:rsidR="0062317E" w:rsidRDefault="0062317E" w:rsidP="002C77E1">
            <w:pPr>
              <w:spacing w:before="40" w:after="40"/>
              <w:jc w:val="both"/>
            </w:pPr>
            <w:r>
              <w:rPr>
                <w:noProof/>
              </w:rPr>
              <w:t>•          автоматизирана стелажна система за съхранение на бутилирани вина.</w:t>
            </w:r>
          </w:p>
          <w:p w:rsidR="0062317E" w:rsidRDefault="0062317E" w:rsidP="002C77E1">
            <w:pPr>
              <w:spacing w:before="40" w:after="40"/>
              <w:jc w:val="both"/>
            </w:pPr>
          </w:p>
          <w:p w:rsidR="0062317E" w:rsidRDefault="0062317E" w:rsidP="002C77E1">
            <w:pPr>
              <w:spacing w:before="40" w:after="40"/>
              <w:jc w:val="both"/>
            </w:pPr>
            <w:r>
              <w:rPr>
                <w:noProof/>
              </w:rPr>
              <w:t>б. Строително-монтажни работи за изграждане, надстрояване, пристрояване и/или реконструкция на сгради, предназначени за:</w:t>
            </w:r>
          </w:p>
          <w:p w:rsidR="0062317E" w:rsidRDefault="0062317E" w:rsidP="002C77E1">
            <w:pPr>
              <w:spacing w:before="40" w:after="40"/>
              <w:jc w:val="both"/>
            </w:pPr>
            <w:r>
              <w:rPr>
                <w:noProof/>
              </w:rPr>
              <w:t>- производство на вино (от обработка на гроздето до бутилиране и етикетиране на виното в изба);</w:t>
            </w:r>
          </w:p>
          <w:p w:rsidR="0062317E" w:rsidRDefault="0062317E" w:rsidP="002C77E1">
            <w:pPr>
              <w:spacing w:before="40" w:after="40"/>
              <w:jc w:val="both"/>
            </w:pPr>
            <w:r>
              <w:rPr>
                <w:noProof/>
              </w:rPr>
              <w:t>- контрол на качеството на виното – анализиращи лаборатории;</w:t>
            </w:r>
          </w:p>
          <w:p w:rsidR="0062317E" w:rsidRDefault="0062317E" w:rsidP="002C77E1">
            <w:pPr>
              <w:spacing w:before="40" w:after="40"/>
              <w:jc w:val="both"/>
            </w:pPr>
            <w:r>
              <w:rPr>
                <w:noProof/>
              </w:rPr>
              <w:t>- съхранение на виното – складове;</w:t>
            </w:r>
          </w:p>
          <w:p w:rsidR="0062317E" w:rsidRDefault="0062317E" w:rsidP="002C77E1">
            <w:pPr>
              <w:spacing w:before="40" w:after="40"/>
              <w:jc w:val="both"/>
            </w:pPr>
            <w:r>
              <w:rPr>
                <w:noProof/>
              </w:rPr>
              <w:t>- подобряване на инфраструктурата в предприятието;</w:t>
            </w:r>
          </w:p>
          <w:p w:rsidR="0062317E" w:rsidRDefault="0062317E" w:rsidP="002C77E1">
            <w:pPr>
              <w:spacing w:before="40" w:after="40"/>
              <w:jc w:val="both"/>
            </w:pPr>
            <w:r>
              <w:rPr>
                <w:noProof/>
              </w:rPr>
              <w:t>2. Маркетингови инструменти (вкл. строително-монтажни дейности):</w:t>
            </w:r>
          </w:p>
          <w:p w:rsidR="0062317E" w:rsidRDefault="0062317E" w:rsidP="002C77E1">
            <w:pPr>
              <w:spacing w:before="40" w:after="40"/>
              <w:jc w:val="both"/>
            </w:pPr>
            <w:r>
              <w:rPr>
                <w:noProof/>
              </w:rPr>
              <w:t>•          винотеки;</w:t>
            </w:r>
          </w:p>
          <w:p w:rsidR="0062317E" w:rsidRDefault="0062317E" w:rsidP="002C77E1">
            <w:pPr>
              <w:spacing w:before="40" w:after="40"/>
              <w:jc w:val="both"/>
            </w:pPr>
            <w:r>
              <w:rPr>
                <w:noProof/>
              </w:rPr>
              <w:t>•          изложбени и дегустационни зали;</w:t>
            </w:r>
          </w:p>
          <w:p w:rsidR="0062317E" w:rsidRDefault="0062317E" w:rsidP="002C77E1">
            <w:pPr>
              <w:spacing w:before="40" w:after="40"/>
              <w:jc w:val="both"/>
            </w:pPr>
            <w:r>
              <w:rPr>
                <w:noProof/>
              </w:rPr>
              <w:t>•          фиксирани места за продажби (на дребно) в стопанството (на територията на предприятието)</w:t>
            </w:r>
          </w:p>
          <w:p w:rsidR="0062317E" w:rsidRDefault="0062317E" w:rsidP="002C77E1">
            <w:pPr>
              <w:spacing w:before="40" w:after="40"/>
              <w:jc w:val="both"/>
            </w:pPr>
          </w:p>
          <w:p w:rsidR="0062317E" w:rsidRDefault="0062317E" w:rsidP="002C77E1">
            <w:pPr>
              <w:spacing w:before="40" w:after="40"/>
              <w:jc w:val="both"/>
            </w:pPr>
            <w:r>
              <w:rPr>
                <w:noProof/>
              </w:rPr>
              <w:t>3.Общи разходи, свързани с разходите, посочени в т. 1 и 2, като хонорари на инженери и консултанти, предпроектни проучвания, придобиване на патентни права и лицензи и строителен надзор.</w:t>
            </w:r>
          </w:p>
          <w:p w:rsidR="0062317E" w:rsidRDefault="0062317E" w:rsidP="002C77E1">
            <w:pPr>
              <w:spacing w:before="40" w:after="40"/>
            </w:pPr>
          </w:p>
          <w:p w:rsidR="0062317E" w:rsidRDefault="0062317E" w:rsidP="002C77E1">
            <w:pPr>
              <w:spacing w:before="40" w:after="40"/>
              <w:jc w:val="both"/>
            </w:pPr>
            <w:r>
              <w:rPr>
                <w:noProof/>
              </w:rPr>
              <w:t>II. Допустими за подпомагане дейности, насочени към инвестиции в активи в селскостопански системи за отглеждане на лозя в стопанствата за производство на винено грозде, са:</w:t>
            </w:r>
          </w:p>
          <w:p w:rsidR="0062317E" w:rsidRDefault="0062317E" w:rsidP="002C77E1">
            <w:pPr>
              <w:spacing w:before="40" w:after="40"/>
            </w:pPr>
            <w:r>
              <w:rPr>
                <w:noProof/>
              </w:rPr>
              <w:t>1. Закупуване на гроздокомбайни, прикачен инвентар за обработка на лозовото насаждение и други машини за наблюдение и обработка, които не са транспортни средства.</w:t>
            </w:r>
          </w:p>
          <w:p w:rsidR="0062317E" w:rsidRDefault="0062317E" w:rsidP="002C77E1">
            <w:pPr>
              <w:spacing w:before="40" w:after="40"/>
            </w:pPr>
            <w:r>
              <w:rPr>
                <w:noProof/>
              </w:rPr>
              <w:t>Дейностите по т. II са допустими за изпълнение само от кандидати, които стопанисват площи с винени лозя и не включват дейности и операции, финансирани по интервенция I.Д.1 „Преструктуриране и конверсия на лозя“.</w:t>
            </w:r>
          </w:p>
          <w:p w:rsidR="0062317E" w:rsidRDefault="0062317E" w:rsidP="002C77E1">
            <w:pPr>
              <w:spacing w:before="40" w:after="40"/>
            </w:pPr>
            <w:r>
              <w:rPr>
                <w:noProof/>
              </w:rPr>
              <w:t>Производителите на грозде, които са получили финансиране по дейностите от т. II са задължени до края на мониторинговия период да отговарят на условията за допустимост по интервенцията, предвидени в приложимото национално законодателство.</w:t>
            </w:r>
          </w:p>
          <w:p w:rsidR="0062317E" w:rsidRDefault="0062317E" w:rsidP="002C77E1">
            <w:pPr>
              <w:spacing w:before="40" w:after="40"/>
            </w:pPr>
            <w:r>
              <w:rPr>
                <w:noProof/>
              </w:rPr>
              <w:t>Допуска се обявяване на целеви приеми за отделни дейности по т. I и/или за дейностите по т. II.</w:t>
            </w:r>
          </w:p>
          <w:p w:rsidR="0062317E" w:rsidRDefault="0062317E" w:rsidP="002C77E1">
            <w:pPr>
              <w:spacing w:before="40" w:after="40"/>
            </w:pPr>
            <w:r>
              <w:rPr>
                <w:noProof/>
              </w:rPr>
              <w:t>Заявлението за предоставяне на финансова помощ се състои от две част. Едната част съдържа информация за дейностите, насочени към предприятията за производството на вино, а другата – за дейностите, насочени към стопанствата за производство на винено грозде.</w:t>
            </w:r>
          </w:p>
          <w:p w:rsidR="0062317E" w:rsidRDefault="0062317E" w:rsidP="002C77E1">
            <w:pPr>
              <w:spacing w:before="40" w:after="40"/>
            </w:pPr>
            <w:r>
              <w:rPr>
                <w:noProof/>
              </w:rPr>
              <w:t>В случай на недостатъчен бюджет, подадените заявления за предоставяне на финансова помощ по дейности, насочени към предприятия за производство на вино, се оценяват по критерии за оценка и се класират в низходящ ред до наличния бюджет.</w:t>
            </w:r>
          </w:p>
          <w:p w:rsidR="0062317E" w:rsidRDefault="0062317E" w:rsidP="002C77E1">
            <w:pPr>
              <w:spacing w:before="40" w:after="40"/>
              <w:jc w:val="both"/>
            </w:pPr>
            <w:r>
              <w:rPr>
                <w:noProof/>
              </w:rPr>
              <w:t>Критерии за приоритет:</w:t>
            </w:r>
          </w:p>
          <w:p w:rsidR="0062317E" w:rsidRDefault="0062317E" w:rsidP="002C77E1">
            <w:pPr>
              <w:spacing w:before="40" w:after="40"/>
              <w:jc w:val="both"/>
            </w:pPr>
            <w:r>
              <w:rPr>
                <w:noProof/>
              </w:rPr>
              <w:t>1.* Проекти на предприятия, преработващи над 30% собствена суровина;</w:t>
            </w:r>
          </w:p>
          <w:p w:rsidR="0062317E" w:rsidRDefault="0062317E" w:rsidP="002C77E1">
            <w:pPr>
              <w:spacing w:before="40" w:after="40"/>
              <w:jc w:val="both"/>
            </w:pPr>
            <w:r>
              <w:rPr>
                <w:noProof/>
              </w:rPr>
              <w:t>2.Проекти на предприятия, насочени към производство на биологично сертифицирано вино;</w:t>
            </w:r>
          </w:p>
          <w:p w:rsidR="0062317E" w:rsidRDefault="0062317E" w:rsidP="002C77E1">
            <w:pPr>
              <w:spacing w:before="40" w:after="40"/>
              <w:jc w:val="both"/>
            </w:pPr>
            <w:r>
              <w:rPr>
                <w:noProof/>
              </w:rPr>
              <w:t>3.Проекти на предприятия, насочени към производство на вино със Защитено наименование на произход (ЗНП);</w:t>
            </w:r>
          </w:p>
          <w:p w:rsidR="0062317E" w:rsidRDefault="0062317E" w:rsidP="002C77E1">
            <w:pPr>
              <w:spacing w:before="40" w:after="40"/>
              <w:jc w:val="both"/>
            </w:pPr>
            <w:r>
              <w:rPr>
                <w:noProof/>
              </w:rPr>
              <w:t>4.Проекти на предприятия, при които над 70% от произвежданите вина са със ЗГУ и/или ЗНП;</w:t>
            </w:r>
          </w:p>
          <w:p w:rsidR="0062317E" w:rsidRDefault="0062317E" w:rsidP="002C77E1">
            <w:pPr>
              <w:spacing w:before="40" w:after="40"/>
              <w:jc w:val="both"/>
            </w:pPr>
            <w:r>
              <w:rPr>
                <w:noProof/>
              </w:rPr>
              <w:t>5.Проекти на новорегистрирани винопроизводители, които имат най-малко двегодишна история в лозарския регистър като гроздопроизводител към момента на кандидатстване</w:t>
            </w:r>
          </w:p>
          <w:p w:rsidR="0062317E" w:rsidRDefault="0062317E" w:rsidP="002C77E1">
            <w:pPr>
              <w:spacing w:before="40" w:after="40"/>
              <w:jc w:val="both"/>
            </w:pPr>
            <w:r>
              <w:rPr>
                <w:noProof/>
              </w:rPr>
              <w:t>6.Проекти на групи/организации на производители</w:t>
            </w:r>
          </w:p>
          <w:p w:rsidR="0062317E" w:rsidRDefault="0062317E" w:rsidP="002C77E1">
            <w:pPr>
              <w:spacing w:before="40" w:after="40"/>
            </w:pPr>
            <w:r>
              <w:rPr>
                <w:noProof/>
              </w:rPr>
              <w:t>*Определянето на праг от 30% по критерии за приоритет 2 произлиза от стремежа да се подпомагат предприятия, които имат собствени масиви с винени лозя, но в същото време процентът собствена преработка е избран така че да не се ограничават възможностите за изкупуване на суровина. В България малка част от винопроизводителите са и гроздопроизводители, което представлява заплаха за устойчивостта на тяхното производство.</w:t>
            </w:r>
          </w:p>
          <w:p w:rsidR="0062317E" w:rsidRDefault="0062317E" w:rsidP="002C77E1">
            <w:pPr>
              <w:spacing w:before="40" w:after="40"/>
            </w:pPr>
            <w:r>
              <w:rPr>
                <w:noProof/>
              </w:rPr>
              <w:t>Към 31 август 2021 година регистрираните винопроизводители са 327, като 138 (42%) от тях са регистрирани и като гроздопроизводители и управляват и лозарски стопанства.</w:t>
            </w:r>
          </w:p>
          <w:p w:rsidR="0062317E" w:rsidRDefault="0062317E" w:rsidP="002C77E1">
            <w:pPr>
              <w:spacing w:before="40" w:after="40"/>
            </w:pPr>
            <w:r>
              <w:rPr>
                <w:noProof/>
              </w:rPr>
              <w:t>Заявления за предоставяне на финансова помощ по дейности, насочени към стопанства за производство на винено грозде се оценяват в случай на недостатъчен бюджет по следните критерии за приоритет:</w:t>
            </w:r>
          </w:p>
          <w:p w:rsidR="0062317E" w:rsidRDefault="0062317E" w:rsidP="002C77E1">
            <w:pPr>
              <w:spacing w:before="40" w:after="40"/>
            </w:pPr>
            <w:r>
              <w:rPr>
                <w:noProof/>
              </w:rPr>
              <w:t>1. Проектът е представен от групи/организации на производители на винено грозде;</w:t>
            </w:r>
          </w:p>
          <w:p w:rsidR="0062317E" w:rsidRDefault="0062317E" w:rsidP="002C77E1">
            <w:pPr>
              <w:spacing w:before="40" w:after="40"/>
            </w:pPr>
            <w:r>
              <w:rPr>
                <w:noProof/>
              </w:rPr>
              <w:t>2. Проектът е за райони и сортове грозде за производство на вина със ЗНП;</w:t>
            </w:r>
          </w:p>
          <w:p w:rsidR="0062317E" w:rsidRDefault="0062317E" w:rsidP="002C77E1">
            <w:pPr>
              <w:spacing w:before="40" w:after="40"/>
            </w:pPr>
            <w:r>
              <w:rPr>
                <w:noProof/>
              </w:rPr>
              <w:t>3. Проектът е за район за производство на вина със ЗГУ;</w:t>
            </w:r>
          </w:p>
          <w:p w:rsidR="0062317E" w:rsidRDefault="0062317E" w:rsidP="002C77E1">
            <w:pPr>
              <w:spacing w:before="40" w:after="40"/>
            </w:pPr>
            <w:r>
              <w:rPr>
                <w:noProof/>
              </w:rPr>
              <w:t>4. Проект за лозарски стопанства с размер от 2 до 30 ха;</w:t>
            </w:r>
          </w:p>
          <w:p w:rsidR="0062317E" w:rsidRDefault="0062317E" w:rsidP="002C77E1">
            <w:pPr>
              <w:spacing w:before="40" w:after="40"/>
              <w:jc w:val="both"/>
            </w:pPr>
            <w:r>
              <w:rPr>
                <w:noProof/>
              </w:rPr>
              <w:t>5. Проект на млад земеделски стопанин – гроздопроизводител</w:t>
            </w:r>
          </w:p>
        </w:tc>
      </w:tr>
    </w:tbl>
    <w:p w:rsidR="0062317E" w:rsidRDefault="0062317E" w:rsidP="0062317E">
      <w:pPr>
        <w:pStyle w:val="Heading6"/>
        <w:spacing w:before="20" w:after="20"/>
        <w:rPr>
          <w:b w:val="0"/>
          <w:color w:val="000000"/>
          <w:sz w:val="24"/>
        </w:rPr>
      </w:pPr>
      <w:bookmarkStart w:id="26" w:name="_Toc256000926"/>
      <w:r>
        <w:rPr>
          <w:b w:val="0"/>
          <w:noProof/>
          <w:color w:val="000000"/>
          <w:sz w:val="24"/>
        </w:rPr>
        <w:lastRenderedPageBreak/>
        <w:t>6 Форма и ставка на подпомагане/суми/методи за изчисляване</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jc w:val="both"/>
            </w:pPr>
            <w:r>
              <w:rPr>
                <w:noProof/>
              </w:rPr>
              <w:t>Подпомагането по дейностите, насочени към предприятия за производство на вино, е в размер на:</w:t>
            </w:r>
          </w:p>
          <w:p w:rsidR="0062317E" w:rsidRDefault="0062317E" w:rsidP="002C77E1">
            <w:pPr>
              <w:spacing w:before="40" w:after="40"/>
              <w:jc w:val="both"/>
            </w:pPr>
            <w:r>
              <w:rPr>
                <w:noProof/>
              </w:rPr>
              <w:t xml:space="preserve">- до 50 на сто от стойността на действителните разходи за осъществяване на допустимите инвестиционни дейности за микро-, малки и средни предприятия по смисъла на Препоръка </w:t>
            </w:r>
            <w:r>
              <w:rPr>
                <w:noProof/>
              </w:rPr>
              <w:lastRenderedPageBreak/>
              <w:t>2003/361/ЕО на Комисията относно дефиницията на микро-, малки и средни предприятия;</w:t>
            </w:r>
          </w:p>
          <w:p w:rsidR="0062317E" w:rsidRDefault="0062317E" w:rsidP="002C77E1">
            <w:pPr>
              <w:spacing w:before="40" w:after="40"/>
              <w:jc w:val="both"/>
            </w:pPr>
            <w:r>
              <w:rPr>
                <w:noProof/>
              </w:rPr>
              <w:t>- до 25 на сто от действително направените разходи за предприятия с по-малко от 750 служители или с оборот, по-малък от 200 милиона евро;</w:t>
            </w:r>
          </w:p>
          <w:p w:rsidR="0062317E" w:rsidRDefault="0062317E" w:rsidP="002C77E1">
            <w:pPr>
              <w:spacing w:before="40" w:after="40"/>
              <w:jc w:val="both"/>
            </w:pPr>
            <w:r>
              <w:rPr>
                <w:noProof/>
              </w:rPr>
              <w:t>- до 15 на сто от действително направените допустими разходи за предприятия с над 750 служители или с оборот над 200 милиона евро.</w:t>
            </w:r>
          </w:p>
          <w:p w:rsidR="0062317E" w:rsidDel="00BE67C0" w:rsidRDefault="0062317E" w:rsidP="002C77E1">
            <w:pPr>
              <w:spacing w:before="40" w:after="40"/>
              <w:jc w:val="both"/>
              <w:rPr>
                <w:del w:id="27" w:author="Kalina Tuteva" w:date="2024-08-16T14:24:00Z"/>
              </w:rPr>
            </w:pPr>
            <w:del w:id="28" w:author="Kalina Tuteva" w:date="2024-08-16T14:24:00Z">
              <w:r w:rsidDel="00BE67C0">
                <w:rPr>
                  <w:noProof/>
                </w:rPr>
                <w:delText>Разходите се възстановяват на база три независими оферти.</w:delText>
              </w:r>
            </w:del>
          </w:p>
          <w:p w:rsidR="0071456F" w:rsidRDefault="00647423" w:rsidP="00647423">
            <w:pPr>
              <w:spacing w:before="40" w:after="40"/>
              <w:jc w:val="both"/>
              <w:rPr>
                <w:ins w:id="29" w:author="Kalina Tuteva" w:date="2024-08-16T14:26:00Z"/>
                <w:noProof/>
              </w:rPr>
            </w:pPr>
            <w:r>
              <w:rPr>
                <w:noProof/>
              </w:rPr>
              <w:t xml:space="preserve">Подпомагането по дейностите, насочени към стопанствата за производство на винено грозде, е в размер на 50 на сто от стойността на действителните разходи за изпълнение на дейността. </w:t>
            </w:r>
          </w:p>
          <w:p w:rsidR="00647423" w:rsidRPr="00BE67C0" w:rsidRDefault="00647423" w:rsidP="00647423">
            <w:pPr>
              <w:spacing w:before="40" w:after="40"/>
              <w:jc w:val="both"/>
              <w:rPr>
                <w:noProof/>
                <w:lang w:val="bg-BG"/>
              </w:rPr>
            </w:pPr>
            <w:r>
              <w:rPr>
                <w:noProof/>
              </w:rPr>
              <w:t xml:space="preserve">Разходите </w:t>
            </w:r>
            <w:ins w:id="30" w:author="Kalina Tuteva" w:date="2024-08-16T14:26:00Z">
              <w:r w:rsidR="0071456F">
                <w:rPr>
                  <w:noProof/>
                  <w:lang w:val="bg-BG"/>
                </w:rPr>
                <w:t xml:space="preserve">по интервенцията </w:t>
              </w:r>
            </w:ins>
            <w:r>
              <w:rPr>
                <w:noProof/>
              </w:rPr>
              <w:t xml:space="preserve">се възстановяват на база </w:t>
            </w:r>
            <w:del w:id="31" w:author="Kalina Tuteva" w:date="2024-08-16T14:16:00Z">
              <w:r w:rsidDel="00BE67C0">
                <w:rPr>
                  <w:noProof/>
                </w:rPr>
                <w:delText xml:space="preserve">пределни цени, определени по методика и извършено пазарно проучване, както и допълнител контрол </w:delText>
              </w:r>
            </w:del>
            <w:del w:id="32" w:author="Kalina Tuteva" w:date="2024-08-16T12:05:00Z">
              <w:r w:rsidDel="00904A59">
                <w:rPr>
                  <w:noProof/>
                </w:rPr>
                <w:delText xml:space="preserve">- </w:delText>
              </w:r>
            </w:del>
            <w:del w:id="33" w:author="Kalina Tuteva" w:date="2024-08-16T11:29:00Z">
              <w:r w:rsidDel="008B2C08">
                <w:rPr>
                  <w:noProof/>
                </w:rPr>
                <w:delText xml:space="preserve">сравняване на три оферти. </w:delText>
              </w:r>
            </w:del>
            <w:ins w:id="34" w:author="Kalina Tuteva" w:date="2024-08-16T14:16:00Z">
              <w:r w:rsidR="00BE67C0">
                <w:rPr>
                  <w:noProof/>
                  <w:lang w:val="bg-BG"/>
                </w:rPr>
                <w:t>разходо-оправдателни документи.</w:t>
              </w:r>
            </w:ins>
          </w:p>
          <w:p w:rsidR="0062317E" w:rsidRDefault="00647423" w:rsidP="00647423">
            <w:pPr>
              <w:spacing w:before="40" w:after="40"/>
            </w:pPr>
            <w:r>
              <w:rPr>
                <w:noProof/>
              </w:rPr>
              <w:t>Финансовата помощ за всички дейности може да се изплаща авансово.</w:t>
            </w:r>
          </w:p>
        </w:tc>
      </w:tr>
    </w:tbl>
    <w:p w:rsidR="0062317E" w:rsidRDefault="0062317E" w:rsidP="0062317E">
      <w:pPr>
        <w:pStyle w:val="Heading6"/>
        <w:spacing w:before="20" w:after="20"/>
        <w:rPr>
          <w:b w:val="0"/>
          <w:color w:val="000000"/>
          <w:sz w:val="24"/>
        </w:rPr>
      </w:pPr>
      <w:bookmarkStart w:id="35" w:name="_Toc256000927"/>
      <w:r>
        <w:rPr>
          <w:b w:val="0"/>
          <w:noProof/>
          <w:color w:val="000000"/>
          <w:sz w:val="24"/>
        </w:rPr>
        <w:lastRenderedPageBreak/>
        <w:t>7 Допълнителна информация за вида на интервенцията</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 xml:space="preserve">Интервенцията допринася за подобряването на общите резултати на винарските предприятията и стопанствата за производство на винено грозде, за адаптирането им към изискванията на пазара, както и повишаване на тяхната конкурентоспособност. </w:t>
            </w:r>
          </w:p>
          <w:p w:rsidR="0062317E" w:rsidRDefault="0062317E" w:rsidP="002C77E1">
            <w:pPr>
              <w:spacing w:before="40" w:after="40"/>
            </w:pPr>
            <w:r>
              <w:rPr>
                <w:noProof/>
              </w:rPr>
              <w:t xml:space="preserve">Предвижда се подпомагането на инвестиции за подобряване на материални и нематериални активи – съоръжения за преработка и/или инфраструктура на предприятията в лозаро-винарския сектор, строително-монтажни работи за подобряване на производствения капацитет на предприятието и неговите структури, както и на средствата за предлагане на пазара. Осъществяваните инвестиции ще допринесат и за повишаване на устойчивостта на процесите във винопроизводството, както и повишаване на глобалната енергийна ефективност. </w:t>
            </w:r>
          </w:p>
          <w:p w:rsidR="0062317E" w:rsidRDefault="0062317E" w:rsidP="002C77E1">
            <w:pPr>
              <w:spacing w:before="40" w:after="40"/>
            </w:pPr>
            <w:r>
              <w:rPr>
                <w:noProof/>
              </w:rPr>
              <w:t xml:space="preserve">Подпомагането, насочено към закупуване на гроздокомбайни, прикачен инвентар за обработка на лозовото насаждение и други машини за наблюдение и обработка, които не са транспортни средства, ще допринесе за ускоряване на процесите на механизация в гроздопроизводството, ще намали разходите за труд и ще повиши общите резултати от дейността на стопанството. </w:t>
            </w:r>
          </w:p>
        </w:tc>
      </w:tr>
    </w:tbl>
    <w:p w:rsidR="0062317E" w:rsidRDefault="0062317E" w:rsidP="0062317E">
      <w:pPr>
        <w:spacing w:before="20" w:after="20"/>
        <w:rPr>
          <w:color w:val="000000"/>
        </w:rPr>
      </w:pPr>
    </w:p>
    <w:p w:rsidR="0062317E" w:rsidRDefault="0062317E" w:rsidP="0062317E">
      <w:pPr>
        <w:pStyle w:val="Heading6"/>
        <w:spacing w:before="20" w:after="20"/>
        <w:rPr>
          <w:b w:val="0"/>
          <w:color w:val="000000"/>
          <w:sz w:val="24"/>
        </w:rPr>
      </w:pPr>
      <w:bookmarkStart w:id="36" w:name="_Toc256000928"/>
      <w:r>
        <w:rPr>
          <w:b w:val="0"/>
          <w:noProof/>
          <w:color w:val="000000"/>
          <w:sz w:val="24"/>
        </w:rPr>
        <w:t>8 Съответствие с правилата на СТО</w:t>
      </w:r>
      <w:bookmarkEnd w:id="36"/>
    </w:p>
    <w:p w:rsidR="0062317E" w:rsidRDefault="0062317E" w:rsidP="0062317E">
      <w:pPr>
        <w:spacing w:before="20" w:after="20"/>
        <w:rPr>
          <w:color w:val="000000"/>
        </w:rPr>
      </w:pPr>
      <w:r>
        <w:rPr>
          <w:noProof/>
          <w:color w:val="000000"/>
        </w:rPr>
        <w:t xml:space="preserve"> Зелена кутия</w:t>
      </w:r>
    </w:p>
    <w:p w:rsidR="0062317E" w:rsidRDefault="0062317E" w:rsidP="0062317E">
      <w:pPr>
        <w:spacing w:before="20" w:after="20"/>
        <w:rPr>
          <w:color w:val="000000"/>
        </w:rPr>
      </w:pPr>
      <w:r>
        <w:rPr>
          <w:noProof/>
          <w:color w:val="000000"/>
        </w:rPr>
        <w:t>Параграф 11 от приложение 2 към Споразумението за СТО</w:t>
      </w:r>
    </w:p>
    <w:p w:rsidR="0062317E" w:rsidRDefault="0062317E" w:rsidP="0062317E">
      <w:pPr>
        <w:spacing w:before="20" w:after="20"/>
        <w:rPr>
          <w:color w:val="000000"/>
        </w:rPr>
      </w:pPr>
      <w:r>
        <w:rPr>
          <w:noProof/>
          <w:color w:val="000000"/>
        </w:rPr>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jc w:val="both"/>
            </w:pPr>
            <w:r>
              <w:rPr>
                <w:b/>
                <w:bCs/>
                <w:noProof/>
              </w:rPr>
              <w:t>Интервенцията „Инвестиции в лозаро-винарския сектор</w:t>
            </w:r>
            <w:r>
              <w:rPr>
                <w:noProof/>
              </w:rPr>
              <w:t>“ представлява форма на вътрешна подкрепа, която съответства на изискванията определени в Приложение 2, параграф 11 на Споразумението за селско стопанство на СТО.</w:t>
            </w:r>
          </w:p>
          <w:p w:rsidR="0062317E" w:rsidRDefault="0062317E" w:rsidP="002C77E1">
            <w:pPr>
              <w:spacing w:before="40" w:after="40"/>
              <w:jc w:val="both"/>
            </w:pPr>
            <w:r>
              <w:rPr>
                <w:noProof/>
              </w:rPr>
              <w:t>Допустимите за подпомагане дейности са базирани на ясно определени критерии и цели, заложени със Стратегическия план по ОСП.</w:t>
            </w:r>
          </w:p>
          <w:p w:rsidR="0062317E" w:rsidRDefault="0062317E" w:rsidP="002C77E1">
            <w:pPr>
              <w:spacing w:before="40" w:after="40"/>
              <w:jc w:val="both"/>
            </w:pPr>
            <w:r>
              <w:rPr>
                <w:noProof/>
              </w:rPr>
              <w:t>Допустимите дейности и разходи допринасят за подобряване на ефективността на винарските предприятия и на стопанствата за производство на винено грозде, за повишаване на тяхната конкурентоспособност в производството и предлагането на пазара на лозаро-винарските продукти във връзка с идентифицираните потребности на сектора.</w:t>
            </w:r>
          </w:p>
          <w:p w:rsidR="0062317E" w:rsidRDefault="0062317E" w:rsidP="002C77E1">
            <w:pPr>
              <w:spacing w:before="40" w:after="40"/>
              <w:jc w:val="both"/>
            </w:pPr>
            <w:r>
              <w:rPr>
                <w:noProof/>
              </w:rPr>
              <w:t>Предвидените по интервенцията плащания не са обвързани с обема на произвежданата продукция, а се основават на направените по интервенцията допустими разходи.</w:t>
            </w:r>
          </w:p>
          <w:p w:rsidR="0062317E" w:rsidRDefault="0062317E" w:rsidP="002C77E1">
            <w:pPr>
              <w:spacing w:before="40" w:after="40"/>
              <w:jc w:val="both"/>
            </w:pPr>
            <w:r>
              <w:rPr>
                <w:noProof/>
              </w:rPr>
              <w:t>Плащанията по интервенцията са изцяло обвързани с допустимия срок за изпълнение на инвестицията и не налагат ограничения, свързани с вида на произвежданите земеделски продукти.</w:t>
            </w:r>
          </w:p>
          <w:p w:rsidR="0062317E" w:rsidRDefault="0062317E" w:rsidP="002C77E1">
            <w:pPr>
              <w:spacing w:before="40" w:after="40"/>
            </w:pPr>
            <w:r>
              <w:rPr>
                <w:noProof/>
              </w:rPr>
              <w:t>Плащанията, предвидени по интервенцията не надвишават предварително определен процент от допустимите разходи.</w:t>
            </w:r>
          </w:p>
        </w:tc>
      </w:tr>
    </w:tbl>
    <w:p w:rsidR="0062317E" w:rsidRDefault="0062317E" w:rsidP="0062317E">
      <w:pPr>
        <w:spacing w:before="20" w:after="20"/>
        <w:rPr>
          <w:color w:val="000000"/>
        </w:rPr>
        <w:sectPr w:rsidR="0062317E">
          <w:pgSz w:w="11906" w:h="16838"/>
          <w:pgMar w:top="720" w:right="720" w:bottom="864" w:left="936" w:header="288" w:footer="72" w:gutter="0"/>
          <w:cols w:space="720"/>
          <w:noEndnote/>
          <w:docGrid w:linePitch="360"/>
        </w:sectPr>
      </w:pPr>
    </w:p>
    <w:p w:rsidR="0062317E" w:rsidRDefault="0062317E" w:rsidP="0062317E">
      <w:pPr>
        <w:pStyle w:val="Heading6"/>
        <w:spacing w:before="20" w:after="20"/>
        <w:rPr>
          <w:b w:val="0"/>
          <w:color w:val="000000"/>
          <w:sz w:val="24"/>
        </w:rPr>
      </w:pPr>
      <w:bookmarkStart w:id="37" w:name="_Toc256000929"/>
      <w:r>
        <w:rPr>
          <w:b w:val="0"/>
          <w:noProof/>
          <w:color w:val="000000"/>
          <w:sz w:val="24"/>
        </w:rPr>
        <w:lastRenderedPageBreak/>
        <w:t>9 Планирани единични суми — определение</w:t>
      </w:r>
      <w:bookmarkEnd w:id="37"/>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6"/>
        <w:gridCol w:w="2456"/>
        <w:gridCol w:w="921"/>
        <w:gridCol w:w="2063"/>
      </w:tblGrid>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Показател(и) за резултатите</w:t>
            </w:r>
          </w:p>
        </w:tc>
      </w:tr>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I.Д.2 - 001 - Единична сума за инвестиции в лозаро-винарския сектор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317E" w:rsidRDefault="0062317E" w:rsidP="002C77E1">
            <w:pPr>
              <w:spacing w:before="20" w:after="20"/>
              <w:rPr>
                <w:color w:val="000000"/>
                <w:sz w:val="20"/>
              </w:rPr>
            </w:pPr>
            <w:r>
              <w:rPr>
                <w:noProof/>
                <w:color w:val="000000"/>
                <w:sz w:val="20"/>
              </w:rPr>
              <w:t>R.39; R.9</w:t>
            </w:r>
          </w:p>
        </w:tc>
      </w:tr>
    </w:tbl>
    <w:p w:rsidR="0062317E" w:rsidRDefault="0062317E" w:rsidP="0062317E">
      <w:pPr>
        <w:spacing w:before="20" w:after="20"/>
        <w:rPr>
          <w:color w:val="000000"/>
        </w:rPr>
      </w:pPr>
      <w:r>
        <w:rPr>
          <w:noProof/>
          <w:color w:val="000000"/>
        </w:rPr>
        <w:t>Описание</w:t>
      </w:r>
    </w:p>
    <w:p w:rsidR="0062317E" w:rsidRDefault="0062317E" w:rsidP="0062317E">
      <w:pPr>
        <w:spacing w:before="20" w:after="20"/>
        <w:rPr>
          <w:color w:val="000000"/>
        </w:rPr>
      </w:pPr>
      <w:r>
        <w:rPr>
          <w:noProof/>
          <w:color w:val="000000"/>
        </w:rPr>
        <w:t>I.Д.2 - 001 - Единична сума за инвестиции в лозаро-винарския сектор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62317E"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317E" w:rsidRDefault="0062317E" w:rsidP="002C77E1">
            <w:pPr>
              <w:spacing w:before="40" w:after="40"/>
            </w:pPr>
            <w:r>
              <w:rPr>
                <w:noProof/>
              </w:rPr>
              <w:t>Предвиденият годишен бюджет е планиран за сключване на 25 договора по интервенцията (за 2024 г. - 20 договора).</w:t>
            </w:r>
          </w:p>
        </w:tc>
      </w:tr>
    </w:tbl>
    <w:p w:rsidR="0062317E" w:rsidRDefault="0062317E" w:rsidP="0062317E">
      <w:pPr>
        <w:pStyle w:val="Heading6"/>
        <w:spacing w:before="20" w:after="20"/>
        <w:rPr>
          <w:b w:val="0"/>
          <w:color w:val="000000"/>
          <w:sz w:val="24"/>
        </w:rPr>
      </w:pPr>
      <w:bookmarkStart w:id="38" w:name="_Toc256000930"/>
      <w:r>
        <w:rPr>
          <w:b w:val="0"/>
          <w:noProof/>
          <w:color w:val="000000"/>
          <w:sz w:val="24"/>
        </w:rPr>
        <w:t>10 Планирани единични суми — финансова таблица с краен продукт</w:t>
      </w:r>
      <w:bookmarkEnd w:id="38"/>
    </w:p>
    <w:p w:rsidR="0062317E" w:rsidRDefault="0062317E" w:rsidP="0062317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972"/>
        <w:gridCol w:w="440"/>
        <w:gridCol w:w="1090"/>
        <w:gridCol w:w="1090"/>
        <w:gridCol w:w="1090"/>
        <w:gridCol w:w="1090"/>
        <w:gridCol w:w="1314"/>
      </w:tblGrid>
      <w:tr w:rsidR="0062317E"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Финансова година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b/>
                <w:color w:val="000000"/>
                <w:sz w:val="20"/>
              </w:rPr>
            </w:pPr>
            <w:r>
              <w:rPr>
                <w:b/>
                <w:noProof/>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317E" w:rsidRDefault="0062317E" w:rsidP="002C77E1">
            <w:pPr>
              <w:spacing w:before="20" w:after="20"/>
              <w:rPr>
                <w:color w:val="000000"/>
                <w:sz w:val="20"/>
              </w:rPr>
            </w:pPr>
            <w:r>
              <w:rPr>
                <w:b/>
                <w:noProof/>
                <w:color w:val="000000"/>
                <w:sz w:val="20"/>
              </w:rPr>
              <w:t>Общо за периода 2023—2027 г.</w:t>
            </w:r>
          </w:p>
        </w:tc>
      </w:tr>
      <w:tr w:rsidR="0062317E" w:rsidTr="002C77E1">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 xml:space="preserve">I.Д.2 - 001 - </w:t>
            </w:r>
          </w:p>
          <w:p w:rsidR="0062317E" w:rsidRDefault="0062317E" w:rsidP="002C77E1">
            <w:pPr>
              <w:spacing w:before="20" w:after="20"/>
              <w:rPr>
                <w:color w:val="000000"/>
                <w:sz w:val="20"/>
              </w:rPr>
            </w:pPr>
            <w:r>
              <w:rPr>
                <w:noProof/>
                <w:color w:val="000000"/>
                <w:sz w:val="20"/>
              </w:rPr>
              <w:t>Единична сума за инвестиции в лозаро-винарския сектор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Планирана единична сума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309 035,94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364 666,45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395 506,33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395 506,33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r>
      <w:tr w:rsidR="0062317E"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O.36 (единица: Бенефициери)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25,00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25,00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25,00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b/>
                <w:color w:val="000000"/>
                <w:sz w:val="20"/>
              </w:rPr>
            </w:pPr>
            <w:r>
              <w:rPr>
                <w:b/>
                <w:noProof/>
                <w:color w:val="000000"/>
                <w:sz w:val="20"/>
              </w:rPr>
              <w:t xml:space="preserve">Сума: </w:t>
            </w:r>
          </w:p>
          <w:p w:rsidR="0062317E" w:rsidRDefault="0062317E" w:rsidP="002C77E1">
            <w:pPr>
              <w:spacing w:before="20" w:after="20"/>
              <w:jc w:val="right"/>
              <w:rPr>
                <w:color w:val="000000"/>
                <w:sz w:val="20"/>
              </w:rPr>
            </w:pPr>
            <w:r>
              <w:rPr>
                <w:noProof/>
                <w:color w:val="000000"/>
                <w:sz w:val="20"/>
              </w:rPr>
              <w:t>95,00</w:t>
            </w:r>
          </w:p>
          <w:p w:rsidR="0062317E" w:rsidRDefault="0062317E" w:rsidP="002C77E1">
            <w:pPr>
              <w:spacing w:before="20" w:after="20"/>
              <w:rPr>
                <w:b/>
                <w:color w:val="000000"/>
                <w:sz w:val="20"/>
              </w:rPr>
            </w:pPr>
            <w:r>
              <w:rPr>
                <w:b/>
                <w:noProof/>
                <w:color w:val="000000"/>
                <w:sz w:val="20"/>
              </w:rPr>
              <w:t xml:space="preserve">Макс.: </w:t>
            </w:r>
          </w:p>
          <w:p w:rsidR="0062317E" w:rsidRDefault="0062317E" w:rsidP="002C77E1">
            <w:pPr>
              <w:spacing w:before="20" w:after="20"/>
              <w:jc w:val="right"/>
              <w:rPr>
                <w:color w:val="000000"/>
                <w:sz w:val="20"/>
              </w:rPr>
            </w:pPr>
            <w:r>
              <w:rPr>
                <w:noProof/>
                <w:color w:val="000000"/>
                <w:sz w:val="20"/>
              </w:rPr>
              <w:t>25,00</w:t>
            </w:r>
          </w:p>
        </w:tc>
      </w:tr>
      <w:tr w:rsidR="0062317E"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6 180 718,73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9 116 661,13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9 887 658,14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9 887 658,14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317E" w:rsidRDefault="0062317E" w:rsidP="002C77E1">
            <w:pPr>
              <w:spacing w:before="20" w:after="20"/>
              <w:jc w:val="right"/>
              <w:rPr>
                <w:color w:val="000000"/>
                <w:sz w:val="20"/>
              </w:rPr>
            </w:pPr>
            <w:r>
              <w:rPr>
                <w:noProof/>
                <w:color w:val="000000"/>
                <w:sz w:val="20"/>
              </w:rPr>
              <w:t>35 072 696,14</w:t>
            </w:r>
          </w:p>
        </w:tc>
      </w:tr>
    </w:tbl>
    <w:p w:rsidR="0019597E" w:rsidRDefault="0019597E"/>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p w:rsidR="00DE4F58" w:rsidRDefault="00DE4F58" w:rsidP="00DE4F58">
      <w:pPr>
        <w:pStyle w:val="Heading4"/>
      </w:pPr>
      <w:bookmarkStart w:id="39" w:name="_Toc256000979"/>
      <w:r>
        <w:rPr>
          <w:noProof/>
        </w:rPr>
        <w:t>INVWINESUST(58(1)(m)) -  - инвестиции в материални и нематериални активи, насочени към повишаване на устойчивостта на винопроизводството</w:t>
      </w:r>
      <w:bookmarkEnd w:id="39"/>
    </w:p>
    <w:p w:rsidR="00DE4F58" w:rsidRDefault="00DE4F58" w:rsidP="00DE4F58">
      <w:pPr>
        <w:pStyle w:val="Heading5"/>
      </w:pPr>
      <w:bookmarkStart w:id="40" w:name="_Toc256000980"/>
      <w:r>
        <w:rPr>
          <w:noProof/>
        </w:rPr>
        <w:t>I.Д.5 - Инвестиции в екологични съоръжения</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I.Д.5</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Инвестиции в екологични съоръжения</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INVWINESUST(58(1)(m)) - инвестиции в материални и нематериални активи, насочени към повишаване на устойчивостта на винопроизводството</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O.36. Брой на подпомогнатите дейности или единици във винарския сектор</w:t>
            </w:r>
          </w:p>
        </w:tc>
      </w:tr>
    </w:tbl>
    <w:p w:rsidR="00DE4F58" w:rsidRDefault="00DE4F58" w:rsidP="00DE4F58">
      <w:pPr>
        <w:pStyle w:val="Heading6"/>
        <w:rPr>
          <w:b w:val="0"/>
          <w:color w:val="000000"/>
          <w:sz w:val="24"/>
        </w:rPr>
      </w:pPr>
      <w:bookmarkStart w:id="41" w:name="_Toc256000981"/>
      <w:r>
        <w:rPr>
          <w:b w:val="0"/>
          <w:noProof/>
          <w:color w:val="000000"/>
          <w:sz w:val="24"/>
        </w:rPr>
        <w:t>1 Териториално приложение и ако е уместно, регионално измерение</w:t>
      </w:r>
      <w:bookmarkEnd w:id="41"/>
    </w:p>
    <w:p w:rsidR="00DE4F58" w:rsidRDefault="00DE4F58" w:rsidP="00DE4F58">
      <w:pPr>
        <w:rPr>
          <w:color w:val="000000"/>
          <w:sz w:val="0"/>
        </w:rPr>
      </w:pPr>
      <w:r>
        <w:rPr>
          <w:noProof/>
          <w:color w:val="000000"/>
        </w:rPr>
        <w:t xml:space="preserve">Териториално приложение: </w:t>
      </w:r>
      <w:r>
        <w:rPr>
          <w:b/>
          <w:noProof/>
          <w:color w:val="000000"/>
        </w:rPr>
        <w:t>Национално равнище</w:t>
      </w:r>
    </w:p>
    <w:p w:rsidR="00DE4F58" w:rsidRDefault="00DE4F58" w:rsidP="00DE4F58">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DE4F58" w:rsidTr="002C77E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E4F58" w:rsidRDefault="00DE4F58" w:rsidP="002C77E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E4F58" w:rsidRDefault="00DE4F58" w:rsidP="002C77E1">
            <w:pPr>
              <w:rPr>
                <w:color w:val="000000"/>
                <w:sz w:val="20"/>
              </w:rPr>
            </w:pPr>
            <w:r>
              <w:rPr>
                <w:b/>
                <w:noProof/>
                <w:color w:val="000000"/>
                <w:sz w:val="20"/>
              </w:rPr>
              <w:t>Описание</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rPr>
                <w:color w:val="000000"/>
                <w:sz w:val="20"/>
              </w:rPr>
            </w:pPr>
            <w:r>
              <w:rPr>
                <w:noProof/>
                <w:color w:val="000000"/>
                <w:sz w:val="20"/>
              </w:rPr>
              <w:t xml:space="preserve">България </w:t>
            </w:r>
          </w:p>
        </w:tc>
      </w:tr>
    </w:tbl>
    <w:p w:rsidR="00DE4F58" w:rsidRDefault="00DE4F58" w:rsidP="00DE4F58">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color w:val="333333"/>
                <w:shd w:val="clear" w:color="auto" w:fill="FFFFFF"/>
              </w:rPr>
              <w:t>Дейностите по интервенцията се осъществят на територията на Република България.</w:t>
            </w:r>
          </w:p>
        </w:tc>
      </w:tr>
    </w:tbl>
    <w:p w:rsidR="00DE4F58" w:rsidRDefault="00DE4F58" w:rsidP="00DE4F58">
      <w:pPr>
        <w:pStyle w:val="Heading6"/>
        <w:spacing w:before="20" w:after="20"/>
        <w:rPr>
          <w:b w:val="0"/>
          <w:color w:val="000000"/>
          <w:sz w:val="24"/>
        </w:rPr>
      </w:pPr>
      <w:bookmarkStart w:id="42" w:name="_Toc256000982"/>
      <w:r>
        <w:rPr>
          <w:b w:val="0"/>
          <w:noProof/>
          <w:color w:val="000000"/>
          <w:sz w:val="24"/>
        </w:rPr>
        <w:t>2 Свързани специфични цели, междусекторна цел и уместни секторни цели</w:t>
      </w:r>
      <w:bookmarkEnd w:id="42"/>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 xml:space="preserve">СЕКТОРНА ЦЕЛ ПО ОСП Код + Описание </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PERFWINE(57(d)) повишаване на ефективността на лозаро-винарските предприятия в Съюза и тяхното приспособяване към търсенето на пазара, както и повишаване на дългосрочната им конкурентоспособност при производството и предлагането на пазара на лозаро-винарските продукти, включително икономия на енергия, глобална енергийна ефективност и устойчивост на процесите</w:t>
            </w:r>
          </w:p>
        </w:tc>
      </w:tr>
    </w:tbl>
    <w:p w:rsidR="00DE4F58" w:rsidRDefault="00DE4F58" w:rsidP="00DE4F58">
      <w:pPr>
        <w:spacing w:before="20" w:after="20"/>
        <w:rPr>
          <w:color w:val="000000"/>
          <w:sz w:val="0"/>
        </w:rPr>
      </w:pPr>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r w:rsidR="00DE4F58" w:rsidTr="002C77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bl>
    <w:p w:rsidR="00DE4F58" w:rsidRDefault="00DE4F58" w:rsidP="00DE4F58">
      <w:pPr>
        <w:spacing w:before="20" w:after="20"/>
        <w:rPr>
          <w:color w:val="000000"/>
          <w:sz w:val="0"/>
        </w:rPr>
      </w:pPr>
    </w:p>
    <w:p w:rsidR="00DE4F58" w:rsidRDefault="00DE4F58" w:rsidP="00DE4F58">
      <w:pPr>
        <w:pStyle w:val="Heading6"/>
        <w:spacing w:before="20" w:after="20"/>
        <w:rPr>
          <w:b w:val="0"/>
          <w:color w:val="000000"/>
          <w:sz w:val="24"/>
        </w:rPr>
      </w:pPr>
      <w:bookmarkStart w:id="43" w:name="_Toc256000983"/>
      <w:r>
        <w:rPr>
          <w:b w:val="0"/>
          <w:noProof/>
          <w:color w:val="000000"/>
          <w:sz w:val="24"/>
        </w:rPr>
        <w:t>3 Потребности, обхванати от интервенцията</w:t>
      </w:r>
      <w:bookmarkEnd w:id="43"/>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2"/>
        <w:gridCol w:w="2362"/>
      </w:tblGrid>
      <w:tr w:rsidR="00DE4F58"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Разгледана в стратегически план по ОСП</w:t>
            </w:r>
          </w:p>
        </w:tc>
      </w:tr>
      <w:tr w:rsidR="00DE4F58"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П.2.8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 xml:space="preserve">Повишаване на конкурентоспособността </w:t>
            </w:r>
            <w:r>
              <w:rPr>
                <w:noProof/>
                <w:color w:val="000000"/>
                <w:sz w:val="20"/>
              </w:rPr>
              <w:lastRenderedPageBreak/>
              <w:t>на производителите и преработвателите в лозаро-винарския сект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lastRenderedPageBreak/>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Да</w:t>
            </w:r>
          </w:p>
        </w:tc>
      </w:tr>
      <w:tr w:rsidR="00DE4F58"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lastRenderedPageBreak/>
              <w:t>П.4.3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 xml:space="preserve">П.4.3.Производство на енергия от възобновяеми източници от селското стопанство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Да</w:t>
            </w:r>
          </w:p>
        </w:tc>
      </w:tr>
    </w:tbl>
    <w:p w:rsidR="00DE4F58" w:rsidRDefault="00DE4F58" w:rsidP="00DE4F58">
      <w:pPr>
        <w:pStyle w:val="Heading6"/>
        <w:spacing w:before="20" w:after="20"/>
        <w:rPr>
          <w:b w:val="0"/>
          <w:color w:val="000000"/>
          <w:sz w:val="24"/>
        </w:rPr>
      </w:pPr>
      <w:bookmarkStart w:id="44" w:name="_Toc256000984"/>
      <w:r>
        <w:rPr>
          <w:b w:val="0"/>
          <w:noProof/>
          <w:color w:val="000000"/>
          <w:sz w:val="24"/>
        </w:rPr>
        <w:t>4 Показател(и) за резултатите</w:t>
      </w:r>
      <w:bookmarkEnd w:id="44"/>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DE4F58"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DE4F58" w:rsidTr="002C77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R.27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p>
        </w:tc>
      </w:tr>
    </w:tbl>
    <w:p w:rsidR="00DE4F58" w:rsidRDefault="00DE4F58" w:rsidP="00DE4F58">
      <w:pPr>
        <w:pStyle w:val="Heading6"/>
        <w:spacing w:before="20" w:after="20"/>
        <w:rPr>
          <w:b w:val="0"/>
          <w:color w:val="000000"/>
          <w:sz w:val="24"/>
        </w:rPr>
      </w:pPr>
      <w:bookmarkStart w:id="45" w:name="_Toc256000985"/>
      <w:r>
        <w:rPr>
          <w:b w:val="0"/>
          <w:noProof/>
          <w:color w:val="000000"/>
          <w:sz w:val="24"/>
        </w:rPr>
        <w:t>5 Конкретен план, изисквания и условия за допустимост на интервенцията</w:t>
      </w:r>
      <w:bookmarkEnd w:id="45"/>
    </w:p>
    <w:p w:rsidR="00DE4F58" w:rsidRDefault="00DE4F58" w:rsidP="00DE4F58">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rPr>
              <w:t>Допустими за подомагане бенефициери са еднолични търговци и юридически лица, включително признати от министъра на земеделието и храните групи и организации на производители, вписани в лозарския регистър като винопроизводители.</w:t>
            </w:r>
          </w:p>
          <w:p w:rsidR="00DE4F58" w:rsidRDefault="00DE4F58" w:rsidP="002C77E1">
            <w:pPr>
              <w:spacing w:before="40" w:after="40"/>
            </w:pPr>
            <w:r>
              <w:rPr>
                <w:noProof/>
              </w:rPr>
              <w:t>Допустими за подпомагане дейности са:</w:t>
            </w:r>
          </w:p>
          <w:p w:rsidR="00DE4F58" w:rsidRDefault="00DE4F58" w:rsidP="002C77E1">
            <w:pPr>
              <w:spacing w:before="40" w:after="40"/>
            </w:pPr>
            <w:r>
              <w:rPr>
                <w:noProof/>
              </w:rPr>
              <w:t>1. Инфраструктура на предприятието:</w:t>
            </w:r>
          </w:p>
          <w:p w:rsidR="00DE4F58" w:rsidRDefault="00DE4F58" w:rsidP="002C77E1">
            <w:pPr>
              <w:spacing w:before="40" w:after="40"/>
            </w:pPr>
            <w:r>
              <w:rPr>
                <w:noProof/>
              </w:rPr>
              <w:t>a. Закупуване или закупуване на лизинг на новo оборудване, включително и на компютърен софтуер</w:t>
            </w:r>
          </w:p>
          <w:p w:rsidR="00DE4F58" w:rsidRDefault="00DE4F58" w:rsidP="002C77E1">
            <w:pPr>
              <w:spacing w:before="40" w:after="40"/>
            </w:pPr>
            <w:r>
              <w:rPr>
                <w:noProof/>
              </w:rPr>
              <w:t>б. Строително-монтажни работи за изграждане, надстрояване, пристрояване и/или реконструкция на сгради, предназначени за пречистване на отпадъчната вода и други отпадни продукти от производствения процес; инсталации за компостиране и преработка на други отпадни продукти; източници на възобновяема енергия</w:t>
            </w:r>
          </w:p>
          <w:p w:rsidR="00DE4F58" w:rsidRDefault="00DE4F58" w:rsidP="002C77E1">
            <w:pPr>
              <w:spacing w:before="40" w:after="40"/>
            </w:pPr>
            <w:r>
              <w:rPr>
                <w:noProof/>
              </w:rPr>
              <w:t>2. Общи разходи, свързани с разходите, като хонорари на инженери и консултанти, предпроектни проучвания, придобиване на патентни права и лицензи и строителен надзор.</w:t>
            </w:r>
          </w:p>
          <w:p w:rsidR="00DE4F58" w:rsidRDefault="00DE4F58" w:rsidP="002C77E1">
            <w:pPr>
              <w:spacing w:before="40" w:after="40"/>
            </w:pPr>
          </w:p>
          <w:p w:rsidR="00DE4F58" w:rsidRDefault="00DE4F58" w:rsidP="002C77E1">
            <w:pPr>
              <w:spacing w:before="40" w:after="40"/>
            </w:pPr>
            <w:r>
              <w:rPr>
                <w:noProof/>
              </w:rPr>
              <w:t>При кандидатстване се представя ex-ante оценка.</w:t>
            </w:r>
          </w:p>
          <w:p w:rsidR="00DE4F58" w:rsidRDefault="00DE4F58" w:rsidP="002C77E1">
            <w:pPr>
              <w:spacing w:before="40" w:after="40"/>
            </w:pPr>
          </w:p>
          <w:p w:rsidR="00DE4F58" w:rsidRDefault="00DE4F58" w:rsidP="002C77E1">
            <w:pPr>
              <w:spacing w:before="40" w:after="40"/>
            </w:pPr>
            <w:r>
              <w:rPr>
                <w:noProof/>
              </w:rPr>
              <w:t>Допустими за подпомагане са:</w:t>
            </w:r>
          </w:p>
          <w:p w:rsidR="00DE4F58" w:rsidRDefault="00DE4F58" w:rsidP="002C77E1">
            <w:pPr>
              <w:spacing w:before="40" w:after="40"/>
            </w:pPr>
            <w:r>
              <w:rPr>
                <w:noProof/>
              </w:rPr>
              <w:t>а) ясно определени дейности и свързаните с тях операции, като са описани инвестиционните намерения и свързаните разходи;</w:t>
            </w:r>
          </w:p>
          <w:p w:rsidR="00DE4F58" w:rsidRDefault="00DE4F58" w:rsidP="002C77E1">
            <w:pPr>
              <w:spacing w:before="40" w:after="40"/>
            </w:pPr>
            <w:r>
              <w:rPr>
                <w:noProof/>
              </w:rPr>
              <w:t>б) разходи, които не превишават обичайните пазарни цени;</w:t>
            </w:r>
          </w:p>
          <w:p w:rsidR="00DE4F58" w:rsidRDefault="00DE4F58" w:rsidP="002C77E1">
            <w:pPr>
              <w:spacing w:before="40" w:after="40"/>
            </w:pPr>
            <w:r>
              <w:rPr>
                <w:noProof/>
              </w:rPr>
              <w:t>в) бенефициери с достатъчен технически и финансов ресурс, за да се гарантира, че операцията се изпълнява ефективно и че кандидатстващото предприятие не е в затруднение;</w:t>
            </w:r>
          </w:p>
          <w:p w:rsidR="00DE4F58" w:rsidRDefault="00DE4F58" w:rsidP="002C77E1">
            <w:pPr>
              <w:spacing w:before="40" w:after="40"/>
            </w:pPr>
            <w:r>
              <w:rPr>
                <w:noProof/>
              </w:rPr>
              <w:t>г) дейности, които съответстват с поставените цели за енергийна ефективност и нисък екологичен отпечатък.</w:t>
            </w:r>
          </w:p>
          <w:p w:rsidR="00DE4F58" w:rsidRDefault="00DE4F58" w:rsidP="002C77E1">
            <w:pPr>
              <w:spacing w:before="40" w:after="40"/>
            </w:pPr>
          </w:p>
          <w:p w:rsidR="00DE4F58" w:rsidRDefault="00DE4F58" w:rsidP="002C77E1">
            <w:pPr>
              <w:spacing w:before="40" w:after="40"/>
            </w:pPr>
            <w:r>
              <w:rPr>
                <w:noProof/>
              </w:rPr>
              <w:t xml:space="preserve">Интервенцията не се прилага в </w:t>
            </w:r>
            <w:r>
              <w:rPr>
                <w:noProof/>
                <w:color w:val="000000"/>
              </w:rPr>
              <w:t>защитена зона BG0002016 „Рибарници Пловдив“.</w:t>
            </w:r>
          </w:p>
        </w:tc>
      </w:tr>
    </w:tbl>
    <w:p w:rsidR="00DE4F58" w:rsidRDefault="00DE4F58" w:rsidP="00DE4F58">
      <w:pPr>
        <w:pStyle w:val="Heading6"/>
        <w:spacing w:before="20" w:after="20"/>
        <w:rPr>
          <w:b w:val="0"/>
          <w:color w:val="000000"/>
          <w:sz w:val="24"/>
        </w:rPr>
      </w:pPr>
      <w:bookmarkStart w:id="46" w:name="_Toc256000986"/>
      <w:r>
        <w:rPr>
          <w:b w:val="0"/>
          <w:noProof/>
          <w:color w:val="000000"/>
          <w:sz w:val="24"/>
        </w:rPr>
        <w:t>6 Форма и ставка на подпомагане/суми/методи за изчисляване</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rPr>
              <w:t>Подпомагането е в размер на:</w:t>
            </w:r>
          </w:p>
          <w:p w:rsidR="00DE4F58" w:rsidRDefault="00DE4F58" w:rsidP="002C77E1">
            <w:pPr>
              <w:spacing w:before="40" w:after="40"/>
            </w:pPr>
            <w:r>
              <w:rPr>
                <w:noProof/>
              </w:rPr>
              <w:t xml:space="preserve">- до 50 на сто от стойността на действителните разходи за осъществяване на допустимите </w:t>
            </w:r>
            <w:r>
              <w:rPr>
                <w:noProof/>
              </w:rPr>
              <w:lastRenderedPageBreak/>
              <w:t>инвестиционни дейности за микро-, малки и средни предприятия по смисъла на Препоръка 2003/361/ЕО на Комисията относно дефиницията на микро-, малки и средни предприятия;</w:t>
            </w:r>
          </w:p>
          <w:p w:rsidR="00DE4F58" w:rsidRDefault="00DE4F58" w:rsidP="002C77E1">
            <w:pPr>
              <w:spacing w:before="40" w:after="40"/>
            </w:pPr>
            <w:r>
              <w:rPr>
                <w:noProof/>
              </w:rPr>
              <w:t>- до 25 на сто от действително направените разходи за предприятия с по-малко от 750 служители или с оборот, по-малък от 200 милиона евро;</w:t>
            </w:r>
          </w:p>
          <w:p w:rsidR="00DE4F58" w:rsidRDefault="00DE4F58" w:rsidP="002C77E1">
            <w:pPr>
              <w:spacing w:before="40" w:after="40"/>
            </w:pPr>
            <w:r>
              <w:rPr>
                <w:noProof/>
              </w:rPr>
              <w:t>- до 15 на сто от действително направените допустими разходи за предприятия с над 750 служители или с оборот над 200 милиона евро.</w:t>
            </w:r>
          </w:p>
          <w:p w:rsidR="00DE4F58" w:rsidRDefault="00DE4F58" w:rsidP="002C77E1">
            <w:pPr>
              <w:spacing w:before="40" w:after="40"/>
            </w:pPr>
          </w:p>
          <w:p w:rsidR="00DE4F58" w:rsidDel="00DE4F58" w:rsidRDefault="00DE4F58" w:rsidP="002C77E1">
            <w:pPr>
              <w:spacing w:before="40" w:after="40"/>
              <w:rPr>
                <w:del w:id="47" w:author="Kalina Tuteva" w:date="2024-08-16T14:36:00Z"/>
              </w:rPr>
            </w:pPr>
            <w:ins w:id="48" w:author="Kalina Tuteva" w:date="2024-08-16T14:36:00Z">
              <w:r w:rsidRPr="00DE4F58">
                <w:rPr>
                  <w:noProof/>
                </w:rPr>
                <w:t>Разходите по интервенцията се възстановяват на база разходо-оправдателни документи.</w:t>
              </w:r>
            </w:ins>
            <w:del w:id="49" w:author="Kalina Tuteva" w:date="2024-08-16T14:36:00Z">
              <w:r w:rsidDel="00DE4F58">
                <w:rPr>
                  <w:noProof/>
                </w:rPr>
                <w:delText>Разходите се възстановяват на база три независими оферти.</w:delText>
              </w:r>
            </w:del>
          </w:p>
          <w:p w:rsidR="00DE4F58" w:rsidRDefault="00DE4F58" w:rsidP="002C77E1">
            <w:pPr>
              <w:spacing w:before="40" w:after="40"/>
            </w:pPr>
          </w:p>
          <w:p w:rsidR="00DE4F58" w:rsidRDefault="00DE4F58" w:rsidP="002C77E1">
            <w:pPr>
              <w:spacing w:before="40" w:after="40"/>
            </w:pPr>
            <w:r>
              <w:rPr>
                <w:noProof/>
              </w:rPr>
              <w:t>Финансовата помощ може да се изплаща авансово.</w:t>
            </w:r>
          </w:p>
        </w:tc>
      </w:tr>
    </w:tbl>
    <w:p w:rsidR="00DE4F58" w:rsidRDefault="00DE4F58" w:rsidP="00DE4F58">
      <w:pPr>
        <w:pStyle w:val="Heading6"/>
        <w:spacing w:before="20" w:after="20"/>
        <w:rPr>
          <w:b w:val="0"/>
          <w:color w:val="000000"/>
          <w:sz w:val="24"/>
        </w:rPr>
      </w:pPr>
      <w:bookmarkStart w:id="50" w:name="_Toc256000987"/>
      <w:r>
        <w:rPr>
          <w:b w:val="0"/>
          <w:noProof/>
          <w:color w:val="000000"/>
          <w:sz w:val="24"/>
        </w:rPr>
        <w:lastRenderedPageBreak/>
        <w:t>7 Допълнителна информация за вида на интервенцията</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rPr>
              <w:t>Предвидената интервенция цели да допринесе за повишаване на устойчивостта на винарските предприятия. В рамките на интервенцията се предвижда подпомагане насочено към намаляване на екологичния отпечатък от дейността на предприятието за производство на вино – източници на възобновяема енергия, пречиствателни станции, инсталации за компостиране и преработка на други отпадни продукти.</w:t>
            </w:r>
          </w:p>
        </w:tc>
      </w:tr>
    </w:tbl>
    <w:p w:rsidR="00DE4F58" w:rsidRDefault="00DE4F58" w:rsidP="00DE4F58">
      <w:pPr>
        <w:spacing w:before="20" w:after="20"/>
        <w:rPr>
          <w:color w:val="000000"/>
        </w:rPr>
      </w:pPr>
    </w:p>
    <w:p w:rsidR="00DE4F58" w:rsidRDefault="00DE4F58" w:rsidP="00DE4F58">
      <w:pPr>
        <w:pStyle w:val="Heading6"/>
        <w:spacing w:before="20" w:after="20"/>
        <w:rPr>
          <w:b w:val="0"/>
          <w:color w:val="000000"/>
          <w:sz w:val="24"/>
        </w:rPr>
      </w:pPr>
      <w:bookmarkStart w:id="51" w:name="_Toc256000988"/>
      <w:r>
        <w:rPr>
          <w:b w:val="0"/>
          <w:noProof/>
          <w:color w:val="000000"/>
          <w:sz w:val="24"/>
        </w:rPr>
        <w:t>8 Съответствие с правилата на СТО</w:t>
      </w:r>
      <w:bookmarkEnd w:id="51"/>
    </w:p>
    <w:p w:rsidR="00DE4F58" w:rsidRDefault="00DE4F58" w:rsidP="00DE4F58">
      <w:pPr>
        <w:spacing w:before="20" w:after="20"/>
        <w:rPr>
          <w:color w:val="000000"/>
        </w:rPr>
      </w:pPr>
      <w:r>
        <w:rPr>
          <w:noProof/>
          <w:color w:val="000000"/>
        </w:rPr>
        <w:t xml:space="preserve"> Зелена кутия</w:t>
      </w:r>
    </w:p>
    <w:p w:rsidR="00DE4F58" w:rsidRDefault="00DE4F58" w:rsidP="00DE4F58">
      <w:pPr>
        <w:spacing w:before="20" w:after="20"/>
        <w:rPr>
          <w:color w:val="000000"/>
        </w:rPr>
      </w:pPr>
      <w:r>
        <w:rPr>
          <w:noProof/>
          <w:color w:val="000000"/>
        </w:rPr>
        <w:t>Параграф 11 от приложение 2 към Споразумението за СТО</w:t>
      </w:r>
    </w:p>
    <w:p w:rsidR="00DE4F58" w:rsidRDefault="00DE4F58" w:rsidP="00DE4F58">
      <w:pPr>
        <w:spacing w:before="20" w:after="20"/>
        <w:rPr>
          <w:color w:val="000000"/>
        </w:rPr>
      </w:pPr>
      <w:r>
        <w:rPr>
          <w:noProof/>
          <w:color w:val="000000"/>
        </w:rPr>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rPr>
              <w:t xml:space="preserve">Интервенцията „Инвестиции в екологични съоръжения“ представлява форма на вътрешна подкрепа, която съответства на изискванията определени в Приложение 2, параграф 11 на Споразумението за селско стопанство на СТО. </w:t>
            </w:r>
          </w:p>
          <w:p w:rsidR="00DE4F58" w:rsidRDefault="00DE4F58" w:rsidP="002C77E1">
            <w:pPr>
              <w:spacing w:before="40" w:after="40"/>
            </w:pPr>
          </w:p>
          <w:p w:rsidR="00DE4F58" w:rsidRDefault="00DE4F58" w:rsidP="002C77E1">
            <w:pPr>
              <w:spacing w:before="40" w:after="40"/>
            </w:pPr>
            <w:r>
              <w:rPr>
                <w:noProof/>
              </w:rPr>
              <w:t>Допустимите за подпомагане дейности са базирани на ясно определени критерии и цели, заложени със Стратегическия план по ОСП. Допустимите дейности и разходи допринасят за постигане на конкретните цели във връзка с идентифицираните потребности на сектора.</w:t>
            </w:r>
          </w:p>
          <w:p w:rsidR="00DE4F58" w:rsidRDefault="00DE4F58" w:rsidP="002C77E1">
            <w:pPr>
              <w:spacing w:before="40" w:after="40"/>
            </w:pPr>
          </w:p>
          <w:p w:rsidR="00DE4F58" w:rsidRDefault="00DE4F58" w:rsidP="002C77E1">
            <w:pPr>
              <w:spacing w:before="40" w:after="40"/>
            </w:pPr>
            <w:r>
              <w:rPr>
                <w:noProof/>
              </w:rPr>
              <w:t xml:space="preserve">Предвидените по интервенцията плащания не са обвързани с обема на произвежданата продукция, а се основават на направените по интервенцията допустими разходи. Плащанията по интервенцията са изцяло обвързани с допустимия срок за изпълнение на инвестицията и не налагат ограничения, свързани с вида на произвежданите земеделски продукти. </w:t>
            </w:r>
          </w:p>
          <w:p w:rsidR="00DE4F58" w:rsidRDefault="00DE4F58" w:rsidP="002C77E1">
            <w:pPr>
              <w:spacing w:before="40" w:after="40"/>
            </w:pPr>
          </w:p>
          <w:p w:rsidR="00DE4F58" w:rsidRDefault="00DE4F58" w:rsidP="002C77E1">
            <w:pPr>
              <w:spacing w:before="40" w:after="40"/>
            </w:pPr>
            <w:r>
              <w:rPr>
                <w:noProof/>
              </w:rPr>
              <w:t>Плащанията, предвидени по интервенцията не надвишават предварително определен процент от допустимите разходи.</w:t>
            </w:r>
          </w:p>
        </w:tc>
      </w:tr>
    </w:tbl>
    <w:p w:rsidR="00DE4F58" w:rsidRDefault="00DE4F58" w:rsidP="00DE4F58">
      <w:pPr>
        <w:pStyle w:val="Heading6"/>
        <w:spacing w:before="20" w:after="20"/>
        <w:rPr>
          <w:b w:val="0"/>
          <w:color w:val="000000"/>
          <w:sz w:val="24"/>
        </w:rPr>
      </w:pPr>
      <w:bookmarkStart w:id="52" w:name="_Toc256000989"/>
      <w:r>
        <w:rPr>
          <w:b w:val="0"/>
          <w:noProof/>
          <w:color w:val="000000"/>
          <w:sz w:val="24"/>
        </w:rPr>
        <w:t>9 Планирани единични суми — определение</w:t>
      </w:r>
      <w:bookmarkEnd w:id="52"/>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5"/>
        <w:gridCol w:w="2445"/>
        <w:gridCol w:w="921"/>
        <w:gridCol w:w="2055"/>
      </w:tblGrid>
      <w:tr w:rsidR="00DE4F58"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Показател(и) за резултатите</w:t>
            </w:r>
          </w:p>
        </w:tc>
      </w:tr>
      <w:tr w:rsidR="00DE4F58"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lastRenderedPageBreak/>
              <w:t xml:space="preserve"> І.Д.5 – 001  - Единична сума за инвестиции в екологични съоръжения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E4F58" w:rsidRDefault="00DE4F58" w:rsidP="002C77E1">
            <w:pPr>
              <w:spacing w:before="20" w:after="20"/>
              <w:rPr>
                <w:color w:val="000000"/>
                <w:sz w:val="20"/>
              </w:rPr>
            </w:pPr>
            <w:r>
              <w:rPr>
                <w:noProof/>
                <w:color w:val="000000"/>
                <w:sz w:val="20"/>
              </w:rPr>
              <w:t>R.27</w:t>
            </w:r>
          </w:p>
        </w:tc>
      </w:tr>
    </w:tbl>
    <w:p w:rsidR="00DE4F58" w:rsidRDefault="00DE4F58" w:rsidP="00DE4F58">
      <w:pPr>
        <w:spacing w:before="20" w:after="20"/>
        <w:rPr>
          <w:color w:val="000000"/>
        </w:rPr>
      </w:pPr>
      <w:r>
        <w:rPr>
          <w:noProof/>
          <w:color w:val="000000"/>
        </w:rPr>
        <w:t>Описание</w:t>
      </w:r>
    </w:p>
    <w:p w:rsidR="00DE4F58" w:rsidRDefault="00DE4F58" w:rsidP="00DE4F58">
      <w:pPr>
        <w:spacing w:before="20" w:after="20"/>
        <w:rPr>
          <w:color w:val="000000"/>
        </w:rPr>
      </w:pPr>
      <w:r>
        <w:rPr>
          <w:noProof/>
          <w:color w:val="000000"/>
        </w:rPr>
        <w:t xml:space="preserve"> І.Д.5 – 001  - Единична сума за инвестиции в екологични съоръжения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DE4F58" w:rsidTr="002C77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E4F58" w:rsidRDefault="00DE4F58" w:rsidP="002C77E1">
            <w:pPr>
              <w:spacing w:before="40" w:after="40"/>
            </w:pPr>
            <w:r>
              <w:rPr>
                <w:noProof/>
              </w:rPr>
              <w:t>Средна единична сума на бенефициер за изпълняване на предвидените по интервенцията дейности.</w:t>
            </w:r>
          </w:p>
        </w:tc>
      </w:tr>
    </w:tbl>
    <w:p w:rsidR="00DE4F58" w:rsidRDefault="00DE4F58" w:rsidP="00DE4F58">
      <w:pPr>
        <w:pStyle w:val="Heading6"/>
        <w:spacing w:before="20" w:after="20"/>
        <w:rPr>
          <w:b w:val="0"/>
          <w:color w:val="000000"/>
          <w:sz w:val="24"/>
        </w:rPr>
      </w:pPr>
      <w:bookmarkStart w:id="53" w:name="_Toc256000990"/>
      <w:r>
        <w:rPr>
          <w:b w:val="0"/>
          <w:noProof/>
          <w:color w:val="000000"/>
          <w:sz w:val="24"/>
        </w:rPr>
        <w:t>10 Планирани единични суми — финансова таблица с краен продукт</w:t>
      </w:r>
      <w:bookmarkEnd w:id="53"/>
    </w:p>
    <w:p w:rsidR="00DE4F58" w:rsidRDefault="00DE4F58" w:rsidP="00DE4F5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2024"/>
        <w:gridCol w:w="440"/>
        <w:gridCol w:w="1090"/>
        <w:gridCol w:w="1090"/>
        <w:gridCol w:w="1090"/>
        <w:gridCol w:w="1090"/>
        <w:gridCol w:w="1235"/>
      </w:tblGrid>
      <w:tr w:rsidR="00DE4F58" w:rsidTr="002C77E1">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Финансова година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b/>
                <w:color w:val="000000"/>
                <w:sz w:val="20"/>
              </w:rPr>
            </w:pPr>
            <w:r>
              <w:rPr>
                <w:b/>
                <w:noProof/>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E4F58" w:rsidRDefault="00DE4F58" w:rsidP="002C77E1">
            <w:pPr>
              <w:spacing w:before="20" w:after="20"/>
              <w:rPr>
                <w:color w:val="000000"/>
                <w:sz w:val="20"/>
              </w:rPr>
            </w:pPr>
            <w:r>
              <w:rPr>
                <w:b/>
                <w:noProof/>
                <w:color w:val="000000"/>
                <w:sz w:val="20"/>
              </w:rPr>
              <w:t>Общо за периода 2023—2027 г.</w:t>
            </w:r>
          </w:p>
        </w:tc>
      </w:tr>
      <w:tr w:rsidR="00DE4F58" w:rsidTr="002C77E1">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r>
              <w:rPr>
                <w:noProof/>
                <w:color w:val="000000"/>
                <w:sz w:val="20"/>
              </w:rPr>
              <w:t xml:space="preserve"> І.Д.5 – 001  - </w:t>
            </w:r>
          </w:p>
          <w:p w:rsidR="00DE4F58" w:rsidRDefault="00DE4F58" w:rsidP="002C77E1">
            <w:pPr>
              <w:spacing w:before="20" w:after="20"/>
              <w:rPr>
                <w:color w:val="000000"/>
                <w:sz w:val="20"/>
              </w:rPr>
            </w:pPr>
            <w:r>
              <w:rPr>
                <w:noProof/>
                <w:color w:val="000000"/>
                <w:sz w:val="20"/>
              </w:rPr>
              <w:t>Единична сума за инвестиции в екологични съоръжения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r>
              <w:rPr>
                <w:noProof/>
                <w:color w:val="000000"/>
                <w:sz w:val="20"/>
              </w:rPr>
              <w:t>Планирана единична сума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413 717,70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413 717,70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413 717,70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413 717,70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p>
        </w:tc>
      </w:tr>
      <w:tr w:rsidR="00DE4F58"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r>
              <w:rPr>
                <w:noProof/>
                <w:color w:val="000000"/>
                <w:sz w:val="20"/>
              </w:rPr>
              <w:t>O.36 (единица: Бенефициери)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b/>
                <w:color w:val="000000"/>
                <w:sz w:val="20"/>
              </w:rPr>
            </w:pPr>
            <w:r>
              <w:rPr>
                <w:b/>
                <w:noProof/>
                <w:color w:val="000000"/>
                <w:sz w:val="20"/>
              </w:rPr>
              <w:t xml:space="preserve">Сума: </w:t>
            </w:r>
          </w:p>
          <w:p w:rsidR="00DE4F58" w:rsidRDefault="00DE4F58" w:rsidP="002C77E1">
            <w:pPr>
              <w:spacing w:before="20" w:after="20"/>
              <w:jc w:val="right"/>
              <w:rPr>
                <w:color w:val="000000"/>
                <w:sz w:val="20"/>
              </w:rPr>
            </w:pPr>
            <w:r>
              <w:rPr>
                <w:noProof/>
                <w:color w:val="000000"/>
                <w:sz w:val="20"/>
              </w:rPr>
              <w:t>20,00</w:t>
            </w:r>
          </w:p>
          <w:p w:rsidR="00DE4F58" w:rsidRDefault="00DE4F58" w:rsidP="002C77E1">
            <w:pPr>
              <w:spacing w:before="20" w:after="20"/>
              <w:rPr>
                <w:b/>
                <w:color w:val="000000"/>
                <w:sz w:val="20"/>
              </w:rPr>
            </w:pPr>
            <w:r>
              <w:rPr>
                <w:b/>
                <w:noProof/>
                <w:color w:val="000000"/>
                <w:sz w:val="20"/>
              </w:rPr>
              <w:t xml:space="preserve">Макс.: </w:t>
            </w:r>
          </w:p>
          <w:p w:rsidR="00DE4F58" w:rsidRDefault="00DE4F58" w:rsidP="002C77E1">
            <w:pPr>
              <w:spacing w:before="20" w:after="20"/>
              <w:jc w:val="right"/>
              <w:rPr>
                <w:color w:val="000000"/>
                <w:sz w:val="20"/>
              </w:rPr>
            </w:pPr>
            <w:r>
              <w:rPr>
                <w:noProof/>
                <w:color w:val="000000"/>
                <w:sz w:val="20"/>
              </w:rPr>
              <w:t>5,00</w:t>
            </w:r>
          </w:p>
        </w:tc>
      </w:tr>
      <w:tr w:rsidR="00DE4F58" w:rsidTr="002C77E1">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2 068 588,50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2 068 588,50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2 068 588,50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2 068 588,50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E4F58" w:rsidRDefault="00DE4F58" w:rsidP="002C77E1">
            <w:pPr>
              <w:spacing w:before="20" w:after="20"/>
              <w:jc w:val="right"/>
              <w:rPr>
                <w:color w:val="000000"/>
                <w:sz w:val="20"/>
              </w:rPr>
            </w:pPr>
            <w:r>
              <w:rPr>
                <w:noProof/>
                <w:color w:val="000000"/>
                <w:sz w:val="20"/>
              </w:rPr>
              <w:t>8 274 354,00</w:t>
            </w:r>
          </w:p>
        </w:tc>
      </w:tr>
    </w:tbl>
    <w:p w:rsidR="00DE4F58" w:rsidRDefault="00DE4F58" w:rsidP="00DE4F58">
      <w:pPr>
        <w:spacing w:before="20" w:after="20"/>
        <w:rPr>
          <w:color w:val="000000"/>
        </w:rPr>
      </w:pPr>
    </w:p>
    <w:p w:rsidR="00927279" w:rsidRDefault="00927279" w:rsidP="00DE4F58">
      <w:pPr>
        <w:spacing w:before="20" w:after="20"/>
        <w:rPr>
          <w:color w:val="000000"/>
        </w:rPr>
      </w:pPr>
    </w:p>
    <w:p w:rsidR="00DE4F58" w:rsidRDefault="00DE4F58"/>
    <w:sectPr w:rsidR="00DE4F5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4"/>
    <w:multiLevelType w:val="multilevel"/>
    <w:tmpl w:val="0000002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25"/>
    <w:multiLevelType w:val="hybridMultilevel"/>
    <w:tmpl w:val="00000025"/>
    <w:lvl w:ilvl="0" w:tplc="6E1A38FE">
      <w:start w:val="1"/>
      <w:numFmt w:val="bullet"/>
      <w:lvlText w:val=""/>
      <w:lvlJc w:val="left"/>
      <w:pPr>
        <w:ind w:left="720" w:hanging="360"/>
      </w:pPr>
      <w:rPr>
        <w:rFonts w:ascii="Symbol" w:hAnsi="Symbol"/>
      </w:rPr>
    </w:lvl>
    <w:lvl w:ilvl="1" w:tplc="B540E38A">
      <w:start w:val="1"/>
      <w:numFmt w:val="bullet"/>
      <w:lvlText w:val="o"/>
      <w:lvlJc w:val="left"/>
      <w:pPr>
        <w:tabs>
          <w:tab w:val="num" w:pos="1440"/>
        </w:tabs>
        <w:ind w:left="1440" w:hanging="360"/>
      </w:pPr>
      <w:rPr>
        <w:rFonts w:ascii="Courier New" w:hAnsi="Courier New"/>
      </w:rPr>
    </w:lvl>
    <w:lvl w:ilvl="2" w:tplc="C358B182">
      <w:start w:val="1"/>
      <w:numFmt w:val="bullet"/>
      <w:lvlText w:val=""/>
      <w:lvlJc w:val="left"/>
      <w:pPr>
        <w:tabs>
          <w:tab w:val="num" w:pos="2160"/>
        </w:tabs>
        <w:ind w:left="2160" w:hanging="360"/>
      </w:pPr>
      <w:rPr>
        <w:rFonts w:ascii="Wingdings" w:hAnsi="Wingdings"/>
      </w:rPr>
    </w:lvl>
    <w:lvl w:ilvl="3" w:tplc="71D2F744">
      <w:start w:val="1"/>
      <w:numFmt w:val="bullet"/>
      <w:lvlText w:val=""/>
      <w:lvlJc w:val="left"/>
      <w:pPr>
        <w:tabs>
          <w:tab w:val="num" w:pos="2880"/>
        </w:tabs>
        <w:ind w:left="2880" w:hanging="360"/>
      </w:pPr>
      <w:rPr>
        <w:rFonts w:ascii="Symbol" w:hAnsi="Symbol"/>
      </w:rPr>
    </w:lvl>
    <w:lvl w:ilvl="4" w:tplc="950A0FB2">
      <w:start w:val="1"/>
      <w:numFmt w:val="bullet"/>
      <w:lvlText w:val="o"/>
      <w:lvlJc w:val="left"/>
      <w:pPr>
        <w:tabs>
          <w:tab w:val="num" w:pos="3600"/>
        </w:tabs>
        <w:ind w:left="3600" w:hanging="360"/>
      </w:pPr>
      <w:rPr>
        <w:rFonts w:ascii="Courier New" w:hAnsi="Courier New"/>
      </w:rPr>
    </w:lvl>
    <w:lvl w:ilvl="5" w:tplc="6AE69B7A">
      <w:start w:val="1"/>
      <w:numFmt w:val="bullet"/>
      <w:lvlText w:val=""/>
      <w:lvlJc w:val="left"/>
      <w:pPr>
        <w:tabs>
          <w:tab w:val="num" w:pos="4320"/>
        </w:tabs>
        <w:ind w:left="4320" w:hanging="360"/>
      </w:pPr>
      <w:rPr>
        <w:rFonts w:ascii="Wingdings" w:hAnsi="Wingdings"/>
      </w:rPr>
    </w:lvl>
    <w:lvl w:ilvl="6" w:tplc="401CE74A">
      <w:start w:val="1"/>
      <w:numFmt w:val="bullet"/>
      <w:lvlText w:val=""/>
      <w:lvlJc w:val="left"/>
      <w:pPr>
        <w:tabs>
          <w:tab w:val="num" w:pos="5040"/>
        </w:tabs>
        <w:ind w:left="5040" w:hanging="360"/>
      </w:pPr>
      <w:rPr>
        <w:rFonts w:ascii="Symbol" w:hAnsi="Symbol"/>
      </w:rPr>
    </w:lvl>
    <w:lvl w:ilvl="7" w:tplc="A7E802BC">
      <w:start w:val="1"/>
      <w:numFmt w:val="bullet"/>
      <w:lvlText w:val="o"/>
      <w:lvlJc w:val="left"/>
      <w:pPr>
        <w:tabs>
          <w:tab w:val="num" w:pos="5760"/>
        </w:tabs>
        <w:ind w:left="5760" w:hanging="360"/>
      </w:pPr>
      <w:rPr>
        <w:rFonts w:ascii="Courier New" w:hAnsi="Courier New"/>
      </w:rPr>
    </w:lvl>
    <w:lvl w:ilvl="8" w:tplc="450642D4">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ina Tuteva">
    <w15:presenceInfo w15:providerId="AD" w15:userId="S-1-5-21-3673932534-3318588094-701912851-5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7E"/>
    <w:rsid w:val="000C0978"/>
    <w:rsid w:val="0012319B"/>
    <w:rsid w:val="0019597E"/>
    <w:rsid w:val="00240799"/>
    <w:rsid w:val="00362215"/>
    <w:rsid w:val="003A3052"/>
    <w:rsid w:val="003E2ED1"/>
    <w:rsid w:val="00546DDD"/>
    <w:rsid w:val="00597F38"/>
    <w:rsid w:val="0062317E"/>
    <w:rsid w:val="00647423"/>
    <w:rsid w:val="006A1347"/>
    <w:rsid w:val="0071456F"/>
    <w:rsid w:val="00784382"/>
    <w:rsid w:val="007E6056"/>
    <w:rsid w:val="00855583"/>
    <w:rsid w:val="008B2C08"/>
    <w:rsid w:val="008F159F"/>
    <w:rsid w:val="00904A59"/>
    <w:rsid w:val="00927279"/>
    <w:rsid w:val="00AD7ED7"/>
    <w:rsid w:val="00B06604"/>
    <w:rsid w:val="00B1779A"/>
    <w:rsid w:val="00BE67C0"/>
    <w:rsid w:val="00CB4B74"/>
    <w:rsid w:val="00DE4F58"/>
    <w:rsid w:val="00F35A17"/>
    <w:rsid w:val="00FD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7E"/>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2317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2317E"/>
    <w:pPr>
      <w:keepNext/>
      <w:spacing w:before="240" w:after="60"/>
      <w:outlineLvl w:val="3"/>
    </w:pPr>
    <w:rPr>
      <w:b/>
      <w:bCs/>
      <w:sz w:val="28"/>
      <w:szCs w:val="28"/>
    </w:rPr>
  </w:style>
  <w:style w:type="paragraph" w:styleId="Heading5">
    <w:name w:val="heading 5"/>
    <w:basedOn w:val="Normal"/>
    <w:next w:val="Normal"/>
    <w:link w:val="Heading5Char"/>
    <w:qFormat/>
    <w:rsid w:val="0062317E"/>
    <w:pPr>
      <w:spacing w:before="240" w:after="60"/>
      <w:outlineLvl w:val="4"/>
    </w:pPr>
    <w:rPr>
      <w:b/>
      <w:bCs/>
      <w:i/>
      <w:iCs/>
      <w:sz w:val="26"/>
      <w:szCs w:val="26"/>
    </w:rPr>
  </w:style>
  <w:style w:type="paragraph" w:styleId="Heading6">
    <w:name w:val="heading 6"/>
    <w:basedOn w:val="Normal"/>
    <w:next w:val="Normal"/>
    <w:link w:val="Heading6Char"/>
    <w:qFormat/>
    <w:rsid w:val="0062317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2317E"/>
    <w:rPr>
      <w:rFonts w:ascii="Arial" w:eastAsia="Times New Roman" w:hAnsi="Arial" w:cs="Arial"/>
      <w:b/>
      <w:bCs/>
      <w:sz w:val="26"/>
      <w:szCs w:val="26"/>
    </w:rPr>
  </w:style>
  <w:style w:type="character" w:customStyle="1" w:styleId="Heading4Char">
    <w:name w:val="Heading 4 Char"/>
    <w:basedOn w:val="DefaultParagraphFont"/>
    <w:link w:val="Heading4"/>
    <w:rsid w:val="0062317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2317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62317E"/>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8B2C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C0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E2ED1"/>
    <w:rPr>
      <w:sz w:val="16"/>
      <w:szCs w:val="16"/>
    </w:rPr>
  </w:style>
  <w:style w:type="paragraph" w:styleId="CommentText">
    <w:name w:val="annotation text"/>
    <w:basedOn w:val="Normal"/>
    <w:link w:val="CommentTextChar"/>
    <w:uiPriority w:val="99"/>
    <w:semiHidden/>
    <w:unhideWhenUsed/>
    <w:rsid w:val="003E2ED1"/>
    <w:rPr>
      <w:sz w:val="20"/>
      <w:szCs w:val="20"/>
    </w:rPr>
  </w:style>
  <w:style w:type="character" w:customStyle="1" w:styleId="CommentTextChar">
    <w:name w:val="Comment Text Char"/>
    <w:basedOn w:val="DefaultParagraphFont"/>
    <w:link w:val="CommentText"/>
    <w:uiPriority w:val="99"/>
    <w:semiHidden/>
    <w:rsid w:val="003E2ED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2ED1"/>
    <w:rPr>
      <w:b/>
      <w:bCs/>
    </w:rPr>
  </w:style>
  <w:style w:type="character" w:customStyle="1" w:styleId="CommentSubjectChar">
    <w:name w:val="Comment Subject Char"/>
    <w:basedOn w:val="CommentTextChar"/>
    <w:link w:val="CommentSubject"/>
    <w:uiPriority w:val="99"/>
    <w:semiHidden/>
    <w:rsid w:val="003E2ED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7E"/>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2317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2317E"/>
    <w:pPr>
      <w:keepNext/>
      <w:spacing w:before="240" w:after="60"/>
      <w:outlineLvl w:val="3"/>
    </w:pPr>
    <w:rPr>
      <w:b/>
      <w:bCs/>
      <w:sz w:val="28"/>
      <w:szCs w:val="28"/>
    </w:rPr>
  </w:style>
  <w:style w:type="paragraph" w:styleId="Heading5">
    <w:name w:val="heading 5"/>
    <w:basedOn w:val="Normal"/>
    <w:next w:val="Normal"/>
    <w:link w:val="Heading5Char"/>
    <w:qFormat/>
    <w:rsid w:val="0062317E"/>
    <w:pPr>
      <w:spacing w:before="240" w:after="60"/>
      <w:outlineLvl w:val="4"/>
    </w:pPr>
    <w:rPr>
      <w:b/>
      <w:bCs/>
      <w:i/>
      <w:iCs/>
      <w:sz w:val="26"/>
      <w:szCs w:val="26"/>
    </w:rPr>
  </w:style>
  <w:style w:type="paragraph" w:styleId="Heading6">
    <w:name w:val="heading 6"/>
    <w:basedOn w:val="Normal"/>
    <w:next w:val="Normal"/>
    <w:link w:val="Heading6Char"/>
    <w:qFormat/>
    <w:rsid w:val="0062317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2317E"/>
    <w:rPr>
      <w:rFonts w:ascii="Arial" w:eastAsia="Times New Roman" w:hAnsi="Arial" w:cs="Arial"/>
      <w:b/>
      <w:bCs/>
      <w:sz w:val="26"/>
      <w:szCs w:val="26"/>
    </w:rPr>
  </w:style>
  <w:style w:type="character" w:customStyle="1" w:styleId="Heading4Char">
    <w:name w:val="Heading 4 Char"/>
    <w:basedOn w:val="DefaultParagraphFont"/>
    <w:link w:val="Heading4"/>
    <w:rsid w:val="0062317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2317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62317E"/>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8B2C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C0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3E2ED1"/>
    <w:rPr>
      <w:sz w:val="16"/>
      <w:szCs w:val="16"/>
    </w:rPr>
  </w:style>
  <w:style w:type="paragraph" w:styleId="CommentText">
    <w:name w:val="annotation text"/>
    <w:basedOn w:val="Normal"/>
    <w:link w:val="CommentTextChar"/>
    <w:uiPriority w:val="99"/>
    <w:semiHidden/>
    <w:unhideWhenUsed/>
    <w:rsid w:val="003E2ED1"/>
    <w:rPr>
      <w:sz w:val="20"/>
      <w:szCs w:val="20"/>
    </w:rPr>
  </w:style>
  <w:style w:type="character" w:customStyle="1" w:styleId="CommentTextChar">
    <w:name w:val="Comment Text Char"/>
    <w:basedOn w:val="DefaultParagraphFont"/>
    <w:link w:val="CommentText"/>
    <w:uiPriority w:val="99"/>
    <w:semiHidden/>
    <w:rsid w:val="003E2ED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2ED1"/>
    <w:rPr>
      <w:b/>
      <w:bCs/>
    </w:rPr>
  </w:style>
  <w:style w:type="character" w:customStyle="1" w:styleId="CommentSubjectChar">
    <w:name w:val="Comment Subject Char"/>
    <w:basedOn w:val="CommentTextChar"/>
    <w:link w:val="CommentSubject"/>
    <w:uiPriority w:val="99"/>
    <w:semiHidden/>
    <w:rsid w:val="003E2ED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4877</Words>
  <Characters>27803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Tuteva</dc:creator>
  <cp:lastModifiedBy>Elena A. Ivanova</cp:lastModifiedBy>
  <cp:revision>2</cp:revision>
  <dcterms:created xsi:type="dcterms:W3CDTF">2024-08-27T09:58:00Z</dcterms:created>
  <dcterms:modified xsi:type="dcterms:W3CDTF">2024-08-27T09:58:00Z</dcterms:modified>
</cp:coreProperties>
</file>