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BCB" w:rsidRDefault="004D5BCB" w:rsidP="004D5BCB">
      <w:pPr>
        <w:pStyle w:val="Heading4"/>
      </w:pPr>
      <w:bookmarkStart w:id="0" w:name="_Toc256001626"/>
      <w:r>
        <w:rPr>
          <w:noProof/>
        </w:rPr>
        <w:t>II.И.2. - Професионално обучение и придобиване на знания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5"/>
        <w:gridCol w:w="5145"/>
      </w:tblGrid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II.И.2.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Професионално обучение и придобиване на знания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KNOW(78) - Обмен на знания и разпространение на информация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O.33. Брой на подпомаганите дейности или единици за обучение, консултации и повишаване на осведомеността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Участие за изискването за обособяване на средства за/на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Приемственост между поколенията: Не</w:t>
            </w:r>
          </w:p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Околна среда: Не</w:t>
            </w:r>
          </w:p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Система за облекчения за екосхеми: </w:t>
            </w:r>
          </w:p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Подход LEADER: Не</w:t>
            </w:r>
          </w:p>
        </w:tc>
      </w:tr>
    </w:tbl>
    <w:p w:rsidR="004D5BCB" w:rsidRDefault="004D5BCB" w:rsidP="004D5BCB">
      <w:pPr>
        <w:pStyle w:val="Heading5"/>
        <w:rPr>
          <w:b w:val="0"/>
          <w:color w:val="000000"/>
          <w:sz w:val="24"/>
        </w:rPr>
      </w:pPr>
      <w:bookmarkStart w:id="1" w:name="_Toc256001627"/>
      <w:r>
        <w:rPr>
          <w:b w:val="0"/>
          <w:noProof/>
          <w:color w:val="000000"/>
          <w:sz w:val="24"/>
        </w:rPr>
        <w:t>1 Териториално приложение и ако е уместно, регионално измерение</w:t>
      </w:r>
      <w:bookmarkEnd w:id="1"/>
    </w:p>
    <w:p w:rsidR="004D5BCB" w:rsidRDefault="004D5BCB" w:rsidP="004D5BCB">
      <w:pPr>
        <w:rPr>
          <w:color w:val="000000"/>
          <w:sz w:val="0"/>
        </w:rPr>
      </w:pPr>
      <w:r>
        <w:rPr>
          <w:noProof/>
          <w:color w:val="000000"/>
        </w:rPr>
        <w:t xml:space="preserve">Териториално приложение: </w:t>
      </w:r>
      <w:r>
        <w:rPr>
          <w:b/>
          <w:noProof/>
          <w:color w:val="000000"/>
        </w:rPr>
        <w:t>Национално равнище</w:t>
      </w:r>
    </w:p>
    <w:p w:rsidR="004D5BCB" w:rsidRDefault="004D5BCB" w:rsidP="004D5BCB">
      <w:pPr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5"/>
        <w:gridCol w:w="5145"/>
      </w:tblGrid>
      <w:tr w:rsidR="004D5BCB" w:rsidTr="00397510">
        <w:trPr>
          <w:trHeight w:val="160"/>
          <w:tblHeader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България 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Дейностите по проектите се осъществят на територията на Република България</w:t>
            </w: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2" w:name="_Toc256001628"/>
      <w:r>
        <w:rPr>
          <w:b w:val="0"/>
          <w:i w:val="0"/>
          <w:noProof/>
          <w:color w:val="000000"/>
          <w:sz w:val="24"/>
        </w:rPr>
        <w:t>2 Свързани специфични цели, междусекторна цел и уместни секторни цели</w:t>
      </w:r>
      <w:bookmarkEnd w:id="2"/>
    </w:p>
    <w:p w:rsidR="004D5BCB" w:rsidRDefault="004D5BCB" w:rsidP="004D5BCB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СПЕЦИФИЧНАТА ЦЕЛ НА ОСП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4D5BCB" w:rsidTr="0039751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XCO Междуведомствена цел за модернизиране на сектора чрез стимулиране и споделяне на знания, иновации и цифровизация в селското стопанство и селските райони и чрез насърчаване на усвояването им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  <w:sz w:val="0"/>
        </w:rPr>
      </w:pPr>
    </w:p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3" w:name="_Toc256001629"/>
      <w:r>
        <w:rPr>
          <w:b w:val="0"/>
          <w:i w:val="0"/>
          <w:noProof/>
          <w:color w:val="000000"/>
          <w:sz w:val="24"/>
        </w:rPr>
        <w:t>3 Потребности, обхванати от интервенцията</w:t>
      </w:r>
      <w:bookmarkEnd w:id="3"/>
    </w:p>
    <w:p w:rsidR="004D5BCB" w:rsidRDefault="004D5BCB" w:rsidP="004D5BCB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2572"/>
        <w:gridCol w:w="2573"/>
        <w:gridCol w:w="2573"/>
      </w:tblGrid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Разгледана в стратегически план по ОСП</w:t>
            </w:r>
          </w:p>
        </w:tc>
      </w:tr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П.10.3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Повишаване на професионалната квалификация на предприемачите и заетите лица в селскостопанския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Висок приоритет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4" w:name="_Toc256001630"/>
      <w:r>
        <w:rPr>
          <w:b w:val="0"/>
          <w:i w:val="0"/>
          <w:noProof/>
          <w:color w:val="000000"/>
          <w:sz w:val="24"/>
        </w:rPr>
        <w:t>4 Показател(и) за резултатите</w:t>
      </w:r>
      <w:bookmarkEnd w:id="4"/>
    </w:p>
    <w:p w:rsidR="004D5BCB" w:rsidRDefault="004D5BCB" w:rsidP="004D5BCB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ПОКАЗАТЕЛИТЕ ЗА РЕЗУЛТАТИТЕ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R.1 Брой лица, които се възползват от консултации, обучение, обмен на знания или участват в оперативни групи на Европейското партньорство за иновации (ЕПИ), подпомагани от ОСП, с цел подобряване на устойчивите показатели в областта на икономиката, социалните дейности, околната среда, климата и ефективното използване на ресурсите</w:t>
            </w:r>
          </w:p>
        </w:tc>
      </w:tr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R.2 Брой на съветниците, които получават подпомагане за интегриране в системите за знания и иновации в селското стопанство (AKIS)</w:t>
            </w:r>
          </w:p>
        </w:tc>
      </w:tr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R.28 Брой на лицата, ползващи се от консултации, обучения и обмен на знания или участващи в оперативни групи по европейското партньорство за иновации (ЕПИ), подпомагани от ОСП, свързани с показателите в областта на околната среда и климата</w:t>
            </w:r>
          </w:p>
        </w:tc>
      </w:tr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R.3 Брой на стопанствата, ползващи се от подпомагане с цел използване на технологии за цифрово земеделие по линия на ОСП</w:t>
            </w: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5" w:name="_Toc256001631"/>
      <w:r>
        <w:rPr>
          <w:b w:val="0"/>
          <w:i w:val="0"/>
          <w:noProof/>
          <w:color w:val="000000"/>
          <w:sz w:val="24"/>
        </w:rPr>
        <w:t>5 Конкретен план, изисквания и условия за допустимост на интервенцията</w:t>
      </w:r>
      <w:bookmarkEnd w:id="5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Опишете какви са специфичните цели и съдържанието на интервенцията, включително специфично насочване, принципи за избор, връзки към съответното законодателство, взаимно допълване с други интервенции/набори от операции в двата стълба и друга релевантна информация.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В страната се наблюдава продължаване на тенденцията преобладаваща част от собствениците и управителите на земеделските стопанства да нямат подходящо специализирано образование или обучение и да разчитат предимно на своя практически опит.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По данни на Агростатистика за 2016 година, 91% от управителите на земеделски стопанства в страната разполагат единствено с практически опит в осъществяваната стопанска дейност, 5% притежават средно професионално образование, 3% от управителите са придобили основно земеделско обучение и едва 2% от управителите на земеделски стопанства притежават висше образование в областта на селското стопанство или ветеринарната медицина.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Тази тенденция се запазва, въпреки целенасочената подкрепа и постигнатите резултати по повишаване квалификацията на земеделските стопани чрез финансиране на различни обучителни форми по линия на ЕЗФРСР.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От своя страна, липсата на подходящо образование при земеделските стопани, в комбинация с недостатъчен финансов ресурс, ограничава възможностите за внедряване на иновации и нови технологии в земеделските стопанства. Близо половината от земеделските стопани не са запознати със същността на цифровото земеделие, а само 14% използват съвременни цифрови технологии.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Иновационната стратегия за интелигентна специализация за периода 2021-2027 г. поставя акцент върху необходимостта от подобряване на човешкия ресурс, чрез инвестиции в обучения и ключови компетенции в приоритетните тематични области за интелигентна специализация и технологиите на Индустрия 4.0, в т.ч. подобряване на дигиталните умения и работа с цифрови технологии.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В ИСИС 2021-2027 г. се посочва, че по отношение на навлизането на цифровите технологии в икономиката и обществото (Digital Economy and Society Index - DESI), резултатът на нашата страна по критерия „Човешки капитал“ е значително под средния за ЕС. Тук оценката за нивото на уменията в областта на цифровите технологии е сред най-ниските в ЕС. Делът на хората с поне основни умения в областта на цифровите технологии възлиза на около 29% от българското население, докато средно за ЕС този дял е 57%.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От друга страна се наблюдава недостатъчна осведоменост и познания на земеделските стопани относно целите за опазване на околна среда и климата, въвеждане на екологосъобразни селскостопански практики, биоразнообразие и др.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Като цяло, въпреки предлаганите разнообразни форми на образование и обучение и значителния размер на изразходваните обществени средства, степента на участие в селските райони през годините след присъединяване към ЕС остава слабо и постоянно намалява (ЕВРОСТАТ).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Необходимо е да се стимулират организациите, предоставящи различни методи за трансфер на знания да предлагат форми и методи на обучение и повишаване на квалификация, които се доближават в максимална степен до потребностите на заетите в селскостопанския сектор. Налице е необходимост от насочване на интервенциите към обучителни дейности на селскостопански теми, включително такива, свързани с опазване компонентите на околната среда и към такива, които осигуряват получаване на познания в областта на иновациите, цифровите технологии и оптимизиране на дейностите чрез съвременни методи на производство.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От друга страна е необходимо да се насърчава участието на земеделските стопани, техните организации и Национална служба за съвети в земеделието в Системата за знания и иновации в селското стопанство (AKIS), което да разшири възможностите за споделяне, обмен и разпространение на знания и опит, включително в контекста на националната мрежа по Общата селскостопанска политика. По този начин ще се осигури и съдействие на администрацията при изпълнението на политиките, насочени към повишаване на конкурентните предимства на селскостопанския отрасъл, в зависимост от специфичните очаквания на различните видове производства и структура (обем на стопанствата, възрастова структура, специфични регионални характеристики и др.) на стопанствата.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Обученията, свързани с качеството на изпълнение на практиките за опазване на околната среда и климата, биоразнообразието, включително обучението за прилагане на добрите земеделски практики, съвети, обменът на информация и знания са от съществено значение за осигуряване на ефективно изпълнение на земеделските практики от полза за климата и околната среда. AKIS, в която се включват научни работници, съветници, експерти, фермери и други заинтересовани лица в областта на селското стопанство, ще помогне за справяне с някои от проблемите между засилената амбиция за опазване на околната среда и жизнеспособните земеделски доходи, например по-ниска възвръщаемост в кратък до средносрочен план в резултат на екологични изисквания. Тук от изключителна важност е необходимостта от реализиране на демонстрационни дейности, които да онагледяват добри практики и иновативни подходи, свързани с оптимизиране на селскостопанските производствени процеси, които да бъдат представяни както от представители на научната общност, така също и от практици в лицето на земеделски стопани, които са внедрили в практиката съответните подходи.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Съществува недостатъчна осведоменост за нарастващите заплахи за околната среда, произтичащи от загубата на биологично разнообразие и последващото от това намаляване на климатичната устойчивост на екосистемите и обществените системи, разчитащи на екосистемни услуги. Информацията относно измененията на климата и екосистемите като единна комплексна система не се разпространява лесно. Недостатъчни са знанията на земеделските стопани за ползите от прилагане на практики, които допринасят за опазване на околната среда и климата. Необходимо е продължаване прилагането на дейностите за обучения за ограничаване навлизането на инвазивни видове, особено насекоми и гъби в горските екосистеми, както и обучение сред обществеността по всички действия за опазване на биологичното разнообразие.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Необходимо е и продължаването на мерките за консултации и обучение в екологосъобразните практики – консервационно, интегрирано и биологично земеделие, за да се адресират целите на Зелената сделка, както и целите по Националния план за действие по изменение на климата (НПДИК).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Наложително е да се продължи прилагането на дейности за обучения за агроекологични дейности, устойчиви земеделски и лесовъдски практики, както и да се включат обучения по отношение на определяне на методите за предотвратяване и намаляване на негативните последици от изменение на климата, адаптация към климатичните промени и свързаните с ресурсната ефективност аспекти, и практики, щадящи околната среда.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Налице е необходимост от повишаване на знанията по отношение на възможностите за използване на растителни остатъци и заплахите (както и резултатите) от паленето на стърнищата върху околната среда и почвите, от повишаване на информираността за съхранението и прилагането на оборски тор, нисковъглеродни практики за преработка на оборски тор (компостиране, преработка в биогаз в анаеробни условия и т.н.), с което се отговаря на целите на кръговата икономика.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Различните потребности, свързани с повишаване знанията и уменията на предприемачите и заетите лица в селскостопанския отрасъл чрез адаптиране на формите за трансфер на знания към специфичните секторни особености, очертани в отделните специфични цели, са: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·Обучения и повишаване на знанията във връзка с приноса за смекчаване на последиците от изменението на климата и за адаптация към него, както и за устойчивата енергия /СЦ 4/;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·Обучения и повишаване на знанията за устойчиво управление на природните ресурси (води, почви, въздух) и добри практики в земеделието по отношение на природните ресурси /СЦ 5/;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Обучения, свързани с качеството на изпълнение с оглед опазване на околната среда и климата и биологичното разнообразие /СЦ 6/.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Интервенцията ще осигури възможност одобрени съветници, по интервенция "Консултантски услуги и повишаване на консултантския капацитет" да предоставят трансфер на знания чрез провеждане на демонстрационни дейности и информационни семинари. Във връзка с чл. 15 (3) от Регламент (ЕС) 2021/2115, координационният орган на AKIS самостоятелно или с помощта на други организации ще има ангажимента да организира периодични онлайн или присъствени обучения, включително и под формата на демонстрационни дейности за одобрените съветници/минимум 18 уч.ч. в годината/, на които експерти в съответната област ще представят актуална технологична и научна информация, вкл. добри практики и иновативни решения в областта на земеделието и селското стопанство, нормативни изисквания и промени в европейското и националното законодателство, актуална информация, свързана с опазване компонентите на околната среда, въпроси, свързани със социално-икономическото развитие и др. като по този начин ще се гарантира, че съветниците са преминали подходящо обучение, за да предоставят обучения и демонстрации, съответстващи на актуалните въпроси и новости в сектора.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Подборът на проектни предложения ще се извършва въз основа на оценка на качеството на предложените обучения, информационни събития или демонстрации и оценка на експертизата на обучаващите, извършена в съответствие с чл. 79 от Регламент (ЕС) 2021/2115.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За да се избегне припокриване/двойно финансиране при прилагането на дейностите, включени в интервенцията с други инструменти за финансиране ще бъдат предвидени подходящи контролни механизми при разработването на националното законодателство, в т.ч. във връзка с дейностите, предвидени в инвестиция № 2 (С6.I.2) — „Цифровизация на процесите от фермата до трапезата на българския план за възстановяване и устойчивост“ от Плана за възстановяване и устойчивост, където е предвиден модул за онлайн обучение, вкл. съдържание на обучителните модули и консултации на земеделски стопани, едновременно с поддържането на информация, свързана със съвременни технологични и екологични решения за отглеждане на основни групи земеделски култури и селскостопански животни по конвенционален и биологичен начин в съответствие с изискванията за устойчиво използване на природните ресурси и адаптиране към климатичните промени.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Определете бенефициерите, отговарящи на критериите, както и специфичните критерии за допустимост, когато е приложимо за бенефициерите и площта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I. Подпомагани дейности.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1. Подкрепата се предоставя за обучение и придобиване на умения в областта на земеделието и горите за лица, ангажирани в сектора на селското и горското стопанство. Подпомагането обхваща дейности за професионално обучение и придобиване на умения, които включват провеждане на: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а) Курсове за придобиване на квалификация по професия или по част от професия, съгласно изискванията на Закона за професионалното образование и обучение (ЗПОО);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Курсове за повишаване на квалификацията, съгласно изискванията на Закон за висшето образование;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в) Специализирани курсове за придобиване на правоспособност за работа със земеделска и горска техника;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г) Информационни семинари за повишаване на знанията по конкретни теми, насочени към постигане на специфичните цели и идентифицираните потребности в Стратегическия план;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д) Демонстрационни дейности.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II. Допустими кандидати.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1. Допустими бенефициенти за провеждане на обучения за придобиване на квалификация по професия или по част от професия от Списъка на професиите за професионално образование и обучение, утвърден от министъра на образованието и науката, могат да бъдат: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а) Институции в системата на професионалното образование и обучение, посочени в чл. 18 на Закон за професионалното образование и обучение (ЗПОО), които отгoварят на изискването на чл. 22, ал. 2 от ЗПОО и имат право да провеждат обучение по професии от професионални направления: „Растениевъдство и животновъдство“, „Горско стопанство“, „Ветеринарна медицина“ и/или „Хранителни технологии“;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браншови организации за производство и преработка на селскостопански продукти.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2. Допустими бенефициенти за провеждане на курсове за повишаване на квалификацията могат да бъдат: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а) Висши училища и научни организации, които имат акредитирано минимум едно от следните професионални направления: 6.1.Растениевъдство, 6.2. Растителна защита, 6.3. Животновъдство, 6.4. Ветеринарна медицина, 6.5. Горско стопанство, 5.12 Хранителни технологии, 4.4 Науки за земята, 3.8 Икономика (специалности в направление Аграрна икономика и агробизнес), съгласно Класификатор на областите на висше образование и професионалните направления, утвърден с ПМС №125 от 24.06.2002 г.;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браншови организации за производство и преработка на селскостопански продукти.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3. Допустими бенефициенти за провеждане на специализирани курсове за придобиване на правоспособност за работа със земеделска и горска техника могат да бъдат: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а) Организации, които имат валидно удостоверение за регистрация, издадено от министъра на земеделието при условията и по реда на Наредба № 12 от 22 април 2009 г. за условията и реда за придобиване и отнемане на правоспособност за работа със земеделска и горска техника (Наредба № 12 от 2009 г.) или Наредба № 1 от 15 февруари 2019 г. за условията и реда за обучение на кандидатите за придобиване на правоспособност за работа със земеделска и горска техника и условията и реда за издаване на удостоверение за регистрация на учебни форми за тяхното обучение (Наредба № 1 от 2019 г.);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браншови организации за производство и преработка на селскостопански продукти.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4. Допустими бенефициенти за провеждане на семинари могат да бъдат: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а) институции в системата на професионалното образование и обучение, съгласно ЗПОО, които имат право да провеждат обучение по професии от професионални направления: „Растениевъдство и животновъдство“, „Горско стопанство“, „Ветеринарна медицина“ и/или „Хранителни технологии“;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висши училища, акредитирани по Закона за висшето образование, които имат акредитирани специалности от професионални направления: 6.1.Растениевъдство, 6.2. Растителна защита, 6.3. Животновъдство, 6.4. Ветеринарна медицина, 6.5. Горско стопанство, 5.12 Хранителни технологии, 4.4 Науки за земята, 5.13 Общо инженерство, 4.6 Информатика и компютърни науки, 3.8 Икономика (специалности в направление Аграрна икономика и агробизнес), съгласно Класификатор на областите на висше образование и професионалните направления, утвърден с ПМС №125 от 24.06.2002 г.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в) научни институти и опитни станции,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технологии, които са организации по Закона за Селскостопанската академия, Закона за Българската академия на науките или Закона за горите;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г) съветници, одобрени за подпомагане по интервенция "Консултантски услуги и повишаване на консултантския капацитет";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д) браншови организации за производство и преработка на селскостопански продукти.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5. Бенефициенти, предоставящи трансфер на знания чрез демонстрационни дейности могат да бъдат: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а) Висши училища и научни организации, които имат акредитирано минимум едно от следните професионални направления: 6.1.Растениевъдство, 6.2. Растителна защита, 6.3. Животновъдство, 6.4. Ветеринарна медицина, 6.5. Горско стопанство, 5.13 Общо инженерство, 4.6 Информатика и компютърни науки, 5.12 Хранителни технологии, 4.4 Науки за земята, съгласно Класификатор на областите на висше образование и професионалните направления, утвърден с ПМС №125 от 24.06.2002 г.;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професионални гимназии по Закона за професионалното образование и обучение, които имат право да провеждат обучение по професии от професионални направления: „Растениевъдство и животновъдство“, „Горско стопанство“, „Ветеринарна медицина“ и/или „Хранителни технологии;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в) научни институти или опитни станции, които са организации по Закона за Селскостопанската академия, Закона за Българската академия на науките или Закона за горите и които извършват научни изследвания и научно обслужване в някоя от следните области: селско стопанство, горско стопанство, биотехнологиите, хранителни технологии;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г) Национална служба за съвети в земеделието и съветници, одобрени за подпомагане по интервенция „Консултантски услуги и повишаване на консултантския капацитет“;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д) Регистрирани земеделски стопани по реда на Наредба № 3 от 29 януари 1999 г. за създаване и поддържане на регистър на земеделските стопани;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е) юридически лица с нестопанска цел, регистрирани с предмет на дейност в областта на селското или горското стопанство, опазването на околната среда или водите и/или цифровите/дигиталните технологии в т.ч. браншови организации за производство и преработка на селскостопански продукти.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Допустимо е да се реализират проекти чрез партньорство между отделните категории допустими кандидати, при което водещия партньор е бенефициент на БФП по проекта.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III. Условия за допустимост на дейностите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 xml:space="preserve">1. Управляващият орган </w:t>
            </w:r>
            <w:r w:rsidRPr="00960920">
              <w:rPr>
                <w:noProof/>
                <w:color w:val="FF0000"/>
              </w:rPr>
              <w:t xml:space="preserve">ще </w:t>
            </w:r>
            <w:r w:rsidR="00960920" w:rsidRPr="00960920">
              <w:rPr>
                <w:noProof/>
                <w:color w:val="FF0000"/>
                <w:lang w:val="bg-BG"/>
              </w:rPr>
              <w:t>проведе процедура за подбор на проектни предложения</w:t>
            </w:r>
            <w:r w:rsidR="002F5E3C">
              <w:rPr>
                <w:noProof/>
                <w:color w:val="FF0000"/>
                <w:lang w:val="bg-BG"/>
              </w:rPr>
              <w:t>,</w:t>
            </w:r>
            <w:r w:rsidR="00960920" w:rsidRPr="00960920">
              <w:rPr>
                <w:noProof/>
                <w:color w:val="FF0000"/>
              </w:rPr>
              <w:t xml:space="preserve"> </w:t>
            </w:r>
            <w:r w:rsidR="00960920">
              <w:rPr>
                <w:noProof/>
                <w:lang w:val="bg-BG"/>
              </w:rPr>
              <w:t>за избор на</w:t>
            </w:r>
            <w:r>
              <w:rPr>
                <w:noProof/>
              </w:rPr>
              <w:t xml:space="preserve"> </w:t>
            </w:r>
            <w:r w:rsidR="002F5E3C" w:rsidRPr="002F5E3C">
              <w:rPr>
                <w:noProof/>
                <w:color w:val="000000" w:themeColor="text1"/>
                <w:lang w:val="bg-BG"/>
              </w:rPr>
              <w:t>организации</w:t>
            </w:r>
            <w:r>
              <w:rPr>
                <w:noProof/>
              </w:rPr>
              <w:t xml:space="preserve">, които ще бъдат включени в списък на одобрените </w:t>
            </w:r>
            <w:r w:rsidRPr="002F5E3C">
              <w:rPr>
                <w:strike/>
                <w:noProof/>
              </w:rPr>
              <w:t>доставчици</w:t>
            </w:r>
            <w:r w:rsidR="002F5E3C">
              <w:rPr>
                <w:strike/>
                <w:noProof/>
                <w:lang w:val="bg-BG"/>
              </w:rPr>
              <w:t xml:space="preserve"> </w:t>
            </w:r>
            <w:r w:rsidR="002F5E3C" w:rsidRPr="002F5E3C">
              <w:rPr>
                <w:noProof/>
                <w:color w:val="FF0000"/>
                <w:lang w:val="bg-BG"/>
              </w:rPr>
              <w:t>бенефициенти</w:t>
            </w:r>
            <w:r>
              <w:rPr>
                <w:noProof/>
              </w:rPr>
              <w:t>, като за всяка организация ще бъдат посочени обученията и темите на семинарите</w:t>
            </w:r>
            <w:r w:rsidR="002F5E3C">
              <w:rPr>
                <w:noProof/>
                <w:lang w:val="bg-BG"/>
              </w:rPr>
              <w:t xml:space="preserve"> и демонстрациите</w:t>
            </w:r>
            <w:r>
              <w:rPr>
                <w:noProof/>
              </w:rPr>
              <w:t xml:space="preserve">, </w:t>
            </w:r>
            <w:r w:rsidRPr="002F5E3C">
              <w:rPr>
                <w:noProof/>
                <w:color w:val="FF0000"/>
              </w:rPr>
              <w:t xml:space="preserve">които </w:t>
            </w:r>
            <w:r w:rsidR="002F5E3C" w:rsidRPr="002F5E3C">
              <w:rPr>
                <w:noProof/>
                <w:color w:val="FF0000"/>
                <w:lang w:val="bg-BG"/>
              </w:rPr>
              <w:t xml:space="preserve">са одобрени за финансиране </w:t>
            </w:r>
            <w:r w:rsidRPr="00960920">
              <w:rPr>
                <w:strike/>
                <w:noProof/>
              </w:rPr>
              <w:t>имат право да</w:t>
            </w:r>
            <w:r>
              <w:rPr>
                <w:noProof/>
              </w:rPr>
              <w:t xml:space="preserve"> </w:t>
            </w:r>
            <w:r w:rsidRPr="002F5E3C">
              <w:rPr>
                <w:strike/>
                <w:noProof/>
              </w:rPr>
              <w:t>провеждат</w:t>
            </w:r>
            <w:r>
              <w:rPr>
                <w:noProof/>
              </w:rPr>
              <w:t>. Допустима целева група за включване в обучения, информационни семинари и демонстрационни дейности са регистрирани земеделски стопани и заетите лица в техните стопанства, както и собственици и ползватели на гори и заетите в техните стопанства.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2. Общинските/областните служби „Земеделие“ ще извършват предварителна проверка за допустимост на лицата от целевата група, заявили желание да бъдат включени в обучение/семинар/демонстрационна дейност при избран от тях одобрен доставчик на услугата.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3. Обученията за придобиване на професионална квалификация ще се провеждат съгласно Закона за професионалното образование и обучение (ЗПОО).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4. Обученията за повишаване на квалификацията ще се провеждат съгласно Закон за висшето образование.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5. Всеки курс за професионална квалификация и за повишаване на квалификацията, допустим за подпомагане в рамките на интервенцията, задължително включва часове за придобиване на цифрови/дигитални умения, които трябва да са не по-малко от 5% от общия брой часове на курса (в случай, че е приложимо).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6. Информационните семинари са тематични срещи, на които ще се разглеждат и обсъждат конкретни приоритетни теми, конкретизирани в обхвата на специфичните цели на Стратегическия план. В зависимост от съдържанието на програмата и предвидените теми, продължителността на семинарите може да бъде 8 учебни часа или 18 учебни часа.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7. Допустимо е обученията и семинарите да се провеждат в дневна, вечерна, дистанционна/онлайн/ или комбинирана форма, в зависимост от вида и продължителността им.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8. Бенефициенти, предоставящи трансфер на знания чрез демонстрационни дейности, трябва да разполагат със собствени или да имат достъп до демонстрационни обекти от типа на учебно-опитни полета, изследователски опитни полета, учебни или изследователски лаборатории или да имат достъп до земеделски стопанства, в които да се предоставят демонстрации в реални практически условия. Демонстрационен обект може да бъде опитно поле или учебно-опитно поле, или лаборатория на научен институт, висше училище или професионална гимназия. Опитното поле може да бъде разположено и в рамките на земеделско стопанство, собственост на земеделски стопанин, регистриран по реда на наредба № 3 от 1999 г. за създаване и поддържане на регистър на земеделски стопани, като тази форма на предоставяне на демонстрации в реални практически условия следва да бъде поощрявана. Опитното поле може да бъде осигурено от член на областно, регионално и национално представителни браншови организации за производство и преработка на селскостопански продукти или чрез участие на партньор по проекта.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9. На един демонстрационен обект може да се организират и провеждат различен вид и брой демонстрационни дейности. За всяка дейност се посочват кратка учебна програма (с тема, цели, съдържание, методи на демонстриране) и описание на демонстрационния обект (с конкретно посочване на обектите или практиките, които ще се демонстрират).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10. Демонстрационните дейности са практически занятия по определена тема с цел придобиване на информация и запознаване в реални практически условия с: представяне на технологии и специализирана техника за извършване на различни земеделски дейности или комбинация от дейности, технология на отглеждане на култура или група култури, прибиране на реколтата, напояване, производство и използване на екологични торове или подобрители на почвата; използване на препарати или заместители на препарати за растителна защита; техники, методи и оборудване за определяне на качеството на продукцията; нови сортове (хибриди) растения или подобрена порода животни; иновативни практики, техники и технологии или съоръжения, управление на отпадъци, обект на селското стопанство като източник или като ползвате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Задайте отговарящите на критериите вид подпомагане (извън обхвата на ИСАК) или ангажименти (ИСАК) и други задължения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Подпомагането се предоставя под формата на единна ставка за единица продукт (стандартни опростени разходи), като покриват до 100 % от размера на подпомаганите разходи.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Изчисленията на стандартните разходи са извършени от външно независимо от Министерство на земеделието и храните лице, притежаващо необходимите знания и компетенции. Изчисленията са адекватни и точни, както и са направени въз основа на метод за коректно, справедливо и доказуемо изчисление.</w:t>
            </w:r>
          </w:p>
          <w:p w:rsidR="004D5BCB" w:rsidRDefault="004D5BCB" w:rsidP="00397510">
            <w:pPr>
              <w:spacing w:before="40" w:after="40"/>
              <w:jc w:val="both"/>
            </w:pP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Определени максимални стойности по дейности:</w:t>
            </w:r>
          </w:p>
          <w:tbl>
            <w:tblPr>
              <w:tblStyle w:val="quill-better-table"/>
              <w:tblW w:w="17730" w:type="dxa"/>
              <w:tblCellSpacing w:w="0" w:type="dxa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992"/>
              <w:gridCol w:w="6037"/>
              <w:gridCol w:w="7384"/>
              <w:gridCol w:w="1614"/>
              <w:gridCol w:w="1703"/>
            </w:tblGrid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№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Описание</w:t>
                  </w:r>
                </w:p>
              </w:tc>
              <w:tc>
                <w:tcPr>
                  <w:tcW w:w="748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Вид обучение и включени разходи</w:t>
                  </w:r>
                </w:p>
              </w:tc>
              <w:tc>
                <w:tcPr>
                  <w:tcW w:w="3315" w:type="dxa"/>
                  <w:gridSpan w:val="2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Общ размер на разходите за 1 обучаем / участник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384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в лв.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в евро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 xml:space="preserve">Демонстрация с продължителност от 1 ден 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демонстрация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106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демонстрация без разходи за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демонстрация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Информационен семинар с продължителност 8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108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Информационен семинар с продължителност 18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посещение на база/и за практическо обучение и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449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230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посещение на база/и за практическо обучение и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441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225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посещение на база/и за практическо обучение и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269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138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посещение на база/и за практическо обучение и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260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133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посещение на база/и за практическо обучение и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144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посещение на база/и за практическо обучение и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136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70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посещение на база/и за практическо обучение и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166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посещение на база/и за практическо обучение и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158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посещение на база/и за практическо обучение и без разходи за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124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посещение на база/и за практическо обучение и без разходи за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116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53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квалификация по част от професия от 50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1 192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609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642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328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346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177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231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118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609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311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425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217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297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152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189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173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spacing w:after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правоспособност за работа със земеделска и горска техника за следната категория:</w:t>
                  </w:r>
                </w:p>
                <w:p w:rsidR="004D5BCB" w:rsidRDefault="004D5BCB" w:rsidP="00397510">
                  <w:pPr>
                    <w:pStyle w:val="qlbt-cell-line"/>
                    <w:spacing w:before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Тпс (моторни триони и храсторези) - 54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1 304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667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732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374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423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216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324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166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spacing w:after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правоспособност за работа със земеделска и горска техника за следните категории:</w:t>
                  </w:r>
                </w:p>
                <w:p w:rsidR="004D5BCB" w:rsidRDefault="004D5BCB" w:rsidP="00397510">
                  <w:pPr>
                    <w:pStyle w:val="qlbt-cell-line"/>
                    <w:spacing w:before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Твк-М – 75 уч. часа и Твк-Г – 75 уч.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1 867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955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1 009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516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568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290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465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238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spacing w:after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правоспособност за работа със земеделска и горска техника за следната категория:</w:t>
                  </w:r>
                </w:p>
                <w:p w:rsidR="004D5BCB" w:rsidRDefault="004D5BCB" w:rsidP="00397510">
                  <w:pPr>
                    <w:pStyle w:val="qlbt-cell-line"/>
                    <w:spacing w:before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 Тпс (вертикални и/или хоризонтални банцизи) – 87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2 047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1 047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1 094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559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610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312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494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253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spacing w:after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правоспособност за работа със земеделска и горска техника за следните категории:</w:t>
                  </w:r>
                </w:p>
                <w:p w:rsidR="004D5BCB" w:rsidRDefault="004D5BCB" w:rsidP="00397510">
                  <w:pPr>
                    <w:pStyle w:val="qlbt-cell-line"/>
                    <w:spacing w:before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Твк – 100 уч. часа, Твк-3 – 100 уч. часа иТпс (въжени линии) - 100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2 396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1 225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1 260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644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692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354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569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291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обучение от 150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3 671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1 877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1 986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1 015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1 165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596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865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442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1 763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901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1 198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613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892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456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664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339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569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291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10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квалификация по част от професия от 300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7 819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3 998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4 315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2 206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2 652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1 356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1 969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1 007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3 710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1 897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2 566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1 312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1 990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1 017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1 491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762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1 279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654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11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с продължителност от 300 учебни часа за придобиване на професионална квалификация по професии в областта на селското и горското стопанство и хранително вкусовата промишленост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7 819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3 998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4 315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2 206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2 652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1 356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1 969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1 007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3 710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1 897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2 566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1 312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1 990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1 017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1 491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762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1 279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654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12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с продължителност от 660 учебни часа за придобиване на професионална квалификация по професии в областта на селското и горското стопанство и хранително вкусовата промишленост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17 999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9 203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10 110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5 169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6 415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3 280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5 044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2 579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8 894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4 547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6 277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3 209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5 012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2 563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3 801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1 943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3 240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1 657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13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с продължителност от 960 учебни часа за придобиване на професионална квалификация по професии в областта на селското и горското стопанство и хранително вкусовата промишленост 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28 638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14 642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16 916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8 649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11 440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5 849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9 084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4 645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14 648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7 489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10 772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5 508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8 913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4 557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6 832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3 493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5 824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2 978</w:t>
                  </w:r>
                </w:p>
              </w:tc>
            </w:tr>
          </w:tbl>
          <w:p w:rsidR="004D5BCB" w:rsidRDefault="004D5BCB" w:rsidP="00397510">
            <w:pPr>
              <w:spacing w:before="40" w:after="40"/>
              <w:jc w:val="both"/>
            </w:pP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6" w:name="_Toc256001632"/>
      <w:r>
        <w:rPr>
          <w:b w:val="0"/>
          <w:i w:val="0"/>
          <w:noProof/>
          <w:color w:val="000000"/>
          <w:sz w:val="24"/>
        </w:rPr>
        <w:t>6 Определяне на уместни базови характеристики</w:t>
      </w:r>
      <w:bookmarkEnd w:id="6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(приложими стандарти за ДЗЕС, законоустановени изисквания за управление (ЗИУ) и други задължителни изисквания, установени в националното право и правото на Съюза), когато е приложимо, описание на специфичните уместни задължения съгласно ЗИУ и обяснение как ангажиментът надхвърля задължителните изисквания (както е посочено в член 28, параграф 5, член 70, параграф 3 и член 72, параграф 5)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Неприложимо</w:t>
      </w:r>
    </w:p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7" w:name="_Toc256001633"/>
      <w:r>
        <w:rPr>
          <w:b w:val="0"/>
          <w:i w:val="0"/>
          <w:noProof/>
          <w:color w:val="000000"/>
          <w:sz w:val="24"/>
        </w:rPr>
        <w:t>7 Форма и ставка на подпомагане/суми/методи за изчисляване</w:t>
      </w:r>
      <w:bookmarkEnd w:id="7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Форма на подкрепа</w:t>
      </w:r>
    </w:p>
    <w:p w:rsidR="004D5BCB" w:rsidRDefault="004D5BCB" w:rsidP="004D5BCB">
      <w:pPr>
        <w:spacing w:before="20" w:after="20"/>
        <w:rPr>
          <w:b/>
          <w:color w:val="000000"/>
        </w:rPr>
      </w:pPr>
      <w:r>
        <w:rPr>
          <w:rFonts w:ascii="Wingdings" w:eastAsia="Wingdings" w:hAnsi="Wingdings" w:cs="Wingdings"/>
          <w:b/>
          <w:noProof/>
          <w:color w:val="000000"/>
        </w:rPr>
        <w:t></w:t>
      </w:r>
      <w:r>
        <w:rPr>
          <w:b/>
          <w:noProof/>
          <w:color w:val="000000"/>
        </w:rPr>
        <w:t xml:space="preserve"> Безвъзмездни средства</w:t>
      </w:r>
    </w:p>
    <w:p w:rsidR="004D5BCB" w:rsidRDefault="004D5BCB" w:rsidP="004D5BCB">
      <w:pPr>
        <w:spacing w:before="20" w:after="20"/>
        <w:rPr>
          <w:b/>
          <w:color w:val="000000"/>
        </w:rPr>
      </w:pPr>
      <w:r>
        <w:rPr>
          <w:rFonts w:ascii="Wingdings" w:eastAsia="Wingdings" w:hAnsi="Wingdings" w:cs="Wingdings"/>
          <w:b/>
          <w:noProof/>
          <w:color w:val="000000"/>
        </w:rPr>
        <w:t></w:t>
      </w:r>
      <w:r>
        <w:rPr>
          <w:b/>
          <w:noProof/>
          <w:color w:val="000000"/>
        </w:rPr>
        <w:t xml:space="preserve"> Финансов инструмент</w:t>
      </w:r>
    </w:p>
    <w:p w:rsidR="004D5BCB" w:rsidRDefault="004D5BCB" w:rsidP="004D5BCB">
      <w:pPr>
        <w:spacing w:before="20" w:after="20"/>
        <w:rPr>
          <w:color w:val="000000"/>
          <w:sz w:val="12"/>
        </w:rPr>
      </w:pP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Вид на плащането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възстановяване на действително направени от бенефициера допустими разходи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</w:t>
      </w:r>
      <w:r>
        <w:rPr>
          <w:noProof/>
          <w:color w:val="000000"/>
        </w:rPr>
        <w:t xml:space="preserve"> единични разходи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еднократни суми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финансиране с единна ставка</w:t>
      </w:r>
    </w:p>
    <w:p w:rsidR="004D5BCB" w:rsidRDefault="004D5BCB" w:rsidP="004D5BCB">
      <w:pPr>
        <w:spacing w:before="20" w:after="20"/>
        <w:rPr>
          <w:color w:val="000000"/>
          <w:sz w:val="12"/>
        </w:rPr>
      </w:pP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Основа за определянето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  <w:color w:val="333333"/>
                <w:shd w:val="clear" w:color="auto" w:fill="FAFAFA"/>
              </w:rPr>
              <w:t>Подпомагането се предоставя под формата на единна ставка за единица продукт (стандартни опростени разходи), като покриват до 100 % от размера на подпомаганите разходи.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  <w:color w:val="333333"/>
                <w:shd w:val="clear" w:color="auto" w:fill="FFFFFF"/>
              </w:rPr>
              <w:t>Размерът на единичните разходи е определен в съответствие с разпоредбите на член 83 (2)(a)(i) от Регламент (ЕС) 2021/2115.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Обхват на подпомагането на равнище бенефициер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Максималния размер на допустимите разходи за един проект, представен от един кандидат е не повече от 1 000 000 лв. за целия период на прилагане на Стратегическия план.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Допълнително обяснение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Приоритет: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Ще се прилагат критерии за подбор на проектни предложения, базирани на следните принципи: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-Оценка на учебната/семинарна/демонстрационна програма в съответствие с приоритетите, посочени в Стратегическия план;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-Оценка на професионалния опит/експертиза на лекторите, които провеждат обучението/семинара/демонстрационната дейност;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-включени часове за теми, свързани с иновации.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Ще бъде предвиден приоритет за: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 Държавни и общински институции в системата на професионалното образование и обучение, висши училища, научни институти и опитни станции в областта на селското и горското стопанство;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-Обучения/семинари/демонстрационни дейности насочени към: смекчаване на последиците от изменението на климата и за адаптация към него; устойчивото развитие и ефективно управление на природните ресурси като вода, почва и въздух; защита на биологичното разнообразие, подобряване на екосистемните услуги и опазване на местообитанията и ландшафта; цифрови/дигитални технологии и иновации;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-Обучения на теми, свързани с Натура 2000 и ролята на земеделските стопани за постигане на целите на екологичната мрежа;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 Демонстрации, провеждани от съветнически организации или индивидуални съветници, притежаващи практически опит;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 Демонстрации, които се извършват в рамките на земеделски стопанства, в реални производствени условия.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Ще се определи минимален брой точки за класиране на проектните предложения.</w:t>
            </w: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8" w:name="_Toc256001634"/>
      <w:r>
        <w:rPr>
          <w:b w:val="0"/>
          <w:i w:val="0"/>
          <w:noProof/>
          <w:color w:val="000000"/>
          <w:sz w:val="24"/>
        </w:rPr>
        <w:t>8 Информация относно оценката за държавна помощ</w:t>
      </w:r>
      <w:bookmarkEnd w:id="8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Интервенцията попада извън приложното поле на член 42 от ДФЕС и подлежи на оценка за държавна помощ: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Да      </w:t>
      </w: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Не      </w:t>
      </w:r>
      <w:r>
        <w:rPr>
          <w:rFonts w:ascii="Wingdings" w:eastAsia="Wingdings" w:hAnsi="Wingdings" w:cs="Wingdings"/>
          <w:noProof/>
          <w:color w:val="000000"/>
        </w:rPr>
        <w:t></w:t>
      </w:r>
      <w:r>
        <w:rPr>
          <w:noProof/>
          <w:color w:val="000000"/>
        </w:rPr>
        <w:t xml:space="preserve"> Смесено участие      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Обяснение на спомагателните дейности извън приложното поле на член 42 от ДФЕС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Чрез интервенцията ще се подпомагат и обучения, информационни семинари и демонстрационни дейности, насочени към горски стопани и заетите лица в техните стопанства, като това подпомагане ще бъде обект на нотифициране за държавна помощ във връзка с чл. 47</w:t>
            </w:r>
            <w:r>
              <w:rPr>
                <w:b/>
                <w:bCs/>
                <w:noProof/>
              </w:rPr>
              <w:t xml:space="preserve"> </w:t>
            </w:r>
            <w:r>
              <w:rPr>
                <w:noProof/>
              </w:rPr>
              <w:t xml:space="preserve">от </w:t>
            </w:r>
            <w:r>
              <w:rPr>
                <w:noProof/>
                <w:color w:val="333333"/>
                <w:shd w:val="clear" w:color="auto" w:fill="FFFFFF"/>
              </w:rPr>
              <w:t>Регламент (ЕС) 2022/2472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съюз.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Вид на инструмента за държавна помощ, който да се използва за оформяне: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Нотифициране      </w:t>
      </w: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ОРГО      </w:t>
      </w:r>
      <w:r>
        <w:rPr>
          <w:rFonts w:ascii="Wingdings" w:eastAsia="Wingdings" w:hAnsi="Wingdings" w:cs="Wingdings"/>
          <w:noProof/>
          <w:color w:val="000000"/>
        </w:rPr>
        <w:t></w:t>
      </w:r>
      <w:r>
        <w:rPr>
          <w:noProof/>
          <w:color w:val="000000"/>
        </w:rPr>
        <w:t xml:space="preserve"> РГОСС      </w:t>
      </w: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de minimis      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Номер на преписката за държавна помощ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Неприложимо</w:t>
      </w:r>
    </w:p>
    <w:p w:rsidR="004D5BCB" w:rsidRDefault="004D5BCB" w:rsidP="004D5BCB">
      <w:pPr>
        <w:spacing w:before="20" w:after="20"/>
        <w:rPr>
          <w:color w:val="000000"/>
        </w:rPr>
      </w:pP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Допълнителна информация: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Държавата членка все още не е избрала инструмента (инструментите) и е посочила алтернативите. На бенефициерите няма да се изплаща помощ преди датата, на която уравняването на избрания инструмент влезе в сила.      </w:t>
      </w:r>
      <w:r>
        <w:rPr>
          <w:rFonts w:ascii="Wingdings" w:eastAsia="Wingdings" w:hAnsi="Wingdings" w:cs="Wingdings"/>
          <w:noProof/>
          <w:color w:val="000000"/>
        </w:rPr>
        <w:t></w:t>
      </w:r>
      <w:r>
        <w:rPr>
          <w:noProof/>
          <w:color w:val="000000"/>
        </w:rPr>
        <w:t xml:space="preserve"> Държавата членка е избрала инструмента, както е посочено, но все още не е получено уравняване. На бенефициерите няма да се изплаща помощ преди датата, на която уравняването влезе в сила.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Държавата членка е избрала инструмента, както е посочено, получено е уравняване и е посочен номерът на SA за уведомяване, ОРГО или РГОСС.</w:t>
      </w:r>
    </w:p>
    <w:p w:rsidR="004D5BCB" w:rsidRDefault="004D5BCB" w:rsidP="004D5BCB">
      <w:pPr>
        <w:spacing w:before="20" w:after="20"/>
        <w:rPr>
          <w:color w:val="000000"/>
        </w:rPr>
      </w:pPr>
    </w:p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9" w:name="_Toc256001635"/>
      <w:r>
        <w:rPr>
          <w:b w:val="0"/>
          <w:i w:val="0"/>
          <w:noProof/>
          <w:color w:val="000000"/>
          <w:sz w:val="24"/>
        </w:rPr>
        <w:t>9 Допълнителни въпроси/информация за вида на интервенцията</w:t>
      </w:r>
      <w:bookmarkEnd w:id="9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Неприложимо</w:t>
      </w:r>
    </w:p>
    <w:p w:rsidR="004D5BCB" w:rsidRDefault="004D5BCB" w:rsidP="004D5BCB">
      <w:pPr>
        <w:spacing w:before="20" w:after="20"/>
        <w:rPr>
          <w:color w:val="000000"/>
        </w:rPr>
      </w:pPr>
    </w:p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0" w:name="_Toc256001636"/>
      <w:r>
        <w:rPr>
          <w:b w:val="0"/>
          <w:i w:val="0"/>
          <w:noProof/>
          <w:color w:val="000000"/>
          <w:sz w:val="24"/>
        </w:rPr>
        <w:t>10 Съответствие с правилата на СТО</w:t>
      </w:r>
      <w:bookmarkEnd w:id="10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Зелена кутия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Параграф 2 от приложение 2 към Споразумението за СТО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Разяснение как интервенцията спазва съответните разпоредби на приложение 2 към Споразумението за СТО за селското стопанство, както е посочено в член 10 от настоящия регламент и в приложение II към него(зелена кутия)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Интервенцията е включена в приложение II на Регламент (ЕС) 2021/2115. и е разработена в съответствие с условията, посочени в т. 2 от Приложение 2 на Споразумението за земеделие на СТО, тъй като подпомагането е насочено към организации, които предоставят услуги за земеделски и горски стопани и заетите лица в техните стопанства, под формата на обучения и демонстрации.</w:t>
            </w: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1" w:name="_Toc256001637"/>
      <w:r>
        <w:rPr>
          <w:b w:val="0"/>
          <w:i w:val="0"/>
          <w:noProof/>
          <w:color w:val="000000"/>
          <w:sz w:val="24"/>
        </w:rPr>
        <w:t>11 Процентно участие, приложимо за тази интервенция</w:t>
      </w:r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1"/>
        <w:gridCol w:w="3249"/>
        <w:gridCol w:w="1872"/>
        <w:gridCol w:w="1881"/>
        <w:gridCol w:w="1957"/>
      </w:tblGrid>
      <w:tr w:rsidR="004D5BCB" w:rsidTr="00397510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Регион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Член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Приложима ставка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Минимална ставка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Максимална ставка</w:t>
            </w:r>
          </w:p>
        </w:tc>
      </w:tr>
      <w:tr w:rsidR="004D5BCB" w:rsidTr="00397510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BG - България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91(2)(a) - По-слабо развити региони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85,00%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  <w:sectPr w:rsidR="004D5BCB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2" w:name="_Toc256001638"/>
      <w:r>
        <w:rPr>
          <w:b w:val="0"/>
          <w:i w:val="0"/>
          <w:noProof/>
          <w:color w:val="000000"/>
          <w:sz w:val="24"/>
        </w:rPr>
        <w:t>12 Планирани единични суми — определение</w:t>
      </w:r>
      <w:bookmarkEnd w:id="12"/>
    </w:p>
    <w:p w:rsidR="004D5BCB" w:rsidRDefault="004D5BCB" w:rsidP="004D5BCB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1731"/>
        <w:gridCol w:w="1566"/>
        <w:gridCol w:w="2580"/>
        <w:gridCol w:w="921"/>
        <w:gridCol w:w="2146"/>
        <w:gridCol w:w="3758"/>
      </w:tblGrid>
      <w:tr w:rsidR="004D5BCB" w:rsidTr="00397510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Вид на подкрепата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Процентни участия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Показател(и) за резултатите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Единичната сума основава ли се на пренесени разходи?</w:t>
            </w:r>
          </w:p>
        </w:tc>
      </w:tr>
      <w:tr w:rsidR="004D5BCB" w:rsidTr="00397510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XCO4 - Курс за обучение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Безвъзмездни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91(2)(a)-BG-40,00%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Не</w:t>
            </w:r>
          </w:p>
        </w:tc>
      </w:tr>
      <w:tr w:rsidR="004D5BCB" w:rsidTr="00397510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XCO5 - Демонстрационна дейност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Безвъзмездни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91(2)(a)-BG-40,00%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R.1; R.2; R.3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Не</w:t>
            </w:r>
          </w:p>
        </w:tc>
      </w:tr>
      <w:tr w:rsidR="004D5BCB" w:rsidTr="00397510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XCO6 - Информационен семинар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Безвъзмездни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91(2)(a)-BG-40,00%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R.1; R.2; R.3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Не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Обяснение и обосновка, свързани с размера на единичната сума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XCO4 - Курс за обучение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22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Заложената стойност представлява осреднена стойност на опростените разходи, предвидени за отделните курсове за обучение, предвидени в интервенцията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XCO5 - Демонстрационна дейност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22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Заложената стойност представлява осреднена стойност на опростените разходи за провеждане на демонстрационни дейности, изчислени въз основа на утвърдена методика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XCO6 - Информационен семинар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22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Заложената стойност представлява осреднена стойност на опростените разходи, предвидени за информационните семинари с продължителност 8 и 18 часа, предвидени в интервенцията</w:t>
            </w: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3" w:name="_Toc256001639"/>
      <w:r>
        <w:rPr>
          <w:b w:val="0"/>
          <w:i w:val="0"/>
          <w:noProof/>
          <w:color w:val="000000"/>
          <w:sz w:val="24"/>
        </w:rPr>
        <w:t>13 Планирани единични суми — финансова таблица с крайни продукти</w:t>
      </w:r>
      <w:bookmarkEnd w:id="13"/>
    </w:p>
    <w:p w:rsidR="004D5BCB" w:rsidRDefault="004D5BCB" w:rsidP="004D5BCB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1"/>
        <w:gridCol w:w="2067"/>
        <w:gridCol w:w="1253"/>
        <w:gridCol w:w="1253"/>
        <w:gridCol w:w="1253"/>
        <w:gridCol w:w="1253"/>
        <w:gridCol w:w="1253"/>
        <w:gridCol w:w="1253"/>
        <w:gridCol w:w="1253"/>
        <w:gridCol w:w="1253"/>
      </w:tblGrid>
      <w:tr w:rsidR="004D5BCB" w:rsidTr="00397510">
        <w:trPr>
          <w:trHeight w:val="160"/>
          <w:tblHeader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Финансова година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Общо за периода 2023—2029 г.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XCO4 - Курс за обучение  (Безвъзмездни средства - Среден)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 (общо публични разходи в евро)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1 959,00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1 959,00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1 959,00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1 959,00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1 959,00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Максимална планирана средна единична сума (в евро)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2 350,00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2 350,00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2 350,00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2 350,00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2 350,00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O.33 (единица: Брой консултирани лица)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1 160,00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1 160,00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1 160,00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1 260,00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Сума: </w:t>
            </w:r>
          </w:p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5 100,00</w:t>
            </w:r>
          </w:p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Макс.: </w:t>
            </w:r>
          </w:p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1 260,00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XCO5 - Демонстрационна дейност (Безвъзмездни средства - Среден)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 (общо публични разходи в евро)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Максимална планирана средна единична сума (в евро)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O.33 (единица: Брой консултирани лица)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11 000,00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11 000,00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11 000,00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9 000,00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Сума: </w:t>
            </w:r>
          </w:p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54 000,00</w:t>
            </w:r>
          </w:p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Макс.: </w:t>
            </w:r>
          </w:p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11 000,00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XCO6 - Информационен семинар (Безвъзмездни средства - Среден)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 (общо публични разходи в евро)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Максимална планирана средна единична сума (в евро)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O.33 (единица: Брой консултирани лица)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4 700,00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8 500,00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9 500,00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10 144,00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Сума: </w:t>
            </w:r>
          </w:p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42 844,00</w:t>
            </w:r>
          </w:p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Макс.: </w:t>
            </w:r>
          </w:p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10 144,00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ОБЩО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O.33 (единица: Брой консултирани лица)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15 060,00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20 660,00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21 660,00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22 160,00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20 404,00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Сума: </w:t>
            </w:r>
          </w:p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101 944,00</w:t>
            </w:r>
          </w:p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Макс.: </w:t>
            </w:r>
          </w:p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22 160,00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публични разходи в евро)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74 000,00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1 455 940,00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3 367 940,00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3 448 940,00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3 489 440,00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3 623 040,00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15 459 300,00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(принос на Съюза в евро)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29 600,00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582 376,00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1 347 176,00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1 379 576,00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1 395 776,00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1 449 216,00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6 183 720,00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От които необходими за постигането на минималния размер на разпределяните финансови средства, посочен в приложение XII (приложимо към член 95, параграф 1 съгласно членове 73 и 75) (общо публични разходи в евро)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4D5BCB" w:rsidTr="00397510">
        <w:trPr>
          <w:trHeight w:val="160"/>
          <w:tblHeader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От които необходими за постигането на минималния размер на разпределяните финансови средства, посочен в приложение XII (вноска на Съюза в евро)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</w:tbl>
    <w:p w:rsidR="004D5BCB" w:rsidRDefault="004D5BCB" w:rsidP="004D5BCB">
      <w:pPr>
        <w:keepLines/>
        <w:rPr>
          <w:color w:val="000000"/>
        </w:rPr>
        <w:sectPr w:rsidR="004D5BCB"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D74966" w:rsidRDefault="004D5BCB" w:rsidP="004D5BCB">
      <w:r>
        <w:rPr>
          <w:noProof/>
        </w:rPr>
        <w:t>6 </w:t>
      </w:r>
    </w:p>
    <w:sectPr w:rsidR="00D749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8BF"/>
    <w:rsid w:val="001123AC"/>
    <w:rsid w:val="001968BF"/>
    <w:rsid w:val="00203932"/>
    <w:rsid w:val="002F5E3C"/>
    <w:rsid w:val="00397510"/>
    <w:rsid w:val="003F5936"/>
    <w:rsid w:val="004D5BCB"/>
    <w:rsid w:val="0072653A"/>
    <w:rsid w:val="00960920"/>
    <w:rsid w:val="00B84B3B"/>
    <w:rsid w:val="00BB3AAE"/>
    <w:rsid w:val="00D7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999ABA-D6C8-4F3B-8D92-F9D6FFE9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D5B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D5B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D5B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D5B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D5B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D5BC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BC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D5BC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4D5BCB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D5BC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4D5BC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4D5BCB"/>
    <w:rPr>
      <w:rFonts w:ascii="Times New Roman" w:eastAsia="Times New Roman" w:hAnsi="Times New Roman" w:cs="Times New Roman"/>
      <w:b/>
      <w:bCs/>
    </w:rPr>
  </w:style>
  <w:style w:type="character" w:customStyle="1" w:styleId="ql-cursor">
    <w:name w:val="ql-cursor"/>
    <w:basedOn w:val="DefaultParagraphFont"/>
    <w:rsid w:val="004D5BCB"/>
  </w:style>
  <w:style w:type="paragraph" w:customStyle="1" w:styleId="qlbt-cell-lineql-align-justify">
    <w:name w:val="qlbt-cell-line ql-align-justify"/>
    <w:basedOn w:val="Normal"/>
    <w:rsid w:val="004D5BCB"/>
  </w:style>
  <w:style w:type="paragraph" w:customStyle="1" w:styleId="qlbt-cell-line">
    <w:name w:val="qlbt-cell-line"/>
    <w:basedOn w:val="Normal"/>
    <w:rsid w:val="004D5BCB"/>
  </w:style>
  <w:style w:type="table" w:customStyle="1" w:styleId="quill-better-table">
    <w:name w:val="quill-better-table"/>
    <w:basedOn w:val="TableNormal"/>
    <w:rsid w:val="004D5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qlbt-cell-lineql-align-center">
    <w:name w:val="qlbt-cell-line ql-align-center"/>
    <w:basedOn w:val="Normal"/>
    <w:rsid w:val="004D5BCB"/>
  </w:style>
  <w:style w:type="paragraph" w:customStyle="1" w:styleId="ql-align-center">
    <w:name w:val="ql-align-center"/>
    <w:basedOn w:val="Normal"/>
    <w:rsid w:val="004D5BCB"/>
  </w:style>
  <w:style w:type="character" w:customStyle="1" w:styleId="ql-ui">
    <w:name w:val="ql-ui"/>
    <w:basedOn w:val="DefaultParagraphFont"/>
    <w:rsid w:val="004D5BCB"/>
  </w:style>
  <w:style w:type="paragraph" w:customStyle="1" w:styleId="qlbt-cell-lineql-align-right">
    <w:name w:val="qlbt-cell-line ql-align-right"/>
    <w:basedOn w:val="Normal"/>
    <w:rsid w:val="004D5BCB"/>
  </w:style>
  <w:style w:type="character" w:styleId="Hyperlink">
    <w:name w:val="Hyperlink"/>
    <w:basedOn w:val="DefaultParagraphFont"/>
    <w:rsid w:val="004D5BCB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4D5BCB"/>
    <w:pPr>
      <w:ind w:left="240"/>
    </w:pPr>
  </w:style>
  <w:style w:type="paragraph" w:styleId="TOC1">
    <w:name w:val="toc 1"/>
    <w:basedOn w:val="Normal"/>
    <w:next w:val="Normal"/>
    <w:autoRedefine/>
    <w:rsid w:val="004D5BCB"/>
  </w:style>
  <w:style w:type="paragraph" w:styleId="TOC3">
    <w:name w:val="toc 3"/>
    <w:basedOn w:val="Normal"/>
    <w:next w:val="Normal"/>
    <w:autoRedefine/>
    <w:rsid w:val="004D5BCB"/>
    <w:pPr>
      <w:ind w:left="480"/>
    </w:pPr>
  </w:style>
  <w:style w:type="paragraph" w:styleId="TOC4">
    <w:name w:val="toc 4"/>
    <w:basedOn w:val="Normal"/>
    <w:next w:val="Normal"/>
    <w:autoRedefine/>
    <w:rsid w:val="004D5BCB"/>
    <w:pPr>
      <w:ind w:left="720"/>
    </w:pPr>
  </w:style>
  <w:style w:type="paragraph" w:styleId="TOC5">
    <w:name w:val="toc 5"/>
    <w:basedOn w:val="Normal"/>
    <w:next w:val="Normal"/>
    <w:autoRedefine/>
    <w:rsid w:val="004D5BCB"/>
    <w:pPr>
      <w:ind w:left="960"/>
    </w:pPr>
  </w:style>
  <w:style w:type="paragraph" w:styleId="TOC6">
    <w:name w:val="toc 6"/>
    <w:basedOn w:val="Normal"/>
    <w:next w:val="Normal"/>
    <w:autoRedefine/>
    <w:rsid w:val="004D5BCB"/>
    <w:pPr>
      <w:ind w:left="1200"/>
    </w:pPr>
  </w:style>
  <w:style w:type="character" w:styleId="FollowedHyperlink">
    <w:name w:val="FollowedHyperlink"/>
    <w:basedOn w:val="DefaultParagraphFont"/>
    <w:uiPriority w:val="99"/>
    <w:semiHidden/>
    <w:unhideWhenUsed/>
    <w:rsid w:val="004D5B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6496</Words>
  <Characters>37028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Hristo Todorov</dc:creator>
  <cp:lastModifiedBy>Venislava Boyadzhieva</cp:lastModifiedBy>
  <cp:revision>4</cp:revision>
  <dcterms:created xsi:type="dcterms:W3CDTF">2024-08-22T13:27:00Z</dcterms:created>
  <dcterms:modified xsi:type="dcterms:W3CDTF">2024-08-22T13:45:00Z</dcterms:modified>
</cp:coreProperties>
</file>