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2E0" w:rsidRDefault="005322E0" w:rsidP="00F249C9">
      <w:pPr>
        <w:jc w:val="center"/>
        <w:rPr>
          <w:rFonts w:ascii="Times New Roman" w:hAnsi="Times New Roman" w:cs="Times New Roman"/>
          <w:noProof/>
          <w:sz w:val="36"/>
          <w:lang w:eastAsia="bg-BG"/>
        </w:rPr>
      </w:pPr>
      <w:r w:rsidRPr="005322E0">
        <w:t xml:space="preserve"> </w:t>
      </w:r>
      <w:r w:rsidRPr="005322E0">
        <w:rPr>
          <w:rFonts w:ascii="Times New Roman" w:hAnsi="Times New Roman" w:cs="Times New Roman"/>
          <w:noProof/>
          <w:sz w:val="36"/>
          <w:lang w:eastAsia="bg-BG"/>
        </w:rPr>
        <w:t>МЕТОДИКА</w:t>
      </w:r>
    </w:p>
    <w:p w:rsidR="00147058" w:rsidRPr="007565AF" w:rsidRDefault="005322E0" w:rsidP="00F249C9">
      <w:pPr>
        <w:jc w:val="center"/>
        <w:rPr>
          <w:rFonts w:ascii="Times New Roman" w:hAnsi="Times New Roman" w:cs="Times New Roman"/>
          <w:sz w:val="36"/>
        </w:rPr>
      </w:pPr>
      <w:r w:rsidRPr="007565AF">
        <w:rPr>
          <w:rFonts w:ascii="Times New Roman" w:hAnsi="Times New Roman" w:cs="Times New Roman"/>
          <w:noProof/>
          <w:sz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458341" wp14:editId="6FC93F9C">
                <wp:simplePos x="0" y="0"/>
                <wp:positionH relativeFrom="column">
                  <wp:posOffset>-228600</wp:posOffset>
                </wp:positionH>
                <wp:positionV relativeFrom="paragraph">
                  <wp:posOffset>647065</wp:posOffset>
                </wp:positionV>
                <wp:extent cx="66579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0E18D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pt,50.95pt" to="506.2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" strokecolor="#4579b8 [3044]"/>
            </w:pict>
          </mc:Fallback>
        </mc:AlternateContent>
      </w:r>
      <w:r w:rsidRPr="005322E0">
        <w:rPr>
          <w:rFonts w:ascii="Times New Roman" w:hAnsi="Times New Roman" w:cs="Times New Roman"/>
          <w:noProof/>
          <w:sz w:val="36"/>
          <w:lang w:eastAsia="bg-BG"/>
        </w:rPr>
        <w:t>за определяне на гарантирани бюджети за общините в обхвата на дефиницията за селски райони</w:t>
      </w:r>
    </w:p>
    <w:p w:rsidR="00F249C9" w:rsidRPr="007565AF" w:rsidRDefault="00F249C9" w:rsidP="00F249C9">
      <w:pPr>
        <w:jc w:val="center"/>
        <w:rPr>
          <w:rFonts w:ascii="Times New Roman" w:hAnsi="Times New Roman" w:cs="Times New Roman"/>
          <w:sz w:val="36"/>
        </w:rPr>
      </w:pPr>
    </w:p>
    <w:p w:rsidR="00F249C9" w:rsidRPr="007565AF" w:rsidRDefault="00F249C9" w:rsidP="00F249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65AF">
        <w:rPr>
          <w:rFonts w:ascii="Times New Roman" w:hAnsi="Times New Roman" w:cs="Times New Roman"/>
          <w:b/>
          <w:sz w:val="36"/>
          <w:szCs w:val="36"/>
        </w:rPr>
        <w:t>Раздел I</w:t>
      </w:r>
    </w:p>
    <w:p w:rsidR="00F249C9" w:rsidRPr="007565AF" w:rsidRDefault="00F249C9" w:rsidP="00F249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65AF">
        <w:rPr>
          <w:rFonts w:ascii="Times New Roman" w:hAnsi="Times New Roman" w:cs="Times New Roman"/>
          <w:b/>
          <w:sz w:val="36"/>
          <w:szCs w:val="36"/>
        </w:rPr>
        <w:t>Общи положения</w:t>
      </w:r>
    </w:p>
    <w:p w:rsidR="005C2344" w:rsidRPr="005C2344" w:rsidRDefault="00F249C9" w:rsidP="005C2344">
      <w:pPr>
        <w:pStyle w:val="ListParagraph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2344">
        <w:rPr>
          <w:rFonts w:ascii="Times New Roman" w:hAnsi="Times New Roman" w:cs="Times New Roman"/>
          <w:sz w:val="24"/>
          <w:szCs w:val="24"/>
        </w:rPr>
        <w:t xml:space="preserve">С </w:t>
      </w:r>
      <w:r w:rsidR="00983DB8" w:rsidRPr="005C2344">
        <w:rPr>
          <w:rFonts w:ascii="Times New Roman" w:hAnsi="Times New Roman" w:cs="Times New Roman"/>
          <w:sz w:val="24"/>
          <w:szCs w:val="24"/>
        </w:rPr>
        <w:t xml:space="preserve">тази </w:t>
      </w:r>
      <w:r w:rsidRPr="005C2344">
        <w:rPr>
          <w:rFonts w:ascii="Times New Roman" w:hAnsi="Times New Roman" w:cs="Times New Roman"/>
          <w:sz w:val="24"/>
          <w:szCs w:val="24"/>
        </w:rPr>
        <w:t>методика се урежда редът и начинът за определяне на гарантиран индивидуален бюджет</w:t>
      </w:r>
      <w:r w:rsidR="004F5CFA" w:rsidRPr="005C2344">
        <w:rPr>
          <w:rFonts w:ascii="Times New Roman" w:hAnsi="Times New Roman" w:cs="Times New Roman"/>
          <w:sz w:val="24"/>
          <w:szCs w:val="24"/>
        </w:rPr>
        <w:t>,</w:t>
      </w:r>
      <w:r w:rsidRPr="005C2344">
        <w:rPr>
          <w:rFonts w:ascii="Times New Roman" w:hAnsi="Times New Roman" w:cs="Times New Roman"/>
          <w:sz w:val="24"/>
          <w:szCs w:val="24"/>
        </w:rPr>
        <w:t xml:space="preserve"> за всяка </w:t>
      </w:r>
      <w:r w:rsidR="004F5CFA" w:rsidRPr="005C2344">
        <w:rPr>
          <w:rFonts w:ascii="Times New Roman" w:hAnsi="Times New Roman" w:cs="Times New Roman"/>
          <w:sz w:val="24"/>
          <w:szCs w:val="24"/>
        </w:rPr>
        <w:t>една община попадаща в обхвата на дефиницията за селски райони</w:t>
      </w:r>
      <w:r w:rsidR="009808C8" w:rsidRPr="005C2344">
        <w:rPr>
          <w:rFonts w:ascii="Times New Roman" w:hAnsi="Times New Roman" w:cs="Times New Roman"/>
          <w:sz w:val="24"/>
          <w:szCs w:val="24"/>
        </w:rPr>
        <w:t xml:space="preserve"> (селска община)</w:t>
      </w:r>
      <w:r w:rsidR="004F5CFA" w:rsidRPr="005C2344">
        <w:rPr>
          <w:rFonts w:ascii="Times New Roman" w:hAnsi="Times New Roman" w:cs="Times New Roman"/>
          <w:sz w:val="24"/>
          <w:szCs w:val="24"/>
        </w:rPr>
        <w:t>.</w:t>
      </w:r>
    </w:p>
    <w:p w:rsidR="007A6F40" w:rsidRPr="005C2344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7A6F40" w:rsidRPr="005C2344">
        <w:rPr>
          <w:rFonts w:ascii="Times New Roman" w:hAnsi="Times New Roman" w:cs="Times New Roman"/>
          <w:sz w:val="24"/>
          <w:szCs w:val="24"/>
        </w:rPr>
        <w:t xml:space="preserve">В обхвата </w:t>
      </w:r>
      <w:r w:rsidRPr="005C2344">
        <w:rPr>
          <w:rFonts w:ascii="Times New Roman" w:hAnsi="Times New Roman" w:cs="Times New Roman"/>
          <w:sz w:val="24"/>
          <w:szCs w:val="24"/>
        </w:rPr>
        <w:t>на новата дефиниция за селски райони, попадат 215 селски общини.</w:t>
      </w:r>
    </w:p>
    <w:p w:rsidR="001109B8" w:rsidRPr="007565AF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574B6" w:rsidRPr="007565AF">
        <w:rPr>
          <w:rFonts w:ascii="Times New Roman" w:hAnsi="Times New Roman" w:cs="Times New Roman"/>
          <w:sz w:val="24"/>
          <w:szCs w:val="24"/>
        </w:rPr>
        <w:t>.</w:t>
      </w:r>
      <w:r w:rsidR="00A574B6" w:rsidRPr="007565AF">
        <w:rPr>
          <w:rFonts w:ascii="Times New Roman" w:hAnsi="Times New Roman" w:cs="Times New Roman"/>
          <w:sz w:val="24"/>
          <w:szCs w:val="24"/>
        </w:rPr>
        <w:tab/>
        <w:t>Тази методика цели, предварителното определяне на бюджет</w:t>
      </w:r>
      <w:r w:rsidR="008873B0" w:rsidRPr="007565AF">
        <w:rPr>
          <w:rFonts w:ascii="Times New Roman" w:hAnsi="Times New Roman" w:cs="Times New Roman"/>
          <w:sz w:val="24"/>
          <w:szCs w:val="24"/>
        </w:rPr>
        <w:t>, с кой</w:t>
      </w:r>
      <w:r w:rsidR="00A574B6" w:rsidRPr="007565AF">
        <w:rPr>
          <w:rFonts w:ascii="Times New Roman" w:hAnsi="Times New Roman" w:cs="Times New Roman"/>
          <w:sz w:val="24"/>
          <w:szCs w:val="24"/>
        </w:rPr>
        <w:t>то да разполага съответната общинска територия</w:t>
      </w:r>
      <w:r w:rsidR="008873B0" w:rsidRPr="007565AF">
        <w:rPr>
          <w:rFonts w:ascii="Times New Roman" w:hAnsi="Times New Roman" w:cs="Times New Roman"/>
          <w:sz w:val="24"/>
          <w:szCs w:val="24"/>
        </w:rPr>
        <w:t xml:space="preserve">, </w:t>
      </w:r>
      <w:r w:rsidR="00A574B6" w:rsidRPr="007565AF">
        <w:rPr>
          <w:rFonts w:ascii="Times New Roman" w:hAnsi="Times New Roman" w:cs="Times New Roman"/>
          <w:sz w:val="24"/>
          <w:szCs w:val="24"/>
        </w:rPr>
        <w:t>разпределен съобразно обективни и недискриминационни критерии</w:t>
      </w:r>
      <w:r w:rsidR="007F553D" w:rsidRPr="007565AF">
        <w:rPr>
          <w:rFonts w:ascii="Times New Roman" w:hAnsi="Times New Roman" w:cs="Times New Roman"/>
          <w:sz w:val="24"/>
          <w:szCs w:val="24"/>
        </w:rPr>
        <w:t>, базирани на официални</w:t>
      </w:r>
      <w:r w:rsidR="008873B0" w:rsidRPr="007565AF">
        <w:rPr>
          <w:rFonts w:ascii="Times New Roman" w:hAnsi="Times New Roman" w:cs="Times New Roman"/>
          <w:sz w:val="24"/>
          <w:szCs w:val="24"/>
        </w:rPr>
        <w:t xml:space="preserve"> за страната</w:t>
      </w:r>
      <w:r w:rsidR="007F553D" w:rsidRPr="007565AF">
        <w:rPr>
          <w:rFonts w:ascii="Times New Roman" w:hAnsi="Times New Roman" w:cs="Times New Roman"/>
          <w:sz w:val="24"/>
          <w:szCs w:val="24"/>
        </w:rPr>
        <w:t xml:space="preserve"> статистически данни</w:t>
      </w:r>
      <w:r w:rsidR="00A574B6" w:rsidRPr="007565AF">
        <w:rPr>
          <w:rFonts w:ascii="Times New Roman" w:hAnsi="Times New Roman" w:cs="Times New Roman"/>
          <w:sz w:val="24"/>
          <w:szCs w:val="24"/>
        </w:rPr>
        <w:t>.</w:t>
      </w:r>
    </w:p>
    <w:p w:rsidR="00DC174C" w:rsidRPr="007565AF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74B6" w:rsidRPr="007565AF">
        <w:rPr>
          <w:rFonts w:ascii="Times New Roman" w:hAnsi="Times New Roman" w:cs="Times New Roman"/>
          <w:sz w:val="24"/>
          <w:szCs w:val="24"/>
        </w:rPr>
        <w:t>.</w:t>
      </w:r>
      <w:r w:rsidR="00A574B6" w:rsidRPr="007565AF">
        <w:rPr>
          <w:rFonts w:ascii="Times New Roman" w:hAnsi="Times New Roman" w:cs="Times New Roman"/>
          <w:sz w:val="24"/>
          <w:szCs w:val="24"/>
        </w:rPr>
        <w:tab/>
      </w:r>
      <w:r w:rsidR="00983DB8" w:rsidRPr="007565AF">
        <w:rPr>
          <w:rFonts w:ascii="Times New Roman" w:hAnsi="Times New Roman" w:cs="Times New Roman"/>
          <w:sz w:val="24"/>
          <w:szCs w:val="24"/>
        </w:rPr>
        <w:t>Индивидуалният бюджет</w:t>
      </w:r>
      <w:r w:rsidR="00C77481" w:rsidRPr="007565AF">
        <w:rPr>
          <w:rFonts w:ascii="Times New Roman" w:hAnsi="Times New Roman" w:cs="Times New Roman"/>
          <w:sz w:val="24"/>
          <w:szCs w:val="24"/>
        </w:rPr>
        <w:t xml:space="preserve">, цели гарантиране на достъп до средства, за </w:t>
      </w:r>
      <w:r w:rsidR="00983DB8" w:rsidRPr="007565AF">
        <w:rPr>
          <w:rFonts w:ascii="Times New Roman" w:hAnsi="Times New Roman" w:cs="Times New Roman"/>
          <w:iCs/>
          <w:sz w:val="24"/>
          <w:szCs w:val="24"/>
        </w:rPr>
        <w:t>подготовка и финансиране на проектни предложения, които отговарят на специфичните нужди на местно ниво, без това да противопоставят една нуждаеща се от развитие общинска територия спрямо друга такава.</w:t>
      </w:r>
      <w:r w:rsidR="00983DB8" w:rsidRPr="007565AF">
        <w:rPr>
          <w:rFonts w:eastAsiaTheme="minorEastAsia"/>
        </w:rPr>
        <w:t xml:space="preserve"> </w:t>
      </w:r>
    </w:p>
    <w:p w:rsidR="005E59B8" w:rsidRPr="007565AF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74B6" w:rsidRPr="007565AF">
        <w:rPr>
          <w:rFonts w:ascii="Times New Roman" w:hAnsi="Times New Roman" w:cs="Times New Roman"/>
          <w:sz w:val="24"/>
          <w:szCs w:val="24"/>
        </w:rPr>
        <w:t>.</w:t>
      </w:r>
      <w:r w:rsidR="00A574B6" w:rsidRPr="007565AF">
        <w:rPr>
          <w:rFonts w:ascii="Times New Roman" w:hAnsi="Times New Roman" w:cs="Times New Roman"/>
          <w:sz w:val="24"/>
          <w:szCs w:val="24"/>
        </w:rPr>
        <w:tab/>
        <w:t>Разпределеният</w:t>
      </w:r>
      <w:r w:rsidR="009808C8" w:rsidRPr="007565AF">
        <w:rPr>
          <w:rFonts w:ascii="Times New Roman" w:hAnsi="Times New Roman" w:cs="Times New Roman"/>
          <w:sz w:val="24"/>
          <w:szCs w:val="24"/>
        </w:rPr>
        <w:t xml:space="preserve"> финансов ресурс за всяка една селска община</w:t>
      </w:r>
      <w:r w:rsidR="00983DB8" w:rsidRPr="007565AF">
        <w:rPr>
          <w:rFonts w:ascii="Times New Roman" w:hAnsi="Times New Roman" w:cs="Times New Roman"/>
          <w:sz w:val="24"/>
          <w:szCs w:val="24"/>
        </w:rPr>
        <w:t>, ще</w:t>
      </w:r>
      <w:r w:rsidR="004638EE" w:rsidRPr="007565AF">
        <w:rPr>
          <w:rFonts w:ascii="Times New Roman" w:hAnsi="Times New Roman" w:cs="Times New Roman"/>
          <w:sz w:val="24"/>
          <w:szCs w:val="24"/>
        </w:rPr>
        <w:t xml:space="preserve"> е част от общо определения бюджет</w:t>
      </w:r>
      <w:r w:rsidR="009808C8" w:rsidRPr="007565AF">
        <w:rPr>
          <w:rFonts w:ascii="Times New Roman" w:hAnsi="Times New Roman" w:cs="Times New Roman"/>
          <w:sz w:val="24"/>
          <w:szCs w:val="24"/>
        </w:rPr>
        <w:t xml:space="preserve"> по интервенцията за „Инвестиции в основни услуги и дребна по мащаби инфраструктура в селските райони“</w:t>
      </w:r>
      <w:r w:rsidR="009808C8" w:rsidRPr="00756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08C8" w:rsidRPr="007565AF">
        <w:rPr>
          <w:rFonts w:ascii="Times New Roman" w:hAnsi="Times New Roman" w:cs="Times New Roman"/>
          <w:sz w:val="24"/>
          <w:szCs w:val="24"/>
        </w:rPr>
        <w:t>от</w:t>
      </w:r>
      <w:r w:rsidR="009808C8" w:rsidRPr="00756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08C8" w:rsidRPr="007565AF">
        <w:rPr>
          <w:rFonts w:ascii="Times New Roman" w:hAnsi="Times New Roman" w:cs="Times New Roman"/>
          <w:sz w:val="24"/>
          <w:szCs w:val="24"/>
        </w:rPr>
        <w:t>Стратегическия план за ОСП</w:t>
      </w:r>
      <w:r w:rsidR="00DC174C" w:rsidRPr="007565AF">
        <w:rPr>
          <w:rFonts w:ascii="Times New Roman" w:hAnsi="Times New Roman" w:cs="Times New Roman"/>
          <w:sz w:val="24"/>
          <w:szCs w:val="24"/>
        </w:rPr>
        <w:t xml:space="preserve"> 202</w:t>
      </w:r>
      <w:r w:rsidR="00D110A6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DC174C" w:rsidRPr="007565AF">
        <w:rPr>
          <w:rFonts w:ascii="Times New Roman" w:hAnsi="Times New Roman" w:cs="Times New Roman"/>
          <w:sz w:val="24"/>
          <w:szCs w:val="24"/>
        </w:rPr>
        <w:t>-2027</w:t>
      </w:r>
      <w:r w:rsidR="005E59B8" w:rsidRPr="007565AF">
        <w:rPr>
          <w:rFonts w:ascii="Times New Roman" w:hAnsi="Times New Roman" w:cs="Times New Roman"/>
          <w:sz w:val="24"/>
          <w:szCs w:val="24"/>
        </w:rPr>
        <w:t>.</w:t>
      </w:r>
    </w:p>
    <w:p w:rsidR="008873B0" w:rsidRPr="007565AF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873B0" w:rsidRPr="007565AF">
        <w:rPr>
          <w:rFonts w:ascii="Times New Roman" w:hAnsi="Times New Roman" w:cs="Times New Roman"/>
          <w:sz w:val="24"/>
          <w:szCs w:val="24"/>
        </w:rPr>
        <w:t>.</w:t>
      </w:r>
      <w:r w:rsidR="008873B0" w:rsidRPr="007565AF">
        <w:rPr>
          <w:rFonts w:ascii="Times New Roman" w:hAnsi="Times New Roman" w:cs="Times New Roman"/>
          <w:sz w:val="24"/>
          <w:szCs w:val="24"/>
        </w:rPr>
        <w:tab/>
        <w:t xml:space="preserve">Определеният общ бюджет, обект на разпределение е в размер на </w:t>
      </w:r>
      <w:r w:rsidR="003F68CF" w:rsidRPr="003F68CF">
        <w:rPr>
          <w:rFonts w:ascii="Times New Roman" w:hAnsi="Times New Roman" w:cs="Times New Roman"/>
          <w:b/>
          <w:sz w:val="24"/>
          <w:szCs w:val="24"/>
        </w:rPr>
        <w:t>509</w:t>
      </w:r>
      <w:r w:rsidR="003F68CF">
        <w:rPr>
          <w:rFonts w:ascii="Times New Roman" w:hAnsi="Times New Roman" w:cs="Times New Roman"/>
          <w:b/>
          <w:sz w:val="24"/>
          <w:szCs w:val="24"/>
        </w:rPr>
        <w:t> </w:t>
      </w:r>
      <w:r w:rsidR="003F68CF" w:rsidRPr="003F68CF">
        <w:rPr>
          <w:rFonts w:ascii="Times New Roman" w:hAnsi="Times New Roman" w:cs="Times New Roman"/>
          <w:b/>
          <w:sz w:val="24"/>
          <w:szCs w:val="24"/>
        </w:rPr>
        <w:t>201</w:t>
      </w:r>
      <w:r w:rsidR="003F6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8CF" w:rsidRPr="003F68CF">
        <w:rPr>
          <w:rFonts w:ascii="Times New Roman" w:hAnsi="Times New Roman" w:cs="Times New Roman"/>
          <w:b/>
          <w:sz w:val="24"/>
          <w:szCs w:val="24"/>
        </w:rPr>
        <w:t>169,267184</w:t>
      </w:r>
      <w:r w:rsidR="003F6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3B0" w:rsidRPr="007565AF">
        <w:rPr>
          <w:rFonts w:ascii="Times New Roman" w:hAnsi="Times New Roman" w:cs="Times New Roman"/>
          <w:b/>
          <w:sz w:val="24"/>
          <w:szCs w:val="24"/>
        </w:rPr>
        <w:t>млн.</w:t>
      </w:r>
      <w:r w:rsidR="008873B0" w:rsidRPr="007565AF">
        <w:rPr>
          <w:rFonts w:ascii="Times New Roman" w:hAnsi="Times New Roman" w:cs="Times New Roman"/>
          <w:sz w:val="24"/>
          <w:szCs w:val="24"/>
        </w:rPr>
        <w:t xml:space="preserve"> евро.</w:t>
      </w:r>
    </w:p>
    <w:p w:rsidR="005E59B8" w:rsidRPr="007565AF" w:rsidRDefault="005C2344" w:rsidP="005C23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574B6" w:rsidRPr="007565AF">
        <w:rPr>
          <w:rFonts w:ascii="Times New Roman" w:hAnsi="Times New Roman" w:cs="Times New Roman"/>
          <w:sz w:val="24"/>
          <w:szCs w:val="24"/>
        </w:rPr>
        <w:t>.</w:t>
      </w:r>
      <w:r w:rsidR="00A574B6" w:rsidRPr="007565AF">
        <w:rPr>
          <w:rFonts w:ascii="Times New Roman" w:hAnsi="Times New Roman" w:cs="Times New Roman"/>
          <w:sz w:val="24"/>
          <w:szCs w:val="24"/>
        </w:rPr>
        <w:tab/>
      </w:r>
      <w:r w:rsidR="00794DDC" w:rsidRPr="007565AF">
        <w:rPr>
          <w:rFonts w:ascii="Times New Roman" w:hAnsi="Times New Roman" w:cs="Times New Roman"/>
          <w:sz w:val="24"/>
          <w:szCs w:val="24"/>
        </w:rPr>
        <w:t xml:space="preserve">Разпределението на средствата е </w:t>
      </w:r>
      <w:r w:rsidR="00295BCE" w:rsidRPr="007565AF">
        <w:rPr>
          <w:rFonts w:ascii="Times New Roman" w:hAnsi="Times New Roman" w:cs="Times New Roman"/>
          <w:sz w:val="24"/>
          <w:szCs w:val="24"/>
        </w:rPr>
        <w:t>за периода на прилагане на Стратегическия план за ОСП 202</w:t>
      </w:r>
      <w:r w:rsidR="002174F4">
        <w:rPr>
          <w:rFonts w:ascii="Times New Roman" w:hAnsi="Times New Roman" w:cs="Times New Roman"/>
          <w:sz w:val="24"/>
          <w:szCs w:val="24"/>
        </w:rPr>
        <w:t>3</w:t>
      </w:r>
      <w:r w:rsidR="00295BCE" w:rsidRPr="007565AF">
        <w:rPr>
          <w:rFonts w:ascii="Times New Roman" w:hAnsi="Times New Roman" w:cs="Times New Roman"/>
          <w:sz w:val="24"/>
          <w:szCs w:val="24"/>
        </w:rPr>
        <w:t xml:space="preserve"> – 2027 г.</w:t>
      </w:r>
    </w:p>
    <w:p w:rsidR="00A574B6" w:rsidRPr="007565AF" w:rsidRDefault="00A574B6" w:rsidP="00A574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65AF">
        <w:rPr>
          <w:rFonts w:ascii="Times New Roman" w:hAnsi="Times New Roman" w:cs="Times New Roman"/>
          <w:b/>
          <w:sz w:val="36"/>
          <w:szCs w:val="36"/>
        </w:rPr>
        <w:t>Раздел II</w:t>
      </w:r>
    </w:p>
    <w:p w:rsidR="00A574B6" w:rsidRPr="007565AF" w:rsidRDefault="00A574B6" w:rsidP="00A574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65AF">
        <w:rPr>
          <w:rFonts w:ascii="Times New Roman" w:hAnsi="Times New Roman" w:cs="Times New Roman"/>
          <w:b/>
          <w:sz w:val="36"/>
          <w:szCs w:val="36"/>
        </w:rPr>
        <w:t>Ред и начин за определяне на размера на бюджета за всяка селска община</w:t>
      </w:r>
    </w:p>
    <w:p w:rsidR="00295BCE" w:rsidRPr="007565AF" w:rsidRDefault="001109B8" w:rsidP="00F249C9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За </w:t>
      </w:r>
      <w:r w:rsidR="00D37267" w:rsidRPr="007565AF">
        <w:rPr>
          <w:rFonts w:ascii="Times New Roman" w:hAnsi="Times New Roman" w:cs="Times New Roman"/>
          <w:sz w:val="24"/>
          <w:szCs w:val="36"/>
        </w:rPr>
        <w:t xml:space="preserve">определянето на </w:t>
      </w:r>
      <w:r w:rsidR="002755E9" w:rsidRPr="007565AF">
        <w:rPr>
          <w:rFonts w:ascii="Times New Roman" w:hAnsi="Times New Roman" w:cs="Times New Roman"/>
          <w:sz w:val="24"/>
          <w:szCs w:val="36"/>
        </w:rPr>
        <w:t>бюджет за всяка</w:t>
      </w:r>
      <w:r w:rsidR="00104271"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="002755E9" w:rsidRPr="007565AF">
        <w:rPr>
          <w:rFonts w:ascii="Times New Roman" w:hAnsi="Times New Roman" w:cs="Times New Roman"/>
          <w:sz w:val="24"/>
          <w:szCs w:val="36"/>
        </w:rPr>
        <w:t>селска</w:t>
      </w: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="002755E9" w:rsidRPr="007565AF">
        <w:rPr>
          <w:rFonts w:ascii="Times New Roman" w:hAnsi="Times New Roman" w:cs="Times New Roman"/>
          <w:sz w:val="24"/>
          <w:szCs w:val="36"/>
        </w:rPr>
        <w:t xml:space="preserve">община, </w:t>
      </w:r>
      <w:r w:rsidRPr="007565AF">
        <w:rPr>
          <w:rFonts w:ascii="Times New Roman" w:hAnsi="Times New Roman" w:cs="Times New Roman"/>
          <w:sz w:val="24"/>
          <w:szCs w:val="36"/>
        </w:rPr>
        <w:t xml:space="preserve">са подбрани </w:t>
      </w:r>
      <w:r w:rsidR="007565AF" w:rsidRPr="007565AF">
        <w:rPr>
          <w:rFonts w:ascii="Times New Roman" w:hAnsi="Times New Roman" w:cs="Times New Roman"/>
          <w:sz w:val="24"/>
          <w:szCs w:val="36"/>
        </w:rPr>
        <w:t xml:space="preserve">и приложени </w:t>
      </w:r>
      <w:r w:rsidRPr="007565AF">
        <w:rPr>
          <w:rFonts w:ascii="Times New Roman" w:hAnsi="Times New Roman" w:cs="Times New Roman"/>
          <w:sz w:val="24"/>
          <w:szCs w:val="36"/>
        </w:rPr>
        <w:t>показатели</w:t>
      </w:r>
      <w:r w:rsidR="007565AF" w:rsidRPr="007565AF">
        <w:rPr>
          <w:rFonts w:ascii="Times New Roman" w:hAnsi="Times New Roman" w:cs="Times New Roman"/>
          <w:sz w:val="24"/>
          <w:szCs w:val="36"/>
        </w:rPr>
        <w:t>,</w:t>
      </w:r>
      <w:r w:rsidR="00D37267" w:rsidRPr="007565AF">
        <w:rPr>
          <w:rFonts w:ascii="Times New Roman" w:hAnsi="Times New Roman" w:cs="Times New Roman"/>
          <w:sz w:val="24"/>
          <w:szCs w:val="36"/>
        </w:rPr>
        <w:t xml:space="preserve"> чрез които най</w:t>
      </w: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="00D37267" w:rsidRPr="007565AF">
        <w:rPr>
          <w:rFonts w:ascii="Times New Roman" w:hAnsi="Times New Roman" w:cs="Times New Roman"/>
          <w:sz w:val="24"/>
          <w:szCs w:val="36"/>
        </w:rPr>
        <w:t xml:space="preserve">ефективно ще бъде </w:t>
      </w:r>
      <w:r w:rsidR="002755E9" w:rsidRPr="007565AF">
        <w:rPr>
          <w:rFonts w:ascii="Times New Roman" w:hAnsi="Times New Roman" w:cs="Times New Roman"/>
          <w:sz w:val="24"/>
          <w:szCs w:val="36"/>
        </w:rPr>
        <w:t>насочен</w:t>
      </w:r>
      <w:r w:rsidR="00D37267" w:rsidRPr="007565AF">
        <w:rPr>
          <w:rFonts w:ascii="Times New Roman" w:hAnsi="Times New Roman" w:cs="Times New Roman"/>
          <w:sz w:val="24"/>
          <w:szCs w:val="36"/>
        </w:rPr>
        <w:t xml:space="preserve"> финансов</w:t>
      </w:r>
      <w:r w:rsidR="007565AF" w:rsidRPr="007565AF">
        <w:rPr>
          <w:rFonts w:ascii="Times New Roman" w:hAnsi="Times New Roman" w:cs="Times New Roman"/>
          <w:sz w:val="24"/>
          <w:szCs w:val="36"/>
        </w:rPr>
        <w:t>ият</w:t>
      </w:r>
      <w:r w:rsidR="00D37267" w:rsidRPr="007565AF">
        <w:rPr>
          <w:rFonts w:ascii="Times New Roman" w:hAnsi="Times New Roman" w:cs="Times New Roman"/>
          <w:sz w:val="24"/>
          <w:szCs w:val="36"/>
        </w:rPr>
        <w:t xml:space="preserve"> ресурс</w:t>
      </w:r>
      <w:r w:rsidR="002755E9" w:rsidRPr="007565AF">
        <w:rPr>
          <w:rFonts w:ascii="Times New Roman" w:hAnsi="Times New Roman" w:cs="Times New Roman"/>
          <w:sz w:val="24"/>
          <w:szCs w:val="36"/>
        </w:rPr>
        <w:t xml:space="preserve">, който ресурс </w:t>
      </w:r>
      <w:r w:rsidR="002755E9" w:rsidRPr="007565AF">
        <w:rPr>
          <w:rFonts w:ascii="Times New Roman" w:hAnsi="Times New Roman" w:cs="Times New Roman"/>
          <w:sz w:val="24"/>
          <w:szCs w:val="36"/>
        </w:rPr>
        <w:lastRenderedPageBreak/>
        <w:t>да допринесе за постигането на основни стратегически цели в селските райони. Избраните критерии целят, както подпомагане на по-бедните и по-многолюдни райони, така и стимулирането за развитие на районите с преобладаващо население в работоспособна възраст.</w:t>
      </w:r>
    </w:p>
    <w:p w:rsidR="007565AF" w:rsidRPr="00C11060" w:rsidRDefault="007565AF" w:rsidP="00C11060">
      <w:pPr>
        <w:jc w:val="both"/>
        <w:rPr>
          <w:rFonts w:ascii="Times New Roman" w:hAnsi="Times New Roman" w:cs="Times New Roman"/>
          <w:b/>
          <w:sz w:val="24"/>
          <w:szCs w:val="36"/>
        </w:rPr>
      </w:pPr>
      <w:r w:rsidRPr="00C11060">
        <w:rPr>
          <w:rFonts w:ascii="Times New Roman" w:hAnsi="Times New Roman" w:cs="Times New Roman"/>
          <w:b/>
          <w:sz w:val="24"/>
          <w:szCs w:val="36"/>
        </w:rPr>
        <w:t>Използваните показатели в настоящата методика:</w:t>
      </w:r>
    </w:p>
    <w:p w:rsidR="007565AF" w:rsidRPr="007565AF" w:rsidRDefault="007565AF" w:rsidP="00C11060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b/>
          <w:sz w:val="24"/>
          <w:szCs w:val="36"/>
        </w:rPr>
        <w:t>Линия на бедност</w:t>
      </w: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36"/>
        </w:rPr>
        <w:t xml:space="preserve">- </w:t>
      </w:r>
      <w:r w:rsidRPr="007565AF">
        <w:rPr>
          <w:rFonts w:ascii="Times New Roman" w:hAnsi="Times New Roman" w:cs="Times New Roman"/>
          <w:sz w:val="24"/>
          <w:szCs w:val="36"/>
        </w:rPr>
        <w:t>за страната с</w:t>
      </w:r>
      <w:r>
        <w:rPr>
          <w:rFonts w:ascii="Times New Roman" w:hAnsi="Times New Roman" w:cs="Times New Roman"/>
          <w:sz w:val="24"/>
          <w:szCs w:val="36"/>
        </w:rPr>
        <w:t>е определя въз основа на данни</w:t>
      </w:r>
      <w:r w:rsidRPr="007565AF">
        <w:rPr>
          <w:rFonts w:ascii="Times New Roman" w:hAnsi="Times New Roman" w:cs="Times New Roman"/>
          <w:sz w:val="24"/>
          <w:szCs w:val="36"/>
        </w:rPr>
        <w:t xml:space="preserve"> от изследването "Статистика на доходите и условията на живот (EU-SILC)", ежегодно провеждано от Националния статистически институт (НСИ), съгласно методология на Евростат.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 xml:space="preserve">Ползваният модел за изчисление от НСИ на </w:t>
      </w:r>
      <w:r w:rsidRPr="007565AF">
        <w:rPr>
          <w:rFonts w:ascii="Times New Roman" w:hAnsi="Times New Roman" w:cs="Times New Roman"/>
          <w:sz w:val="24"/>
          <w:szCs w:val="36"/>
        </w:rPr>
        <w:t xml:space="preserve">размерът на линията на бедност за страната </w:t>
      </w:r>
      <w:r>
        <w:rPr>
          <w:rFonts w:ascii="Times New Roman" w:hAnsi="Times New Roman" w:cs="Times New Roman"/>
          <w:sz w:val="24"/>
          <w:szCs w:val="36"/>
        </w:rPr>
        <w:t>е</w:t>
      </w:r>
      <w:r w:rsidRPr="007565AF">
        <w:rPr>
          <w:rFonts w:ascii="Times New Roman" w:hAnsi="Times New Roman" w:cs="Times New Roman"/>
          <w:sz w:val="24"/>
          <w:szCs w:val="36"/>
        </w:rPr>
        <w:t xml:space="preserve"> по формулата: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proofErr w:type="spellStart"/>
      <w:r w:rsidRPr="007565AF">
        <w:rPr>
          <w:rFonts w:ascii="Times New Roman" w:hAnsi="Times New Roman" w:cs="Times New Roman"/>
          <w:b/>
          <w:sz w:val="24"/>
          <w:szCs w:val="36"/>
        </w:rPr>
        <w:t>LBt</w:t>
      </w:r>
      <w:proofErr w:type="spellEnd"/>
      <w:r w:rsidR="005C2344">
        <w:rPr>
          <w:rFonts w:ascii="Times New Roman" w:hAnsi="Times New Roman" w:cs="Times New Roman"/>
          <w:b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>+</w:t>
      </w:r>
      <w:r w:rsidR="005C2344">
        <w:rPr>
          <w:rFonts w:ascii="Times New Roman" w:hAnsi="Times New Roman" w:cs="Times New Roman"/>
          <w:b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 xml:space="preserve">1 = PLSILCt-1 </w:t>
      </w:r>
      <w:r w:rsidR="005C2344">
        <w:rPr>
          <w:rFonts w:ascii="Times New Roman" w:hAnsi="Times New Roman" w:cs="Times New Roman"/>
          <w:b/>
          <w:sz w:val="24"/>
          <w:szCs w:val="36"/>
        </w:rPr>
        <w:t>×</w:t>
      </w:r>
      <w:r w:rsidRPr="007565AF">
        <w:rPr>
          <w:rFonts w:ascii="Times New Roman" w:hAnsi="Times New Roman" w:cs="Times New Roman"/>
          <w:b/>
          <w:sz w:val="24"/>
          <w:szCs w:val="36"/>
        </w:rPr>
        <w:t xml:space="preserve"> (PISBt-1</w:t>
      </w:r>
      <w:r w:rsidR="005C2344">
        <w:rPr>
          <w:rFonts w:ascii="Times New Roman" w:hAnsi="Times New Roman" w:cs="Times New Roman"/>
          <w:b/>
          <w:sz w:val="24"/>
          <w:szCs w:val="36"/>
        </w:rPr>
        <w:t xml:space="preserve"> ÷ </w:t>
      </w:r>
      <w:r w:rsidRPr="007565AF">
        <w:rPr>
          <w:rFonts w:ascii="Times New Roman" w:hAnsi="Times New Roman" w:cs="Times New Roman"/>
          <w:b/>
          <w:sz w:val="24"/>
          <w:szCs w:val="36"/>
        </w:rPr>
        <w:t>100)</w:t>
      </w:r>
      <w:r w:rsidRPr="007565AF">
        <w:rPr>
          <w:rFonts w:ascii="Times New Roman" w:hAnsi="Times New Roman" w:cs="Times New Roman"/>
          <w:sz w:val="24"/>
          <w:szCs w:val="36"/>
        </w:rPr>
        <w:t>,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където: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>t</w:t>
      </w:r>
      <w:r w:rsidRPr="007565AF">
        <w:rPr>
          <w:rFonts w:ascii="Times New Roman" w:hAnsi="Times New Roman" w:cs="Times New Roman"/>
          <w:sz w:val="24"/>
          <w:szCs w:val="36"/>
        </w:rPr>
        <w:t xml:space="preserve"> е текуща календарна година;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b/>
          <w:sz w:val="24"/>
          <w:szCs w:val="36"/>
        </w:rPr>
        <w:t xml:space="preserve"> t-1</w:t>
      </w:r>
      <w:r w:rsidRPr="007565AF">
        <w:rPr>
          <w:rFonts w:ascii="Times New Roman" w:hAnsi="Times New Roman" w:cs="Times New Roman"/>
          <w:sz w:val="24"/>
          <w:szCs w:val="36"/>
        </w:rPr>
        <w:t xml:space="preserve"> – предходна календарна година;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>t+1</w:t>
      </w:r>
      <w:r w:rsidRPr="007565AF">
        <w:rPr>
          <w:rFonts w:ascii="Times New Roman" w:hAnsi="Times New Roman" w:cs="Times New Roman"/>
          <w:sz w:val="24"/>
          <w:szCs w:val="36"/>
        </w:rPr>
        <w:t xml:space="preserve"> – следваща календарна година;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 xml:space="preserve">LB </w:t>
      </w:r>
      <w:r w:rsidRPr="007565AF">
        <w:rPr>
          <w:rFonts w:ascii="Times New Roman" w:hAnsi="Times New Roman" w:cs="Times New Roman"/>
          <w:sz w:val="24"/>
          <w:szCs w:val="36"/>
        </w:rPr>
        <w:t>– линия на бедност за страната;</w:t>
      </w:r>
    </w:p>
    <w:p w:rsidR="007565AF" w:rsidRP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>PLSILC</w:t>
      </w:r>
      <w:r w:rsidRPr="007565AF">
        <w:rPr>
          <w:rFonts w:ascii="Times New Roman" w:hAnsi="Times New Roman" w:cs="Times New Roman"/>
          <w:sz w:val="24"/>
          <w:szCs w:val="36"/>
        </w:rPr>
        <w:t xml:space="preserve"> – линия на бедност на еквивалентна единица според данни от изследването EU-SILC;</w:t>
      </w:r>
    </w:p>
    <w:p w:rsidR="007565AF" w:rsidRDefault="007565AF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 w:rsidRPr="007565AF">
        <w:rPr>
          <w:rFonts w:ascii="Times New Roman" w:hAnsi="Times New Roman" w:cs="Times New Roman"/>
          <w:sz w:val="24"/>
          <w:szCs w:val="36"/>
        </w:rPr>
        <w:t xml:space="preserve"> </w:t>
      </w:r>
      <w:r w:rsidRPr="007565AF">
        <w:rPr>
          <w:rFonts w:ascii="Times New Roman" w:hAnsi="Times New Roman" w:cs="Times New Roman"/>
          <w:b/>
          <w:sz w:val="24"/>
          <w:szCs w:val="36"/>
        </w:rPr>
        <w:t>PISB</w:t>
      </w:r>
      <w:r w:rsidRPr="007565AF">
        <w:rPr>
          <w:rFonts w:ascii="Times New Roman" w:hAnsi="Times New Roman" w:cs="Times New Roman"/>
          <w:sz w:val="24"/>
          <w:szCs w:val="36"/>
        </w:rPr>
        <w:t xml:space="preserve"> – индекс на цените на малка по състав кошница, обявен от НСИ, за декември на година t-1 спрямо декември от предходната календарна година.</w:t>
      </w:r>
    </w:p>
    <w:p w:rsidR="00C11060" w:rsidRPr="007565AF" w:rsidRDefault="00C11060" w:rsidP="007565AF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Година на провеждане на изследването – 2019 г. и референтна година на дохода – 2018 г.</w:t>
      </w:r>
    </w:p>
    <w:p w:rsidR="00C11060" w:rsidRDefault="00C11060" w:rsidP="00F24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настоящата методика е ползван КОМБИНИРАН ИНДИКАТОР </w:t>
      </w:r>
      <w:r w:rsidRPr="00C11060">
        <w:rPr>
          <w:rFonts w:ascii="Times New Roman" w:hAnsi="Times New Roman" w:cs="Times New Roman"/>
          <w:sz w:val="24"/>
          <w:szCs w:val="24"/>
        </w:rPr>
        <w:t xml:space="preserve">[PEPS01] </w:t>
      </w:r>
      <w:r w:rsidR="000367C7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Pr="00C11060">
        <w:rPr>
          <w:rFonts w:ascii="Times New Roman" w:hAnsi="Times New Roman" w:cs="Times New Roman"/>
          <w:sz w:val="24"/>
          <w:szCs w:val="24"/>
        </w:rPr>
        <w:t>Население в риск от бедност или социално изключване по пол</w:t>
      </w:r>
      <w:r w:rsidR="000367C7">
        <w:rPr>
          <w:rFonts w:ascii="Times New Roman" w:hAnsi="Times New Roman" w:cs="Times New Roman"/>
          <w:sz w:val="24"/>
          <w:szCs w:val="24"/>
          <w:lang w:val="en-GB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Индикаторът включва три показателя: риск от бедност,  </w:t>
      </w:r>
      <w:r w:rsidRPr="00C11060">
        <w:rPr>
          <w:rFonts w:ascii="Times New Roman" w:hAnsi="Times New Roman" w:cs="Times New Roman"/>
          <w:sz w:val="24"/>
          <w:szCs w:val="24"/>
        </w:rPr>
        <w:t>нисък интензитет на икономическа активност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11060">
        <w:rPr>
          <w:rFonts w:ascii="Times New Roman" w:hAnsi="Times New Roman" w:cs="Times New Roman"/>
          <w:sz w:val="24"/>
          <w:szCs w:val="24"/>
        </w:rPr>
        <w:t>материални лишения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6F5B" w:rsidRDefault="00D36F5B" w:rsidP="00D36F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Официалните данни ползвани </w:t>
      </w:r>
      <w:r w:rsidR="00C544BA">
        <w:rPr>
          <w:rFonts w:ascii="Times New Roman" w:hAnsi="Times New Roman" w:cs="Times New Roman"/>
          <w:sz w:val="24"/>
          <w:szCs w:val="24"/>
        </w:rPr>
        <w:t xml:space="preserve">за показателя </w:t>
      </w:r>
      <w:r>
        <w:rPr>
          <w:rFonts w:ascii="Times New Roman" w:hAnsi="Times New Roman" w:cs="Times New Roman"/>
          <w:sz w:val="24"/>
          <w:szCs w:val="24"/>
        </w:rPr>
        <w:t xml:space="preserve">в настоящата методика са посочени в </w:t>
      </w:r>
      <w:r w:rsidRPr="00D20CC1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 xml:space="preserve"> към </w:t>
      </w:r>
      <w:r w:rsidRPr="00D36F5B">
        <w:rPr>
          <w:rFonts w:ascii="Times New Roman" w:hAnsi="Times New Roman" w:cs="Times New Roman"/>
          <w:i/>
          <w:sz w:val="24"/>
          <w:szCs w:val="24"/>
        </w:rPr>
        <w:t>„МЕТОДИКА за определяна на гарантирани бюджети за общините в обхвата на дефиницията за селски райони“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B33" w:rsidRDefault="00F04B33" w:rsidP="00D36F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Разпределението на бюджет в методиката през комбинирания индикатор </w:t>
      </w:r>
      <w:r w:rsidRPr="00F04B33">
        <w:rPr>
          <w:rFonts w:ascii="Times New Roman" w:hAnsi="Times New Roman" w:cs="Times New Roman"/>
          <w:sz w:val="24"/>
          <w:szCs w:val="24"/>
        </w:rPr>
        <w:t xml:space="preserve">[PEPS01] </w:t>
      </w:r>
      <w:r w:rsidR="000367C7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Pr="00F04B33">
        <w:rPr>
          <w:rFonts w:ascii="Times New Roman" w:hAnsi="Times New Roman" w:cs="Times New Roman"/>
          <w:sz w:val="24"/>
          <w:szCs w:val="24"/>
        </w:rPr>
        <w:t>Население в риск от бедност или социално изключване по пол</w:t>
      </w:r>
      <w:r w:rsidR="000367C7">
        <w:rPr>
          <w:rFonts w:ascii="Times New Roman" w:hAnsi="Times New Roman" w:cs="Times New Roman"/>
          <w:sz w:val="24"/>
          <w:szCs w:val="24"/>
          <w:lang w:val="en-GB"/>
        </w:rPr>
        <w:t>”</w:t>
      </w:r>
      <w:r>
        <w:rPr>
          <w:rFonts w:ascii="Times New Roman" w:hAnsi="Times New Roman" w:cs="Times New Roman"/>
          <w:sz w:val="24"/>
          <w:szCs w:val="24"/>
        </w:rPr>
        <w:t>, е по формулата:</w:t>
      </w:r>
    </w:p>
    <w:p w:rsidR="00F04B33" w:rsidRDefault="00F04B33" w:rsidP="003169F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B33">
        <w:rPr>
          <w:rFonts w:ascii="Times New Roman" w:hAnsi="Times New Roman" w:cs="Times New Roman"/>
          <w:b/>
          <w:sz w:val="24"/>
          <w:szCs w:val="24"/>
        </w:rPr>
        <w:t>BLB</w:t>
      </w:r>
      <w:r w:rsidR="002E117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F04B33">
        <w:rPr>
          <w:rFonts w:ascii="Times New Roman" w:hAnsi="Times New Roman" w:cs="Times New Roman"/>
          <w:b/>
          <w:sz w:val="24"/>
          <w:szCs w:val="24"/>
        </w:rPr>
        <w:t>=</w:t>
      </w:r>
      <w:r w:rsidR="002E117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F04B33">
        <w:rPr>
          <w:rFonts w:ascii="Times New Roman" w:hAnsi="Times New Roman" w:cs="Times New Roman"/>
          <w:b/>
          <w:sz w:val="24"/>
          <w:szCs w:val="24"/>
        </w:rPr>
        <w:t>(iLB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FA6">
        <w:rPr>
          <w:rFonts w:ascii="Times New Roman" w:hAnsi="Times New Roman" w:cs="Times New Roman"/>
          <w:b/>
          <w:sz w:val="24"/>
          <w:szCs w:val="24"/>
        </w:rPr>
        <w:t>÷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B33">
        <w:rPr>
          <w:rFonts w:ascii="Times New Roman" w:hAnsi="Times New Roman" w:cs="Times New Roman"/>
          <w:b/>
          <w:sz w:val="24"/>
          <w:szCs w:val="24"/>
        </w:rPr>
        <w:t>∑iLB)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FA6">
        <w:rPr>
          <w:rFonts w:ascii="Times New Roman" w:hAnsi="Times New Roman" w:cs="Times New Roman"/>
          <w:b/>
          <w:sz w:val="24"/>
          <w:szCs w:val="24"/>
        </w:rPr>
        <w:t>×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B33">
        <w:rPr>
          <w:rFonts w:ascii="Times New Roman" w:hAnsi="Times New Roman" w:cs="Times New Roman"/>
          <w:b/>
          <w:sz w:val="24"/>
          <w:szCs w:val="24"/>
        </w:rPr>
        <w:t>TLB</w:t>
      </w:r>
    </w:p>
    <w:p w:rsidR="00F04B33" w:rsidRDefault="00F04B33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където:</w:t>
      </w:r>
    </w:p>
    <w:p w:rsidR="003169F2" w:rsidRPr="003169F2" w:rsidRDefault="003169F2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69F2">
        <w:rPr>
          <w:rFonts w:ascii="Times New Roman" w:hAnsi="Times New Roman" w:cs="Times New Roman"/>
          <w:b/>
          <w:sz w:val="24"/>
          <w:szCs w:val="24"/>
        </w:rPr>
        <w:t>BLB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определеният бюджет през комбинирания индикатор за линията на бедност;</w:t>
      </w:r>
    </w:p>
    <w:p w:rsidR="00F04B33" w:rsidRPr="003169F2" w:rsidRDefault="00F04B33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4B33">
        <w:rPr>
          <w:rFonts w:ascii="Times New Roman" w:hAnsi="Times New Roman" w:cs="Times New Roman"/>
          <w:b/>
          <w:sz w:val="24"/>
          <w:szCs w:val="24"/>
        </w:rPr>
        <w:t>iLB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 общ процент на населението в риск от бедност за определена област</w:t>
      </w:r>
      <w:r w:rsidR="00BA09A9">
        <w:rPr>
          <w:rFonts w:ascii="Times New Roman" w:hAnsi="Times New Roman" w:cs="Times New Roman"/>
          <w:sz w:val="24"/>
          <w:szCs w:val="24"/>
        </w:rPr>
        <w:t>/община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4B33">
        <w:rPr>
          <w:rFonts w:ascii="Times New Roman" w:hAnsi="Times New Roman" w:cs="Times New Roman"/>
          <w:i/>
          <w:sz w:val="24"/>
          <w:szCs w:val="24"/>
        </w:rPr>
        <w:t>(за всяка община определящ е процентния показател в зависимост от това на територията на коя област се намира)</w:t>
      </w:r>
      <w:r w:rsidR="003169F2">
        <w:rPr>
          <w:rFonts w:ascii="Times New Roman" w:hAnsi="Times New Roman" w:cs="Times New Roman"/>
          <w:sz w:val="24"/>
          <w:szCs w:val="24"/>
        </w:rPr>
        <w:t>;</w:t>
      </w:r>
    </w:p>
    <w:p w:rsidR="003169F2" w:rsidRDefault="003169F2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69F2">
        <w:rPr>
          <w:rFonts w:ascii="Times New Roman" w:hAnsi="Times New Roman" w:cs="Times New Roman"/>
          <w:sz w:val="24"/>
          <w:szCs w:val="24"/>
        </w:rPr>
        <w:lastRenderedPageBreak/>
        <w:t>∑</w:t>
      </w:r>
      <w:r w:rsidRPr="003169F2">
        <w:rPr>
          <w:rFonts w:ascii="Times New Roman" w:hAnsi="Times New Roman" w:cs="Times New Roman"/>
          <w:b/>
          <w:sz w:val="24"/>
          <w:szCs w:val="24"/>
        </w:rPr>
        <w:t>iLB</w:t>
      </w:r>
      <w:r>
        <w:rPr>
          <w:rFonts w:ascii="Times New Roman" w:hAnsi="Times New Roman" w:cs="Times New Roman"/>
          <w:b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сумата на процентите на населението в риск от бедност за всички общини включени в методиката;</w:t>
      </w:r>
    </w:p>
    <w:p w:rsidR="003169F2" w:rsidRDefault="003169F2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169F2">
        <w:rPr>
          <w:rFonts w:ascii="Times New Roman" w:hAnsi="Times New Roman" w:cs="Times New Roman"/>
          <w:b/>
          <w:sz w:val="24"/>
          <w:szCs w:val="24"/>
        </w:rPr>
        <w:t>TLB</w:t>
      </w:r>
      <w:r>
        <w:rPr>
          <w:rFonts w:ascii="Times New Roman" w:hAnsi="Times New Roman" w:cs="Times New Roman"/>
          <w:sz w:val="24"/>
          <w:szCs w:val="24"/>
        </w:rPr>
        <w:t xml:space="preserve"> – общия</w:t>
      </w:r>
      <w:r w:rsidR="0090695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за разпределение бюджет.</w:t>
      </w:r>
    </w:p>
    <w:p w:rsidR="00012FA6" w:rsidRDefault="00AE48B5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 израза</w:t>
      </w:r>
      <w:r w:rsidR="00012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FA6" w:rsidRPr="00012FA6">
        <w:rPr>
          <w:rFonts w:ascii="Times New Roman" w:hAnsi="Times New Roman" w:cs="Times New Roman"/>
          <w:b/>
          <w:sz w:val="24"/>
          <w:szCs w:val="24"/>
        </w:rPr>
        <w:t>iLB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FA6" w:rsidRPr="00012FA6">
        <w:rPr>
          <w:rFonts w:ascii="Times New Roman" w:hAnsi="Times New Roman" w:cs="Times New Roman"/>
          <w:b/>
          <w:sz w:val="24"/>
          <w:szCs w:val="24"/>
        </w:rPr>
        <w:t>÷</w:t>
      </w:r>
      <w:r w:rsidR="005C2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FA6" w:rsidRPr="00012FA6">
        <w:rPr>
          <w:rFonts w:ascii="Times New Roman" w:hAnsi="Times New Roman" w:cs="Times New Roman"/>
          <w:b/>
          <w:sz w:val="24"/>
          <w:szCs w:val="24"/>
        </w:rPr>
        <w:t>∑iLB</w:t>
      </w:r>
      <w:r w:rsidR="00012FA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12FA6">
        <w:rPr>
          <w:rFonts w:ascii="Times New Roman" w:hAnsi="Times New Roman" w:cs="Times New Roman"/>
          <w:sz w:val="24"/>
          <w:szCs w:val="24"/>
        </w:rPr>
        <w:t xml:space="preserve">се търси частния коефициент спрямо общото за всяка конкретна община, където е спазена математическата логика – за общините попадащи в по-голям процент риск от бедност, </w:t>
      </w:r>
      <w:r>
        <w:rPr>
          <w:rFonts w:ascii="Times New Roman" w:hAnsi="Times New Roman" w:cs="Times New Roman"/>
          <w:sz w:val="24"/>
          <w:szCs w:val="24"/>
        </w:rPr>
        <w:t>чрез определената</w:t>
      </w:r>
      <w:r w:rsidR="00012FA6">
        <w:rPr>
          <w:rFonts w:ascii="Times New Roman" w:hAnsi="Times New Roman" w:cs="Times New Roman"/>
          <w:sz w:val="24"/>
          <w:szCs w:val="24"/>
        </w:rPr>
        <w:t xml:space="preserve"> тежест на коефициента да получат по-голям дял от разпределението на бюджета. Респективно така е спазена и логиката на прилагане на методиката, а именно насочване на повече средства в селски</w:t>
      </w:r>
      <w:r w:rsidR="00355787">
        <w:rPr>
          <w:rFonts w:ascii="Times New Roman" w:hAnsi="Times New Roman" w:cs="Times New Roman"/>
          <w:sz w:val="24"/>
          <w:szCs w:val="24"/>
        </w:rPr>
        <w:t>те</w:t>
      </w:r>
      <w:r w:rsidR="00012FA6">
        <w:rPr>
          <w:rFonts w:ascii="Times New Roman" w:hAnsi="Times New Roman" w:cs="Times New Roman"/>
          <w:sz w:val="24"/>
          <w:szCs w:val="24"/>
        </w:rPr>
        <w:t xml:space="preserve"> райони</w:t>
      </w:r>
      <w:r w:rsidR="00355787">
        <w:rPr>
          <w:rFonts w:ascii="Times New Roman" w:hAnsi="Times New Roman" w:cs="Times New Roman"/>
          <w:sz w:val="24"/>
          <w:szCs w:val="24"/>
        </w:rPr>
        <w:t xml:space="preserve"> с по-висок риск от бедност</w:t>
      </w:r>
      <w:r w:rsidR="00012FA6">
        <w:rPr>
          <w:rFonts w:ascii="Times New Roman" w:hAnsi="Times New Roman" w:cs="Times New Roman"/>
          <w:sz w:val="24"/>
          <w:szCs w:val="24"/>
        </w:rPr>
        <w:t>.</w:t>
      </w:r>
    </w:p>
    <w:p w:rsidR="00275634" w:rsidRPr="00012FA6" w:rsidRDefault="00275634" w:rsidP="003169F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Коефициентът на тежест на критерий „Линия на бедност“ спрямо следващия критерий „</w:t>
      </w:r>
      <w:r w:rsidRPr="00275634">
        <w:rPr>
          <w:rFonts w:ascii="Times New Roman" w:hAnsi="Times New Roman" w:cs="Times New Roman"/>
          <w:sz w:val="24"/>
          <w:szCs w:val="24"/>
        </w:rPr>
        <w:t>Равнище на безработица в страната по общини</w:t>
      </w:r>
      <w:r>
        <w:rPr>
          <w:rFonts w:ascii="Times New Roman" w:hAnsi="Times New Roman" w:cs="Times New Roman"/>
          <w:sz w:val="24"/>
          <w:szCs w:val="24"/>
        </w:rPr>
        <w:t>“ е 70 към 30 на сто, с оглед насочването на повече средства към най-бедните райони в страната.</w:t>
      </w:r>
    </w:p>
    <w:p w:rsidR="003169F2" w:rsidRPr="000367C7" w:rsidRDefault="003169F2" w:rsidP="000367C7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340630" w:rsidRDefault="00340630" w:rsidP="00340630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F34A9">
        <w:rPr>
          <w:rFonts w:ascii="Times New Roman" w:hAnsi="Times New Roman" w:cs="Times New Roman"/>
          <w:b/>
          <w:sz w:val="24"/>
          <w:szCs w:val="24"/>
        </w:rPr>
        <w:t xml:space="preserve">Равнище на безработица в страната по общини - </w:t>
      </w:r>
      <w:r w:rsidRPr="004F34A9">
        <w:rPr>
          <w:rFonts w:ascii="Times New Roman" w:hAnsi="Times New Roman" w:cs="Times New Roman"/>
          <w:sz w:val="24"/>
          <w:szCs w:val="24"/>
        </w:rPr>
        <w:t>данните</w:t>
      </w:r>
      <w:r w:rsidRPr="00340630">
        <w:rPr>
          <w:rFonts w:ascii="Times New Roman" w:hAnsi="Times New Roman" w:cs="Times New Roman"/>
          <w:sz w:val="24"/>
          <w:szCs w:val="24"/>
        </w:rPr>
        <w:t xml:space="preserve"> ползвани в посочената методика са по официално публикувани данни на Агенция по заетостта.</w:t>
      </w:r>
    </w:p>
    <w:p w:rsidR="00C544BA" w:rsidRPr="00340630" w:rsidRDefault="00C544BA" w:rsidP="00C544B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44BA">
        <w:rPr>
          <w:rFonts w:ascii="Times New Roman" w:hAnsi="Times New Roman" w:cs="Times New Roman"/>
          <w:sz w:val="24"/>
          <w:szCs w:val="24"/>
        </w:rPr>
        <w:t xml:space="preserve">Официалните данни ползвани за показателя в настоящата методика са посочени в </w:t>
      </w:r>
      <w:r w:rsidRPr="00C544BA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Pr="00C544BA">
        <w:rPr>
          <w:rFonts w:ascii="Times New Roman" w:hAnsi="Times New Roman" w:cs="Times New Roman"/>
          <w:sz w:val="24"/>
          <w:szCs w:val="24"/>
        </w:rPr>
        <w:t xml:space="preserve"> към „МЕТОДИКА за определяна на гарантирани бюджети за общините в обхвата на дефиницията за селски райони“.</w:t>
      </w:r>
    </w:p>
    <w:p w:rsidR="00340630" w:rsidRPr="00340630" w:rsidRDefault="00340630" w:rsidP="0034063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Разпределението на бюджет в методиката през индикатора Равнище на безработица в страната по общини, е по формулата: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BG</w:t>
      </w:r>
      <w:proofErr w:type="spellStart"/>
      <w:r w:rsidRPr="00340630">
        <w:rPr>
          <w:rFonts w:ascii="Times New Roman" w:hAnsi="Times New Roman" w:cs="Times New Roman"/>
          <w:sz w:val="24"/>
          <w:szCs w:val="24"/>
          <w:lang w:val="en-GB"/>
        </w:rPr>
        <w:t>URc</w:t>
      </w:r>
      <w:proofErr w:type="spellEnd"/>
      <w:r w:rsidRPr="00340630">
        <w:rPr>
          <w:rFonts w:ascii="Times New Roman" w:hAnsi="Times New Roman" w:cs="Times New Roman"/>
          <w:sz w:val="24"/>
          <w:szCs w:val="24"/>
        </w:rPr>
        <w:t xml:space="preserve"> = (Q1 ÷ ∑Q1) × TLB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 xml:space="preserve">където: </w:t>
      </w:r>
    </w:p>
    <w:p w:rsidR="00340630" w:rsidRPr="00340630" w:rsidRDefault="00340630" w:rsidP="00340630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340630">
        <w:rPr>
          <w:rFonts w:ascii="Times New Roman" w:hAnsi="Times New Roman" w:cs="Times New Roman"/>
          <w:sz w:val="24"/>
          <w:szCs w:val="24"/>
        </w:rPr>
        <w:t>BGURc</w:t>
      </w:r>
      <w:proofErr w:type="spellEnd"/>
      <w:r w:rsidRPr="00340630">
        <w:rPr>
          <w:rFonts w:ascii="Times New Roman" w:hAnsi="Times New Roman" w:cs="Times New Roman"/>
          <w:sz w:val="24"/>
          <w:szCs w:val="24"/>
        </w:rPr>
        <w:t xml:space="preserve"> е финансовият показател през индикатора за Равнище на безработица в страната по общини;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Q1 – показателят за равнище на безработица в страната по общини: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∑Q1 - сумата на показателите за равнище на безработица в страната за всички общини включени в методиката;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TLB – общият за разпределение бюджет.</w:t>
      </w:r>
    </w:p>
    <w:p w:rsidR="00340630" w:rsidRPr="00340630" w:rsidRDefault="00340630" w:rsidP="0034063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С критерия е спазена математическата логика – за общини с по-високо равнище на безработица, в съответствие с тежестта на коефициента да получат по-голям дял от разпределението на бюджета. Респективно така е спазена и логиката на прилагане на методиката, а именно насочване на повече средства в общини с по-висок дял на безработните.</w:t>
      </w:r>
    </w:p>
    <w:p w:rsidR="00340630" w:rsidRPr="00340630" w:rsidRDefault="00340630" w:rsidP="0034063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В методиката е приложен модел за натрупване на коефициентните индикатори за всеки от критериите, като изчисленията са по следната формула: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lastRenderedPageBreak/>
        <w:t>Qacc1=((iLB ÷ ∑iLB) + [ 100% ÷ (Q1 ÷ ∑Q1)])/(∑Qacc1)</w:t>
      </w:r>
    </w:p>
    <w:p w:rsidR="00340630" w:rsidRPr="00340630" w:rsidRDefault="00340630" w:rsidP="00340630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където:</w:t>
      </w:r>
    </w:p>
    <w:p w:rsidR="00B9400B" w:rsidRDefault="00340630" w:rsidP="0034063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40630">
        <w:rPr>
          <w:rFonts w:ascii="Times New Roman" w:hAnsi="Times New Roman" w:cs="Times New Roman"/>
          <w:sz w:val="24"/>
          <w:szCs w:val="24"/>
        </w:rPr>
        <w:t>Qacc1 е коефициента, получен с натрупване от коефициентите по показателите „Линия на бедност“ + „Равнище на безработица в страната по общини“.</w:t>
      </w:r>
    </w:p>
    <w:p w:rsidR="00275634" w:rsidRDefault="00275634" w:rsidP="0034063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75634" w:rsidRDefault="00275634" w:rsidP="00275634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5634">
        <w:rPr>
          <w:rFonts w:ascii="Times New Roman" w:hAnsi="Times New Roman" w:cs="Times New Roman"/>
          <w:sz w:val="24"/>
          <w:szCs w:val="24"/>
        </w:rPr>
        <w:t xml:space="preserve">Коефициентът на тежест на критерий „Равнище на безработица в страната по общини“ спрямо </w:t>
      </w:r>
      <w:r>
        <w:rPr>
          <w:rFonts w:ascii="Times New Roman" w:hAnsi="Times New Roman" w:cs="Times New Roman"/>
          <w:sz w:val="24"/>
          <w:szCs w:val="24"/>
        </w:rPr>
        <w:t xml:space="preserve">предходния </w:t>
      </w:r>
      <w:r w:rsidRPr="00275634">
        <w:rPr>
          <w:rFonts w:ascii="Times New Roman" w:hAnsi="Times New Roman" w:cs="Times New Roman"/>
          <w:sz w:val="24"/>
          <w:szCs w:val="24"/>
        </w:rPr>
        <w:t xml:space="preserve">критерий „Линия на бедност“ е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75634">
        <w:rPr>
          <w:rFonts w:ascii="Times New Roman" w:hAnsi="Times New Roman" w:cs="Times New Roman"/>
          <w:sz w:val="24"/>
          <w:szCs w:val="24"/>
        </w:rPr>
        <w:t xml:space="preserve"> към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275634">
        <w:rPr>
          <w:rFonts w:ascii="Times New Roman" w:hAnsi="Times New Roman" w:cs="Times New Roman"/>
          <w:sz w:val="24"/>
          <w:szCs w:val="24"/>
        </w:rPr>
        <w:t xml:space="preserve"> на сто, с оглед насочването на повече средства към най-бедните райони в страната.</w:t>
      </w:r>
    </w:p>
    <w:p w:rsidR="00275634" w:rsidRPr="00340630" w:rsidRDefault="00275634" w:rsidP="0034063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31BC" w:rsidRPr="00AC42AA" w:rsidRDefault="006C31BC" w:rsidP="00E975B1">
      <w:pPr>
        <w:pStyle w:val="ListParagraph"/>
        <w:numPr>
          <w:ilvl w:val="0"/>
          <w:numId w:val="2"/>
        </w:numPr>
        <w:ind w:left="0" w:firstLine="360"/>
        <w:jc w:val="both"/>
        <w:rPr>
          <w:lang w:val="en-GB"/>
        </w:rPr>
      </w:pPr>
      <w:r w:rsidRPr="00E975B1">
        <w:rPr>
          <w:rFonts w:ascii="Times New Roman" w:hAnsi="Times New Roman" w:cs="Times New Roman"/>
          <w:b/>
          <w:sz w:val="24"/>
          <w:szCs w:val="24"/>
        </w:rPr>
        <w:t>Население - селски рай</w:t>
      </w:r>
      <w:r w:rsidR="00E975B1" w:rsidRPr="00E975B1">
        <w:rPr>
          <w:rFonts w:ascii="Times New Roman" w:hAnsi="Times New Roman" w:cs="Times New Roman"/>
          <w:b/>
          <w:sz w:val="24"/>
          <w:szCs w:val="24"/>
        </w:rPr>
        <w:t>о</w:t>
      </w:r>
      <w:r w:rsidRPr="00E975B1">
        <w:rPr>
          <w:rFonts w:ascii="Times New Roman" w:hAnsi="Times New Roman" w:cs="Times New Roman"/>
          <w:b/>
          <w:sz w:val="24"/>
          <w:szCs w:val="24"/>
        </w:rPr>
        <w:t xml:space="preserve">ни по </w:t>
      </w:r>
      <w:r w:rsidR="00E975B1" w:rsidRPr="00E975B1">
        <w:rPr>
          <w:rFonts w:ascii="Times New Roman" w:hAnsi="Times New Roman" w:cs="Times New Roman"/>
          <w:b/>
          <w:sz w:val="24"/>
          <w:szCs w:val="24"/>
        </w:rPr>
        <w:t>общини</w:t>
      </w:r>
      <w:r w:rsidRPr="00E975B1">
        <w:rPr>
          <w:rFonts w:ascii="Times New Roman" w:hAnsi="Times New Roman" w:cs="Times New Roman"/>
          <w:b/>
          <w:sz w:val="24"/>
          <w:szCs w:val="24"/>
        </w:rPr>
        <w:t xml:space="preserve"> към 31.12.2019 г.</w:t>
      </w:r>
      <w:r w:rsidR="00E975B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975B1" w:rsidRPr="00E975B1">
        <w:rPr>
          <w:rFonts w:ascii="Times New Roman" w:hAnsi="Times New Roman" w:cs="Times New Roman"/>
          <w:sz w:val="24"/>
          <w:szCs w:val="24"/>
        </w:rPr>
        <w:t xml:space="preserve">данните са приложени </w:t>
      </w:r>
      <w:r w:rsidR="00E975B1">
        <w:rPr>
          <w:rFonts w:ascii="Times New Roman" w:hAnsi="Times New Roman" w:cs="Times New Roman"/>
          <w:sz w:val="24"/>
          <w:szCs w:val="24"/>
        </w:rPr>
        <w:t>съгласно официална информация на НСИ</w:t>
      </w:r>
      <w:r w:rsidR="00AC42AA">
        <w:rPr>
          <w:rFonts w:ascii="Times New Roman" w:hAnsi="Times New Roman" w:cs="Times New Roman"/>
          <w:sz w:val="24"/>
          <w:szCs w:val="24"/>
        </w:rPr>
        <w:t xml:space="preserve"> по описаната от Института методика, съгласно която: </w:t>
      </w:r>
      <w:r w:rsidR="00AC42AA" w:rsidRPr="00E975B1">
        <w:rPr>
          <w:rFonts w:ascii="Times New Roman" w:hAnsi="Times New Roman" w:cs="Times New Roman"/>
          <w:sz w:val="24"/>
          <w:szCs w:val="24"/>
        </w:rPr>
        <w:t xml:space="preserve">съвкупностите </w:t>
      </w:r>
      <w:r w:rsidR="00E975B1" w:rsidRPr="00E975B1">
        <w:rPr>
          <w:rFonts w:ascii="Times New Roman" w:hAnsi="Times New Roman" w:cs="Times New Roman"/>
          <w:sz w:val="24"/>
          <w:szCs w:val="24"/>
        </w:rPr>
        <w:t>на населението и неговите структури се дефинират като м</w:t>
      </w:r>
      <w:r w:rsidR="0032528D">
        <w:rPr>
          <w:rFonts w:ascii="Times New Roman" w:hAnsi="Times New Roman" w:cs="Times New Roman"/>
          <w:sz w:val="24"/>
          <w:szCs w:val="24"/>
        </w:rPr>
        <w:t xml:space="preserve">оментни и се установяват към 31 декември </w:t>
      </w:r>
      <w:r w:rsidR="00E975B1" w:rsidRPr="00E975B1">
        <w:rPr>
          <w:rFonts w:ascii="Times New Roman" w:hAnsi="Times New Roman" w:cs="Times New Roman"/>
          <w:sz w:val="24"/>
          <w:szCs w:val="24"/>
        </w:rPr>
        <w:t>на съответната година. Броят и структурите на населението към края на всяка година се изчисляват на базата на данните от предходната година и данните за естественото и механично движение на населението през текущата година.</w:t>
      </w:r>
      <w:r w:rsidR="00AC42AA">
        <w:rPr>
          <w:rFonts w:ascii="Times New Roman" w:hAnsi="Times New Roman" w:cs="Times New Roman"/>
          <w:sz w:val="24"/>
          <w:szCs w:val="24"/>
        </w:rPr>
        <w:t xml:space="preserve"> </w:t>
      </w:r>
      <w:r w:rsidR="00E975B1" w:rsidRPr="00E975B1">
        <w:rPr>
          <w:rFonts w:ascii="Times New Roman" w:hAnsi="Times New Roman" w:cs="Times New Roman"/>
          <w:sz w:val="24"/>
          <w:szCs w:val="24"/>
        </w:rPr>
        <w:t>В годините на преброяванията се правят преизчисления на населението в края на съответната година и за предходната. Преизчисляването се извършва въз основа на получените резултати от преброяването на населението и съответните изчисления за естествения и механичния прираст получени от текущата демографска статистика за съответната година. При изчисляване на населението и неговите структури се използва дефиницията "постоянно население". Тя включва лицата, които живеят постоянно (имат настоящ адрес) в страната към 31.12. на съответната година и не са отсъствали от нея за период по-дълъг от 1 година.</w:t>
      </w:r>
    </w:p>
    <w:p w:rsidR="00484C67" w:rsidRDefault="008A3C60" w:rsidP="00484C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Обработката на данни</w:t>
      </w:r>
      <w:r w:rsidR="00D5476A">
        <w:rPr>
          <w:rFonts w:ascii="Times New Roman" w:hAnsi="Times New Roman" w:cs="Times New Roman"/>
          <w:sz w:val="24"/>
          <w:szCs w:val="24"/>
        </w:rPr>
        <w:t xml:space="preserve">те за населението на общини в обхвата на селските райони посочени в </w:t>
      </w:r>
      <w:r w:rsidR="00D5476A" w:rsidRPr="00D5476A"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="00D5476A">
        <w:rPr>
          <w:rFonts w:ascii="Times New Roman" w:hAnsi="Times New Roman" w:cs="Times New Roman"/>
          <w:sz w:val="24"/>
          <w:szCs w:val="24"/>
        </w:rPr>
        <w:t xml:space="preserve"> към настоящата методика</w:t>
      </w:r>
      <w:r>
        <w:rPr>
          <w:rFonts w:ascii="Times New Roman" w:hAnsi="Times New Roman" w:cs="Times New Roman"/>
          <w:sz w:val="24"/>
          <w:szCs w:val="24"/>
        </w:rPr>
        <w:t xml:space="preserve"> показва</w:t>
      </w:r>
      <w:r w:rsidR="00D5476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че броят на населението в селските общини на територията на страната, варира в много голям диапазон</w:t>
      </w:r>
      <w:r w:rsidR="00C43B9B">
        <w:rPr>
          <w:rFonts w:ascii="Times New Roman" w:hAnsi="Times New Roman" w:cs="Times New Roman"/>
          <w:sz w:val="24"/>
          <w:szCs w:val="24"/>
        </w:rPr>
        <w:t xml:space="preserve"> – от под 1000 жители до над 30 000 жители.</w:t>
      </w:r>
    </w:p>
    <w:p w:rsidR="00C43B9B" w:rsidRDefault="00C43B9B" w:rsidP="00484C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тази връзка, за целите на методиката общините са групирани и съответно за всяка група е даден коефициент  с </w:t>
      </w:r>
      <w:r w:rsidR="007200DF">
        <w:rPr>
          <w:rFonts w:ascii="Times New Roman" w:hAnsi="Times New Roman" w:cs="Times New Roman"/>
          <w:sz w:val="24"/>
          <w:szCs w:val="24"/>
        </w:rPr>
        <w:t xml:space="preserve">по-голяма </w:t>
      </w:r>
      <w:r>
        <w:rPr>
          <w:rFonts w:ascii="Times New Roman" w:hAnsi="Times New Roman" w:cs="Times New Roman"/>
          <w:sz w:val="24"/>
          <w:szCs w:val="24"/>
        </w:rPr>
        <w:t xml:space="preserve">тежест  </w:t>
      </w:r>
      <w:r w:rsidR="007200DF">
        <w:rPr>
          <w:rFonts w:ascii="Times New Roman" w:hAnsi="Times New Roman" w:cs="Times New Roman"/>
          <w:sz w:val="24"/>
          <w:szCs w:val="24"/>
        </w:rPr>
        <w:t>за общини попадащи в</w:t>
      </w:r>
      <w:r w:rsidR="004D019C">
        <w:rPr>
          <w:rFonts w:ascii="Times New Roman" w:hAnsi="Times New Roman" w:cs="Times New Roman"/>
          <w:sz w:val="24"/>
          <w:szCs w:val="24"/>
        </w:rPr>
        <w:t xml:space="preserve"> следваща</w:t>
      </w:r>
      <w:r w:rsidR="007200DF">
        <w:rPr>
          <w:rFonts w:ascii="Times New Roman" w:hAnsi="Times New Roman" w:cs="Times New Roman"/>
          <w:sz w:val="24"/>
          <w:szCs w:val="24"/>
        </w:rPr>
        <w:t xml:space="preserve"> група с повече население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00DF" w:rsidRDefault="007200DF" w:rsidP="00484C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Групирането на общините, спрямо броя на населението</w:t>
      </w:r>
      <w:r w:rsidR="004D019C">
        <w:rPr>
          <w:rFonts w:ascii="Times New Roman" w:hAnsi="Times New Roman" w:cs="Times New Roman"/>
          <w:sz w:val="24"/>
          <w:szCs w:val="24"/>
        </w:rPr>
        <w:t xml:space="preserve"> и тежестта на всяка група</w:t>
      </w:r>
      <w:r>
        <w:rPr>
          <w:rFonts w:ascii="Times New Roman" w:hAnsi="Times New Roman" w:cs="Times New Roman"/>
          <w:sz w:val="24"/>
          <w:szCs w:val="24"/>
        </w:rPr>
        <w:t xml:space="preserve"> е както следва: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6568"/>
      </w:tblGrid>
      <w:tr w:rsidR="00C43B9B" w:rsidRPr="00C43B9B" w:rsidTr="000962D9">
        <w:trPr>
          <w:trHeight w:val="630"/>
        </w:trPr>
        <w:tc>
          <w:tcPr>
            <w:tcW w:w="93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DDEBF7"/>
            <w:vAlign w:val="center"/>
            <w:hideMark/>
          </w:tcPr>
          <w:p w:rsidR="00C43B9B" w:rsidRPr="00C43B9B" w:rsidRDefault="00C43B9B" w:rsidP="00C43B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Групиране на общините, спрямо броя население</w:t>
            </w:r>
          </w:p>
        </w:tc>
      </w:tr>
      <w:tr w:rsidR="00C43B9B" w:rsidRPr="00C43B9B" w:rsidTr="000962D9">
        <w:trPr>
          <w:trHeight w:val="300"/>
        </w:trPr>
        <w:tc>
          <w:tcPr>
            <w:tcW w:w="2803" w:type="dxa"/>
            <w:tcBorders>
              <w:top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до 2 000</w:t>
            </w:r>
          </w:p>
        </w:tc>
        <w:tc>
          <w:tcPr>
            <w:tcW w:w="6568" w:type="dxa"/>
            <w:tcBorders>
              <w:top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3</w:t>
            </w:r>
          </w:p>
        </w:tc>
      </w:tr>
      <w:tr w:rsidR="00C43B9B" w:rsidRPr="00C43B9B" w:rsidTr="000962D9">
        <w:trPr>
          <w:trHeight w:val="300"/>
        </w:trPr>
        <w:tc>
          <w:tcPr>
            <w:tcW w:w="2803" w:type="dxa"/>
            <w:shd w:val="clear" w:color="000000" w:fill="DDEBF7"/>
            <w:noWrap/>
            <w:vAlign w:val="bottom"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от 2 001 до 5 000</w:t>
            </w:r>
          </w:p>
        </w:tc>
        <w:tc>
          <w:tcPr>
            <w:tcW w:w="6568" w:type="dxa"/>
            <w:shd w:val="clear" w:color="000000" w:fill="DDEBF7"/>
            <w:noWrap/>
            <w:vAlign w:val="bottom"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10</w:t>
            </w:r>
          </w:p>
        </w:tc>
      </w:tr>
      <w:tr w:rsidR="00C43B9B" w:rsidRPr="00C43B9B" w:rsidTr="000962D9">
        <w:trPr>
          <w:trHeight w:val="300"/>
        </w:trPr>
        <w:tc>
          <w:tcPr>
            <w:tcW w:w="2803" w:type="dxa"/>
            <w:shd w:val="clear" w:color="000000" w:fill="DDEBF7"/>
            <w:noWrap/>
            <w:vAlign w:val="bottom"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от 5 001 до 10 000</w:t>
            </w:r>
          </w:p>
        </w:tc>
        <w:tc>
          <w:tcPr>
            <w:tcW w:w="6568" w:type="dxa"/>
            <w:shd w:val="clear" w:color="000000" w:fill="DDEBF7"/>
            <w:noWrap/>
            <w:vAlign w:val="bottom"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20</w:t>
            </w:r>
          </w:p>
        </w:tc>
      </w:tr>
      <w:tr w:rsidR="00C43B9B" w:rsidRPr="00C43B9B" w:rsidTr="000962D9">
        <w:trPr>
          <w:trHeight w:val="300"/>
        </w:trPr>
        <w:tc>
          <w:tcPr>
            <w:tcW w:w="2803" w:type="dxa"/>
            <w:shd w:val="clear" w:color="000000" w:fill="DDEBF7"/>
            <w:noWrap/>
            <w:vAlign w:val="bottom"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от 10 001 до 15 000</w:t>
            </w:r>
          </w:p>
        </w:tc>
        <w:tc>
          <w:tcPr>
            <w:tcW w:w="6568" w:type="dxa"/>
            <w:shd w:val="clear" w:color="000000" w:fill="DDEBF7"/>
            <w:noWrap/>
            <w:vAlign w:val="bottom"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30</w:t>
            </w:r>
          </w:p>
        </w:tc>
      </w:tr>
      <w:tr w:rsidR="00C43B9B" w:rsidRPr="00C43B9B" w:rsidTr="000962D9">
        <w:trPr>
          <w:trHeight w:val="315"/>
        </w:trPr>
        <w:tc>
          <w:tcPr>
            <w:tcW w:w="2803" w:type="dxa"/>
            <w:shd w:val="clear" w:color="000000" w:fill="DDEBF7"/>
            <w:noWrap/>
            <w:vAlign w:val="bottom"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от 15 001 до 20 000</w:t>
            </w:r>
          </w:p>
        </w:tc>
        <w:tc>
          <w:tcPr>
            <w:tcW w:w="6568" w:type="dxa"/>
            <w:shd w:val="clear" w:color="000000" w:fill="DDEBF7"/>
            <w:noWrap/>
            <w:vAlign w:val="bottom"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40</w:t>
            </w:r>
          </w:p>
        </w:tc>
      </w:tr>
      <w:tr w:rsidR="00C43B9B" w:rsidRPr="00C43B9B" w:rsidTr="000962D9">
        <w:trPr>
          <w:trHeight w:val="495"/>
        </w:trPr>
        <w:tc>
          <w:tcPr>
            <w:tcW w:w="2803" w:type="dxa"/>
            <w:shd w:val="clear" w:color="000000" w:fill="DDEBF7"/>
            <w:noWrap/>
            <w:hideMark/>
          </w:tcPr>
          <w:p w:rsidR="00C43B9B" w:rsidRPr="00C43B9B" w:rsidRDefault="00C43B9B" w:rsidP="00C43B9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C43B9B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lastRenderedPageBreak/>
              <w:t>над 20 001</w:t>
            </w:r>
          </w:p>
        </w:tc>
        <w:tc>
          <w:tcPr>
            <w:tcW w:w="6568" w:type="dxa"/>
            <w:shd w:val="clear" w:color="000000" w:fill="DDEBF7"/>
            <w:noWrap/>
            <w:hideMark/>
          </w:tcPr>
          <w:p w:rsidR="00C43B9B" w:rsidRPr="00C43B9B" w:rsidRDefault="003130EA" w:rsidP="0065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50</w:t>
            </w:r>
          </w:p>
        </w:tc>
      </w:tr>
    </w:tbl>
    <w:p w:rsidR="00C43B9B" w:rsidRDefault="00C43B9B" w:rsidP="00484C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2AA" w:rsidRDefault="007200DF" w:rsidP="007200DF">
      <w:pPr>
        <w:jc w:val="both"/>
        <w:rPr>
          <w:rFonts w:ascii="Times New Roman" w:hAnsi="Times New Roman" w:cs="Times New Roman"/>
          <w:sz w:val="24"/>
          <w:szCs w:val="24"/>
        </w:rPr>
      </w:pPr>
      <w:r w:rsidRPr="007200DF">
        <w:rPr>
          <w:rFonts w:ascii="Times New Roman" w:hAnsi="Times New Roman" w:cs="Times New Roman"/>
          <w:sz w:val="24"/>
          <w:szCs w:val="24"/>
        </w:rPr>
        <w:t xml:space="preserve">Разпределението на бюджет в методиката през индикатора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200DF">
        <w:rPr>
          <w:rFonts w:ascii="Times New Roman" w:hAnsi="Times New Roman" w:cs="Times New Roman"/>
          <w:sz w:val="24"/>
          <w:szCs w:val="24"/>
        </w:rPr>
        <w:t>Население - селски райони по общини към 31.12.2019 г.“, е по формулата:</w:t>
      </w:r>
    </w:p>
    <w:p w:rsidR="00FD12A2" w:rsidRDefault="00FD12A2" w:rsidP="00FD12A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="00AE73D4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POP</w:t>
      </w:r>
      <w:r w:rsidRPr="00FD12A2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 xml:space="preserve"> </w:t>
      </w:r>
      <w:r w:rsidR="000013E4" w:rsidRPr="00FD12A2">
        <w:rPr>
          <w:rFonts w:ascii="Times New Roman" w:hAnsi="Times New Roman" w:cs="Times New Roman"/>
          <w:b/>
          <w:sz w:val="24"/>
          <w:szCs w:val="24"/>
          <w:lang w:val="en-GB"/>
        </w:rPr>
        <w:t>=</w:t>
      </w:r>
      <w:r w:rsidRPr="00FD12A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013E4" w:rsidRPr="00FD12A2">
        <w:rPr>
          <w:rFonts w:ascii="Times New Roman" w:hAnsi="Times New Roman" w:cs="Times New Roman"/>
          <w:b/>
          <w:sz w:val="24"/>
          <w:szCs w:val="24"/>
          <w:lang w:val="en-GB"/>
        </w:rPr>
        <w:t>(Q</w:t>
      </w:r>
      <w:r w:rsidR="000013E4" w:rsidRPr="00FD12A2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WF</w:t>
      </w:r>
      <w:r>
        <w:rPr>
          <w:rFonts w:ascii="Times New Roman" w:hAnsi="Times New Roman" w:cs="Times New Roman"/>
          <w:b/>
          <w:sz w:val="24"/>
          <w:szCs w:val="24"/>
        </w:rPr>
        <w:t xml:space="preserve"> ÷ </w:t>
      </w:r>
      <w:r w:rsidR="000013E4" w:rsidRPr="00FD12A2">
        <w:rPr>
          <w:rFonts w:ascii="Times New Roman" w:hAnsi="Times New Roman" w:cs="Times New Roman"/>
          <w:b/>
          <w:sz w:val="24"/>
          <w:szCs w:val="24"/>
          <w:lang w:val="en-GB"/>
        </w:rPr>
        <w:t>∑Q</w:t>
      </w:r>
      <w:r w:rsidR="000013E4" w:rsidRPr="00FD12A2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WF</w:t>
      </w:r>
      <w:r w:rsidR="000013E4" w:rsidRPr="00FD12A2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FD12A2" w:rsidRDefault="00FD12A2" w:rsidP="00FD12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12A2">
        <w:rPr>
          <w:rFonts w:ascii="Times New Roman" w:hAnsi="Times New Roman" w:cs="Times New Roman"/>
          <w:sz w:val="24"/>
          <w:szCs w:val="24"/>
        </w:rPr>
        <w:t>където:</w:t>
      </w:r>
    </w:p>
    <w:p w:rsidR="00FD12A2" w:rsidRDefault="00FD12A2" w:rsidP="00FD12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12A2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="00AE73D4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POP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FD12A2">
        <w:rPr>
          <w:rFonts w:ascii="Times New Roman" w:hAnsi="Times New Roman" w:cs="Times New Roman"/>
          <w:sz w:val="24"/>
          <w:szCs w:val="24"/>
        </w:rPr>
        <w:t>е коефициента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индикатора </w:t>
      </w:r>
      <w:r w:rsidRPr="00FD12A2">
        <w:rPr>
          <w:rFonts w:ascii="Times New Roman" w:hAnsi="Times New Roman" w:cs="Times New Roman"/>
          <w:sz w:val="24"/>
          <w:szCs w:val="24"/>
        </w:rPr>
        <w:t>„Население - селски райони по общини към 31.12.2019 г</w:t>
      </w:r>
      <w:proofErr w:type="gramStart"/>
      <w:r w:rsidRPr="00FD12A2">
        <w:rPr>
          <w:rFonts w:ascii="Times New Roman" w:hAnsi="Times New Roman" w:cs="Times New Roman"/>
          <w:sz w:val="24"/>
          <w:szCs w:val="24"/>
        </w:rPr>
        <w:t>.“</w:t>
      </w:r>
      <w:proofErr w:type="gramEnd"/>
    </w:p>
    <w:p w:rsidR="00FD12A2" w:rsidRDefault="00FD12A2" w:rsidP="00FD12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12A2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Pr="00FD12A2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WF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 определеният коефициент на тежест за всяка община попадаща в съответната група съобразно посочената по-горе таблица.</w:t>
      </w:r>
    </w:p>
    <w:p w:rsidR="00FD12A2" w:rsidRDefault="00FD12A2" w:rsidP="00FD12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12A2">
        <w:rPr>
          <w:rFonts w:ascii="Times New Roman" w:hAnsi="Times New Roman" w:cs="Times New Roman"/>
          <w:b/>
          <w:sz w:val="24"/>
          <w:szCs w:val="24"/>
          <w:lang w:val="en-GB"/>
        </w:rPr>
        <w:t>∑Q</w:t>
      </w:r>
      <w:r w:rsidRPr="00FD12A2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WF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</w:t>
      </w:r>
      <w:proofErr w:type="gramStart"/>
      <w:r w:rsidR="001D23D7">
        <w:rPr>
          <w:rFonts w:ascii="Times New Roman" w:hAnsi="Times New Roman" w:cs="Times New Roman"/>
          <w:sz w:val="24"/>
          <w:szCs w:val="24"/>
        </w:rPr>
        <w:t xml:space="preserve">- </w:t>
      </w:r>
      <w:r w:rsidR="001D23D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сумата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определените </w:t>
      </w:r>
      <w:r w:rsidRPr="00FD12A2">
        <w:rPr>
          <w:rFonts w:ascii="Times New Roman" w:hAnsi="Times New Roman" w:cs="Times New Roman"/>
          <w:sz w:val="24"/>
          <w:szCs w:val="24"/>
        </w:rPr>
        <w:t>коефициент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12A2">
        <w:rPr>
          <w:rFonts w:ascii="Times New Roman" w:hAnsi="Times New Roman" w:cs="Times New Roman"/>
          <w:sz w:val="24"/>
          <w:szCs w:val="24"/>
        </w:rPr>
        <w:t xml:space="preserve"> на тежест за всяка община попадаща в съответната група съобразно посочената по-горе таблица.</w:t>
      </w:r>
    </w:p>
    <w:p w:rsidR="00FD12A2" w:rsidRPr="00FD12A2" w:rsidRDefault="00FD12A2" w:rsidP="00FD12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3D7" w:rsidRPr="001D23D7" w:rsidRDefault="001D23D7" w:rsidP="001D23D7">
      <w:pPr>
        <w:jc w:val="both"/>
        <w:rPr>
          <w:rFonts w:ascii="Times New Roman" w:hAnsi="Times New Roman" w:cs="Times New Roman"/>
          <w:sz w:val="24"/>
          <w:szCs w:val="24"/>
        </w:rPr>
      </w:pPr>
      <w:r w:rsidRPr="001D23D7">
        <w:rPr>
          <w:rFonts w:ascii="Times New Roman" w:hAnsi="Times New Roman" w:cs="Times New Roman"/>
          <w:sz w:val="24"/>
          <w:szCs w:val="24"/>
        </w:rPr>
        <w:t>В методиката е приложен модел за натрупване на коефициентните индикатори за всеки от критериите, като изчисленията</w:t>
      </w:r>
      <w:r>
        <w:rPr>
          <w:rFonts w:ascii="Times New Roman" w:hAnsi="Times New Roman" w:cs="Times New Roman"/>
          <w:sz w:val="24"/>
          <w:szCs w:val="24"/>
        </w:rPr>
        <w:t xml:space="preserve"> продължават</w:t>
      </w:r>
      <w:r w:rsidRPr="001D23D7">
        <w:rPr>
          <w:rFonts w:ascii="Times New Roman" w:hAnsi="Times New Roman" w:cs="Times New Roman"/>
          <w:sz w:val="24"/>
          <w:szCs w:val="24"/>
        </w:rPr>
        <w:t xml:space="preserve"> по следната формула:</w:t>
      </w:r>
    </w:p>
    <w:p w:rsidR="00EF36EC" w:rsidRDefault="00EF36EC" w:rsidP="00EF36EC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ab/>
        <w:t>B</w:t>
      </w:r>
      <w:r w:rsidRPr="00EF36EC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  <w:t>POP</w:t>
      </w:r>
      <w:r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>= Q</w:t>
      </w:r>
      <w:r w:rsidRPr="00EF36EC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  <w:t>ACC2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 xml:space="preserve"> </w:t>
      </w:r>
      <w:r w:rsidR="0081327A"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>×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 xml:space="preserve"> B</w:t>
      </w:r>
      <w:r w:rsidRPr="00EF36EC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  <w:t>TL</w:t>
      </w:r>
    </w:p>
    <w:p w:rsidR="00EF36EC" w:rsidRPr="00EF36EC" w:rsidRDefault="00EF36EC" w:rsidP="00EF36E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GB"/>
        </w:rPr>
        <w:tab/>
      </w:r>
      <w:r w:rsidRPr="00EF36EC">
        <w:rPr>
          <w:rFonts w:ascii="Times New Roman" w:eastAsiaTheme="minorEastAsia" w:hAnsi="Times New Roman" w:cs="Times New Roman"/>
          <w:sz w:val="24"/>
          <w:szCs w:val="24"/>
        </w:rPr>
        <w:t>където:</w:t>
      </w:r>
    </w:p>
    <w:p w:rsidR="001D23D7" w:rsidRPr="001D23D7" w:rsidRDefault="001D23D7" w:rsidP="001D23D7">
      <w:pPr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  <w:lang w:val="en-GB"/>
            </w:rPr>
            <m:t>Qacc2=</m:t>
          </m:r>
          <m:f>
            <m:fPr>
              <m:ctrlPr>
                <w:rPr>
                  <w:rFonts w:ascii="Cambria Math" w:hAnsi="Cambria Math" w:cs="Times New Roman"/>
                  <w:b/>
                  <w:sz w:val="24"/>
                  <w:szCs w:val="24"/>
                  <w:lang w:val="en-GB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Qacc1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Q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  <w:lang w:val="en-GB"/>
                </w:rPr>
                <m:t>POPU</m:t>
              </m:r>
            </m:num>
            <m:den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∑Qacc2</m:t>
              </m:r>
            </m:den>
          </m:f>
        </m:oMath>
      </m:oMathPara>
    </w:p>
    <w:p w:rsidR="001D23D7" w:rsidRPr="001D23D7" w:rsidRDefault="001D23D7" w:rsidP="001D23D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23D7">
        <w:rPr>
          <w:rFonts w:ascii="Times New Roman" w:hAnsi="Times New Roman" w:cs="Times New Roman"/>
          <w:sz w:val="24"/>
          <w:szCs w:val="24"/>
        </w:rPr>
        <w:t>където:</w:t>
      </w:r>
    </w:p>
    <w:p w:rsidR="00EF36EC" w:rsidRPr="00EF36EC" w:rsidRDefault="00EF36EC" w:rsidP="001D23D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F36EC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TL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F36EC">
        <w:rPr>
          <w:rFonts w:ascii="Times New Roman" w:hAnsi="Times New Roman" w:cs="Times New Roman"/>
          <w:sz w:val="24"/>
          <w:szCs w:val="24"/>
        </w:rPr>
        <w:t>е общо разполагаемият за разпределение бюджет</w:t>
      </w:r>
    </w:p>
    <w:p w:rsidR="007200DF" w:rsidRDefault="001D23D7" w:rsidP="001D23D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23D7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Pr="001D23D7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ACC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D23D7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 </w:t>
      </w:r>
      <w:r w:rsidRPr="001D23D7">
        <w:rPr>
          <w:rFonts w:ascii="Times New Roman" w:hAnsi="Times New Roman" w:cs="Times New Roman"/>
          <w:sz w:val="24"/>
          <w:szCs w:val="24"/>
        </w:rPr>
        <w:t>е коефициента, получен с натрупване от коефициентите по показателите „Линия на бедност</w:t>
      </w:r>
      <w:proofErr w:type="gramStart"/>
      <w:r w:rsidRPr="001D23D7">
        <w:rPr>
          <w:rFonts w:ascii="Times New Roman" w:hAnsi="Times New Roman" w:cs="Times New Roman"/>
          <w:sz w:val="24"/>
          <w:szCs w:val="24"/>
        </w:rPr>
        <w:t>“</w:t>
      </w:r>
      <w:r w:rsidR="0094256A">
        <w:rPr>
          <w:rFonts w:ascii="Times New Roman" w:hAnsi="Times New Roman" w:cs="Times New Roman"/>
          <w:sz w:val="24"/>
          <w:szCs w:val="24"/>
          <w:lang w:val="en-GB"/>
        </w:rPr>
        <w:t xml:space="preserve"> +</w:t>
      </w:r>
      <w:proofErr w:type="gramEnd"/>
      <w:r w:rsidRPr="001D23D7">
        <w:rPr>
          <w:rFonts w:ascii="Times New Roman" w:hAnsi="Times New Roman" w:cs="Times New Roman"/>
          <w:sz w:val="24"/>
          <w:szCs w:val="24"/>
        </w:rPr>
        <w:t xml:space="preserve"> „</w:t>
      </w:r>
      <w:r w:rsidR="00D739F6" w:rsidRPr="00D739F6">
        <w:rPr>
          <w:rFonts w:ascii="Times New Roman" w:hAnsi="Times New Roman" w:cs="Times New Roman"/>
          <w:sz w:val="24"/>
          <w:szCs w:val="24"/>
        </w:rPr>
        <w:t>Равнище на безработица в страната по общини</w:t>
      </w:r>
      <w:r w:rsidRPr="001D23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CAA">
        <w:rPr>
          <w:rFonts w:ascii="Times New Roman" w:hAnsi="Times New Roman" w:cs="Times New Roman"/>
          <w:sz w:val="24"/>
          <w:szCs w:val="24"/>
          <w:lang w:val="en-GB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1D23D7">
        <w:rPr>
          <w:rFonts w:ascii="Times New Roman" w:hAnsi="Times New Roman" w:cs="Times New Roman"/>
          <w:sz w:val="24"/>
          <w:szCs w:val="24"/>
        </w:rPr>
        <w:t>Население - селски райони по общини към 31.12.2019 г.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1D23D7" w:rsidRPr="001D23D7" w:rsidRDefault="001D23D7" w:rsidP="00F71961">
      <w:pPr>
        <w:pStyle w:val="ListParagraph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3D7">
        <w:rPr>
          <w:rFonts w:ascii="Times New Roman" w:hAnsi="Times New Roman" w:cs="Times New Roman"/>
          <w:b/>
          <w:sz w:val="24"/>
          <w:szCs w:val="24"/>
        </w:rPr>
        <w:t xml:space="preserve">Население </w:t>
      </w:r>
      <w:r w:rsidR="00F71961">
        <w:rPr>
          <w:rFonts w:ascii="Times New Roman" w:hAnsi="Times New Roman" w:cs="Times New Roman"/>
          <w:b/>
          <w:sz w:val="24"/>
          <w:szCs w:val="24"/>
        </w:rPr>
        <w:t>в трудоспособна възраст</w:t>
      </w:r>
      <w:r w:rsidRPr="001D23D7">
        <w:rPr>
          <w:rFonts w:ascii="Times New Roman" w:hAnsi="Times New Roman" w:cs="Times New Roman"/>
          <w:b/>
          <w:sz w:val="24"/>
          <w:szCs w:val="24"/>
        </w:rPr>
        <w:t xml:space="preserve"> към 31.12.2018 г. по общини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Pr="001D23D7">
        <w:rPr>
          <w:rFonts w:ascii="Times New Roman" w:hAnsi="Times New Roman" w:cs="Times New Roman"/>
          <w:sz w:val="24"/>
          <w:szCs w:val="24"/>
        </w:rPr>
        <w:t>данните са приложени съгласно официална информация на НСИ по описаната от Института методика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1D23D7" w:rsidRDefault="00F71961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 този критерии се цели насочване на по-голям размер средства към общини, на чиято територия живее население в трудоспособна възраст по-голям процент спрямо други.</w:t>
      </w:r>
    </w:p>
    <w:p w:rsidR="00F71961" w:rsidRDefault="00AE73D4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 w:rsidRPr="00AE73D4">
        <w:rPr>
          <w:rFonts w:ascii="Times New Roman" w:hAnsi="Times New Roman" w:cs="Times New Roman"/>
          <w:sz w:val="24"/>
          <w:szCs w:val="24"/>
        </w:rPr>
        <w:t>Разпределението на бюджет в методиката през индикатора „Население - селски райони по общини към 31.12.2019 г.“, е по формулата:</w:t>
      </w:r>
    </w:p>
    <w:p w:rsidR="00AE73D4" w:rsidRDefault="00AE73D4" w:rsidP="0081327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</w:pPr>
      <w:r w:rsidRPr="0081327A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Q</w:t>
      </w:r>
      <w:r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 xml:space="preserve">POP2 </w:t>
      </w:r>
      <w:r w:rsidRPr="0081327A">
        <w:rPr>
          <w:rFonts w:ascii="Times New Roman" w:hAnsi="Times New Roman" w:cs="Times New Roman"/>
          <w:b/>
          <w:sz w:val="24"/>
          <w:szCs w:val="24"/>
          <w:lang w:val="en-GB"/>
        </w:rPr>
        <w:t xml:space="preserve">= </w:t>
      </w:r>
      <w:r w:rsidR="0081327A" w:rsidRPr="0081327A">
        <w:rPr>
          <w:rFonts w:ascii="Times New Roman" w:hAnsi="Times New Roman" w:cs="Times New Roman"/>
          <w:b/>
          <w:sz w:val="24"/>
          <w:szCs w:val="24"/>
          <w:lang w:val="en-GB"/>
        </w:rPr>
        <w:t>POP</w:t>
      </w:r>
      <w:r w:rsidR="0081327A"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  <w:r w:rsidR="0081327A" w:rsidRPr="0081327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÷ ∑POP</w:t>
      </w:r>
      <w:r w:rsidR="0081327A"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</w:p>
    <w:p w:rsidR="0081327A" w:rsidRDefault="0081327A" w:rsidP="00813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където:</w:t>
      </w:r>
    </w:p>
    <w:p w:rsidR="0081327A" w:rsidRDefault="0081327A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327A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POP2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 коефициента през индикатора „</w:t>
      </w:r>
      <w:r w:rsidRPr="0081327A">
        <w:rPr>
          <w:rFonts w:ascii="Times New Roman" w:hAnsi="Times New Roman" w:cs="Times New Roman"/>
          <w:sz w:val="24"/>
          <w:szCs w:val="24"/>
        </w:rPr>
        <w:t>Население в трудоспособна възраст към 31.12.2018 г. по общини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81327A" w:rsidRDefault="0081327A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327A">
        <w:rPr>
          <w:rFonts w:ascii="Times New Roman" w:hAnsi="Times New Roman" w:cs="Times New Roman"/>
          <w:b/>
          <w:sz w:val="24"/>
          <w:szCs w:val="24"/>
          <w:lang w:val="en-GB"/>
        </w:rPr>
        <w:t>POP</w:t>
      </w:r>
      <w:r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 процентът на населението в трудоспособна възраст в съответна община, съгласно данни от НСИ, представени в </w:t>
      </w:r>
      <w:r w:rsidRPr="00D5476A">
        <w:rPr>
          <w:rFonts w:ascii="Times New Roman" w:hAnsi="Times New Roman" w:cs="Times New Roman"/>
          <w:b/>
          <w:sz w:val="24"/>
          <w:szCs w:val="24"/>
        </w:rPr>
        <w:t>Приложение 4</w:t>
      </w:r>
      <w:r>
        <w:rPr>
          <w:rFonts w:ascii="Times New Roman" w:hAnsi="Times New Roman" w:cs="Times New Roman"/>
          <w:sz w:val="24"/>
          <w:szCs w:val="24"/>
        </w:rPr>
        <w:t xml:space="preserve"> към настоящата методика</w:t>
      </w:r>
    </w:p>
    <w:p w:rsidR="0081327A" w:rsidRDefault="0081327A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327A">
        <w:rPr>
          <w:rFonts w:ascii="Times New Roman" w:hAnsi="Times New Roman" w:cs="Times New Roman"/>
          <w:b/>
          <w:sz w:val="24"/>
          <w:szCs w:val="24"/>
          <w:lang w:val="en-GB"/>
        </w:rPr>
        <w:t>∑POP</w:t>
      </w:r>
      <w:r w:rsidRPr="008132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 сбора на процентите </w:t>
      </w:r>
      <w:r w:rsidRPr="0081327A">
        <w:rPr>
          <w:rFonts w:ascii="Times New Roman" w:hAnsi="Times New Roman" w:cs="Times New Roman"/>
          <w:sz w:val="24"/>
          <w:szCs w:val="24"/>
        </w:rPr>
        <w:t xml:space="preserve">на населението в трудоспособна възраст в </w:t>
      </w:r>
      <w:r>
        <w:rPr>
          <w:rFonts w:ascii="Times New Roman" w:hAnsi="Times New Roman" w:cs="Times New Roman"/>
          <w:sz w:val="24"/>
          <w:szCs w:val="24"/>
        </w:rPr>
        <w:t>общините попадащи в обхвата на методиката</w:t>
      </w:r>
    </w:p>
    <w:p w:rsidR="0081327A" w:rsidRDefault="0081327A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 w:rsidRPr="0081327A">
        <w:rPr>
          <w:rFonts w:ascii="Times New Roman" w:hAnsi="Times New Roman" w:cs="Times New Roman"/>
          <w:sz w:val="24"/>
          <w:szCs w:val="24"/>
        </w:rPr>
        <w:t>В методиката е приложен модел за натрупване на коефициентните индикатори за всеки от критериите, като изчисленията продължават по следната формула:</w:t>
      </w:r>
    </w:p>
    <w:p w:rsidR="0081327A" w:rsidRPr="00D5476A" w:rsidRDefault="0081327A" w:rsidP="0081327A">
      <w:pPr>
        <w:ind w:left="720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  <w:lang w:val="en-GB"/>
            </w:rPr>
            <m:t>Qacc3=</m:t>
          </m:r>
          <m:f>
            <m:fPr>
              <m:ctrlPr>
                <w:rPr>
                  <w:rFonts w:ascii="Cambria Math" w:hAnsi="Cambria Math" w:cs="Times New Roman"/>
                  <w:b/>
                  <w:sz w:val="24"/>
                  <w:szCs w:val="24"/>
                  <w:lang w:val="en-GB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Qacc2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Q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vertAlign w:val="subscript"/>
                  <w:lang w:val="en-GB"/>
                </w:rPr>
                <m:t>POP2</m:t>
              </m:r>
            </m:num>
            <m:den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∑Qacc3</m:t>
              </m:r>
            </m:den>
          </m:f>
        </m:oMath>
      </m:oMathPara>
    </w:p>
    <w:p w:rsidR="00D5476A" w:rsidRPr="00D5476A" w:rsidRDefault="00D5476A" w:rsidP="00D54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D5476A">
        <w:rPr>
          <w:rFonts w:ascii="Times New Roman" w:eastAsiaTheme="minorEastAsia" w:hAnsi="Times New Roman" w:cs="Times New Roman"/>
          <w:sz w:val="24"/>
          <w:szCs w:val="24"/>
        </w:rPr>
        <w:t>където:</w:t>
      </w:r>
    </w:p>
    <w:p w:rsidR="00D5476A" w:rsidRDefault="00D5476A" w:rsidP="00D54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476A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 w:rsidRPr="00D5476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ACC</w:t>
      </w:r>
      <w:r w:rsidRPr="00D5476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D5476A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 </w:t>
      </w:r>
      <w:r w:rsidRPr="00D5476A">
        <w:rPr>
          <w:rFonts w:ascii="Times New Roman" w:hAnsi="Times New Roman" w:cs="Times New Roman"/>
          <w:sz w:val="24"/>
          <w:szCs w:val="24"/>
        </w:rPr>
        <w:t>е коефициента, получен с натрупване от коефициентите по показателите „Линия на бедност</w:t>
      </w:r>
      <w:proofErr w:type="gramStart"/>
      <w:r w:rsidRPr="00D5476A">
        <w:rPr>
          <w:rFonts w:ascii="Times New Roman" w:hAnsi="Times New Roman" w:cs="Times New Roman"/>
          <w:sz w:val="24"/>
          <w:szCs w:val="24"/>
        </w:rPr>
        <w:t>“</w:t>
      </w:r>
      <w:r w:rsidR="00104331">
        <w:rPr>
          <w:rFonts w:ascii="Times New Roman" w:hAnsi="Times New Roman" w:cs="Times New Roman"/>
          <w:sz w:val="24"/>
          <w:szCs w:val="24"/>
          <w:lang w:val="en-GB"/>
        </w:rPr>
        <w:t xml:space="preserve"> +</w:t>
      </w:r>
      <w:proofErr w:type="gramEnd"/>
      <w:r w:rsidRPr="00D5476A">
        <w:rPr>
          <w:rFonts w:ascii="Times New Roman" w:hAnsi="Times New Roman" w:cs="Times New Roman"/>
          <w:sz w:val="24"/>
          <w:szCs w:val="24"/>
        </w:rPr>
        <w:t xml:space="preserve"> „</w:t>
      </w:r>
      <w:r w:rsidR="00D739F6" w:rsidRPr="00D739F6">
        <w:rPr>
          <w:rFonts w:ascii="Times New Roman" w:hAnsi="Times New Roman" w:cs="Times New Roman"/>
          <w:sz w:val="24"/>
          <w:szCs w:val="24"/>
        </w:rPr>
        <w:t>Равнище на безработица в страната по общини</w:t>
      </w:r>
      <w:r w:rsidRPr="00D5476A">
        <w:rPr>
          <w:rFonts w:ascii="Times New Roman" w:hAnsi="Times New Roman" w:cs="Times New Roman"/>
          <w:sz w:val="24"/>
          <w:szCs w:val="24"/>
        </w:rPr>
        <w:t>“</w:t>
      </w:r>
      <w:r w:rsidR="00104331">
        <w:rPr>
          <w:rFonts w:ascii="Times New Roman" w:hAnsi="Times New Roman" w:cs="Times New Roman"/>
          <w:sz w:val="24"/>
          <w:szCs w:val="24"/>
          <w:lang w:val="en-GB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476A">
        <w:rPr>
          <w:rFonts w:ascii="Times New Roman" w:hAnsi="Times New Roman" w:cs="Times New Roman"/>
          <w:sz w:val="24"/>
          <w:szCs w:val="24"/>
        </w:rPr>
        <w:t xml:space="preserve"> „Население - селски райони по общини към 31.12.2019 г.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104331">
        <w:rPr>
          <w:rFonts w:ascii="Times New Roman" w:hAnsi="Times New Roman" w:cs="Times New Roman"/>
          <w:sz w:val="24"/>
          <w:szCs w:val="24"/>
          <w:lang w:val="en-GB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D5476A">
        <w:rPr>
          <w:rFonts w:ascii="Times New Roman" w:hAnsi="Times New Roman" w:cs="Times New Roman"/>
          <w:sz w:val="24"/>
          <w:szCs w:val="24"/>
        </w:rPr>
        <w:t>Население в трудоспособна възраст към 31.12.2018 г. по общини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D019C">
        <w:rPr>
          <w:rFonts w:ascii="Times New Roman" w:hAnsi="Times New Roman" w:cs="Times New Roman"/>
          <w:sz w:val="24"/>
          <w:szCs w:val="24"/>
        </w:rPr>
        <w:t>.</w:t>
      </w:r>
    </w:p>
    <w:p w:rsidR="004D019C" w:rsidRDefault="004D019C" w:rsidP="00D5476A">
      <w:pPr>
        <w:jc w:val="both"/>
        <w:rPr>
          <w:rFonts w:ascii="Times New Roman" w:hAnsi="Times New Roman" w:cs="Times New Roman"/>
          <w:sz w:val="24"/>
          <w:szCs w:val="24"/>
        </w:rPr>
      </w:pPr>
      <w:r w:rsidRPr="004D019C">
        <w:rPr>
          <w:rFonts w:ascii="Times New Roman" w:hAnsi="Times New Roman" w:cs="Times New Roman"/>
          <w:sz w:val="24"/>
          <w:szCs w:val="24"/>
        </w:rPr>
        <w:t>Коефициентът на тежест на критерий „Население - селски райони по общини към 31.12.2019 г.“ спрямо критерии „Равнище на без</w:t>
      </w:r>
      <w:r>
        <w:rPr>
          <w:rFonts w:ascii="Times New Roman" w:hAnsi="Times New Roman" w:cs="Times New Roman"/>
          <w:sz w:val="24"/>
          <w:szCs w:val="24"/>
        </w:rPr>
        <w:t>работица в страната по общини“,</w:t>
      </w:r>
      <w:r w:rsidRPr="004D019C">
        <w:rPr>
          <w:rFonts w:ascii="Times New Roman" w:hAnsi="Times New Roman" w:cs="Times New Roman"/>
          <w:sz w:val="24"/>
          <w:szCs w:val="24"/>
        </w:rPr>
        <w:t xml:space="preserve">  „Линия на бедност“ </w:t>
      </w:r>
      <w:r>
        <w:rPr>
          <w:rFonts w:ascii="Times New Roman" w:hAnsi="Times New Roman" w:cs="Times New Roman"/>
          <w:sz w:val="24"/>
          <w:szCs w:val="24"/>
        </w:rPr>
        <w:t>и „</w:t>
      </w:r>
      <w:r w:rsidRPr="004D019C">
        <w:rPr>
          <w:rFonts w:ascii="Times New Roman" w:hAnsi="Times New Roman" w:cs="Times New Roman"/>
          <w:sz w:val="24"/>
          <w:szCs w:val="24"/>
        </w:rPr>
        <w:t>Население в трудоспособна възраст към 31.12.2018 г. по общини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D019C">
        <w:rPr>
          <w:rFonts w:ascii="Times New Roman" w:hAnsi="Times New Roman" w:cs="Times New Roman"/>
          <w:sz w:val="24"/>
          <w:szCs w:val="24"/>
        </w:rPr>
        <w:t xml:space="preserve"> е 70 към 30 на сто, с оглед насочването на повече средства към по-</w:t>
      </w:r>
      <w:r w:rsidR="003130EA">
        <w:rPr>
          <w:rFonts w:ascii="Times New Roman" w:hAnsi="Times New Roman" w:cs="Times New Roman"/>
          <w:sz w:val="24"/>
          <w:szCs w:val="24"/>
        </w:rPr>
        <w:t>многолюдните</w:t>
      </w:r>
      <w:r w:rsidRPr="004D019C">
        <w:rPr>
          <w:rFonts w:ascii="Times New Roman" w:hAnsi="Times New Roman" w:cs="Times New Roman"/>
          <w:sz w:val="24"/>
          <w:szCs w:val="24"/>
        </w:rPr>
        <w:t xml:space="preserve"> общини на страната и респективно задържане на населението в тях.</w:t>
      </w:r>
    </w:p>
    <w:p w:rsidR="0023193B" w:rsidRDefault="0023193B" w:rsidP="00D54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Окончателните данни с разпределението на бюджети за общините в обхвата на настоящата методика, са представени в </w:t>
      </w:r>
      <w:r w:rsidRPr="0023193B">
        <w:rPr>
          <w:rFonts w:ascii="Times New Roman" w:hAnsi="Times New Roman" w:cs="Times New Roman"/>
          <w:b/>
          <w:sz w:val="24"/>
          <w:szCs w:val="24"/>
        </w:rPr>
        <w:t>Приложение 5</w:t>
      </w:r>
      <w:r>
        <w:rPr>
          <w:rFonts w:ascii="Times New Roman" w:hAnsi="Times New Roman" w:cs="Times New Roman"/>
          <w:sz w:val="24"/>
          <w:szCs w:val="24"/>
        </w:rPr>
        <w:t xml:space="preserve"> към същата. Представените данни в </w:t>
      </w:r>
      <w:r w:rsidRPr="008664ED">
        <w:rPr>
          <w:rFonts w:ascii="Times New Roman" w:hAnsi="Times New Roman" w:cs="Times New Roman"/>
          <w:b/>
          <w:sz w:val="24"/>
          <w:szCs w:val="24"/>
        </w:rPr>
        <w:t>Приложение 5</w:t>
      </w:r>
      <w:r>
        <w:rPr>
          <w:rFonts w:ascii="Times New Roman" w:hAnsi="Times New Roman" w:cs="Times New Roman"/>
          <w:sz w:val="24"/>
          <w:szCs w:val="24"/>
        </w:rPr>
        <w:t xml:space="preserve"> са базирани на извършени изчисления </w:t>
      </w:r>
      <w:r w:rsidR="008664ED">
        <w:rPr>
          <w:rFonts w:ascii="Times New Roman" w:hAnsi="Times New Roman" w:cs="Times New Roman"/>
          <w:sz w:val="24"/>
          <w:szCs w:val="24"/>
        </w:rPr>
        <w:t>чрез натрупване на посочените по-горе критерии.</w:t>
      </w:r>
    </w:p>
    <w:p w:rsidR="0023193B" w:rsidRDefault="0023193B" w:rsidP="00D5476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476A" w:rsidRPr="00D5476A" w:rsidRDefault="00D5476A" w:rsidP="00D54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1327A" w:rsidRPr="0081327A" w:rsidRDefault="00D5476A" w:rsidP="00F719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1327A" w:rsidRPr="0081327A" w:rsidSect="005322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5E5" w:rsidRDefault="003B65E5" w:rsidP="001C524B">
      <w:pPr>
        <w:spacing w:after="0" w:line="240" w:lineRule="auto"/>
      </w:pPr>
      <w:r>
        <w:separator/>
      </w:r>
    </w:p>
  </w:endnote>
  <w:endnote w:type="continuationSeparator" w:id="0">
    <w:p w:rsidR="003B65E5" w:rsidRDefault="003B65E5" w:rsidP="001C5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4B" w:rsidRDefault="001C5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4B" w:rsidRDefault="001C52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4B" w:rsidRDefault="001C5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5E5" w:rsidRDefault="003B65E5" w:rsidP="001C524B">
      <w:pPr>
        <w:spacing w:after="0" w:line="240" w:lineRule="auto"/>
      </w:pPr>
      <w:r>
        <w:separator/>
      </w:r>
    </w:p>
  </w:footnote>
  <w:footnote w:type="continuationSeparator" w:id="0">
    <w:p w:rsidR="003B65E5" w:rsidRDefault="003B65E5" w:rsidP="001C5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4B" w:rsidRDefault="001C5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021028"/>
      <w:docPartObj>
        <w:docPartGallery w:val="Watermarks"/>
        <w:docPartUnique/>
      </w:docPartObj>
    </w:sdtPr>
    <w:sdtEndPr/>
    <w:sdtContent>
      <w:p w:rsidR="001C524B" w:rsidRDefault="003B65E5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439.9pt;height:219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4B" w:rsidRDefault="001C52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5C54"/>
    <w:multiLevelType w:val="hybridMultilevel"/>
    <w:tmpl w:val="F4FCF61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87D8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3370ED"/>
    <w:multiLevelType w:val="hybridMultilevel"/>
    <w:tmpl w:val="FCDAFD24"/>
    <w:lvl w:ilvl="0" w:tplc="08A02A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24D4A"/>
    <w:multiLevelType w:val="hybridMultilevel"/>
    <w:tmpl w:val="104C7AD6"/>
    <w:lvl w:ilvl="0" w:tplc="A8368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5B"/>
    <w:rsid w:val="000013E4"/>
    <w:rsid w:val="00012FA6"/>
    <w:rsid w:val="000367C7"/>
    <w:rsid w:val="000962D9"/>
    <w:rsid w:val="00104271"/>
    <w:rsid w:val="00104331"/>
    <w:rsid w:val="001109B8"/>
    <w:rsid w:val="00147058"/>
    <w:rsid w:val="001C524B"/>
    <w:rsid w:val="001D23D7"/>
    <w:rsid w:val="002174F4"/>
    <w:rsid w:val="0022752F"/>
    <w:rsid w:val="0023193B"/>
    <w:rsid w:val="002755E9"/>
    <w:rsid w:val="00275634"/>
    <w:rsid w:val="00295BCE"/>
    <w:rsid w:val="002E1175"/>
    <w:rsid w:val="003130EA"/>
    <w:rsid w:val="003169F2"/>
    <w:rsid w:val="0032528D"/>
    <w:rsid w:val="00340630"/>
    <w:rsid w:val="00355787"/>
    <w:rsid w:val="00373F63"/>
    <w:rsid w:val="003B65E5"/>
    <w:rsid w:val="003F68CF"/>
    <w:rsid w:val="00417F0B"/>
    <w:rsid w:val="004638EE"/>
    <w:rsid w:val="00484C67"/>
    <w:rsid w:val="004A72E3"/>
    <w:rsid w:val="004D019C"/>
    <w:rsid w:val="004F34A9"/>
    <w:rsid w:val="004F5CFA"/>
    <w:rsid w:val="005322E0"/>
    <w:rsid w:val="00533007"/>
    <w:rsid w:val="00557040"/>
    <w:rsid w:val="005C2344"/>
    <w:rsid w:val="005E59B8"/>
    <w:rsid w:val="0065361D"/>
    <w:rsid w:val="0066489D"/>
    <w:rsid w:val="00683480"/>
    <w:rsid w:val="006C31BC"/>
    <w:rsid w:val="007200DF"/>
    <w:rsid w:val="007565AF"/>
    <w:rsid w:val="007709B0"/>
    <w:rsid w:val="00794DDC"/>
    <w:rsid w:val="007A47C1"/>
    <w:rsid w:val="007A6F40"/>
    <w:rsid w:val="007C45AE"/>
    <w:rsid w:val="007F553D"/>
    <w:rsid w:val="00811CAA"/>
    <w:rsid w:val="0081327A"/>
    <w:rsid w:val="00822A4F"/>
    <w:rsid w:val="00844738"/>
    <w:rsid w:val="008664ED"/>
    <w:rsid w:val="008873B0"/>
    <w:rsid w:val="008A3C60"/>
    <w:rsid w:val="00906953"/>
    <w:rsid w:val="0094256A"/>
    <w:rsid w:val="0098065B"/>
    <w:rsid w:val="009808C8"/>
    <w:rsid w:val="00983DB8"/>
    <w:rsid w:val="00A574B6"/>
    <w:rsid w:val="00A97970"/>
    <w:rsid w:val="00AC42AA"/>
    <w:rsid w:val="00AE48B5"/>
    <w:rsid w:val="00AE73D4"/>
    <w:rsid w:val="00B81579"/>
    <w:rsid w:val="00B9400B"/>
    <w:rsid w:val="00BA09A9"/>
    <w:rsid w:val="00C11060"/>
    <w:rsid w:val="00C43B9B"/>
    <w:rsid w:val="00C544BA"/>
    <w:rsid w:val="00C77481"/>
    <w:rsid w:val="00CE7A23"/>
    <w:rsid w:val="00D110A6"/>
    <w:rsid w:val="00D20CC1"/>
    <w:rsid w:val="00D36F5B"/>
    <w:rsid w:val="00D37267"/>
    <w:rsid w:val="00D52C2B"/>
    <w:rsid w:val="00D5476A"/>
    <w:rsid w:val="00D739F6"/>
    <w:rsid w:val="00D8204B"/>
    <w:rsid w:val="00DB7D2E"/>
    <w:rsid w:val="00DC174C"/>
    <w:rsid w:val="00E4001F"/>
    <w:rsid w:val="00E47ECA"/>
    <w:rsid w:val="00E55F60"/>
    <w:rsid w:val="00E975B1"/>
    <w:rsid w:val="00ED7A3A"/>
    <w:rsid w:val="00EF36EC"/>
    <w:rsid w:val="00F04B33"/>
    <w:rsid w:val="00F249C9"/>
    <w:rsid w:val="00F71961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650FE39-F22F-4E3B-8D8E-340AD464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76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4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00B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E975B1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D12A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C5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24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C5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24B"/>
    <w:rPr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3406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0630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6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Anton V. Asparuhov</cp:lastModifiedBy>
  <cp:revision>43</cp:revision>
  <dcterms:created xsi:type="dcterms:W3CDTF">2020-12-18T09:05:00Z</dcterms:created>
  <dcterms:modified xsi:type="dcterms:W3CDTF">2024-08-21T12:20:00Z</dcterms:modified>
</cp:coreProperties>
</file>