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D8206" w14:textId="77777777" w:rsidR="00467590" w:rsidRPr="00BF45C9" w:rsidRDefault="00467590" w:rsidP="00467590">
      <w:pPr>
        <w:rPr>
          <w:b/>
          <w:bCs/>
        </w:rPr>
      </w:pPr>
      <w:bookmarkStart w:id="0" w:name="_Toc256001988"/>
      <w:r w:rsidRPr="00BF45C9">
        <w:rPr>
          <w:b/>
          <w:bCs/>
        </w:rPr>
        <w:t>II.Ж.5 - Изпълнението на операции, включително дейности за сътрудничество и тяхната подготовка, избрани в рамките на стратегията за местно развитие.</w:t>
      </w:r>
      <w:bookmarkEnd w:id="0"/>
      <w:r w:rsidRPr="00BF45C9">
        <w:rPr>
          <w:b/>
          <w:b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467590" w:rsidRPr="00BF45C9" w14:paraId="79095E68" w14:textId="77777777" w:rsidTr="001F2B8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51FC57" w14:textId="77777777" w:rsidR="00467590" w:rsidRPr="00BF45C9" w:rsidRDefault="00467590" w:rsidP="00467590">
            <w:r w:rsidRPr="00BF45C9">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4A7F7B" w14:textId="77777777" w:rsidR="00467590" w:rsidRPr="00BF45C9" w:rsidRDefault="00467590" w:rsidP="00467590">
            <w:r w:rsidRPr="00BF45C9">
              <w:t>II.Ж.5</w:t>
            </w:r>
          </w:p>
        </w:tc>
      </w:tr>
      <w:tr w:rsidR="00467590" w:rsidRPr="00BF45C9" w14:paraId="35A711AE" w14:textId="77777777" w:rsidTr="001F2B8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77BBFB" w14:textId="77777777" w:rsidR="00467590" w:rsidRPr="00BF45C9" w:rsidRDefault="00467590" w:rsidP="00467590">
            <w:r w:rsidRPr="00BF45C9">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73844B" w14:textId="77777777" w:rsidR="00467590" w:rsidRPr="00BF45C9" w:rsidRDefault="00467590" w:rsidP="00467590">
            <w:r w:rsidRPr="00BF45C9">
              <w:t xml:space="preserve">Изпълнението на операции, включително дейности за сътрудничество и тяхната подготовка, избрани в рамките на стратегията за местно развитие.           </w:t>
            </w:r>
          </w:p>
        </w:tc>
      </w:tr>
      <w:tr w:rsidR="00467590" w:rsidRPr="00BF45C9" w14:paraId="307734E0" w14:textId="77777777" w:rsidTr="001F2B8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5E1148" w14:textId="77777777" w:rsidR="00467590" w:rsidRPr="00BF45C9" w:rsidRDefault="00467590" w:rsidP="00467590">
            <w:r w:rsidRPr="00BF45C9">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C9E586" w14:textId="77777777" w:rsidR="00467590" w:rsidRPr="00BF45C9" w:rsidRDefault="00467590" w:rsidP="00467590">
            <w:r w:rsidRPr="00BF45C9">
              <w:t>COOP(77) - Сътрудничество</w:t>
            </w:r>
          </w:p>
        </w:tc>
      </w:tr>
      <w:tr w:rsidR="00467590" w:rsidRPr="00BF45C9" w14:paraId="3BB50AFD" w14:textId="77777777" w:rsidTr="001F2B8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343E21" w14:textId="77777777" w:rsidR="00467590" w:rsidRPr="00BF45C9" w:rsidRDefault="00467590" w:rsidP="00467590">
            <w:r w:rsidRPr="00BF45C9">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406024" w14:textId="77777777" w:rsidR="00467590" w:rsidRPr="00BF45C9" w:rsidRDefault="00467590" w:rsidP="00467590">
            <w:r w:rsidRPr="00BF45C9">
              <w:t>O.31. Брой на подпомогнатите местни стратегии за развитие (LEADER) или подготвителни действия</w:t>
            </w:r>
          </w:p>
        </w:tc>
      </w:tr>
      <w:tr w:rsidR="00467590" w:rsidRPr="00BF45C9" w14:paraId="1D9BCC69" w14:textId="77777777" w:rsidTr="001F2B8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735172" w14:textId="77777777" w:rsidR="00467590" w:rsidRPr="00BF45C9" w:rsidRDefault="00467590" w:rsidP="00467590">
            <w:r w:rsidRPr="00BF45C9">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2084B79" w14:textId="77777777" w:rsidR="00467590" w:rsidRPr="00BF45C9" w:rsidRDefault="00467590" w:rsidP="00467590">
            <w:r w:rsidRPr="00BF45C9">
              <w:t>Приемственост между поколенията: Не</w:t>
            </w:r>
          </w:p>
          <w:p w14:paraId="13441842" w14:textId="77777777" w:rsidR="00467590" w:rsidRPr="00BF45C9" w:rsidRDefault="00467590" w:rsidP="00467590">
            <w:r w:rsidRPr="00BF45C9">
              <w:t>Околна среда: Не</w:t>
            </w:r>
          </w:p>
          <w:p w14:paraId="36635167" w14:textId="77777777" w:rsidR="00467590" w:rsidRPr="00BF45C9" w:rsidRDefault="00467590" w:rsidP="00467590">
            <w:r w:rsidRPr="00BF45C9">
              <w:t xml:space="preserve">Система за облекчения за </w:t>
            </w:r>
            <w:proofErr w:type="spellStart"/>
            <w:r w:rsidRPr="00BF45C9">
              <w:t>екосхеми</w:t>
            </w:r>
            <w:proofErr w:type="spellEnd"/>
            <w:r w:rsidRPr="00BF45C9">
              <w:t xml:space="preserve">: </w:t>
            </w:r>
          </w:p>
          <w:p w14:paraId="1B36BA75" w14:textId="77777777" w:rsidR="00467590" w:rsidRPr="00BF45C9" w:rsidRDefault="00467590" w:rsidP="00467590">
            <w:r w:rsidRPr="00BF45C9">
              <w:t>Подход LEADER: Да</w:t>
            </w:r>
          </w:p>
        </w:tc>
      </w:tr>
    </w:tbl>
    <w:p w14:paraId="7CFD8A91" w14:textId="77777777" w:rsidR="00467590" w:rsidRPr="00BF45C9" w:rsidRDefault="00467590" w:rsidP="00467590">
      <w:pPr>
        <w:rPr>
          <w:bCs/>
          <w:i/>
          <w:iCs/>
        </w:rPr>
      </w:pPr>
      <w:bookmarkStart w:id="1" w:name="_Toc256001989"/>
      <w:r w:rsidRPr="00BF45C9">
        <w:rPr>
          <w:bCs/>
          <w:i/>
          <w:iCs/>
        </w:rPr>
        <w:t>1 Териториално приложение и ако е уместно, регионално измерение</w:t>
      </w:r>
      <w:bookmarkEnd w:id="1"/>
    </w:p>
    <w:p w14:paraId="25B9E63F" w14:textId="77777777" w:rsidR="00467590" w:rsidRPr="00BF45C9" w:rsidRDefault="00467590" w:rsidP="00467590">
      <w:r w:rsidRPr="00BF45C9">
        <w:t xml:space="preserve">Териториално приложение: </w:t>
      </w:r>
      <w:r w:rsidRPr="00BF45C9">
        <w:rPr>
          <w:b/>
        </w:rPr>
        <w:t>Национално равнище</w:t>
      </w:r>
    </w:p>
    <w:p w14:paraId="67C2C53E" w14:textId="77777777" w:rsidR="00467590" w:rsidRPr="00BF45C9" w:rsidRDefault="00467590" w:rsidP="0046759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45"/>
      </w:tblGrid>
      <w:tr w:rsidR="00467590" w:rsidRPr="00BF45C9" w14:paraId="16195284" w14:textId="77777777" w:rsidTr="001F2B87">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3615CADE" w14:textId="77777777" w:rsidR="00467590" w:rsidRPr="00BF45C9" w:rsidRDefault="00467590" w:rsidP="00467590">
            <w:pPr>
              <w:rPr>
                <w:b/>
              </w:rPr>
            </w:pPr>
            <w:r w:rsidRPr="00BF45C9">
              <w:rPr>
                <w:b/>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7D147D56" w14:textId="77777777" w:rsidR="00467590" w:rsidRPr="00BF45C9" w:rsidRDefault="00467590" w:rsidP="00467590">
            <w:r w:rsidRPr="00BF45C9">
              <w:rPr>
                <w:b/>
              </w:rPr>
              <w:t>Описание</w:t>
            </w:r>
          </w:p>
        </w:tc>
      </w:tr>
      <w:tr w:rsidR="00467590" w:rsidRPr="00BF45C9" w14:paraId="6D802A40" w14:textId="77777777" w:rsidTr="001F2B87">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7F589C" w14:textId="77777777" w:rsidR="00467590" w:rsidRPr="00BF45C9" w:rsidRDefault="00467590" w:rsidP="00467590">
            <w:r w:rsidRPr="00BF45C9">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773D88" w14:textId="77777777" w:rsidR="00467590" w:rsidRPr="00BF45C9" w:rsidRDefault="00467590" w:rsidP="00467590">
            <w:r w:rsidRPr="00BF45C9">
              <w:t xml:space="preserve">България </w:t>
            </w:r>
          </w:p>
        </w:tc>
      </w:tr>
    </w:tbl>
    <w:p w14:paraId="68E1BAA8" w14:textId="77777777" w:rsidR="00467590" w:rsidRPr="00BF45C9" w:rsidRDefault="00467590" w:rsidP="00467590">
      <w:r w:rsidRPr="00BF45C9">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6332EBE3"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6C29DF7" w14:textId="77777777" w:rsidR="00467590" w:rsidRPr="00BF45C9" w:rsidRDefault="00467590" w:rsidP="00FB18DE">
            <w:pPr>
              <w:jc w:val="both"/>
            </w:pPr>
            <w:r w:rsidRPr="00BF45C9">
              <w:t>Подходът ВОМР/ЛИДЕР се прилага на териториален принцип на подрегионално ниво – ниво община, част от община или група от съседни общини, с обхват на населението между 10 000 и 150 000 жители. Подходът се прилага на територията на цялата страна (включително селските райони и териториите със специфични характеристики, определени в Националната концепция за пространствено развитие за периода 2013 – 2025 г.) с изключение на градовете с население над 30 000 жители, в техните строителни граници. За населените места, на чиито територии се прилага подходът ВОМР/ЛИДЕР и които са подпомагани от „Програма за развитие на регионите“ 2021 – 2027 г. се прилага демаркация на инвестициите. За една и съща по обхват територия се одобрява една стратегия за ВОМР/ЛИДЕР, като подпомагането по ЕЗФРСР е задължително. Всяка МИГ включва в състава си най-малко една община от селските райони. Управляващият орган на Стратегическия план за развитие на земеделието и селските райони подкрепя включването на повече от една община в състава на всяка МИГ.</w:t>
            </w:r>
          </w:p>
        </w:tc>
      </w:tr>
    </w:tbl>
    <w:p w14:paraId="33905788" w14:textId="77777777" w:rsidR="00467590" w:rsidRPr="00BF45C9" w:rsidRDefault="00467590" w:rsidP="00467590">
      <w:pPr>
        <w:rPr>
          <w:bCs/>
          <w:iCs/>
        </w:rPr>
      </w:pPr>
      <w:bookmarkStart w:id="2" w:name="_Toc256001990"/>
      <w:r w:rsidRPr="00BF45C9">
        <w:rPr>
          <w:bCs/>
          <w:iCs/>
        </w:rPr>
        <w:t xml:space="preserve">2 Свързани специфични цели, </w:t>
      </w:r>
      <w:proofErr w:type="spellStart"/>
      <w:r w:rsidRPr="00BF45C9">
        <w:rPr>
          <w:bCs/>
          <w:iCs/>
        </w:rPr>
        <w:t>междусекторна</w:t>
      </w:r>
      <w:proofErr w:type="spellEnd"/>
      <w:r w:rsidRPr="00BF45C9">
        <w:rPr>
          <w:bCs/>
          <w:iCs/>
        </w:rPr>
        <w:t xml:space="preserve"> цел и уместни секторни цели</w:t>
      </w:r>
      <w:bookmarkEnd w:id="2"/>
    </w:p>
    <w:p w14:paraId="437ABDBE" w14:textId="77777777" w:rsidR="00467590" w:rsidRPr="00BF45C9" w:rsidRDefault="00467590" w:rsidP="0046759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467590" w:rsidRPr="00BF45C9" w14:paraId="39830518" w14:textId="77777777" w:rsidTr="001F2B87">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6CE0AD9" w14:textId="77777777" w:rsidR="00467590" w:rsidRPr="00BF45C9" w:rsidRDefault="00467590" w:rsidP="00467590">
            <w:r w:rsidRPr="00BF45C9">
              <w:rPr>
                <w:b/>
              </w:rPr>
              <w:t>Код на СПЕЦИФИЧНАТА ЦЕЛ НА ОСП + описание</w:t>
            </w:r>
            <w:r w:rsidRPr="00BF45C9">
              <w:t xml:space="preserve"> Препоръчителните специфични цели на ОСП за този вид интервенция са обозначени с получер шрифт</w:t>
            </w:r>
          </w:p>
        </w:tc>
      </w:tr>
      <w:tr w:rsidR="00467590" w:rsidRPr="00BF45C9" w14:paraId="7BBD7777" w14:textId="77777777" w:rsidTr="001F2B87">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2673086" w14:textId="77777777" w:rsidR="00467590" w:rsidRPr="00BF45C9" w:rsidRDefault="00467590" w:rsidP="00467590">
            <w:r w:rsidRPr="00BF45C9">
              <w:t xml:space="preserve">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w:t>
            </w:r>
            <w:proofErr w:type="spellStart"/>
            <w:r w:rsidRPr="00BF45C9">
              <w:t>биоикономика</w:t>
            </w:r>
            <w:proofErr w:type="spellEnd"/>
            <w:r w:rsidRPr="00BF45C9">
              <w:t xml:space="preserve"> и устойчивото управление на горите</w:t>
            </w:r>
          </w:p>
        </w:tc>
      </w:tr>
    </w:tbl>
    <w:p w14:paraId="2E9D1AED" w14:textId="77777777" w:rsidR="00467590" w:rsidRPr="00BF45C9" w:rsidRDefault="00467590" w:rsidP="00467590"/>
    <w:p w14:paraId="5C1EB1F7" w14:textId="77777777" w:rsidR="00467590" w:rsidRPr="00BF45C9" w:rsidRDefault="00467590" w:rsidP="00467590">
      <w:pPr>
        <w:rPr>
          <w:bCs/>
          <w:iCs/>
        </w:rPr>
      </w:pPr>
      <w:bookmarkStart w:id="3" w:name="_Toc256001991"/>
      <w:r w:rsidRPr="00BF45C9">
        <w:rPr>
          <w:bCs/>
          <w:iCs/>
        </w:rPr>
        <w:t>3 Потребности, обхванати от интервенцията</w:t>
      </w:r>
      <w:bookmarkEnd w:id="3"/>
    </w:p>
    <w:p w14:paraId="209E2F98" w14:textId="77777777" w:rsidR="00467590" w:rsidRPr="00BF45C9" w:rsidRDefault="00467590" w:rsidP="0046759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2572"/>
        <w:gridCol w:w="2573"/>
        <w:gridCol w:w="2573"/>
      </w:tblGrid>
      <w:tr w:rsidR="00467590" w:rsidRPr="00BF45C9" w14:paraId="2B0C18E7" w14:textId="77777777" w:rsidTr="001F2B8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F948C0B" w14:textId="77777777" w:rsidR="00467590" w:rsidRPr="00BF45C9" w:rsidRDefault="00467590" w:rsidP="00467590">
            <w:pPr>
              <w:rPr>
                <w:b/>
              </w:rPr>
            </w:pPr>
            <w:r w:rsidRPr="00BF45C9">
              <w:rPr>
                <w:b/>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0CD7A2F" w14:textId="77777777" w:rsidR="00467590" w:rsidRPr="00BF45C9" w:rsidRDefault="00467590" w:rsidP="00467590">
            <w:pPr>
              <w:rPr>
                <w:b/>
              </w:rPr>
            </w:pPr>
            <w:r w:rsidRPr="00BF45C9">
              <w:rPr>
                <w:b/>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5D51E09" w14:textId="77777777" w:rsidR="00467590" w:rsidRPr="00BF45C9" w:rsidRDefault="00467590" w:rsidP="00467590">
            <w:pPr>
              <w:rPr>
                <w:b/>
              </w:rPr>
            </w:pPr>
            <w:r w:rsidRPr="00BF45C9">
              <w:rPr>
                <w:b/>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BEE2B9D" w14:textId="77777777" w:rsidR="00467590" w:rsidRPr="00BF45C9" w:rsidRDefault="00467590" w:rsidP="00467590">
            <w:r w:rsidRPr="00BF45C9">
              <w:rPr>
                <w:b/>
              </w:rPr>
              <w:t>Разгледана в стратегически план по ОСП</w:t>
            </w:r>
          </w:p>
        </w:tc>
      </w:tr>
      <w:tr w:rsidR="00467590" w:rsidRPr="00BF45C9" w14:paraId="4DAC7980" w14:textId="77777777" w:rsidTr="001F2B8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A241AEE" w14:textId="77777777" w:rsidR="00467590" w:rsidRPr="00BF45C9" w:rsidRDefault="00467590" w:rsidP="00467590">
            <w:r w:rsidRPr="00BF45C9">
              <w:t>П.8.6.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629DB1A" w14:textId="77777777" w:rsidR="00467590" w:rsidRPr="00BF45C9" w:rsidRDefault="00467590" w:rsidP="00467590">
            <w:r w:rsidRPr="00BF45C9">
              <w:t>Запазване на многофондовото финансиране, разширяване на териториалното прилагане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EC74897" w14:textId="77777777" w:rsidR="00467590" w:rsidRPr="00BF45C9" w:rsidRDefault="00467590" w:rsidP="00467590">
            <w:r w:rsidRPr="00BF45C9">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E38A206" w14:textId="77777777" w:rsidR="00467590" w:rsidRPr="00BF45C9" w:rsidRDefault="00467590" w:rsidP="00467590">
            <w:r w:rsidRPr="00BF45C9">
              <w:t>Да</w:t>
            </w:r>
          </w:p>
        </w:tc>
      </w:tr>
    </w:tbl>
    <w:p w14:paraId="6CBDFB9D" w14:textId="77777777" w:rsidR="00467590" w:rsidRPr="00BF45C9" w:rsidRDefault="00467590" w:rsidP="00467590">
      <w:pPr>
        <w:rPr>
          <w:bCs/>
          <w:iCs/>
        </w:rPr>
      </w:pPr>
      <w:bookmarkStart w:id="4" w:name="_Toc256001992"/>
      <w:r w:rsidRPr="00BF45C9">
        <w:rPr>
          <w:bCs/>
          <w:iCs/>
        </w:rPr>
        <w:t>4 Показател(и) за резултатите</w:t>
      </w:r>
      <w:bookmarkEnd w:id="4"/>
    </w:p>
    <w:p w14:paraId="4F6AA740" w14:textId="77777777" w:rsidR="00467590" w:rsidRPr="00BF45C9" w:rsidRDefault="00467590" w:rsidP="0046759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467590" w:rsidRPr="00BF45C9" w14:paraId="7AABD181" w14:textId="77777777" w:rsidTr="001F2B8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99F2DC6" w14:textId="77777777" w:rsidR="00467590" w:rsidRPr="00BF45C9" w:rsidRDefault="00467590" w:rsidP="00467590">
            <w:r w:rsidRPr="00BF45C9">
              <w:rPr>
                <w:b/>
              </w:rPr>
              <w:t>Код на ПОКАЗАТЕЛИТЕ ЗА РЕЗУЛТАТИТЕ + описание</w:t>
            </w:r>
            <w:r w:rsidRPr="00BF45C9">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467590" w:rsidRPr="00BF45C9" w14:paraId="5989AFFA" w14:textId="77777777" w:rsidTr="001F2B87">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C913421" w14:textId="77777777" w:rsidR="00467590" w:rsidRPr="00BF45C9" w:rsidRDefault="00467590" w:rsidP="00467590">
            <w:r w:rsidRPr="00BF45C9">
              <w:t>R.38 Дял от населението в селските райони, обхванато в стратегии за местно развитие</w:t>
            </w:r>
          </w:p>
        </w:tc>
      </w:tr>
    </w:tbl>
    <w:p w14:paraId="1230E96F" w14:textId="77777777" w:rsidR="00467590" w:rsidRPr="00BF45C9" w:rsidRDefault="00467590" w:rsidP="00467590">
      <w:pPr>
        <w:rPr>
          <w:bCs/>
          <w:iCs/>
        </w:rPr>
      </w:pPr>
      <w:bookmarkStart w:id="5" w:name="_Toc256001993"/>
      <w:r w:rsidRPr="00BF45C9">
        <w:rPr>
          <w:bCs/>
          <w:iCs/>
        </w:rPr>
        <w:t>5 Конкретен план, изисквания и условия за допустимост на интервенцията</w:t>
      </w:r>
      <w:bookmarkEnd w:id="5"/>
    </w:p>
    <w:p w14:paraId="7977F21B" w14:textId="77777777" w:rsidR="00467590" w:rsidRPr="00BF45C9" w:rsidRDefault="00467590" w:rsidP="00467590">
      <w:r w:rsidRPr="00BF45C9">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1"/>
      </w:tblGrid>
      <w:tr w:rsidR="00467590" w:rsidRPr="00BF45C9" w14:paraId="36E29964" w14:textId="77777777" w:rsidTr="00DB044D">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98FEB26" w14:textId="77777777" w:rsidR="00467590" w:rsidRPr="00BF45C9" w:rsidRDefault="00467590" w:rsidP="00DB044D">
            <w:pPr>
              <w:jc w:val="both"/>
            </w:pPr>
            <w:r w:rsidRPr="00BF45C9">
              <w:t xml:space="preserve">Изпълнението на подхода ВОМР/ЛИДЕР е в съответствие с чл. 31 – 34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BF45C9">
              <w:t>аквакултури</w:t>
            </w:r>
            <w:proofErr w:type="spellEnd"/>
            <w:r w:rsidRPr="00BF45C9">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както и в съответствие с чл. 69 (ж) и чл. 77, параграф 1 от Регламент (ЕС) 2021/2115 на Европейския парламент и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p w14:paraId="713CD5A9" w14:textId="77777777" w:rsidR="00467590" w:rsidRPr="00BF45C9" w:rsidRDefault="00467590" w:rsidP="00DB044D">
            <w:pPr>
              <w:jc w:val="both"/>
            </w:pPr>
          </w:p>
          <w:p w14:paraId="45DDB1D3" w14:textId="77777777" w:rsidR="00467590" w:rsidRPr="00BF45C9" w:rsidRDefault="00467590" w:rsidP="00DB044D">
            <w:pPr>
              <w:jc w:val="both"/>
            </w:pPr>
            <w:r w:rsidRPr="00BF45C9">
              <w:t xml:space="preserve">Подкрепата за ВОМР/ЛИДЕР се извършва чрез подкрепа на интегрирани и </w:t>
            </w:r>
            <w:proofErr w:type="spellStart"/>
            <w:r w:rsidRPr="00BF45C9">
              <w:t>многосекторни</w:t>
            </w:r>
            <w:proofErr w:type="spellEnd"/>
            <w:r w:rsidRPr="00BF45C9">
              <w:t xml:space="preserve"> стратегии за местно развитие, основани на характеристиките на конкретната територия и разработени въз основа на местните потребности и потенциал.</w:t>
            </w:r>
          </w:p>
          <w:p w14:paraId="64FBC830" w14:textId="77777777" w:rsidR="00467590" w:rsidRPr="00BF45C9" w:rsidRDefault="00467590" w:rsidP="00467590"/>
          <w:p w14:paraId="2A3BBFCB" w14:textId="55A920C9" w:rsidR="00467590" w:rsidRPr="00BF45C9" w:rsidRDefault="00467590" w:rsidP="00DB044D">
            <w:pPr>
              <w:jc w:val="both"/>
            </w:pPr>
            <w:r w:rsidRPr="00BF45C9">
              <w:t>Прилагането на стратегии за ВОМР дава възможност за финансиране на проекти, които отговарят на местните потребности,</w:t>
            </w:r>
            <w:r w:rsidR="00233E99" w:rsidRPr="00BF45C9">
              <w:t xml:space="preserve"> </w:t>
            </w:r>
            <w:r w:rsidRPr="00BF45C9">
              <w:t xml:space="preserve">създават и запазват заетост за местното население и са в полза на малкия местен бизнес. Чрез тях се създават по-добри икономически, социални и екологични условия за живот в малките население места, подкрепя се </w:t>
            </w:r>
            <w:proofErr w:type="spellStart"/>
            <w:r w:rsidRPr="00BF45C9">
              <w:t>многосекторното</w:t>
            </w:r>
            <w:proofErr w:type="spellEnd"/>
            <w:r w:rsidRPr="00BF45C9">
              <w:t xml:space="preserve"> развитие на местните икономики.</w:t>
            </w:r>
          </w:p>
          <w:p w14:paraId="513986DE" w14:textId="77777777" w:rsidR="00467590" w:rsidRPr="00BF45C9" w:rsidRDefault="00467590" w:rsidP="00467590"/>
          <w:p w14:paraId="627627EC" w14:textId="076DB4D7" w:rsidR="00AD6079" w:rsidRPr="00BF45C9" w:rsidRDefault="00AD6079" w:rsidP="00AD6079">
            <w:pPr>
              <w:jc w:val="both"/>
            </w:pPr>
            <w:r w:rsidRPr="00BF45C9">
              <w:t xml:space="preserve">За програмен период 2023 – 2027 г. подходът ВОМР получава подкрепа от Европейския земеделски фонд </w:t>
            </w:r>
            <w:r w:rsidRPr="00BF45C9">
              <w:lastRenderedPageBreak/>
              <w:t>за развитие на селските райони</w:t>
            </w:r>
            <w:r w:rsidR="00994830" w:rsidRPr="00BF45C9">
              <w:t xml:space="preserve"> и като допълващо финансиране – от </w:t>
            </w:r>
            <w:r w:rsidRPr="00BF45C9">
              <w:t xml:space="preserve">Европейския фонд за регионално развитие и от Европейския социален </w:t>
            </w:r>
            <w:proofErr w:type="spellStart"/>
            <w:r w:rsidRPr="00BF45C9">
              <w:t>фонд+</w:t>
            </w:r>
            <w:proofErr w:type="spellEnd"/>
            <w:r w:rsidRPr="00BF45C9">
              <w:t xml:space="preserve">. Управляващите органи на програмите, </w:t>
            </w:r>
            <w:r w:rsidR="00994830" w:rsidRPr="00BF45C9">
              <w:t>предоставящи допълващо финансиране отговарят за откриването на приеми</w:t>
            </w:r>
            <w:r w:rsidR="009C5337" w:rsidRPr="00BF45C9">
              <w:t xml:space="preserve"> само за </w:t>
            </w:r>
            <w:r w:rsidR="00BF34FD" w:rsidRPr="00BF45C9">
              <w:t xml:space="preserve">потенциални бенефициенти </w:t>
            </w:r>
            <w:r w:rsidR="000E66AD" w:rsidRPr="00BF45C9">
              <w:t xml:space="preserve">от териториите </w:t>
            </w:r>
            <w:r w:rsidR="00BF34FD" w:rsidRPr="00BF45C9">
              <w:t xml:space="preserve">на </w:t>
            </w:r>
            <w:r w:rsidR="009C5337" w:rsidRPr="00BF45C9">
              <w:t>МИГ</w:t>
            </w:r>
            <w:r w:rsidRPr="00BF45C9">
              <w:t xml:space="preserve">, </w:t>
            </w:r>
            <w:r w:rsidR="00994830" w:rsidRPr="00BF45C9">
              <w:t xml:space="preserve">извършването на </w:t>
            </w:r>
            <w:r w:rsidRPr="00BF45C9">
              <w:t>договаря</w:t>
            </w:r>
            <w:r w:rsidR="00994830" w:rsidRPr="00BF45C9">
              <w:t>нето</w:t>
            </w:r>
            <w:r w:rsidRPr="00BF45C9">
              <w:t xml:space="preserve"> и разплаща</w:t>
            </w:r>
            <w:r w:rsidR="00994830" w:rsidRPr="00BF45C9">
              <w:t>нето на</w:t>
            </w:r>
            <w:r w:rsidRPr="00BF45C9">
              <w:t xml:space="preserve"> проектите по стратегиите за ВОМР в частта, за която се предоставя финансиране от съответния фонд.  ДФЗ – Разплащателна агенция договаря и разплаща проектите от стратегиите за ВОМР, които се финансират </w:t>
            </w:r>
            <w:r w:rsidR="00ED7CE2" w:rsidRPr="00BF45C9">
              <w:t xml:space="preserve">от </w:t>
            </w:r>
            <w:r w:rsidRPr="00BF45C9">
              <w:t>ЕЗФРСР.</w:t>
            </w:r>
          </w:p>
          <w:p w14:paraId="0BB485DA" w14:textId="77777777" w:rsidR="00467590" w:rsidRPr="00BF45C9" w:rsidRDefault="00467590" w:rsidP="00DB044D">
            <w:pPr>
              <w:jc w:val="both"/>
            </w:pPr>
          </w:p>
          <w:p w14:paraId="277FBB49" w14:textId="77777777" w:rsidR="00467590" w:rsidRPr="00BF45C9" w:rsidRDefault="00467590" w:rsidP="00DB044D">
            <w:pPr>
              <w:jc w:val="both"/>
            </w:pPr>
            <w:r w:rsidRPr="00BF45C9">
              <w:rPr>
                <w:b/>
                <w:bCs/>
              </w:rPr>
              <w:t>Управление, мониторинг и оценка на стратегията и нейното популяризиране.</w:t>
            </w:r>
          </w:p>
          <w:p w14:paraId="6A40B71C" w14:textId="77777777" w:rsidR="00467590" w:rsidRPr="00BF45C9" w:rsidRDefault="00467590" w:rsidP="00DB044D">
            <w:pPr>
              <w:jc w:val="both"/>
            </w:pPr>
            <w:r w:rsidRPr="00BF45C9">
              <w:t>УО на СПРЗСР отговаря за прилагането на дейностите по управление, мониторинг и оценка на стратегиите за ВОМР и тяхното популяризиране, като те изцяло ще бъдат финансирани от ЕЗФРСР.</w:t>
            </w:r>
          </w:p>
          <w:p w14:paraId="4FBD93F9" w14:textId="77777777" w:rsidR="00467590" w:rsidRPr="00BF45C9" w:rsidRDefault="00467590" w:rsidP="00DB044D">
            <w:pPr>
              <w:jc w:val="both"/>
            </w:pPr>
            <w:r w:rsidRPr="00BF45C9">
              <w:t>Допустими за подкрепа са дейности за управление съгласно чл. 34, параграф 1, буква в, мониторинг и оценка на стратегиите съгласно чл. 31, параграф 3 букви д) и е) от Регламент (ЕС) 2021/1060, както и дейности, свързани с популяризирането на стратегиите за Водено от общностите местно развитие.</w:t>
            </w:r>
          </w:p>
        </w:tc>
      </w:tr>
    </w:tbl>
    <w:p w14:paraId="2E235451" w14:textId="77777777" w:rsidR="00467590" w:rsidRPr="00BF45C9" w:rsidRDefault="00467590" w:rsidP="00467590">
      <w:r w:rsidRPr="00BF45C9">
        <w:lastRenderedPageBreak/>
        <w:t xml:space="preserve">Определете </w:t>
      </w:r>
      <w:proofErr w:type="spellStart"/>
      <w:r w:rsidRPr="00BF45C9">
        <w:t>бенефициерите</w:t>
      </w:r>
      <w:proofErr w:type="spellEnd"/>
      <w:r w:rsidRPr="00BF45C9">
        <w:t xml:space="preserve">, отговарящи на критериите, както и специфичните критерии за допустимост, когато е приложимо за </w:t>
      </w:r>
      <w:proofErr w:type="spellStart"/>
      <w:r w:rsidRPr="00BF45C9">
        <w:t>бенефициерите</w:t>
      </w:r>
      <w:proofErr w:type="spellEnd"/>
      <w:r w:rsidRPr="00BF45C9">
        <w:t xml:space="preserve">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252854F9"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C6669BD" w14:textId="77777777" w:rsidR="00467590" w:rsidRPr="00BF45C9" w:rsidRDefault="00467590" w:rsidP="00467590">
            <w:r w:rsidRPr="00BF45C9">
              <w:t>Допустими бенефициенти по интервенцията са:</w:t>
            </w:r>
          </w:p>
          <w:p w14:paraId="1FF347FC" w14:textId="77777777" w:rsidR="00467590" w:rsidRPr="00BF45C9" w:rsidRDefault="00467590" w:rsidP="00DB044D">
            <w:pPr>
              <w:jc w:val="both"/>
            </w:pPr>
            <w:r w:rsidRPr="00BF45C9">
              <w:t xml:space="preserve">1. Местни инициативни групи съгласно чл. 31, параграф 2, буква б) от Регламент (ЕС) 2021/1060 с одобрени за финансиране от УО на СПРЗСР стратегии за ВОМР, за дейности по управление, мониторинг и оценка на стратегията и нейното популяризиране (чл. 34, параграф 1, буква в) от Регламент (ЕС) 2021/1060). </w:t>
            </w:r>
          </w:p>
          <w:p w14:paraId="531D5D98" w14:textId="77777777" w:rsidR="00467590" w:rsidRPr="00BF45C9" w:rsidRDefault="00467590" w:rsidP="00DB044D">
            <w:pPr>
              <w:jc w:val="both"/>
            </w:pPr>
            <w:r w:rsidRPr="00BF45C9">
              <w:t>2. Местни заинтересовани лица с проекти към стратегиите за ВОМР, в т. ч. местни инициативни групи съгласно чл. 31, параграф 2, буква б) от Регламент (ЕС) 2021/1060, за дейности по изпълнението на операции, включително дейности за сътрудничество и тяхната подготовка, избрани в рамките на стратегията за местно развитие (чл. 28, параграф 1, буква б) от предложение на ЕП и Съвета за Регламент за общоприложимите разпоредби).</w:t>
            </w:r>
          </w:p>
          <w:p w14:paraId="289C8243" w14:textId="77777777" w:rsidR="00467590" w:rsidRPr="00BF45C9" w:rsidRDefault="00467590" w:rsidP="00DB044D">
            <w:pPr>
              <w:jc w:val="both"/>
            </w:pPr>
            <w:r w:rsidRPr="00BF45C9">
              <w:t>Допустими за подкрепа са местни инициативни групи, отговарящи на следните условия:</w:t>
            </w:r>
          </w:p>
          <w:p w14:paraId="173E095A" w14:textId="77777777" w:rsidR="00467590" w:rsidRPr="00BF45C9" w:rsidRDefault="00467590" w:rsidP="00DB044D">
            <w:pPr>
              <w:jc w:val="both"/>
            </w:pPr>
            <w:r w:rsidRPr="00BF45C9">
              <w:t>- Целевата територия е кохерентна, обхваща население между 10 000 и 150 000 жители и е съгласно териториалния обхват на подхода ВОМР, като липсва припокриване на територии;</w:t>
            </w:r>
          </w:p>
          <w:p w14:paraId="41F98056" w14:textId="77777777" w:rsidR="00467590" w:rsidRPr="00BF45C9" w:rsidRDefault="00467590" w:rsidP="00DB044D">
            <w:pPr>
              <w:jc w:val="both"/>
            </w:pPr>
            <w:r w:rsidRPr="00BF45C9">
              <w:t>- Са юридически лица с нестопанска цел за осъществяване на общественополезна дейност, включващи представители на стопанския, нестопанския и публичния сектори от дадена територия и регистрирани като сдружения по реда на Закона за юридическите лица с нестопанска цел. Имат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 непревишаващ 49 на сто от имащите право на глас.</w:t>
            </w:r>
          </w:p>
          <w:p w14:paraId="1BBD3764" w14:textId="77777777" w:rsidR="00467590" w:rsidRPr="00BF45C9" w:rsidRDefault="00467590" w:rsidP="00DB044D">
            <w:pPr>
              <w:jc w:val="both"/>
            </w:pPr>
            <w:r w:rsidRPr="00BF45C9">
              <w:t>- Включват в колективните си органи представители на различни заинтересовани страни от местната общност, идентифицирани в анализа на стратегията за ВОМР за съответната територия, включително уязвими групи и малцинства (когато е приложимо), млади хора и балансирано участие на жени и мъже от съответните територии.</w:t>
            </w:r>
          </w:p>
          <w:p w14:paraId="4502AA21" w14:textId="77777777" w:rsidR="00467590" w:rsidRPr="00BF45C9" w:rsidRDefault="00467590" w:rsidP="00DB044D">
            <w:pPr>
              <w:jc w:val="both"/>
            </w:pPr>
            <w:r w:rsidRPr="00BF45C9">
              <w:t>- В МИГ, обхващащи райони с голяма общност от маргинализирани лица, включително роми, подходът на ВОМР трябва да бъде приобщаващ, като включва действия, насочени към потребностите и потенциала за развитие на тази общност.</w:t>
            </w:r>
          </w:p>
          <w:p w14:paraId="123F059A" w14:textId="77777777" w:rsidR="00467590" w:rsidRPr="00BF45C9" w:rsidRDefault="00467590" w:rsidP="00DB044D">
            <w:pPr>
              <w:jc w:val="both"/>
            </w:pPr>
            <w:r w:rsidRPr="00BF45C9">
              <w:t>Местната инициативна група може да бъде бенефициент и да изпълнява операции съгласно стратегията при условие, че гарантира спазването на принципа на разделение на функциите.</w:t>
            </w:r>
          </w:p>
          <w:p w14:paraId="16C6AFCD" w14:textId="77777777" w:rsidR="00467590" w:rsidRPr="00BF45C9" w:rsidRDefault="00467590" w:rsidP="00DB044D">
            <w:pPr>
              <w:jc w:val="both"/>
            </w:pPr>
            <w:r w:rsidRPr="00BF45C9">
              <w:t xml:space="preserve">Местните инициативни групи не са допустими бенефициенти по подхода за Интегрирани териториални </w:t>
            </w:r>
            <w:r w:rsidRPr="00BF45C9">
              <w:lastRenderedPageBreak/>
              <w:t xml:space="preserve">инвестиции. </w:t>
            </w:r>
          </w:p>
          <w:p w14:paraId="5F53108E" w14:textId="77777777" w:rsidR="00467590" w:rsidRPr="00BF45C9" w:rsidRDefault="00467590" w:rsidP="00DB044D">
            <w:pPr>
              <w:jc w:val="both"/>
            </w:pPr>
          </w:p>
          <w:p w14:paraId="10AF0390" w14:textId="77777777" w:rsidR="00467590" w:rsidRPr="00BF45C9" w:rsidRDefault="00467590" w:rsidP="00DB044D">
            <w:pPr>
              <w:jc w:val="both"/>
            </w:pPr>
            <w:r w:rsidRPr="00BF45C9">
              <w:t>Бенефициентите по стратегиите за ВОМР са с постоянен адрес или седалище на територията на МИГ, с изключение на бенефициентите общини от селските райони със седалище в областен град.</w:t>
            </w:r>
          </w:p>
        </w:tc>
      </w:tr>
    </w:tbl>
    <w:p w14:paraId="1750AE00" w14:textId="77777777" w:rsidR="00467590" w:rsidRPr="00BF45C9" w:rsidRDefault="00467590" w:rsidP="00467590">
      <w:r w:rsidRPr="00BF45C9">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449FA617"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D2FEBCD" w14:textId="77777777" w:rsidR="00467590" w:rsidRPr="00BF45C9" w:rsidRDefault="00467590" w:rsidP="00DB044D">
            <w:pPr>
              <w:jc w:val="both"/>
            </w:pPr>
            <w:r w:rsidRPr="00BF45C9">
              <w:t>Допустими за подкрепа са стратегии за ВОМР, отговарящи на следните условия:</w:t>
            </w:r>
          </w:p>
          <w:p w14:paraId="0275DAFD" w14:textId="77777777" w:rsidR="00467590" w:rsidRPr="00BF45C9" w:rsidRDefault="00467590" w:rsidP="00DB044D">
            <w:pPr>
              <w:jc w:val="both"/>
            </w:pPr>
            <w:r w:rsidRPr="00BF45C9">
              <w:t>- Стратегиите за ВОМР съдържат следните елементи:</w:t>
            </w:r>
          </w:p>
          <w:p w14:paraId="7E5EC245" w14:textId="77777777" w:rsidR="00467590" w:rsidRPr="00BF45C9" w:rsidRDefault="00467590" w:rsidP="00DB044D">
            <w:pPr>
              <w:jc w:val="both"/>
            </w:pPr>
            <w:r w:rsidRPr="00BF45C9">
              <w:t>а) географският район и населението, обхванати от стратегията;</w:t>
            </w:r>
          </w:p>
          <w:p w14:paraId="144FD146" w14:textId="77777777" w:rsidR="00467590" w:rsidRPr="00BF45C9" w:rsidRDefault="00467590" w:rsidP="00DB044D">
            <w:pPr>
              <w:jc w:val="both"/>
            </w:pPr>
            <w:r w:rsidRPr="00BF45C9">
              <w:t>б) процесът на участие на общността в разработването на стратегията;</w:t>
            </w:r>
          </w:p>
          <w:p w14:paraId="551C2CBE" w14:textId="77777777" w:rsidR="00467590" w:rsidRPr="00BF45C9" w:rsidRDefault="00467590" w:rsidP="00DB044D">
            <w:pPr>
              <w:jc w:val="both"/>
            </w:pPr>
            <w:r w:rsidRPr="00BF45C9">
              <w:t>в) анализ на нуждите и потенциала за развитие на района;</w:t>
            </w:r>
          </w:p>
          <w:p w14:paraId="34ED4559" w14:textId="77777777" w:rsidR="00467590" w:rsidRPr="00BF45C9" w:rsidRDefault="00467590" w:rsidP="00DB044D">
            <w:pPr>
              <w:jc w:val="both"/>
            </w:pPr>
            <w:r w:rsidRPr="00BF45C9">
              <w:t>г) целите на стратегията, включително измерими целеви стойности за резултатите, и съответните планирани действия;</w:t>
            </w:r>
          </w:p>
          <w:p w14:paraId="0D8A3663" w14:textId="77777777" w:rsidR="00467590" w:rsidRPr="00BF45C9" w:rsidRDefault="00467590" w:rsidP="00DB044D">
            <w:pPr>
              <w:jc w:val="both"/>
            </w:pPr>
            <w:r w:rsidRPr="00BF45C9">
              <w:t>д) уредбата за управление, мониторинг и оценка, която показва капацитета на местната група за действие да изпълни стратегията;</w:t>
            </w:r>
          </w:p>
          <w:p w14:paraId="0A551948" w14:textId="77777777" w:rsidR="00467590" w:rsidRPr="00BF45C9" w:rsidRDefault="00467590" w:rsidP="00DB044D">
            <w:pPr>
              <w:jc w:val="both"/>
            </w:pPr>
            <w:r w:rsidRPr="00BF45C9">
              <w:t>е) финансов план, включително планираните средства от всеки фонд, и, когато е целесъобразно, планираните средства от ЕЗФРСР, и всяка засегната програма.;</w:t>
            </w:r>
          </w:p>
          <w:p w14:paraId="7DB7A429" w14:textId="77777777" w:rsidR="00467590" w:rsidRPr="00BF45C9" w:rsidRDefault="00467590" w:rsidP="00DB044D">
            <w:pPr>
              <w:jc w:val="both"/>
            </w:pPr>
            <w:r w:rsidRPr="00BF45C9">
              <w:t>- Всяка стратегия за ВОМР следва да съответства, да допълва или да не противоречи на съответната интегрираната териториална стратегия на региона (от 6-те региона от ниво 2), в който попада местната инициативна група. За стратегии за ВОМР, които обхващат територии, попадащи в два или повече региона от ниво 2, тези изисквания се изпълняват за всяка от частите на местната инициативна група, попадащи в съответния регион от ниво 2 и съотнесени към него.</w:t>
            </w:r>
          </w:p>
          <w:p w14:paraId="0921C444" w14:textId="25B25859" w:rsidR="00467590" w:rsidRPr="00BF45C9" w:rsidRDefault="00467590" w:rsidP="00DB044D">
            <w:pPr>
              <w:jc w:val="both"/>
            </w:pPr>
          </w:p>
          <w:p w14:paraId="6F73127B" w14:textId="77777777" w:rsidR="00467590" w:rsidRPr="00BF45C9" w:rsidRDefault="00467590" w:rsidP="00DB044D">
            <w:pPr>
              <w:jc w:val="both"/>
            </w:pPr>
            <w:r w:rsidRPr="00BF45C9">
              <w:t>- Стратегиите за ВОМР следва да водят до устойчиво развитие на териториите, на които се прилагат чрез подкрепа на въвеждането на иновации (иновативни практики, методи, процеси, подходи и др.) на териториите на МИГ, стимулиране на местната икономика и местното производство, подкрепа за социални дейности, насочени към всички нуждаещи се групи, подкрепа за качествено образование, подобряване на условията за живот и на състоянието на околната среда.</w:t>
            </w:r>
          </w:p>
          <w:p w14:paraId="2C98F837" w14:textId="77777777" w:rsidR="00467590" w:rsidRPr="00BF45C9" w:rsidRDefault="00467590" w:rsidP="00467590"/>
          <w:p w14:paraId="03770F74" w14:textId="77777777" w:rsidR="00467590" w:rsidRPr="00BF45C9" w:rsidRDefault="00467590" w:rsidP="00DB044D">
            <w:pPr>
              <w:jc w:val="both"/>
            </w:pPr>
            <w:r w:rsidRPr="00BF45C9">
              <w:t>Изпълнение на операции, включително дейности за сътрудничество и тяхната подготовка, избрани в рамките на стратегията за местно развитие.</w:t>
            </w:r>
          </w:p>
          <w:p w14:paraId="099894D5" w14:textId="77777777" w:rsidR="00467590" w:rsidRPr="00BF45C9" w:rsidRDefault="00467590" w:rsidP="00DB044D">
            <w:pPr>
              <w:jc w:val="both"/>
            </w:pPr>
          </w:p>
          <w:p w14:paraId="3D9271FE" w14:textId="77777777" w:rsidR="00467590" w:rsidRPr="00BF45C9" w:rsidRDefault="00467590" w:rsidP="00DB044D">
            <w:pPr>
              <w:jc w:val="both"/>
            </w:pPr>
            <w:r w:rsidRPr="00BF45C9">
              <w:t>Прилагането на операции по стратегиите за ВОМР, включително за сътрудничество, следва да води до постигане на целите на СПРЗСР, както и на съответните финансиращи фондове чрез съответните програми, в случай на многофондови стратегии за ВОМР.</w:t>
            </w:r>
          </w:p>
          <w:p w14:paraId="362BE31C" w14:textId="4C3F4958" w:rsidR="00467590" w:rsidRPr="00BF45C9" w:rsidRDefault="00467590" w:rsidP="00DB044D">
            <w:pPr>
              <w:jc w:val="both"/>
            </w:pPr>
            <w:r w:rsidRPr="00BF45C9">
              <w:t>Дейностите, допустими за подкрепа по ЕФРР и ЕСФ+</w:t>
            </w:r>
            <w:r w:rsidR="00994830" w:rsidRPr="00BF45C9">
              <w:t>, както и в</w:t>
            </w:r>
            <w:r w:rsidRPr="00BF45C9">
              <w:t>сички условия за допустимост, касаещи финансирането от отделните програми, се предоставят от съответната финансираща програма.</w:t>
            </w:r>
          </w:p>
          <w:p w14:paraId="4CB467BD" w14:textId="77777777" w:rsidR="00467590" w:rsidRPr="00BF45C9" w:rsidRDefault="00467590" w:rsidP="00DB044D">
            <w:pPr>
              <w:jc w:val="both"/>
            </w:pPr>
            <w:r w:rsidRPr="00BF45C9">
              <w:t>По стратегиите за ВОМР са допустими за подкрепа от ЕЗФРСР дейности и разходи съгласно Регламент (ЕС) 2021/2115 и Регламент (ЕС) 2021/1060.</w:t>
            </w:r>
          </w:p>
          <w:p w14:paraId="3FFC8AD6" w14:textId="77777777" w:rsidR="00467590" w:rsidRPr="00BF45C9" w:rsidRDefault="00467590" w:rsidP="00467590"/>
          <w:p w14:paraId="56671107" w14:textId="77777777" w:rsidR="00467590" w:rsidRPr="00BF45C9" w:rsidRDefault="00467590" w:rsidP="00DB044D">
            <w:pPr>
              <w:jc w:val="both"/>
            </w:pPr>
            <w:r w:rsidRPr="00BF45C9">
              <w:lastRenderedPageBreak/>
              <w:t>Операциите, включени в стратегията за ВОМР следва да отговарят на местните потребности, да създават и запазват заетост за местното население, да са в полза на местния бизнес, да въвеждат иновации, да водят до подобряване на условията за живот (включително дейности, подкрепящи създаването на интелигентни селища) и на състоянието на околната среща, да водят до социално приобщаване и подобряване на социалните услуги на територията, да водят до подобряване на качеството на образованието.</w:t>
            </w:r>
          </w:p>
          <w:p w14:paraId="4B0518DA" w14:textId="77777777" w:rsidR="00467590" w:rsidRPr="00BF45C9" w:rsidRDefault="00467590" w:rsidP="00DB044D">
            <w:pPr>
              <w:jc w:val="both"/>
            </w:pPr>
          </w:p>
          <w:p w14:paraId="1D973ED6" w14:textId="77777777" w:rsidR="00467590" w:rsidRPr="00BF45C9" w:rsidRDefault="00467590" w:rsidP="00DB044D">
            <w:pPr>
              <w:jc w:val="both"/>
            </w:pPr>
            <w:r w:rsidRPr="00BF45C9">
              <w:t>Подкрепата от Европейския земеделски фонд за развитие на селските райони се предоставя за територията на селския район на МИГ или за друга територия обхваната от МИГ, когато проектите допринасят за развитието на съответния селски район.</w:t>
            </w:r>
          </w:p>
          <w:p w14:paraId="4E5250D6" w14:textId="77777777" w:rsidR="00467590" w:rsidRPr="00BF45C9" w:rsidRDefault="00467590" w:rsidP="00DB044D">
            <w:pPr>
              <w:jc w:val="both"/>
            </w:pPr>
            <w:r w:rsidRPr="00BF45C9">
              <w:t>Операциите се изпълняват на територията на МИГ.</w:t>
            </w:r>
          </w:p>
          <w:p w14:paraId="46F40B51" w14:textId="77777777" w:rsidR="00467590" w:rsidRPr="00BF45C9" w:rsidRDefault="00467590" w:rsidP="00DB044D">
            <w:pPr>
              <w:jc w:val="both"/>
            </w:pPr>
          </w:p>
          <w:p w14:paraId="1B62F9A5" w14:textId="77777777" w:rsidR="00467590" w:rsidRPr="00BF45C9" w:rsidRDefault="00467590" w:rsidP="00DB044D">
            <w:pPr>
              <w:jc w:val="both"/>
            </w:pPr>
            <w:r w:rsidRPr="00BF45C9">
              <w:t xml:space="preserve">В стратегиите за Водено от общностите местно развитие не се включват операции от ЕЗФРСР, предвиждащи фиксирани плащания и мерки, свързани със схеми за плащания на площ. В стратегиите за ВОМР не е допустимо включването на разходи за инфраструктура, свързани с пътища, </w:t>
            </w:r>
            <w:proofErr w:type="spellStart"/>
            <w:r w:rsidRPr="00BF45C9">
              <w:t>водопреносни</w:t>
            </w:r>
            <w:proofErr w:type="spellEnd"/>
            <w:r w:rsidRPr="00BF45C9">
              <w:t xml:space="preserve"> и канализационни системи, освен ако не са част от по-голям проект или не са свързани с дейности, отговарящи на концепцията за интелигентни селища. Не е допустима и подкрепата за основни земеделски инвестиции, като закупуването на машини, с изключение на такива, предвидени за социално земеделие и такива, свързани с колективни инвестиции.</w:t>
            </w:r>
          </w:p>
          <w:p w14:paraId="3F0FF2E7" w14:textId="77777777" w:rsidR="00467590" w:rsidRPr="00BF45C9" w:rsidRDefault="00467590" w:rsidP="00DB044D">
            <w:pPr>
              <w:jc w:val="both"/>
            </w:pPr>
          </w:p>
          <w:p w14:paraId="61E65817" w14:textId="77777777" w:rsidR="00467590" w:rsidRPr="00BF45C9" w:rsidRDefault="00467590" w:rsidP="00DB044D">
            <w:pPr>
              <w:jc w:val="both"/>
            </w:pPr>
            <w:r w:rsidRPr="00BF45C9">
              <w:t>За населените места, на чиито територии се прилага подхода ВОМР/ЛИДЕР и които са подпомагани от „Програма за развитие на регионите“ 2021 – 2027 г., се прилага демаркация на инвестициите.</w:t>
            </w:r>
          </w:p>
          <w:p w14:paraId="5CCE51D4" w14:textId="77777777" w:rsidR="00467590" w:rsidRPr="00BF45C9" w:rsidRDefault="00467590" w:rsidP="00DB044D">
            <w:pPr>
              <w:jc w:val="both"/>
            </w:pPr>
          </w:p>
          <w:p w14:paraId="72262C4C" w14:textId="77777777" w:rsidR="00467590" w:rsidRPr="00BF45C9" w:rsidRDefault="00467590" w:rsidP="00DB044D">
            <w:pPr>
              <w:jc w:val="both"/>
            </w:pPr>
            <w:r w:rsidRPr="00BF45C9">
              <w:t>Дейностите за сътрудничество и тяхната подготовка са в рамките на стратегиите за Водено от общностите местно развитие. Чрез тях се насърчава развитието на териториите на МИГ, чрез взаимодействие и реализиране на съвместни проекти. Те включват:</w:t>
            </w:r>
          </w:p>
          <w:p w14:paraId="3D7E4A3C" w14:textId="77777777" w:rsidR="00467590" w:rsidRPr="00BF45C9" w:rsidRDefault="00467590" w:rsidP="00DB044D">
            <w:pPr>
              <w:jc w:val="both"/>
            </w:pPr>
            <w:r w:rsidRPr="00BF45C9">
              <w:t>- Разработване на съвместен продукт/услуга/дейност, вкл. разходи за материални и нематериални инвестиции;</w:t>
            </w:r>
          </w:p>
          <w:p w14:paraId="30F2A58E" w14:textId="77777777" w:rsidR="00467590" w:rsidRPr="00BF45C9" w:rsidRDefault="00467590" w:rsidP="00DB044D">
            <w:pPr>
              <w:jc w:val="both"/>
            </w:pPr>
            <w:r w:rsidRPr="00BF45C9">
              <w:t>- Извършване на изследвания, проучвания и анализи, директно свързани със съвместния продукт/услуга/дейност;</w:t>
            </w:r>
          </w:p>
          <w:p w14:paraId="67C6168B" w14:textId="77777777" w:rsidR="00467590" w:rsidRPr="00BF45C9" w:rsidRDefault="00467590" w:rsidP="00DB044D">
            <w:pPr>
              <w:jc w:val="both"/>
            </w:pPr>
            <w:r w:rsidRPr="00BF45C9">
              <w:t>- Реализиране на промоционални и маркетингови кампании;</w:t>
            </w:r>
          </w:p>
          <w:p w14:paraId="355BCA28" w14:textId="77777777" w:rsidR="00467590" w:rsidRPr="00BF45C9" w:rsidRDefault="00467590" w:rsidP="00DB044D">
            <w:pPr>
              <w:jc w:val="both"/>
            </w:pPr>
            <w:r w:rsidRPr="00BF45C9">
              <w:t>- Организиране на заседания, обучения, семинари, съвместни събития, срещи с потенциални партньори или партньори по проекта и т. н.;</w:t>
            </w:r>
          </w:p>
          <w:p w14:paraId="1D673D72" w14:textId="77777777" w:rsidR="00467590" w:rsidRPr="00BF45C9" w:rsidRDefault="00467590" w:rsidP="00DB044D">
            <w:pPr>
              <w:jc w:val="both"/>
            </w:pPr>
            <w:r w:rsidRPr="00BF45C9">
              <w:t>- Извършване на информационни кампании, включващи организиране на срещи, конференции, публикуване и излъчване в медиите;</w:t>
            </w:r>
          </w:p>
          <w:p w14:paraId="1CACFAE2" w14:textId="77777777" w:rsidR="00467590" w:rsidRPr="00BF45C9" w:rsidRDefault="00467590" w:rsidP="00DB044D">
            <w:pPr>
              <w:jc w:val="both"/>
            </w:pPr>
            <w:r w:rsidRPr="00BF45C9">
              <w:t>- Дейностите по координация на изпълнението на проекта (извършване на разходи за наемане на допълнителен персонал, пътни разходи, разходи за нощувки и храна, хонорари за експерти, разходи за превод, разходи за комуникация и др.).</w:t>
            </w:r>
          </w:p>
          <w:p w14:paraId="332179FB" w14:textId="77777777" w:rsidR="00467590" w:rsidRPr="00BF45C9" w:rsidRDefault="00467590" w:rsidP="00DB044D">
            <w:pPr>
              <w:jc w:val="both"/>
            </w:pPr>
            <w:r w:rsidRPr="00BF45C9">
              <w:t>Партньори по тези проекти могат да бъдат други МИГ и местни инициативни рибарски групи от България и ЕС, както и подобен тип структури, изпълняващи стратегия за местно развитие от България, ЕС или трети страни.</w:t>
            </w:r>
          </w:p>
          <w:p w14:paraId="26516FC5" w14:textId="77777777" w:rsidR="00467590" w:rsidRPr="00BF45C9" w:rsidRDefault="00467590" w:rsidP="00DB044D">
            <w:pPr>
              <w:jc w:val="both"/>
            </w:pPr>
          </w:p>
          <w:p w14:paraId="1D39AD63" w14:textId="77777777" w:rsidR="00467590" w:rsidRPr="00BF45C9" w:rsidRDefault="00467590" w:rsidP="00DB044D">
            <w:pPr>
              <w:jc w:val="both"/>
            </w:pPr>
            <w:r w:rsidRPr="00BF45C9">
              <w:t>Дейностите за сътрудничество трябва да отговарят на следните условия за допустимост:</w:t>
            </w:r>
          </w:p>
          <w:p w14:paraId="48BD7A1E" w14:textId="77777777" w:rsidR="00467590" w:rsidRPr="00BF45C9" w:rsidRDefault="00467590" w:rsidP="00DB044D">
            <w:pPr>
              <w:jc w:val="both"/>
            </w:pPr>
            <w:r w:rsidRPr="00BF45C9">
              <w:lastRenderedPageBreak/>
              <w:t>- да са свързани и да водят до развитието на територии, покрити от стратегии на МИГ;</w:t>
            </w:r>
          </w:p>
          <w:p w14:paraId="2802B1DC" w14:textId="77777777" w:rsidR="00467590" w:rsidRPr="00BF45C9" w:rsidRDefault="00467590" w:rsidP="00DB044D">
            <w:pPr>
              <w:jc w:val="both"/>
            </w:pPr>
            <w:r w:rsidRPr="00BF45C9">
              <w:t>- да съответстват на и да допринасят за постигане целите и приоритетите на стратегиите за Водено от общностите местно развитие на съответните групи и СПРЗСР;</w:t>
            </w:r>
          </w:p>
          <w:p w14:paraId="0A6DFA0D" w14:textId="77777777" w:rsidR="00467590" w:rsidRPr="00BF45C9" w:rsidRDefault="00467590" w:rsidP="00DB044D">
            <w:pPr>
              <w:jc w:val="both"/>
            </w:pPr>
            <w:r w:rsidRPr="00BF45C9">
              <w:t>- партньорите по дейностите за сътрудничество да участват в тяхната подготовка и изпълнение да притежават съответния административен капацитет.</w:t>
            </w:r>
          </w:p>
          <w:p w14:paraId="381E6FE2" w14:textId="77777777" w:rsidR="00467590" w:rsidRPr="00BF45C9" w:rsidRDefault="00467590" w:rsidP="00467590"/>
          <w:p w14:paraId="02B6FC8F" w14:textId="77777777" w:rsidR="00467590" w:rsidRPr="00BF45C9" w:rsidRDefault="00467590" w:rsidP="00467590">
            <w:r w:rsidRPr="00BF45C9">
              <w:rPr>
                <w:b/>
                <w:bCs/>
              </w:rPr>
              <w:t>Управление, мониторинг и оценка на стратегията и нейното популяризиране.</w:t>
            </w:r>
          </w:p>
          <w:p w14:paraId="4103AA0E" w14:textId="77777777" w:rsidR="00467590" w:rsidRPr="00BF45C9" w:rsidRDefault="00467590" w:rsidP="00DB044D">
            <w:pPr>
              <w:jc w:val="both"/>
            </w:pPr>
            <w:r w:rsidRPr="00BF45C9">
              <w:t>Допустими за извършване са дейности по управление, популяризиране, мониторинг и оценка на стратегии за одобрени от УО на СПРСР местни инициативни групи, прилагащи стратегии за Водено от общностите местно развитие.</w:t>
            </w:r>
          </w:p>
        </w:tc>
      </w:tr>
    </w:tbl>
    <w:p w14:paraId="3BB3AA61" w14:textId="77777777" w:rsidR="00467590" w:rsidRPr="00BF45C9" w:rsidRDefault="00467590" w:rsidP="00467590">
      <w:pPr>
        <w:rPr>
          <w:bCs/>
          <w:iCs/>
        </w:rPr>
      </w:pPr>
      <w:bookmarkStart w:id="6" w:name="_Toc256001994"/>
      <w:r w:rsidRPr="00BF45C9">
        <w:rPr>
          <w:bCs/>
          <w:iCs/>
        </w:rPr>
        <w:lastRenderedPageBreak/>
        <w:t>6 Определяне на уместни базови характеристики</w:t>
      </w:r>
      <w:bookmarkEnd w:id="6"/>
    </w:p>
    <w:p w14:paraId="769C25E6" w14:textId="77777777" w:rsidR="00467590" w:rsidRPr="00BF45C9" w:rsidRDefault="00467590" w:rsidP="00467590">
      <w:r w:rsidRPr="00BF45C9">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14:paraId="5F66E083" w14:textId="77777777" w:rsidR="00467590" w:rsidRPr="00BF45C9" w:rsidRDefault="00467590" w:rsidP="00467590">
      <w:r w:rsidRPr="00BF45C9">
        <w:t>Неприложимо</w:t>
      </w:r>
    </w:p>
    <w:p w14:paraId="08BFFA74" w14:textId="77777777" w:rsidR="00467590" w:rsidRPr="00BF45C9" w:rsidRDefault="00467590" w:rsidP="00467590">
      <w:pPr>
        <w:rPr>
          <w:bCs/>
          <w:iCs/>
        </w:rPr>
      </w:pPr>
      <w:bookmarkStart w:id="7" w:name="_Toc256001995"/>
      <w:r w:rsidRPr="00BF45C9">
        <w:rPr>
          <w:bCs/>
          <w:iCs/>
        </w:rPr>
        <w:t>7 Форма и ставка на подпомагане/суми/методи за изчисляване</w:t>
      </w:r>
      <w:bookmarkEnd w:id="7"/>
    </w:p>
    <w:p w14:paraId="47F7E717" w14:textId="77777777" w:rsidR="00467590" w:rsidRPr="00BF45C9" w:rsidRDefault="00467590" w:rsidP="00467590">
      <w:r w:rsidRPr="00BF45C9">
        <w:t>Форма на подкрепа</w:t>
      </w:r>
    </w:p>
    <w:p w14:paraId="0C694AFB" w14:textId="77777777" w:rsidR="00467590" w:rsidRPr="00BF45C9" w:rsidRDefault="00467590" w:rsidP="00467590">
      <w:pPr>
        <w:rPr>
          <w:b/>
        </w:rPr>
      </w:pPr>
      <w:r w:rsidRPr="00BF45C9">
        <w:rPr>
          <w:b/>
        </w:rPr>
        <w:t>þ Безвъзмездни средства</w:t>
      </w:r>
    </w:p>
    <w:p w14:paraId="3E6E28B2" w14:textId="77777777" w:rsidR="00467590" w:rsidRPr="00BF45C9" w:rsidRDefault="00467590" w:rsidP="00467590">
      <w:pPr>
        <w:rPr>
          <w:b/>
        </w:rPr>
      </w:pPr>
      <w:r w:rsidRPr="00BF45C9">
        <w:rPr>
          <w:b/>
        </w:rPr>
        <w:t>þ Финансов инструмент</w:t>
      </w:r>
    </w:p>
    <w:p w14:paraId="231C0045" w14:textId="77777777" w:rsidR="00467590" w:rsidRPr="00BF45C9" w:rsidRDefault="00467590" w:rsidP="00467590"/>
    <w:p w14:paraId="0443151C" w14:textId="77777777" w:rsidR="00467590" w:rsidRPr="00BF45C9" w:rsidRDefault="00467590" w:rsidP="00467590">
      <w:r w:rsidRPr="00BF45C9">
        <w:t>Вид на плащането</w:t>
      </w:r>
    </w:p>
    <w:p w14:paraId="1C8D95EF" w14:textId="77777777" w:rsidR="00467590" w:rsidRPr="00BF45C9" w:rsidRDefault="00467590" w:rsidP="00467590">
      <w:r w:rsidRPr="00BF45C9">
        <w:t xml:space="preserve">þ възстановяване на действително направени от </w:t>
      </w:r>
      <w:proofErr w:type="spellStart"/>
      <w:r w:rsidRPr="00BF45C9">
        <w:t>бенефициера</w:t>
      </w:r>
      <w:proofErr w:type="spellEnd"/>
      <w:r w:rsidRPr="00BF45C9">
        <w:t xml:space="preserve"> допустими разходи</w:t>
      </w:r>
    </w:p>
    <w:p w14:paraId="7EBDC597" w14:textId="77777777" w:rsidR="00467590" w:rsidRPr="00BF45C9" w:rsidRDefault="00467590" w:rsidP="00467590">
      <w:r w:rsidRPr="00BF45C9">
        <w:t>þ единични разходи</w:t>
      </w:r>
    </w:p>
    <w:p w14:paraId="515234E8" w14:textId="77777777" w:rsidR="00467590" w:rsidRPr="00BF45C9" w:rsidRDefault="00467590" w:rsidP="00467590">
      <w:r w:rsidRPr="00BF45C9">
        <w:t>¨ еднократни суми</w:t>
      </w:r>
    </w:p>
    <w:p w14:paraId="59C47648" w14:textId="77777777" w:rsidR="00467590" w:rsidRPr="00BF45C9" w:rsidRDefault="00467590" w:rsidP="00467590">
      <w:r w:rsidRPr="00BF45C9">
        <w:t>þ финансиране с единна ставка</w:t>
      </w:r>
    </w:p>
    <w:p w14:paraId="60FA855E" w14:textId="77777777" w:rsidR="00467590" w:rsidRPr="00BF45C9" w:rsidRDefault="00467590" w:rsidP="00467590"/>
    <w:p w14:paraId="05DB3F7E" w14:textId="77777777" w:rsidR="00467590" w:rsidRPr="00BF45C9" w:rsidRDefault="00467590" w:rsidP="00467590">
      <w:r w:rsidRPr="00BF45C9">
        <w:t>Основа за определянето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7A8BE077"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71F7E2B" w14:textId="77777777" w:rsidR="00467590" w:rsidRPr="00BF45C9" w:rsidRDefault="00467590" w:rsidP="00DB044D">
            <w:pPr>
              <w:jc w:val="both"/>
            </w:pPr>
            <w:r w:rsidRPr="00BF45C9">
              <w:t>Освен възстановяване на реално извършени разходи, ще се прилагат и следните опростени варианти на разходи:</w:t>
            </w:r>
          </w:p>
          <w:p w14:paraId="1E3816B5" w14:textId="77777777" w:rsidR="00467590" w:rsidRPr="00BF45C9" w:rsidRDefault="00467590" w:rsidP="00DB044D">
            <w:pPr>
              <w:jc w:val="both"/>
            </w:pPr>
            <w:r w:rsidRPr="00BF45C9">
              <w:t>1. Единични суми съгласно чл. 83, параграф 1, т. б на Регламент (ЕС) 2021/2115: работна/информационна среща; информационни срещи/семинари; информационни конференции; създаване на електронна страница; поддържане на електронна страница; публикация в регионални медии; излъчване в регионални медии; обучения, проучване и анализ; извършване на експертна работа; извършване на устни и писмени преводи.</w:t>
            </w:r>
          </w:p>
          <w:p w14:paraId="68CBE47C" w14:textId="77777777" w:rsidR="00467590" w:rsidRPr="00BF45C9" w:rsidRDefault="00467590" w:rsidP="00DB044D">
            <w:pPr>
              <w:jc w:val="both"/>
            </w:pPr>
            <w:r w:rsidRPr="00BF45C9">
              <w:t>Размерът на опростените варианти на разходите се определя съгласно чл. 83, параграф 2, т. а (i) на Регламент (ЕС) 2021/2115.</w:t>
            </w:r>
          </w:p>
          <w:p w14:paraId="710954DE" w14:textId="2FCE431B" w:rsidR="00467590" w:rsidRPr="00BF45C9" w:rsidRDefault="00467590" w:rsidP="00DB044D">
            <w:pPr>
              <w:jc w:val="both"/>
            </w:pPr>
            <w:r w:rsidRPr="00BF45C9">
              <w:t xml:space="preserve">2. Финансиране с единна ставка съгласно член 54, б на Регламент (ЕС) 2021/1060 за непреки разходи, </w:t>
            </w:r>
            <w:r w:rsidRPr="00BF45C9">
              <w:lastRenderedPageBreak/>
              <w:t>свър</w:t>
            </w:r>
            <w:r w:rsidR="00994830" w:rsidRPr="00BF45C9">
              <w:t>з</w:t>
            </w:r>
            <w:r w:rsidRPr="00BF45C9">
              <w:t>ани с дейностите на МИГ по управление на стратегиите за ВОМР: наем на офис, комуникация и външни услуги (телефон, интернет, пощенски и куриерски услуги, топло и електроенергия, вода, електронен подпис, охрана, счетоводни услуги, правни услуги, офис консумативи и канцеларски материали, гориво за лек автом</w:t>
            </w:r>
            <w:r w:rsidR="00BF45C9">
              <w:t>об</w:t>
            </w:r>
            <w:r w:rsidRPr="00BF45C9">
              <w:t>ил и други непредвидени оперативни разходи, необходими за функционирането на офиса).</w:t>
            </w:r>
          </w:p>
          <w:p w14:paraId="0E09B11A" w14:textId="50B8D4D9" w:rsidR="00467590" w:rsidRPr="00BF45C9" w:rsidRDefault="00467590" w:rsidP="00DB044D">
            <w:pPr>
              <w:jc w:val="both"/>
            </w:pPr>
            <w:r w:rsidRPr="00BF45C9">
              <w:t>Опростените варианти на разходите се прилагат за дейностите, свър</w:t>
            </w:r>
            <w:r w:rsidR="00BF45C9">
              <w:t>з</w:t>
            </w:r>
            <w:r w:rsidRPr="00BF45C9">
              <w:t>ани със сътрудничество и управление, мониторинг и оценка на стратегиите и тяхното популяризиране. Стойностите на опростените варианти на разходите по т. 1 ще се актуализират периодично.</w:t>
            </w:r>
          </w:p>
          <w:p w14:paraId="24DBEE04" w14:textId="77777777" w:rsidR="00467590" w:rsidRPr="00BF45C9" w:rsidRDefault="00467590" w:rsidP="00DB044D">
            <w:pPr>
              <w:jc w:val="both"/>
            </w:pPr>
            <w:r w:rsidRPr="00BF45C9">
              <w:t>Кандидати, отговарящи на условията за допустимост по интервенциите, избрани в рамките на стратегията за местно развитие, могат да получат подкрепа под формата на финансов инструмент.</w:t>
            </w:r>
          </w:p>
          <w:p w14:paraId="2446D271" w14:textId="77777777" w:rsidR="00467590" w:rsidRPr="00BF45C9" w:rsidRDefault="00467590" w:rsidP="00DB044D">
            <w:pPr>
              <w:jc w:val="both"/>
            </w:pPr>
            <w:r w:rsidRPr="00BF45C9">
              <w:t>Проектите следва да бъдат устойчиви и финансово жизнеспособни.</w:t>
            </w:r>
          </w:p>
          <w:p w14:paraId="4C03FB5D" w14:textId="77777777" w:rsidR="00467590" w:rsidRPr="00BF45C9" w:rsidRDefault="00467590" w:rsidP="00DB044D">
            <w:pPr>
              <w:jc w:val="both"/>
            </w:pPr>
            <w:r w:rsidRPr="00BF45C9">
              <w:t>Финансовия инструмент се предоставя под формата на гаранционна схема за кредити, със специфики според вида на допустимите бенефициенти, както следва:</w:t>
            </w:r>
          </w:p>
          <w:p w14:paraId="4FCEEF1C" w14:textId="77777777" w:rsidR="00467590" w:rsidRPr="00BF45C9" w:rsidRDefault="00467590" w:rsidP="00DB044D">
            <w:pPr>
              <w:jc w:val="both"/>
            </w:pPr>
            <w:r w:rsidRPr="00BF45C9">
              <w:t xml:space="preserve">1. гаранционна схема с 80% размер на гаранцията за необезпечени заеми и/или оборотни средства и 100% лихвена субсидия за заеми, покрити от гаранцията, при 100% максимален процент на гаранцията без лимит на </w:t>
            </w:r>
            <w:proofErr w:type="spellStart"/>
            <w:r w:rsidRPr="00BF45C9">
              <w:t>портфейлна</w:t>
            </w:r>
            <w:proofErr w:type="spellEnd"/>
            <w:r w:rsidRPr="00BF45C9">
              <w:t xml:space="preserve"> основа, за много малки земеделски стопанства и млади земеделски стопани, съгласно дефинициите, както и за стартиращи предприятия в селските райони. Допустими са </w:t>
            </w:r>
            <w:proofErr w:type="spellStart"/>
            <w:r w:rsidRPr="00BF45C9">
              <w:t>новоотпуснати</w:t>
            </w:r>
            <w:proofErr w:type="spellEnd"/>
            <w:r w:rsidRPr="00BF45C9">
              <w:t xml:space="preserve">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150 хил. евро.</w:t>
            </w:r>
          </w:p>
          <w:p w14:paraId="50B7D438" w14:textId="77777777" w:rsidR="00467590" w:rsidRPr="00BF45C9" w:rsidRDefault="00467590" w:rsidP="00DB044D">
            <w:pPr>
              <w:jc w:val="both"/>
            </w:pPr>
            <w:r w:rsidRPr="00BF45C9">
              <w:t xml:space="preserve">2. гаранционна схема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w:t>
            </w:r>
            <w:proofErr w:type="spellStart"/>
            <w:r w:rsidRPr="00BF45C9">
              <w:t>портфейлна</w:t>
            </w:r>
            <w:proofErr w:type="spellEnd"/>
            <w:r w:rsidRPr="00BF45C9">
              <w:t xml:space="preserve"> основа, за </w:t>
            </w:r>
            <w:proofErr w:type="spellStart"/>
            <w:r w:rsidRPr="00BF45C9">
              <w:t>микро</w:t>
            </w:r>
            <w:proofErr w:type="spellEnd"/>
            <w:r w:rsidRPr="00BF45C9">
              <w:t xml:space="preserve">, малки и средни предприятия, извършващи селскостопански дейности и преработка на земеделски продукти, както и земеделски стопани или </w:t>
            </w:r>
            <w:proofErr w:type="spellStart"/>
            <w:r w:rsidRPr="00BF45C9">
              <w:t>микропредприятия</w:t>
            </w:r>
            <w:proofErr w:type="spellEnd"/>
            <w:r w:rsidRPr="00BF45C9">
              <w:t xml:space="preserve">, извършващи неселскостопанска дейност в селските райони. Изискуемото обезпечение се определя спрямо стандартните изисквания на финансовите посредници с приоритет на използване на активите, придобивани със средства от отпуснатите кредити. Допустими са </w:t>
            </w:r>
            <w:proofErr w:type="spellStart"/>
            <w:r w:rsidRPr="00BF45C9">
              <w:t>новоотпуснати</w:t>
            </w:r>
            <w:proofErr w:type="spellEnd"/>
            <w:r w:rsidRPr="00BF45C9">
              <w:t xml:space="preserve">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500 хил. евро.</w:t>
            </w:r>
          </w:p>
          <w:p w14:paraId="37555A63" w14:textId="77777777" w:rsidR="00467590" w:rsidRPr="00BF45C9" w:rsidRDefault="00467590" w:rsidP="00DB044D">
            <w:pPr>
              <w:jc w:val="both"/>
            </w:pPr>
            <w:r w:rsidRPr="00BF45C9">
              <w:t>Посоченият приложим таван за подкрепа за финансиране на оборотни средства съгласно чл. 58, ал. 2 от Регламент 2021/1060 и Насоките на ЕК относно държавната помощ за финансови инструменти от ЕСИФ не може да надвишава 150 000 евро.</w:t>
            </w:r>
          </w:p>
          <w:p w14:paraId="60794CF9" w14:textId="77777777" w:rsidR="00467590" w:rsidRPr="00BF45C9" w:rsidRDefault="00467590" w:rsidP="00DB044D">
            <w:pPr>
              <w:jc w:val="both"/>
            </w:pPr>
            <w:r w:rsidRPr="00BF45C9">
              <w:t xml:space="preserve">Максимален </w:t>
            </w:r>
            <w:proofErr w:type="spellStart"/>
            <w:r w:rsidRPr="00BF45C9">
              <w:t>матуритет</w:t>
            </w:r>
            <w:proofErr w:type="spellEnd"/>
            <w:r w:rsidRPr="00BF45C9">
              <w:t xml:space="preserve"> на заемите – 120 месеца за инвестиционни кредити и 60 месеца за оборотни заеми.</w:t>
            </w:r>
          </w:p>
          <w:p w14:paraId="288AD176" w14:textId="77777777" w:rsidR="00467590" w:rsidRPr="00BF45C9" w:rsidRDefault="00467590" w:rsidP="00DB044D">
            <w:pPr>
              <w:jc w:val="both"/>
            </w:pPr>
            <w:r w:rsidRPr="00BF45C9">
              <w:t xml:space="preserve">Минимален </w:t>
            </w:r>
            <w:proofErr w:type="spellStart"/>
            <w:r w:rsidRPr="00BF45C9">
              <w:t>матуритет</w:t>
            </w:r>
            <w:proofErr w:type="spellEnd"/>
            <w:r w:rsidRPr="00BF45C9">
              <w:t xml:space="preserve"> на заемите – 12 месеца.</w:t>
            </w:r>
          </w:p>
          <w:p w14:paraId="70927002" w14:textId="77777777" w:rsidR="00467590" w:rsidRPr="00BF45C9" w:rsidRDefault="00467590" w:rsidP="00DB044D">
            <w:pPr>
              <w:jc w:val="both"/>
            </w:pPr>
            <w:r w:rsidRPr="00BF45C9">
              <w:t>Размер на собственото участие при инвестиционни кредити: спрямо стандартните изисквания на финансовите посредници.</w:t>
            </w:r>
          </w:p>
          <w:p w14:paraId="3CDFFC41" w14:textId="77777777" w:rsidR="00467590" w:rsidRPr="00BF45C9" w:rsidRDefault="00467590" w:rsidP="00DB044D">
            <w:pPr>
              <w:jc w:val="both"/>
            </w:pPr>
            <w:r w:rsidRPr="00BF45C9">
              <w:t xml:space="preserve">Процедура за включване – на </w:t>
            </w:r>
            <w:proofErr w:type="spellStart"/>
            <w:r w:rsidRPr="00BF45C9">
              <w:t>портфейлен</w:t>
            </w:r>
            <w:proofErr w:type="spellEnd"/>
            <w:r w:rsidRPr="00BF45C9">
              <w:t xml:space="preserve"> принцип.</w:t>
            </w:r>
          </w:p>
          <w:p w14:paraId="77DD2972" w14:textId="77777777" w:rsidR="00467590" w:rsidRPr="00BF45C9" w:rsidRDefault="00467590" w:rsidP="00DB044D">
            <w:pPr>
              <w:jc w:val="both"/>
            </w:pPr>
            <w:r w:rsidRPr="00BF45C9">
              <w:t>Условията за подпомагане чрез финансови инструменти са посочени в раздел 4.6 Финансови инструменти.</w:t>
            </w:r>
          </w:p>
        </w:tc>
      </w:tr>
    </w:tbl>
    <w:p w14:paraId="632F1E5A" w14:textId="77777777" w:rsidR="00467590" w:rsidRPr="00BF45C9" w:rsidRDefault="00467590" w:rsidP="00467590">
      <w:r w:rsidRPr="00BF45C9">
        <w:lastRenderedPageBreak/>
        <w:t xml:space="preserve">Обхват на подпомагането на равнище </w:t>
      </w:r>
      <w:proofErr w:type="spellStart"/>
      <w:r w:rsidRPr="00BF45C9">
        <w:t>бенефициер</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79B436AB"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1AC5CE8" w14:textId="77777777" w:rsidR="00467590" w:rsidRPr="00BF45C9" w:rsidRDefault="00467590" w:rsidP="00467590">
            <w:r w:rsidRPr="00BF45C9">
              <w:rPr>
                <w:b/>
                <w:bCs/>
              </w:rPr>
              <w:t>Изпълнението на операции, включително дейности за сътрудничество и тяхната подготовка, избрани в рамките на стратегията за местно развитие.</w:t>
            </w:r>
          </w:p>
          <w:p w14:paraId="6C74ED92" w14:textId="77777777" w:rsidR="00467590" w:rsidRPr="00BF45C9" w:rsidRDefault="00467590" w:rsidP="00DB044D">
            <w:pPr>
              <w:jc w:val="both"/>
            </w:pPr>
            <w:r w:rsidRPr="00BF45C9">
              <w:t>Подкрепата за подхода ВОМР по ЕЗФРСР е в размер на 8% от бюджета на Стратегическия план за развитие на земеделието и селските райони.</w:t>
            </w:r>
          </w:p>
          <w:p w14:paraId="5CCAEA35" w14:textId="77777777" w:rsidR="00467590" w:rsidRPr="00BF45C9" w:rsidRDefault="00467590" w:rsidP="00DB044D">
            <w:pPr>
              <w:jc w:val="both"/>
            </w:pPr>
            <w:r w:rsidRPr="00BF45C9">
              <w:t xml:space="preserve">Нивото на подпомагане за операциите по стратегиите за ВОМР е до 100% в зависимост от конкретните </w:t>
            </w:r>
            <w:r w:rsidRPr="00BF45C9">
              <w:lastRenderedPageBreak/>
              <w:t>дейности, по които се финансират съгласно разпоредбите на Регламент (ЕС) 2021/2115.</w:t>
            </w:r>
          </w:p>
          <w:p w14:paraId="6F87C9F2" w14:textId="77777777" w:rsidR="00467590" w:rsidRPr="00BF45C9" w:rsidRDefault="00467590" w:rsidP="00DB044D">
            <w:pPr>
              <w:jc w:val="both"/>
            </w:pPr>
            <w:r w:rsidRPr="00BF45C9">
              <w:t>Максималният размер на допустимите разходи за един проект към стратегия за ВОМР, който може да бъде предоставен на бенефициент е в размер на левовата равностойност на 200 000 евро.</w:t>
            </w:r>
          </w:p>
          <w:p w14:paraId="475B28D2" w14:textId="77777777" w:rsidR="00467590" w:rsidRPr="00BF45C9" w:rsidRDefault="00467590" w:rsidP="00DB044D">
            <w:pPr>
              <w:jc w:val="both"/>
            </w:pPr>
            <w:r w:rsidRPr="00BF45C9">
              <w:t>За местните инициативни групи с население до 15 000 жители (включително) е предвиден максимален бюджет за стратегия за Водено от общностите местно развитие, финансирана по ЕЗФРСР, в размер до левовата равностойност на 2 300 000 евро, включващ средства за изпълнение на проекти по стратегията, средства за изпълнение на дейности за сътрудничество и средства за управление, мониторинг и оценка на стратегията и нейното популяризиране. За местни инициативни групи с население над 15 000 жители е предвиден максимален бюджет за стратегия за Водено от общностите местно развитие, финансирана по ЕЗФРСР, в размер до левовата равностойност на 3 000 000 евро, включващ средства за изпълнение на проекти по стратегията, средства за изпълнение на дейности за сътрудничество и средства за управление, мониторинг и оценка на стратегията и нейното популяризиране.</w:t>
            </w:r>
          </w:p>
          <w:p w14:paraId="0F39ED50" w14:textId="77777777" w:rsidR="00467590" w:rsidRPr="00BF45C9" w:rsidRDefault="00467590" w:rsidP="00DB044D">
            <w:pPr>
              <w:jc w:val="both"/>
            </w:pPr>
          </w:p>
          <w:p w14:paraId="3C51D48E" w14:textId="170A32F5" w:rsidR="00467590" w:rsidRPr="00BF45C9" w:rsidRDefault="00467590" w:rsidP="00DB044D">
            <w:pPr>
              <w:jc w:val="both"/>
            </w:pPr>
            <w:r w:rsidRPr="00BF45C9">
              <w:t xml:space="preserve">Приносът на ЕФРР и ЕСФ+ към всяка от стратегиите за Водено от общностите местно развитие е </w:t>
            </w:r>
            <w:r w:rsidR="009C5337" w:rsidRPr="00BF45C9">
              <w:t xml:space="preserve">до 2% от бюджета на всяка от участващите </w:t>
            </w:r>
            <w:r w:rsidR="00581F8B" w:rsidRPr="00BF45C9">
              <w:t xml:space="preserve">в допълващото финансиране </w:t>
            </w:r>
            <w:r w:rsidR="009C5337" w:rsidRPr="00BF45C9">
              <w:t>програми - „Развитие на човешките ресурси“, „Конкурентоспособност и иновации в предприятията“, „Образование“ (ПО) и „Околна среда“.</w:t>
            </w:r>
          </w:p>
          <w:p w14:paraId="2A5411CC" w14:textId="2253EBDA" w:rsidR="00467590" w:rsidRPr="00BF45C9" w:rsidRDefault="00467590" w:rsidP="00DB044D">
            <w:pPr>
              <w:jc w:val="both"/>
            </w:pPr>
            <w:r w:rsidRPr="00BF45C9">
              <w:t xml:space="preserve">Максималната стойност на допустимите разходи и интензитета на помощта за проект, финансиран от фонд, различен от ЕЗФРСР </w:t>
            </w:r>
            <w:r w:rsidR="00994830" w:rsidRPr="00BF45C9">
              <w:t>с</w:t>
            </w:r>
            <w:r w:rsidRPr="00BF45C9">
              <w:t>е определ</w:t>
            </w:r>
            <w:r w:rsidR="00994830" w:rsidRPr="00BF45C9">
              <w:t>я от УО на съответната програма.</w:t>
            </w:r>
            <w:r w:rsidRPr="00BF45C9">
              <w:t xml:space="preserve"> </w:t>
            </w:r>
          </w:p>
          <w:p w14:paraId="763B7A26" w14:textId="77777777" w:rsidR="00467590" w:rsidRPr="00BF45C9" w:rsidRDefault="00467590" w:rsidP="00DB044D">
            <w:pPr>
              <w:jc w:val="both"/>
            </w:pPr>
          </w:p>
          <w:p w14:paraId="62CA091A" w14:textId="77777777" w:rsidR="00467590" w:rsidRPr="00BF45C9" w:rsidRDefault="00467590" w:rsidP="00DB044D">
            <w:pPr>
              <w:jc w:val="both"/>
            </w:pPr>
            <w:r w:rsidRPr="00BF45C9">
              <w:t>Могат да се прилагат и опростени разходи, които са направени въз основа на метода за коректно, справедливо и доказуемо изчисление.</w:t>
            </w:r>
          </w:p>
          <w:p w14:paraId="7BCC09AD" w14:textId="16F137EE" w:rsidR="00467590" w:rsidRPr="00BF45C9" w:rsidRDefault="00467590" w:rsidP="00DB044D">
            <w:pPr>
              <w:jc w:val="both"/>
            </w:pPr>
            <w:r w:rsidRPr="00BF45C9">
              <w:t>За дейности по сътрудничество нивото на подпомагане е до 100 % от разходите</w:t>
            </w:r>
            <w:r w:rsidR="00BF45C9">
              <w:t xml:space="preserve"> </w:t>
            </w:r>
            <w:r w:rsidRPr="00BF45C9">
              <w:t>съгласно разпоредбите на Регламент (ЕС) 2021/2115.</w:t>
            </w:r>
          </w:p>
          <w:p w14:paraId="5D9C2CE1" w14:textId="77777777" w:rsidR="00467590" w:rsidRPr="00BF45C9" w:rsidRDefault="00467590" w:rsidP="00DB044D">
            <w:pPr>
              <w:jc w:val="both"/>
            </w:pPr>
            <w:r w:rsidRPr="00BF45C9">
              <w:t>Ще се прилагат и опростени разходи, които са направени въз основа на метода за коректно, справедливо и доказуемо изчисление.</w:t>
            </w:r>
          </w:p>
          <w:p w14:paraId="4B729778" w14:textId="77777777" w:rsidR="00467590" w:rsidRPr="00BF45C9" w:rsidRDefault="00467590" w:rsidP="00DB044D">
            <w:pPr>
              <w:jc w:val="both"/>
            </w:pPr>
          </w:p>
          <w:p w14:paraId="0629A75F" w14:textId="77777777" w:rsidR="00467590" w:rsidRPr="00BF45C9" w:rsidRDefault="00467590" w:rsidP="00467590">
            <w:r w:rsidRPr="00BF45C9">
              <w:rPr>
                <w:b/>
                <w:bCs/>
              </w:rPr>
              <w:t>Управление, мониторинг и оценка на стратегията и нейното популяризиране.</w:t>
            </w:r>
          </w:p>
          <w:p w14:paraId="070693A6" w14:textId="77777777" w:rsidR="00467590" w:rsidRPr="00BF45C9" w:rsidRDefault="00467590" w:rsidP="00DB044D">
            <w:pPr>
              <w:jc w:val="both"/>
            </w:pPr>
            <w:r w:rsidRPr="00BF45C9">
              <w:t>Нивото на подпомагане е до 100 % от разходите, съгласно разпоредбите на Регламент (ЕС) 2021/2115.</w:t>
            </w:r>
          </w:p>
          <w:p w14:paraId="225AFA42" w14:textId="77777777" w:rsidR="00467590" w:rsidRPr="00BF45C9" w:rsidRDefault="00467590" w:rsidP="00DB044D">
            <w:pPr>
              <w:jc w:val="both"/>
            </w:pPr>
            <w:r w:rsidRPr="00BF45C9">
              <w:t>Ще се прилагат и опростени разходи, които са направени въз основа на метода за коректно, справедливо и доказуемо изчисление.</w:t>
            </w:r>
          </w:p>
          <w:p w14:paraId="173F7D3C" w14:textId="77777777" w:rsidR="00467590" w:rsidRPr="00BF45C9" w:rsidRDefault="00467590" w:rsidP="00DB044D">
            <w:pPr>
              <w:jc w:val="both"/>
            </w:pPr>
            <w:r w:rsidRPr="00BF45C9">
              <w:t>Подпомагането за дейностите по управление, мониторинг и оценка на стратегиите за ВОМР и тяхното популяризиране не може да надвишава 25 % от общия размер на публичния принос на ЕЗФРСР по стратегията.</w:t>
            </w:r>
          </w:p>
        </w:tc>
      </w:tr>
    </w:tbl>
    <w:p w14:paraId="11A23017" w14:textId="77777777" w:rsidR="00467590" w:rsidRPr="00BF45C9" w:rsidRDefault="00467590" w:rsidP="00467590">
      <w:r w:rsidRPr="00BF45C9">
        <w:lastRenderedPageBreak/>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20A90D8E"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61BA079" w14:textId="77777777" w:rsidR="00467590" w:rsidRPr="00BF45C9" w:rsidRDefault="00467590" w:rsidP="00DB044D">
            <w:pPr>
              <w:jc w:val="both"/>
            </w:pPr>
            <w:r w:rsidRPr="00BF45C9">
              <w:t xml:space="preserve">Подходът ЛИДЕР се прилага в България от програмен период 2007 – 2013 г. През този период по подхода са изпълнени стратегиите на 35 местни инициативни групи (на територия от 25 800 кв. км., включваща 57 общини, с население 810 688 души). Предвид потенциала на подхода ЛИДЕР и въз основа на придобития опит, през програмен период 2014 – 2020 г. за него е осигурено допълнително финансиране от Европейския социален фонд и Европейския фонд за регионално развитие. Прилагането на многофондово финансиране на подхода ВОМР осигурява възможности за комплексно </w:t>
            </w:r>
            <w:proofErr w:type="spellStart"/>
            <w:r w:rsidRPr="00BF45C9">
              <w:t>многосекторно</w:t>
            </w:r>
            <w:proofErr w:type="spellEnd"/>
            <w:r w:rsidRPr="00BF45C9">
              <w:t xml:space="preserve"> развитие на териториите на местните общности. През програмния период 2014 – 2020 г. са одобрени стратегиите на 64 МИГ (на територия от 53 828 кв. км., включваща 117 общини, с население 1 646 496 души). </w:t>
            </w:r>
          </w:p>
          <w:p w14:paraId="3CE80BB0" w14:textId="77777777" w:rsidR="00467590" w:rsidRPr="00BF45C9" w:rsidRDefault="00467590" w:rsidP="00DB044D">
            <w:pPr>
              <w:jc w:val="both"/>
            </w:pPr>
            <w:r w:rsidRPr="00BF45C9">
              <w:lastRenderedPageBreak/>
              <w:t xml:space="preserve">Опитът от прилагането на подхода ЛИДЕР/ВОМР в България, показва, че той се отразява положително на териториите на местните общности като води до създаване и укрепване на административен капацитет за работа с проекти с европейско финансиране на местно ниво, като по този начин подкрепя самоуправлението и децентрализацията; осигуряване на подкрепа за малкия бизнес чрез инвестиции в много на брой малки проекти, което от своя страна забавя процесите на обезлюдяване на малките населени места; </w:t>
            </w:r>
            <w:proofErr w:type="spellStart"/>
            <w:r w:rsidRPr="00BF45C9">
              <w:t>многосекторно</w:t>
            </w:r>
            <w:proofErr w:type="spellEnd"/>
            <w:r w:rsidRPr="00BF45C9">
              <w:t xml:space="preserve"> развитие на териториите; изгражда местна идентичност и сплотяване на местната общност. На териториите на прилагане на подхода се забелязва увеличаване на потенциала за изготвяне и изпълнение на качествени проекти, водещи до </w:t>
            </w:r>
            <w:proofErr w:type="spellStart"/>
            <w:r w:rsidRPr="00BF45C9">
              <w:t>многосекторното</w:t>
            </w:r>
            <w:proofErr w:type="spellEnd"/>
            <w:r w:rsidRPr="00BF45C9">
              <w:t xml:space="preserve"> им развитие, както и до подобряване на икономическото и социалното състояние на местните жители. </w:t>
            </w:r>
          </w:p>
          <w:p w14:paraId="2D152E96" w14:textId="77777777" w:rsidR="00467590" w:rsidRPr="00BF45C9" w:rsidRDefault="00467590" w:rsidP="00DB044D">
            <w:pPr>
              <w:jc w:val="both"/>
            </w:pPr>
            <w:r w:rsidRPr="00BF45C9">
              <w:t>Предвид позитивните резултати от прилагането на подхода ЛИДЕР/ВОМР през периодите на неговото прилагане, през програмния период 2021 – 2027 г. се увеличава териториалното му покритие, запазва се многофондово финансиране на стратегиите за ВОМР, както и се оптимизира прилагането му в полза на местните общности. В допълнение, предвид регистрирания интерес и потенциал за изготвяне и изпълнение на проекти към стратегиите за ВОМР, през програмния период се увеличава и максималният бюджет за всяка стратегия, като за МИГ с население до 15 000 жители (включително) той е 2 300 000 евро, а за МИГ над 15 000 жители е 3 000 000 евро. По този начин ще бъдат подкрепени по-голям брой инвестиции и дейности, което ще доведе до широко мащабно развитие на териториите на прилагане на подхода.</w:t>
            </w:r>
          </w:p>
        </w:tc>
      </w:tr>
    </w:tbl>
    <w:p w14:paraId="1079CAFE" w14:textId="77777777" w:rsidR="00467590" w:rsidRPr="00BF45C9" w:rsidRDefault="00467590" w:rsidP="00467590">
      <w:pPr>
        <w:rPr>
          <w:bCs/>
          <w:iCs/>
        </w:rPr>
      </w:pPr>
      <w:bookmarkStart w:id="8" w:name="_Toc256001996"/>
      <w:r w:rsidRPr="00BF45C9">
        <w:rPr>
          <w:bCs/>
          <w:iCs/>
        </w:rPr>
        <w:lastRenderedPageBreak/>
        <w:t>8 Информация относно оценката за държавна помощ</w:t>
      </w:r>
      <w:bookmarkEnd w:id="8"/>
    </w:p>
    <w:p w14:paraId="2B6D33EA" w14:textId="77777777" w:rsidR="00467590" w:rsidRPr="00BF45C9" w:rsidRDefault="00467590" w:rsidP="00467590">
      <w:r w:rsidRPr="00BF45C9">
        <w:t>Интервенцията попада извън приложното поле на член 42 от ДФЕС и подлежи на оценка за държавна помощ:</w:t>
      </w:r>
    </w:p>
    <w:p w14:paraId="176D4FFB" w14:textId="77777777" w:rsidR="00467590" w:rsidRPr="00BF45C9" w:rsidRDefault="00467590" w:rsidP="00467590">
      <w:r w:rsidRPr="00BF45C9">
        <w:t xml:space="preserve">¨ Да      þ Не      ¨ Смесено участие      </w:t>
      </w:r>
    </w:p>
    <w:p w14:paraId="57A21DF5" w14:textId="77777777" w:rsidR="00467590" w:rsidRPr="00BF45C9" w:rsidRDefault="00467590" w:rsidP="00467590"/>
    <w:p w14:paraId="01642EAD" w14:textId="77777777" w:rsidR="00467590" w:rsidRPr="00BF45C9" w:rsidRDefault="00467590" w:rsidP="00467590">
      <w:pPr>
        <w:rPr>
          <w:bCs/>
          <w:iCs/>
        </w:rPr>
      </w:pPr>
      <w:bookmarkStart w:id="9" w:name="_Toc256001997"/>
      <w:r w:rsidRPr="00BF45C9">
        <w:rPr>
          <w:bCs/>
          <w:iCs/>
        </w:rPr>
        <w:t>9 Допълнителни въпроси/информация за вида на интервенцията</w:t>
      </w:r>
      <w:bookmarkEnd w:id="9"/>
    </w:p>
    <w:p w14:paraId="7B5F612F" w14:textId="77777777" w:rsidR="00467590" w:rsidRPr="00BF45C9" w:rsidRDefault="00467590" w:rsidP="00467590">
      <w:r w:rsidRPr="00BF45C9">
        <w:t>Каква е предвижданата добавена стойност на подхода LEADER за развитието на селските райони?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65882317"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5204D13" w14:textId="77777777" w:rsidR="00467590" w:rsidRPr="00BF45C9" w:rsidRDefault="00467590" w:rsidP="00DB044D">
            <w:pPr>
              <w:jc w:val="both"/>
            </w:pPr>
            <w:r w:rsidRPr="00BF45C9">
              <w:t>Подходът ЛИДЕР се прилага като иновативен метод за местно развитие, който се използва от 1991 г. за ангажиране на местните участници в разработването и изпълнението на стратегии, вземането на решения и разпределението на ресурсите за развитието на техните селски райони. Абревиатурата ЛИДЕР означава „връзки между дейностите за развитие на селските райони“. Подходът е инструмент, който работи добре в различни условия и видове райони чрез приспособяване на политиката за развитие на селските райони към огромните различия в нуждите на тези райони. Целта на подхода е местните общности сами да определят приоритети си за развитие, след провеждане на широки консултации със заинтересовани страни от гражданския, неправителствения, стопанския и публичния сектор, изхождайки от факта, че месното население най-добре познава своите проблеми, местните нужди, приоритети и потенциал за развитие.</w:t>
            </w:r>
          </w:p>
          <w:p w14:paraId="1339A0CE" w14:textId="77777777" w:rsidR="00467590" w:rsidRPr="00BF45C9" w:rsidRDefault="00467590" w:rsidP="00467590"/>
          <w:p w14:paraId="24DABC94" w14:textId="77777777" w:rsidR="00467590" w:rsidRPr="00BF45C9" w:rsidRDefault="00467590" w:rsidP="00DB044D">
            <w:pPr>
              <w:jc w:val="both"/>
            </w:pPr>
            <w:r w:rsidRPr="00BF45C9">
              <w:t xml:space="preserve">Прилагането на подхода ЛИДЕР/ВОМР в България се отразява положително на териториите на местните общности като води до получаването на значителна добавена стойност под формата на създаване и укрепване на административния капацитет за работа с проекти с европейско финансиране на местно ниво, което подкрепя местното самоуправление и децентрализацията; осигуряване на подкрепа за малкия бизнес чрез инвестиции в много на брой малки проекти, което от своя страна задържа хората по родните им места и забавя процесите на обезлюдяване на малките населени места; предлага </w:t>
            </w:r>
            <w:proofErr w:type="spellStart"/>
            <w:r w:rsidRPr="00BF45C9">
              <w:t>многосекторно</w:t>
            </w:r>
            <w:proofErr w:type="spellEnd"/>
            <w:r w:rsidRPr="00BF45C9">
              <w:t xml:space="preserve"> развитие на териториите, като по този начин се осигурява балансирано развитие на териториите; изгражда местна идентичност и сплотява местната общност.</w:t>
            </w:r>
          </w:p>
          <w:p w14:paraId="76814704" w14:textId="77777777" w:rsidR="00467590" w:rsidRPr="00BF45C9" w:rsidRDefault="00467590" w:rsidP="00467590"/>
          <w:p w14:paraId="588E48B5" w14:textId="77777777" w:rsidR="00467590" w:rsidRPr="00BF45C9" w:rsidRDefault="00467590" w:rsidP="00DB044D">
            <w:pPr>
              <w:jc w:val="both"/>
            </w:pPr>
            <w:r w:rsidRPr="00BF45C9">
              <w:t xml:space="preserve">Важна добавена стойност по подхода ВОМР е интегрирането на малцинствените групи и групите в риск в местните общности и включването им в процеса на взимане на решения за развитие на съответните </w:t>
            </w:r>
            <w:r w:rsidRPr="00BF45C9">
              <w:lastRenderedPageBreak/>
              <w:t>територии. В допълнение, поради спецификата на подхода и прилагането му от над 10 години, в местните общности са се утвърдили и се прилагат на практика основните хоризонтални политики на ЕС – равенство между половете и липса на дискриминация, принципът на равните възможности, превенция на дискриминацията, устойчиво развитие (защита на околната среда), насърчаване на заетостта и конкурентоспособността.</w:t>
            </w:r>
          </w:p>
        </w:tc>
      </w:tr>
    </w:tbl>
    <w:p w14:paraId="32B7134E" w14:textId="77777777" w:rsidR="00467590" w:rsidRPr="00BF45C9" w:rsidRDefault="00467590" w:rsidP="00467590"/>
    <w:p w14:paraId="346C6B08" w14:textId="77777777" w:rsidR="00467590" w:rsidRPr="00BF45C9" w:rsidRDefault="00467590" w:rsidP="00467590">
      <w:r w:rsidRPr="00BF45C9">
        <w:t>Опишете как чрез модела на изпълнение ще бъдат осигурени основните изисквания и принципи, свързани с подхода LEADER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088234B0"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C52FE2F" w14:textId="6350E68B" w:rsidR="00994830" w:rsidRPr="00BF45C9" w:rsidRDefault="00994830" w:rsidP="00DB044D">
            <w:pPr>
              <w:jc w:val="both"/>
            </w:pPr>
            <w:r w:rsidRPr="00BF45C9">
              <w:t>За програмен период 2023 – 2027 г. подходът ВОМР получава подкрепа от Европейския земеделски фонд за развитие на селските райони и като допълващо финансиране – от Европейския фонд за регионално развитие и от Европейския социален фонд +. Управляващите органи на програмите, предоставящи допълващо финансиране отговарят за откриването на приеми</w:t>
            </w:r>
            <w:r w:rsidR="009C5337" w:rsidRPr="00BF45C9">
              <w:t xml:space="preserve"> само за </w:t>
            </w:r>
            <w:r w:rsidR="00BF34FD" w:rsidRPr="00BF45C9">
              <w:t xml:space="preserve">бенефициенти </w:t>
            </w:r>
            <w:r w:rsidR="000E66AD" w:rsidRPr="00BF45C9">
              <w:t xml:space="preserve">от териториите </w:t>
            </w:r>
            <w:r w:rsidR="00BF34FD" w:rsidRPr="00BF45C9">
              <w:t xml:space="preserve">на </w:t>
            </w:r>
            <w:r w:rsidR="009C5337" w:rsidRPr="00BF45C9">
              <w:t>МИГ</w:t>
            </w:r>
            <w:r w:rsidRPr="00BF45C9">
              <w:t>, извършването на договарянето и разплащането на проектите по стратегиите за ВОМР в частта, за която се предоставя финансиране от съответния фонд.  ДФЗ – Разплащателна агенция договаря и разплаща проектите от стратегиите за ВОМР, които се финансират</w:t>
            </w:r>
            <w:r w:rsidR="00053B4E" w:rsidRPr="00BF45C9">
              <w:t xml:space="preserve"> от</w:t>
            </w:r>
            <w:r w:rsidRPr="00BF45C9">
              <w:t xml:space="preserve"> ЕЗФРСР.</w:t>
            </w:r>
          </w:p>
          <w:p w14:paraId="0D8CB72D" w14:textId="45A20A84" w:rsidR="00467590" w:rsidRPr="00BF45C9" w:rsidRDefault="00467590" w:rsidP="00DB044D">
            <w:pPr>
              <w:jc w:val="both"/>
            </w:pPr>
            <w:r w:rsidRPr="00BF45C9">
              <w:t>Подходът се прилага от местни инициат</w:t>
            </w:r>
            <w:r w:rsidR="00E11625" w:rsidRPr="00BF45C9">
              <w:t>и</w:t>
            </w:r>
            <w:r w:rsidRPr="00BF45C9">
              <w:t>вни групи, които са юридически лица с нестопанска цел за осъществяване на общественополезна дейност, включващи представители на стопанския, нестопанския и публичния сектори от дадена територия и регистрирани като сдружения по реда на Закона за юридическите лица с нестопанска цел. Местните инициативни групи имат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 непревишаващ 49 на сто от имащите право на глас. Местните инициативни групи включват в колективните си органи представители на различни заинтересовани страни от местната общност, идентифицирани в анализа на стратегията за ВОМР за съответната територия, включително уязвими групи и малцинства (когато е приложимо), както и жени и млади хора.</w:t>
            </w:r>
          </w:p>
          <w:p w14:paraId="6A5BE8DA" w14:textId="77777777" w:rsidR="00467590" w:rsidRPr="00BF45C9" w:rsidRDefault="00467590" w:rsidP="00DB044D">
            <w:pPr>
              <w:jc w:val="both"/>
            </w:pPr>
            <w:r w:rsidRPr="00BF45C9">
              <w:t>В МИГ, обхващащи райони с голяма общност от маргинализирани лица, включително роми, подходът на ВОМР трябва да бъде приобщаващ, като включва действия, насочени към потребностите и потенциала за развитие на тази общност.</w:t>
            </w:r>
          </w:p>
          <w:p w14:paraId="6300D32D" w14:textId="77777777" w:rsidR="00467590" w:rsidRPr="00BF45C9" w:rsidRDefault="00467590" w:rsidP="00467590"/>
          <w:p w14:paraId="31B25956" w14:textId="77777777" w:rsidR="00467590" w:rsidRPr="00BF45C9" w:rsidRDefault="00467590" w:rsidP="00DB044D">
            <w:pPr>
              <w:jc w:val="both"/>
            </w:pPr>
            <w:r w:rsidRPr="00BF45C9">
              <w:t>В съответствие с чл. 33, параграф 3 на Регламент (ЕС) 2021/1060 следните задачи се изпълняват единствено и само от местните инициативни групи:</w:t>
            </w:r>
          </w:p>
          <w:p w14:paraId="221A18FA" w14:textId="77777777" w:rsidR="00467590" w:rsidRPr="00BF45C9" w:rsidRDefault="00467590" w:rsidP="00DB044D">
            <w:pPr>
              <w:jc w:val="both"/>
            </w:pPr>
            <w:r w:rsidRPr="00BF45C9">
              <w:t>- изграждане на капацитета на местните участници за разработване и изпълнение на операции;</w:t>
            </w:r>
          </w:p>
          <w:p w14:paraId="5E3CF567" w14:textId="77777777" w:rsidR="00467590" w:rsidRPr="00BF45C9" w:rsidRDefault="00467590" w:rsidP="00DB044D">
            <w:pPr>
              <w:jc w:val="both"/>
            </w:pPr>
            <w:r w:rsidRPr="00BF45C9">
              <w:t>- определяне на недискриминационни и прозрачни процедура и критерии за подбор, които не допускат конфликт на интереси и гарантират, че нито една от групите, представляващи конкретните заинтересовани страни, не контролира решенията за подбор;</w:t>
            </w:r>
          </w:p>
          <w:p w14:paraId="639F4E4D" w14:textId="77777777" w:rsidR="00467590" w:rsidRPr="00BF45C9" w:rsidRDefault="00467590" w:rsidP="00DB044D">
            <w:pPr>
              <w:jc w:val="both"/>
            </w:pPr>
            <w:r w:rsidRPr="00BF45C9">
              <w:t>- изготвяне и публикуване на покани за предложения;</w:t>
            </w:r>
          </w:p>
          <w:p w14:paraId="718BD0A9" w14:textId="6D694413" w:rsidR="00467590" w:rsidRPr="00BF45C9" w:rsidRDefault="00467590" w:rsidP="00DB044D">
            <w:pPr>
              <w:jc w:val="both"/>
            </w:pPr>
            <w:r w:rsidRPr="00BF45C9">
              <w:t xml:space="preserve">- подбор на операции, определяне на размера на подпомагането и представяне на предложенията на </w:t>
            </w:r>
            <w:r w:rsidR="00E11625" w:rsidRPr="00BF45C9">
              <w:t xml:space="preserve">съответния </w:t>
            </w:r>
            <w:r w:rsidR="00725731" w:rsidRPr="00BF45C9">
              <w:t xml:space="preserve">управляващ </w:t>
            </w:r>
            <w:r w:rsidRPr="00BF45C9">
              <w:t xml:space="preserve">орган </w:t>
            </w:r>
            <w:r w:rsidR="00725731" w:rsidRPr="00BF45C9">
              <w:t xml:space="preserve">или ДФЗ – Разплащателна агенция </w:t>
            </w:r>
            <w:r w:rsidRPr="00BF45C9">
              <w:t>за последна проверка на допустимостта преди одобряването им;</w:t>
            </w:r>
          </w:p>
          <w:p w14:paraId="1BD0EACB" w14:textId="77777777" w:rsidR="00467590" w:rsidRPr="00BF45C9" w:rsidRDefault="00467590" w:rsidP="00DB044D">
            <w:pPr>
              <w:jc w:val="both"/>
            </w:pPr>
            <w:r w:rsidRPr="00BF45C9">
              <w:t>- следене на напредъка в постигането на целите на стратегията;</w:t>
            </w:r>
          </w:p>
          <w:p w14:paraId="38CC29EA" w14:textId="77777777" w:rsidR="00467590" w:rsidRPr="00BF45C9" w:rsidRDefault="00467590" w:rsidP="00DB044D">
            <w:pPr>
              <w:jc w:val="both"/>
            </w:pPr>
            <w:r w:rsidRPr="00BF45C9">
              <w:t>- оценка на изпълнението на стратегията.</w:t>
            </w:r>
          </w:p>
          <w:p w14:paraId="0B70CA61" w14:textId="77777777" w:rsidR="00467590" w:rsidRPr="00BF45C9" w:rsidRDefault="00467590" w:rsidP="00DB044D">
            <w:pPr>
              <w:jc w:val="both"/>
            </w:pPr>
            <w:r w:rsidRPr="00BF45C9">
              <w:t>МИГ не може да изпълнява задачи по администриране на дейности по интервенцията, различни от описаните по-горе.</w:t>
            </w:r>
          </w:p>
          <w:p w14:paraId="0110B2F3" w14:textId="77777777" w:rsidR="00467590" w:rsidRPr="00BF45C9" w:rsidRDefault="00467590" w:rsidP="00467590"/>
          <w:p w14:paraId="78ADC13B" w14:textId="105BF9E8" w:rsidR="00467590" w:rsidRPr="00BF45C9" w:rsidRDefault="00467590" w:rsidP="00DB044D">
            <w:pPr>
              <w:jc w:val="both"/>
            </w:pPr>
            <w:r w:rsidRPr="00BF45C9">
              <w:t xml:space="preserve">Подборът на стратегии за ВОМР, ще се извършва от комитет за подбор, който </w:t>
            </w:r>
            <w:r w:rsidR="00994830" w:rsidRPr="00BF45C9">
              <w:t xml:space="preserve">се определя </w:t>
            </w:r>
            <w:r w:rsidRPr="00BF45C9">
              <w:t>от УО на СПРЗСР. Подборът ще се извършва по едни и същи критерии.</w:t>
            </w:r>
          </w:p>
          <w:p w14:paraId="3CDAF40A" w14:textId="2A66B915" w:rsidR="00467590" w:rsidRPr="00BF45C9" w:rsidRDefault="00467590" w:rsidP="00DB044D">
            <w:pPr>
              <w:jc w:val="both"/>
            </w:pPr>
            <w:r w:rsidRPr="00BF45C9">
              <w:t>Комитетът се назначава със заповед на ръководителя на УО на СПРЗСР и извършва оценката на два етапа – административно съответствие и допустимост и техническа и финансова оценка по критерии, изготвени от УО на СПРЗСР и одобрени от Комитета за наблюдение на СПРЗСР. Критериите за подбор са част от Условията за кандидатстване със стратегии за ВОМР.</w:t>
            </w:r>
          </w:p>
          <w:p w14:paraId="36D0EF89" w14:textId="1DD9F726" w:rsidR="00467590" w:rsidRPr="00BF45C9" w:rsidRDefault="00467590" w:rsidP="00DB044D">
            <w:pPr>
              <w:jc w:val="both"/>
            </w:pPr>
          </w:p>
        </w:tc>
      </w:tr>
    </w:tbl>
    <w:p w14:paraId="062BF638" w14:textId="77777777" w:rsidR="00467590" w:rsidRPr="00BF45C9" w:rsidRDefault="00467590" w:rsidP="00467590"/>
    <w:p w14:paraId="5F91713F" w14:textId="77777777" w:rsidR="00467590" w:rsidRPr="00BF45C9" w:rsidRDefault="00467590" w:rsidP="00467590">
      <w:r w:rsidRPr="00BF45C9">
        <w:t>Планира ли се подкрепа от повече от един фонд на ЕС?</w:t>
      </w:r>
    </w:p>
    <w:p w14:paraId="69B272D9" w14:textId="77777777" w:rsidR="00467590" w:rsidRPr="00BF45C9" w:rsidRDefault="00467590" w:rsidP="00467590">
      <w:r w:rsidRPr="00BF45C9">
        <w:t xml:space="preserve">þ Да      ¨ Не      </w:t>
      </w:r>
    </w:p>
    <w:p w14:paraId="7DECDD6C" w14:textId="77777777" w:rsidR="00467590" w:rsidRPr="00BF45C9" w:rsidRDefault="00467590" w:rsidP="00467590"/>
    <w:p w14:paraId="02F77C56" w14:textId="77777777" w:rsidR="00467590" w:rsidRPr="00BF45C9" w:rsidRDefault="00467590" w:rsidP="00467590">
      <w:r w:rsidRPr="00BF45C9">
        <w:t>Опишете кой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4FED2F00"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B69ABB5" w14:textId="17C76BA3" w:rsidR="00467590" w:rsidRPr="00BF45C9" w:rsidRDefault="00973C74" w:rsidP="00BF45C9">
            <w:pPr>
              <w:jc w:val="both"/>
              <w:rPr>
                <w:b/>
              </w:rPr>
            </w:pPr>
            <w:r w:rsidRPr="00E36ACA">
              <w:t>П</w:t>
            </w:r>
            <w:r w:rsidR="00467590" w:rsidRPr="00E36ACA">
              <w:t>одход</w:t>
            </w:r>
            <w:r w:rsidRPr="00E36ACA">
              <w:t>ът</w:t>
            </w:r>
            <w:r w:rsidR="00467590" w:rsidRPr="00E36ACA">
              <w:t xml:space="preserve"> ВОМР </w:t>
            </w:r>
            <w:r w:rsidRPr="00E36ACA">
              <w:t xml:space="preserve">се </w:t>
            </w:r>
            <w:r w:rsidR="00E36ACA" w:rsidRPr="00E36ACA">
              <w:t>финансира</w:t>
            </w:r>
            <w:r w:rsidRPr="00E36ACA">
              <w:t xml:space="preserve"> от ЕЗФРСР и като допълващо финансиране – от Европейския фонд за регионално развитие и от Европейския социален фонд +. Управляващите органи на програмите, предоставящи допълващо финансиране отговарят за управлението на финансирането по ЕФРР и ЕСФ+.</w:t>
            </w:r>
          </w:p>
        </w:tc>
      </w:tr>
    </w:tbl>
    <w:p w14:paraId="5930E14D" w14:textId="77777777" w:rsidR="00467590" w:rsidRPr="00BF45C9" w:rsidRDefault="00467590" w:rsidP="00467590"/>
    <w:p w14:paraId="434019B2" w14:textId="77777777" w:rsidR="00467590" w:rsidRPr="00BF45C9" w:rsidRDefault="00467590" w:rsidP="00467590">
      <w:r w:rsidRPr="00BF45C9">
        <w:t>Ще бъде ли приложена опцията за водещ фонд?</w:t>
      </w:r>
    </w:p>
    <w:p w14:paraId="0D268986" w14:textId="6332F598" w:rsidR="00467590" w:rsidRPr="00BF45C9" w:rsidRDefault="00973C74" w:rsidP="00467590">
      <w:r w:rsidRPr="00BF45C9">
        <w:t>¨</w:t>
      </w:r>
      <w:r w:rsidR="00467590" w:rsidRPr="00070584">
        <w:t xml:space="preserve">Да      </w:t>
      </w:r>
      <w:r w:rsidRPr="00070584">
        <w:t xml:space="preserve"> </w:t>
      </w:r>
      <w:bookmarkStart w:id="10" w:name="_GoBack"/>
      <w:r w:rsidRPr="00070584">
        <w:t>þ</w:t>
      </w:r>
      <w:bookmarkEnd w:id="10"/>
      <w:r w:rsidR="00467590" w:rsidRPr="00BF45C9">
        <w:t xml:space="preserve"> Не      </w:t>
      </w:r>
    </w:p>
    <w:p w14:paraId="1A769493" w14:textId="77777777" w:rsidR="00467590" w:rsidRPr="00BF45C9" w:rsidRDefault="00467590" w:rsidP="00467590"/>
    <w:p w14:paraId="522E9C66" w14:textId="77777777" w:rsidR="00467590" w:rsidRPr="00BF45C9" w:rsidRDefault="00467590" w:rsidP="00467590">
      <w:r w:rsidRPr="00BF45C9">
        <w:t>Опишете кой водещ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771BEDE2"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132DC74" w14:textId="2D25C6C0" w:rsidR="00725731" w:rsidRPr="00BF45C9" w:rsidRDefault="00725731" w:rsidP="00DB044D">
            <w:pPr>
              <w:jc w:val="both"/>
            </w:pPr>
            <w:r w:rsidRPr="00BF45C9">
              <w:t xml:space="preserve">За </w:t>
            </w:r>
            <w:r w:rsidR="00E11625" w:rsidRPr="00BF45C9">
              <w:t xml:space="preserve">прилагането на подхода ВОМР през </w:t>
            </w:r>
            <w:r w:rsidRPr="00BF45C9">
              <w:t>програмн</w:t>
            </w:r>
            <w:r w:rsidR="00E11625" w:rsidRPr="00BF45C9">
              <w:t>ия</w:t>
            </w:r>
            <w:r w:rsidRPr="00BF45C9">
              <w:t xml:space="preserve"> период 2023 – 2027 г. няма да бъде определен водещ фонд. </w:t>
            </w:r>
          </w:p>
          <w:p w14:paraId="77404174" w14:textId="77777777" w:rsidR="00467590" w:rsidRPr="00BF45C9" w:rsidRDefault="00725731" w:rsidP="00DB044D">
            <w:pPr>
              <w:jc w:val="both"/>
            </w:pPr>
            <w:r w:rsidRPr="00BF45C9">
              <w:t>Подпомагането за дейностите по управление, мониторинг и оценка на стратегиите за ВОМР и тяхното популяризиране ще се финансира само от ЕЗФРСР и не може да надвишава 25 % от общия размер на публичния принос на ЕЗФРСР по стратегията.</w:t>
            </w:r>
          </w:p>
        </w:tc>
      </w:tr>
    </w:tbl>
    <w:p w14:paraId="0581E2ED" w14:textId="77777777" w:rsidR="00467590" w:rsidRPr="00BF45C9" w:rsidRDefault="00467590" w:rsidP="00467590"/>
    <w:p w14:paraId="62EB6042" w14:textId="77777777" w:rsidR="00467590" w:rsidRPr="00BF45C9" w:rsidRDefault="00467590" w:rsidP="00467590"/>
    <w:p w14:paraId="7AD8ACB9" w14:textId="77777777" w:rsidR="00467590" w:rsidRPr="00BF45C9" w:rsidRDefault="00467590" w:rsidP="00467590">
      <w:pPr>
        <w:rPr>
          <w:bCs/>
          <w:iCs/>
        </w:rPr>
      </w:pPr>
      <w:bookmarkStart w:id="11" w:name="_Toc256001998"/>
      <w:r w:rsidRPr="00BF45C9">
        <w:rPr>
          <w:bCs/>
          <w:iCs/>
        </w:rPr>
        <w:t>10 Съответствие с правилата на СТО</w:t>
      </w:r>
      <w:bookmarkEnd w:id="11"/>
    </w:p>
    <w:p w14:paraId="656732DC" w14:textId="77777777" w:rsidR="00467590" w:rsidRPr="00BF45C9" w:rsidRDefault="00467590" w:rsidP="00467590">
      <w:r w:rsidRPr="00BF45C9">
        <w:t xml:space="preserve"> Зелена кутия</w:t>
      </w:r>
    </w:p>
    <w:p w14:paraId="4317134A" w14:textId="77777777" w:rsidR="00467590" w:rsidRPr="00BF45C9" w:rsidRDefault="00467590" w:rsidP="00467590">
      <w:r w:rsidRPr="00BF45C9">
        <w:t>Параграф 2 от приложение 2 към Споразумението за СТО</w:t>
      </w:r>
    </w:p>
    <w:p w14:paraId="674BD0E7" w14:textId="77777777" w:rsidR="00467590" w:rsidRPr="00BF45C9" w:rsidRDefault="00467590" w:rsidP="006F198A">
      <w:pPr>
        <w:jc w:val="both"/>
      </w:pPr>
      <w:r w:rsidRPr="00BF45C9">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0"/>
      </w:tblGrid>
      <w:tr w:rsidR="00467590" w:rsidRPr="00BF45C9" w14:paraId="4BA3DE14" w14:textId="77777777" w:rsidTr="001F2B87">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29A11A5" w14:textId="77777777" w:rsidR="00467590" w:rsidRPr="00BF45C9" w:rsidRDefault="00467590" w:rsidP="00467590">
            <w:r w:rsidRPr="00BF45C9">
              <w:t>Интервенцията е включена в приложение II на предложението на ЕП и Съвета за Регламент за установяване на правила за подкрепа на Стратегически планове за ОСП и е в съответствие с параграф 2 на приложение 2 към Споразумението на СТО за селското стопанство.</w:t>
            </w:r>
          </w:p>
        </w:tc>
      </w:tr>
    </w:tbl>
    <w:p w14:paraId="688B77C2" w14:textId="77777777" w:rsidR="00467590" w:rsidRPr="00BF45C9" w:rsidRDefault="00467590" w:rsidP="00467590">
      <w:pPr>
        <w:rPr>
          <w:bCs/>
          <w:iCs/>
        </w:rPr>
      </w:pPr>
      <w:bookmarkStart w:id="12" w:name="_Toc256001999"/>
      <w:r w:rsidRPr="00BF45C9">
        <w:rPr>
          <w:bCs/>
          <w:iCs/>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4214"/>
        <w:gridCol w:w="1610"/>
        <w:gridCol w:w="1614"/>
        <w:gridCol w:w="1681"/>
      </w:tblGrid>
      <w:tr w:rsidR="00467590" w:rsidRPr="00BF45C9" w14:paraId="27CDD2BF" w14:textId="77777777" w:rsidTr="001F2B87">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97E4D27" w14:textId="77777777" w:rsidR="00467590" w:rsidRPr="00BF45C9" w:rsidRDefault="00467590" w:rsidP="00467590">
            <w:pPr>
              <w:rPr>
                <w:b/>
              </w:rPr>
            </w:pPr>
            <w:r w:rsidRPr="00BF45C9">
              <w:rPr>
                <w:b/>
              </w:rPr>
              <w:lastRenderedPageBreak/>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D62BECB" w14:textId="77777777" w:rsidR="00467590" w:rsidRPr="00BF45C9" w:rsidRDefault="00467590" w:rsidP="00467590">
            <w:pPr>
              <w:rPr>
                <w:b/>
              </w:rPr>
            </w:pPr>
            <w:r w:rsidRPr="00BF45C9">
              <w:rPr>
                <w:b/>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03E1B42" w14:textId="77777777" w:rsidR="00467590" w:rsidRPr="00BF45C9" w:rsidRDefault="00467590" w:rsidP="00467590">
            <w:pPr>
              <w:rPr>
                <w:b/>
              </w:rPr>
            </w:pPr>
            <w:r w:rsidRPr="00BF45C9">
              <w:rPr>
                <w:b/>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9A87E95" w14:textId="77777777" w:rsidR="00467590" w:rsidRPr="00BF45C9" w:rsidRDefault="00467590" w:rsidP="00467590">
            <w:pPr>
              <w:rPr>
                <w:b/>
              </w:rPr>
            </w:pPr>
            <w:r w:rsidRPr="00BF45C9">
              <w:rPr>
                <w:b/>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00CD82C" w14:textId="77777777" w:rsidR="00467590" w:rsidRPr="00BF45C9" w:rsidRDefault="00467590" w:rsidP="00467590">
            <w:r w:rsidRPr="00BF45C9">
              <w:rPr>
                <w:b/>
              </w:rPr>
              <w:t>Максимална ставка</w:t>
            </w:r>
          </w:p>
        </w:tc>
      </w:tr>
      <w:tr w:rsidR="00467590" w:rsidRPr="00A67D42" w14:paraId="6A0496A6" w14:textId="77777777" w:rsidTr="001F2B87">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E1ABD29" w14:textId="77777777" w:rsidR="00467590" w:rsidRPr="00BF45C9" w:rsidRDefault="00467590" w:rsidP="00467590">
            <w:r w:rsidRPr="00BF45C9">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2D78439" w14:textId="77777777" w:rsidR="00467590" w:rsidRPr="00BF45C9" w:rsidRDefault="00467590" w:rsidP="00467590">
            <w:r w:rsidRPr="00BF45C9">
              <w:t>91(3)(b) - 77(1)(b) - LEADER съгласно член 77, параграф 1, буква 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0F82645" w14:textId="77777777" w:rsidR="00467590" w:rsidRPr="00BF45C9" w:rsidRDefault="00467590" w:rsidP="00467590">
            <w:r w:rsidRPr="00BF45C9">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AE0FB4F" w14:textId="77777777" w:rsidR="00467590" w:rsidRPr="00BF45C9" w:rsidRDefault="00467590" w:rsidP="00467590">
            <w:r w:rsidRPr="00BF45C9">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415F92A" w14:textId="77777777" w:rsidR="00467590" w:rsidRPr="00A67D42" w:rsidRDefault="00467590" w:rsidP="00467590">
            <w:r w:rsidRPr="00BF45C9">
              <w:t>80,00%</w:t>
            </w:r>
          </w:p>
        </w:tc>
      </w:tr>
    </w:tbl>
    <w:p w14:paraId="4D1448B4" w14:textId="77777777" w:rsidR="00467590" w:rsidRPr="00A67D42" w:rsidRDefault="00467590" w:rsidP="00467590">
      <w:pPr>
        <w:sectPr w:rsidR="00467590" w:rsidRPr="00A67D42">
          <w:pgSz w:w="11906" w:h="16838"/>
          <w:pgMar w:top="720" w:right="720" w:bottom="864" w:left="936" w:header="288" w:footer="72" w:gutter="0"/>
          <w:cols w:space="720"/>
          <w:noEndnote/>
          <w:docGrid w:linePitch="360"/>
        </w:sectPr>
      </w:pPr>
    </w:p>
    <w:p w14:paraId="1BBF2203" w14:textId="77777777" w:rsidR="00240805" w:rsidRPr="008F402D" w:rsidRDefault="00070584" w:rsidP="00701FB8"/>
    <w:sectPr w:rsidR="00240805" w:rsidRPr="008F402D">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8AB766" w15:done="0"/>
  <w15:commentEx w15:paraId="303FFC4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litsa Vasileva">
    <w15:presenceInfo w15:providerId="None" w15:userId="Ralitsa Vasileva"/>
  </w15:person>
  <w15:person w15:author="Margaritka Astardzhieva">
    <w15:presenceInfo w15:providerId="None" w15:userId="Margaritka Astardzhi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590"/>
    <w:rsid w:val="00053B4E"/>
    <w:rsid w:val="00067A74"/>
    <w:rsid w:val="00070584"/>
    <w:rsid w:val="00085202"/>
    <w:rsid w:val="000E66AD"/>
    <w:rsid w:val="00181105"/>
    <w:rsid w:val="00233E99"/>
    <w:rsid w:val="00467590"/>
    <w:rsid w:val="0049384B"/>
    <w:rsid w:val="0055660E"/>
    <w:rsid w:val="00581F8B"/>
    <w:rsid w:val="005D32D8"/>
    <w:rsid w:val="005E353C"/>
    <w:rsid w:val="006A0FC8"/>
    <w:rsid w:val="006F198A"/>
    <w:rsid w:val="00701FB8"/>
    <w:rsid w:val="00725731"/>
    <w:rsid w:val="008730D8"/>
    <w:rsid w:val="008A11B8"/>
    <w:rsid w:val="008F402D"/>
    <w:rsid w:val="00917AA1"/>
    <w:rsid w:val="00973C74"/>
    <w:rsid w:val="00993D49"/>
    <w:rsid w:val="00994830"/>
    <w:rsid w:val="00997BF7"/>
    <w:rsid w:val="009C5337"/>
    <w:rsid w:val="00A5652A"/>
    <w:rsid w:val="00A67D42"/>
    <w:rsid w:val="00AD6079"/>
    <w:rsid w:val="00B0575D"/>
    <w:rsid w:val="00BA0816"/>
    <w:rsid w:val="00BC660D"/>
    <w:rsid w:val="00BF34FD"/>
    <w:rsid w:val="00BF45C9"/>
    <w:rsid w:val="00CA5744"/>
    <w:rsid w:val="00DB044D"/>
    <w:rsid w:val="00DD26DD"/>
    <w:rsid w:val="00E11625"/>
    <w:rsid w:val="00E36ACA"/>
    <w:rsid w:val="00ED7CE2"/>
    <w:rsid w:val="00F77868"/>
    <w:rsid w:val="00FB18DE"/>
    <w:rsid w:val="00FE61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7E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66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60D"/>
    <w:rPr>
      <w:rFonts w:ascii="Segoe UI" w:hAnsi="Segoe UI" w:cs="Segoe UI"/>
      <w:sz w:val="18"/>
      <w:szCs w:val="18"/>
    </w:rPr>
  </w:style>
  <w:style w:type="character" w:styleId="CommentReference">
    <w:name w:val="annotation reference"/>
    <w:basedOn w:val="DefaultParagraphFont"/>
    <w:uiPriority w:val="99"/>
    <w:semiHidden/>
    <w:unhideWhenUsed/>
    <w:rsid w:val="00725731"/>
    <w:rPr>
      <w:sz w:val="16"/>
      <w:szCs w:val="16"/>
    </w:rPr>
  </w:style>
  <w:style w:type="paragraph" w:styleId="CommentText">
    <w:name w:val="annotation text"/>
    <w:basedOn w:val="Normal"/>
    <w:link w:val="CommentTextChar"/>
    <w:uiPriority w:val="99"/>
    <w:semiHidden/>
    <w:unhideWhenUsed/>
    <w:rsid w:val="00725731"/>
    <w:pPr>
      <w:spacing w:line="240" w:lineRule="auto"/>
    </w:pPr>
    <w:rPr>
      <w:sz w:val="20"/>
      <w:szCs w:val="20"/>
    </w:rPr>
  </w:style>
  <w:style w:type="character" w:customStyle="1" w:styleId="CommentTextChar">
    <w:name w:val="Comment Text Char"/>
    <w:basedOn w:val="DefaultParagraphFont"/>
    <w:link w:val="CommentText"/>
    <w:uiPriority w:val="99"/>
    <w:semiHidden/>
    <w:rsid w:val="00725731"/>
    <w:rPr>
      <w:sz w:val="20"/>
      <w:szCs w:val="20"/>
    </w:rPr>
  </w:style>
  <w:style w:type="paragraph" w:styleId="CommentSubject">
    <w:name w:val="annotation subject"/>
    <w:basedOn w:val="CommentText"/>
    <w:next w:val="CommentText"/>
    <w:link w:val="CommentSubjectChar"/>
    <w:uiPriority w:val="99"/>
    <w:semiHidden/>
    <w:unhideWhenUsed/>
    <w:rsid w:val="00725731"/>
    <w:rPr>
      <w:b/>
      <w:bCs/>
    </w:rPr>
  </w:style>
  <w:style w:type="character" w:customStyle="1" w:styleId="CommentSubjectChar">
    <w:name w:val="Comment Subject Char"/>
    <w:basedOn w:val="CommentTextChar"/>
    <w:link w:val="CommentSubject"/>
    <w:uiPriority w:val="99"/>
    <w:semiHidden/>
    <w:rsid w:val="0072573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66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60D"/>
    <w:rPr>
      <w:rFonts w:ascii="Segoe UI" w:hAnsi="Segoe UI" w:cs="Segoe UI"/>
      <w:sz w:val="18"/>
      <w:szCs w:val="18"/>
    </w:rPr>
  </w:style>
  <w:style w:type="character" w:styleId="CommentReference">
    <w:name w:val="annotation reference"/>
    <w:basedOn w:val="DefaultParagraphFont"/>
    <w:uiPriority w:val="99"/>
    <w:semiHidden/>
    <w:unhideWhenUsed/>
    <w:rsid w:val="00725731"/>
    <w:rPr>
      <w:sz w:val="16"/>
      <w:szCs w:val="16"/>
    </w:rPr>
  </w:style>
  <w:style w:type="paragraph" w:styleId="CommentText">
    <w:name w:val="annotation text"/>
    <w:basedOn w:val="Normal"/>
    <w:link w:val="CommentTextChar"/>
    <w:uiPriority w:val="99"/>
    <w:semiHidden/>
    <w:unhideWhenUsed/>
    <w:rsid w:val="00725731"/>
    <w:pPr>
      <w:spacing w:line="240" w:lineRule="auto"/>
    </w:pPr>
    <w:rPr>
      <w:sz w:val="20"/>
      <w:szCs w:val="20"/>
    </w:rPr>
  </w:style>
  <w:style w:type="character" w:customStyle="1" w:styleId="CommentTextChar">
    <w:name w:val="Comment Text Char"/>
    <w:basedOn w:val="DefaultParagraphFont"/>
    <w:link w:val="CommentText"/>
    <w:uiPriority w:val="99"/>
    <w:semiHidden/>
    <w:rsid w:val="00725731"/>
    <w:rPr>
      <w:sz w:val="20"/>
      <w:szCs w:val="20"/>
    </w:rPr>
  </w:style>
  <w:style w:type="paragraph" w:styleId="CommentSubject">
    <w:name w:val="annotation subject"/>
    <w:basedOn w:val="CommentText"/>
    <w:next w:val="CommentText"/>
    <w:link w:val="CommentSubjectChar"/>
    <w:uiPriority w:val="99"/>
    <w:semiHidden/>
    <w:unhideWhenUsed/>
    <w:rsid w:val="00725731"/>
    <w:rPr>
      <w:b/>
      <w:bCs/>
    </w:rPr>
  </w:style>
  <w:style w:type="character" w:customStyle="1" w:styleId="CommentSubjectChar">
    <w:name w:val="Comment Subject Char"/>
    <w:basedOn w:val="CommentTextChar"/>
    <w:link w:val="CommentSubject"/>
    <w:uiPriority w:val="99"/>
    <w:semiHidden/>
    <w:rsid w:val="007257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3F20E-B756-4816-9558-92272A2A8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4814</Words>
  <Characters>27441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Margaritka Astardzhieva</dc:creator>
  <cp:lastModifiedBy>Stefan Spasov</cp:lastModifiedBy>
  <cp:revision>9</cp:revision>
  <dcterms:created xsi:type="dcterms:W3CDTF">2024-09-09T07:39:00Z</dcterms:created>
  <dcterms:modified xsi:type="dcterms:W3CDTF">2024-09-09T08:27:00Z</dcterms:modified>
</cp:coreProperties>
</file>