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538" w:rsidRDefault="00C60538" w:rsidP="00C60538">
      <w:pPr>
        <w:pStyle w:val="Heading4"/>
      </w:pPr>
      <w:bookmarkStart w:id="0" w:name="_Toc256001511"/>
      <w:r>
        <w:rPr>
          <w:noProof/>
        </w:rPr>
        <w:t>II.Д.3. - Стартова помощ за установяване на нови земеделски стопани в селското стопанство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C60538" w:rsidTr="00376C49">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II.Д.3.</w:t>
            </w:r>
          </w:p>
        </w:tc>
      </w:tr>
      <w:tr w:rsidR="00C60538" w:rsidTr="00376C49">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Стартова помощ за установяване на нови земеделски стопани в селското стопанство</w:t>
            </w:r>
          </w:p>
        </w:tc>
      </w:tr>
      <w:tr w:rsidR="00C60538" w:rsidTr="00376C49">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 xml:space="preserve">INSTAL(75) - Установяване на млади земеделски стопани и нови земеделски стопани и стартиране на стопанска дейност в селските райони </w:t>
            </w:r>
          </w:p>
        </w:tc>
      </w:tr>
      <w:tr w:rsidR="00C60538" w:rsidTr="00376C49">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O.26. Брой на новите земеделски стопани, получаващи подпомагане за установяване (различни от младите земеделски стопани по O.25)</w:t>
            </w:r>
          </w:p>
        </w:tc>
      </w:tr>
      <w:tr w:rsidR="00C60538" w:rsidTr="00376C49">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Приемственост между поколенията: Не</w:t>
            </w:r>
          </w:p>
          <w:p w:rsidR="00C60538" w:rsidRDefault="00C60538" w:rsidP="00376C49">
            <w:pPr>
              <w:rPr>
                <w:color w:val="000000"/>
                <w:sz w:val="20"/>
              </w:rPr>
            </w:pPr>
            <w:r>
              <w:rPr>
                <w:noProof/>
                <w:color w:val="000000"/>
                <w:sz w:val="20"/>
              </w:rPr>
              <w:t>Околна среда: Не</w:t>
            </w:r>
          </w:p>
          <w:p w:rsidR="00C60538" w:rsidRDefault="00C60538" w:rsidP="00376C49">
            <w:pPr>
              <w:rPr>
                <w:color w:val="000000"/>
                <w:sz w:val="20"/>
              </w:rPr>
            </w:pPr>
            <w:r>
              <w:rPr>
                <w:noProof/>
                <w:color w:val="000000"/>
                <w:sz w:val="20"/>
              </w:rPr>
              <w:t xml:space="preserve">Система за облекчения за екосхеми: </w:t>
            </w:r>
          </w:p>
          <w:p w:rsidR="00C60538" w:rsidRDefault="00C60538" w:rsidP="00376C49">
            <w:pPr>
              <w:rPr>
                <w:color w:val="000000"/>
                <w:sz w:val="20"/>
              </w:rPr>
            </w:pPr>
            <w:r>
              <w:rPr>
                <w:noProof/>
                <w:color w:val="000000"/>
                <w:sz w:val="20"/>
              </w:rPr>
              <w:t>Подход LEADER: Не</w:t>
            </w:r>
          </w:p>
        </w:tc>
      </w:tr>
    </w:tbl>
    <w:p w:rsidR="00C60538" w:rsidRDefault="00C60538" w:rsidP="00C60538">
      <w:pPr>
        <w:pStyle w:val="Heading5"/>
        <w:rPr>
          <w:b w:val="0"/>
          <w:color w:val="000000"/>
          <w:sz w:val="24"/>
        </w:rPr>
      </w:pPr>
      <w:bookmarkStart w:id="1" w:name="_Toc256001512"/>
      <w:r>
        <w:rPr>
          <w:b w:val="0"/>
          <w:noProof/>
          <w:color w:val="000000"/>
          <w:sz w:val="24"/>
        </w:rPr>
        <w:t>1 Териториално приложение и ако е уместно, регионално измерение</w:t>
      </w:r>
      <w:bookmarkEnd w:id="1"/>
    </w:p>
    <w:p w:rsidR="00C60538" w:rsidRDefault="00C60538" w:rsidP="00C60538">
      <w:pPr>
        <w:rPr>
          <w:color w:val="000000"/>
          <w:sz w:val="0"/>
        </w:rPr>
      </w:pPr>
      <w:r>
        <w:rPr>
          <w:noProof/>
          <w:color w:val="000000"/>
        </w:rPr>
        <w:t xml:space="preserve">Териториално приложение: </w:t>
      </w:r>
      <w:r>
        <w:rPr>
          <w:b/>
          <w:noProof/>
          <w:color w:val="000000"/>
        </w:rPr>
        <w:t>Национално равнище</w:t>
      </w:r>
    </w:p>
    <w:p w:rsidR="00C60538" w:rsidRDefault="00C60538" w:rsidP="00C60538">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C60538" w:rsidTr="00376C49">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C60538" w:rsidRDefault="00C60538" w:rsidP="00376C49">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C60538" w:rsidRDefault="00C60538" w:rsidP="00376C49">
            <w:pPr>
              <w:rPr>
                <w:color w:val="000000"/>
                <w:sz w:val="20"/>
              </w:rPr>
            </w:pPr>
            <w:r>
              <w:rPr>
                <w:b/>
                <w:noProof/>
                <w:color w:val="000000"/>
                <w:sz w:val="20"/>
              </w:rPr>
              <w:t>Описание</w:t>
            </w:r>
          </w:p>
        </w:tc>
      </w:tr>
      <w:tr w:rsidR="00C60538" w:rsidTr="00376C49">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60538" w:rsidRDefault="00C60538" w:rsidP="00376C49">
            <w:pPr>
              <w:rPr>
                <w:color w:val="000000"/>
                <w:sz w:val="20"/>
              </w:rPr>
            </w:pPr>
            <w:r>
              <w:rPr>
                <w:noProof/>
                <w:color w:val="000000"/>
                <w:sz w:val="20"/>
              </w:rPr>
              <w:t xml:space="preserve">България </w:t>
            </w:r>
          </w:p>
        </w:tc>
      </w:tr>
    </w:tbl>
    <w:p w:rsidR="00C60538" w:rsidRDefault="00C60538" w:rsidP="00C60538">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pPr>
            <w:r>
              <w:rPr>
                <w:noProof/>
                <w:color w:val="333333"/>
                <w:shd w:val="clear" w:color="auto" w:fill="FFFFFF"/>
              </w:rPr>
              <w:t>Дейностите по интервенцията се осъществят на територията на Република България</w:t>
            </w:r>
          </w:p>
        </w:tc>
      </w:tr>
    </w:tbl>
    <w:p w:rsidR="00C60538" w:rsidRDefault="00C60538" w:rsidP="00C60538">
      <w:pPr>
        <w:pStyle w:val="Heading5"/>
        <w:spacing w:before="20" w:after="20"/>
        <w:rPr>
          <w:b w:val="0"/>
          <w:i w:val="0"/>
          <w:color w:val="000000"/>
          <w:sz w:val="24"/>
        </w:rPr>
      </w:pPr>
      <w:bookmarkStart w:id="2" w:name="_Toc256001513"/>
      <w:r>
        <w:rPr>
          <w:b w:val="0"/>
          <w:i w:val="0"/>
          <w:noProof/>
          <w:color w:val="000000"/>
          <w:sz w:val="24"/>
        </w:rPr>
        <w:t>2 Свързани специфични цели, междусекторна цел и уместни секторни цели</w:t>
      </w:r>
      <w:bookmarkEnd w:id="2"/>
    </w:p>
    <w:p w:rsidR="00C60538" w:rsidRDefault="00C60538" w:rsidP="00C6053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C60538" w:rsidTr="00376C4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60538" w:rsidRDefault="00C60538" w:rsidP="00376C49">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C60538" w:rsidTr="00376C4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r w:rsidR="00C60538" w:rsidTr="00376C4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SO7 Привличане и запазване на млади земеделски стопани и други нови земеделски стопани и улесняване на устойчиво развитие на стопанска дейност в селските райони</w:t>
            </w:r>
          </w:p>
        </w:tc>
      </w:tr>
      <w:tr w:rsidR="00C60538" w:rsidTr="00376C4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bl>
    <w:p w:rsidR="00C60538" w:rsidRDefault="00C60538" w:rsidP="00C60538">
      <w:pPr>
        <w:spacing w:before="20" w:after="20"/>
        <w:rPr>
          <w:color w:val="000000"/>
          <w:sz w:val="0"/>
        </w:rPr>
      </w:pPr>
    </w:p>
    <w:p w:rsidR="00C60538" w:rsidRDefault="00C60538" w:rsidP="00C60538">
      <w:pPr>
        <w:pStyle w:val="Heading5"/>
        <w:spacing w:before="20" w:after="20"/>
        <w:rPr>
          <w:b w:val="0"/>
          <w:i w:val="0"/>
          <w:color w:val="000000"/>
          <w:sz w:val="24"/>
        </w:rPr>
      </w:pPr>
      <w:bookmarkStart w:id="3" w:name="_Toc256001514"/>
      <w:r>
        <w:rPr>
          <w:b w:val="0"/>
          <w:i w:val="0"/>
          <w:noProof/>
          <w:color w:val="000000"/>
          <w:sz w:val="24"/>
        </w:rPr>
        <w:t>3 Потребности, обхванати от интервенцията</w:t>
      </w:r>
      <w:bookmarkEnd w:id="3"/>
    </w:p>
    <w:p w:rsidR="00C60538" w:rsidRDefault="00C60538" w:rsidP="00C6053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C60538" w:rsidTr="00376C4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60538" w:rsidRDefault="00C60538" w:rsidP="00376C49">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60538" w:rsidRDefault="00C60538" w:rsidP="00376C49">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60538" w:rsidRDefault="00C60538" w:rsidP="00376C49">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60538" w:rsidRDefault="00C60538" w:rsidP="00376C49">
            <w:pPr>
              <w:spacing w:before="20" w:after="20"/>
              <w:rPr>
                <w:color w:val="000000"/>
                <w:sz w:val="20"/>
              </w:rPr>
            </w:pPr>
            <w:r>
              <w:rPr>
                <w:b/>
                <w:noProof/>
                <w:color w:val="000000"/>
                <w:sz w:val="20"/>
              </w:rPr>
              <w:t>Разгледана в стратегически план по ОСП</w:t>
            </w:r>
          </w:p>
        </w:tc>
      </w:tr>
      <w:tr w:rsidR="00C60538" w:rsidTr="00376C4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П.2.3.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Ускоряване на модернизацията и технологично обновяване на малките и средни стопанства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Да</w:t>
            </w:r>
          </w:p>
        </w:tc>
      </w:tr>
      <w:tr w:rsidR="00C60538" w:rsidTr="00376C4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П.7.5.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Улесняване развитието на стопанска дейност в селските райони и създаване и подпомагане на стартиране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Да</w:t>
            </w:r>
          </w:p>
        </w:tc>
      </w:tr>
      <w:tr w:rsidR="00C60538" w:rsidTr="00376C4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П.8.1.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Диверсификация на икономическата дейност.Стимулиране на нови производства в областта на биоикономика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Да</w:t>
            </w:r>
          </w:p>
        </w:tc>
      </w:tr>
    </w:tbl>
    <w:p w:rsidR="00C60538" w:rsidRDefault="00C60538" w:rsidP="00C60538">
      <w:pPr>
        <w:pStyle w:val="Heading5"/>
        <w:spacing w:before="20" w:after="20"/>
        <w:rPr>
          <w:b w:val="0"/>
          <w:i w:val="0"/>
          <w:color w:val="000000"/>
          <w:sz w:val="24"/>
        </w:rPr>
      </w:pPr>
      <w:bookmarkStart w:id="4" w:name="_Toc256001515"/>
      <w:r>
        <w:rPr>
          <w:b w:val="0"/>
          <w:i w:val="0"/>
          <w:noProof/>
          <w:color w:val="000000"/>
          <w:sz w:val="24"/>
        </w:rPr>
        <w:t>4 Показател(и) за резултатите</w:t>
      </w:r>
      <w:bookmarkEnd w:id="4"/>
    </w:p>
    <w:p w:rsidR="00C60538" w:rsidRDefault="00C60538" w:rsidP="00C6053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C60538" w:rsidTr="00376C4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60538" w:rsidRDefault="00C60538" w:rsidP="00376C49">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C60538" w:rsidTr="00376C4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60538" w:rsidRDefault="00C60538" w:rsidP="00376C49">
            <w:pPr>
              <w:spacing w:before="20" w:after="20"/>
              <w:rPr>
                <w:color w:val="000000"/>
                <w:sz w:val="20"/>
              </w:rPr>
            </w:pPr>
            <w:r>
              <w:rPr>
                <w:noProof/>
                <w:color w:val="000000"/>
                <w:sz w:val="20"/>
              </w:rPr>
              <w:t>R.37 Нови работни места, подпомагани в рамките на проекти по ОСП</w:t>
            </w:r>
          </w:p>
        </w:tc>
      </w:tr>
    </w:tbl>
    <w:p w:rsidR="00C60538" w:rsidRDefault="00C60538" w:rsidP="00C60538">
      <w:pPr>
        <w:pStyle w:val="Heading5"/>
        <w:spacing w:before="20" w:after="20"/>
        <w:rPr>
          <w:b w:val="0"/>
          <w:i w:val="0"/>
          <w:color w:val="000000"/>
          <w:sz w:val="24"/>
        </w:rPr>
      </w:pPr>
      <w:bookmarkStart w:id="5" w:name="_Toc256001516"/>
      <w:r>
        <w:rPr>
          <w:b w:val="0"/>
          <w:i w:val="0"/>
          <w:noProof/>
          <w:color w:val="000000"/>
          <w:sz w:val="24"/>
        </w:rPr>
        <w:t>5 Конкретен план, изисквания и условия за допустимост на интервенцията</w:t>
      </w:r>
      <w:bookmarkEnd w:id="5"/>
    </w:p>
    <w:p w:rsidR="00C60538" w:rsidRDefault="00C60538" w:rsidP="00C60538">
      <w:pPr>
        <w:spacing w:before="20" w:after="20"/>
        <w:rPr>
          <w:color w:val="000000"/>
        </w:rPr>
      </w:pPr>
      <w:r>
        <w:rPr>
          <w:noProof/>
          <w:color w:val="000000"/>
        </w:rPr>
        <w:lastRenderedPageBreak/>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pPr>
            <w:r>
              <w:rPr>
                <w:noProof/>
              </w:rPr>
              <w:t>Един от проблемите в селските райони е влошената възрастова структура, отлива на хора, намаляване на населението и липсата на човешки потенциал. В по-малките населени места преобладават предимно възрастни хора над 65 години, а в градските райони се концентрират предимно хора в активна трудоспособна възраст, където човешкият потенциал е в пъти над този в селските райони. Финансовата подкрепа в развитието на стопанска дейност в селските райони ще допринесе за създаване на работни места и привличане на хора в селските райони.</w:t>
            </w:r>
          </w:p>
          <w:p w:rsidR="00C60538" w:rsidRDefault="00C60538" w:rsidP="00376C49">
            <w:pPr>
              <w:spacing w:before="40" w:after="40"/>
            </w:pPr>
            <w:r>
              <w:rPr>
                <w:noProof/>
              </w:rPr>
              <w:t>Установяването на нови земеделски стопани, като собственици на земеделски стопанства допринася съществено за необходимата за сектора смяна на поколенията, както и за запазване на населението в селските райони, които като цяло са в ситуация на обезлюдяване.</w:t>
            </w:r>
          </w:p>
          <w:p w:rsidR="00C60538" w:rsidRDefault="00C60538" w:rsidP="00376C49">
            <w:pPr>
              <w:spacing w:before="40" w:after="40"/>
            </w:pPr>
            <w:r>
              <w:rPr>
                <w:noProof/>
              </w:rPr>
              <w:t>Икономическото развитие в селските райони, следва да улесни стопанската дейност и да стимулира дейности за насърчаване на местната конкурентоспособност, постигане на жизненост на населените места в селските райони и качеството и стандарта на живот, подобри степента на развитие на човешкия капитал и инфраструктура.</w:t>
            </w:r>
          </w:p>
          <w:p w:rsidR="00C60538" w:rsidRDefault="00C60538" w:rsidP="00376C49">
            <w:pPr>
              <w:spacing w:before="40" w:after="40"/>
            </w:pPr>
            <w:r>
              <w:rPr>
                <w:noProof/>
              </w:rPr>
              <w:t>Повишаването на броя на новите стопанства в сектора ще доведе до увеличаване на инвестициите под формата на дълготрайни материални активи, което от своя страна води до наемане на допълнителна работна сила, която да ги обслужва. Вследствие на допълнителните инвестиционни вложения и трудови ресурси се създават предпоставки за увеличение на приходите от селскостопанска дейност, което от своя страна способства за увеличаване на средна брутна заплата на наетите лица.</w:t>
            </w:r>
          </w:p>
          <w:p w:rsidR="00C60538" w:rsidRDefault="00C60538" w:rsidP="00376C49">
            <w:pPr>
              <w:spacing w:before="40" w:after="40"/>
            </w:pPr>
            <w:r>
              <w:rPr>
                <w:noProof/>
              </w:rPr>
              <w:t>Подпомагането по интервенцията ще допринесе за привличане на нови предприемачи в земеделието, различни от младите земеделски стопани. Чрез осигуряване на допълнителна възможност за стартиране на селскостопански бизнес ще се подпомогне икономическото развитие в селските райони. Насърчаване на местната конкурентоспособност ще създаде предпоставки за подобряване на степента на развитие на човешкия капитал, включително създаване на работни места и привличане на хора в селските райони.</w:t>
            </w:r>
          </w:p>
          <w:p w:rsidR="00C60538" w:rsidRDefault="00C60538" w:rsidP="00376C49">
            <w:pPr>
              <w:spacing w:before="40" w:after="40"/>
            </w:pPr>
            <w:r>
              <w:rPr>
                <w:noProof/>
              </w:rPr>
              <w:t xml:space="preserve">Извършените анализи в областта на селското стопанство на база различните форми на подкрепа показват, че предпочитани и с приоритетно значение сред съществуващите земеделски стопанства са инвестициите в машини, съоръжения и оборудване за нуждите на селскостопанското производство. </w:t>
            </w:r>
          </w:p>
          <w:p w:rsidR="00C60538" w:rsidRDefault="00C60538" w:rsidP="00376C49">
            <w:pPr>
              <w:spacing w:before="40" w:after="40"/>
            </w:pPr>
            <w:r>
              <w:rPr>
                <w:noProof/>
              </w:rPr>
              <w:t>Отчитайки тази тенденция интервенцията предвижда улеснен достъп до модернизация на новите земеделски стопанства още на етап стартиране на техният селскостопански бизнес, посредством въвеждане на специализирани машини и оборудване, което ще осигури по-високи добиви при отглеждането на плодове, зеленчуци и друга растениевъдна продукция. По отношение на животновъдните стопанства ще се гарантира висока продуктивност с по-малко разходи на труд. Достъпа до съвременни технологии ще допринесе за покриване на санитарно-хигиенните и хуманните изисквания към отглежданите животни, включително опазване на компонентите на околната среда.</w:t>
            </w:r>
          </w:p>
          <w:p w:rsidR="00C60538" w:rsidRDefault="00C60538" w:rsidP="00376C49">
            <w:pPr>
              <w:spacing w:before="40" w:after="40"/>
            </w:pPr>
            <w:r>
              <w:rPr>
                <w:noProof/>
              </w:rPr>
              <w:t xml:space="preserve">Непосредственият и по-бърз ефект от нововъведенията в сферата на производствените инвестиции ще имат решаващо значение за предпочитанията на новите земеделски стопани към този вид подкрепа. </w:t>
            </w:r>
          </w:p>
          <w:p w:rsidR="00C60538" w:rsidRDefault="00C60538" w:rsidP="00376C49">
            <w:pPr>
              <w:spacing w:before="40" w:after="40"/>
            </w:pPr>
            <w:r>
              <w:rPr>
                <w:noProof/>
              </w:rPr>
              <w:t>Иновационните нововъведения ще допринесат за рентабилността на земеделския труд, чрез увеличаване на производителността на труда и съответно повишаване на доходността от земеделска дейност. На свои ред новите земеделски стопани ще имат необходимост от нови и специфични знания за управление на производствената дейност . Това на свой ред ще ги мотивира да търсят и придобиват допълнителни знания в областта на селското стопанство и повишаване на тяхното квалификационно равнище.</w:t>
            </w:r>
          </w:p>
          <w:p w:rsidR="00C60538" w:rsidRDefault="00C60538" w:rsidP="00376C49">
            <w:pPr>
              <w:spacing w:before="40" w:after="40"/>
            </w:pPr>
            <w:r>
              <w:rPr>
                <w:noProof/>
              </w:rPr>
              <w:t>Приоритетно насочване на подкрепата:</w:t>
            </w:r>
          </w:p>
          <w:p w:rsidR="002F3548" w:rsidRPr="002F3548" w:rsidRDefault="00C60538" w:rsidP="00A17ECE">
            <w:pPr>
              <w:spacing w:before="40" w:after="40"/>
              <w:rPr>
                <w:color w:val="FF0000"/>
                <w:lang w:val="bg-BG"/>
              </w:rPr>
            </w:pPr>
            <w:r>
              <w:rPr>
                <w:noProof/>
              </w:rPr>
              <w:t xml:space="preserve">Критериите целят да гарантират насочване на помощ съобразно установените потребности и заложените цели. Критериите се основават на анализа и осигуряват съответствие и допълняемост с </w:t>
            </w:r>
            <w:r>
              <w:rPr>
                <w:noProof/>
              </w:rPr>
              <w:lastRenderedPageBreak/>
              <w:t>други стратегически документи</w:t>
            </w:r>
            <w:r w:rsidR="00EF5C6C">
              <w:rPr>
                <w:noProof/>
                <w:lang w:val="bg-BG"/>
              </w:rPr>
              <w:t xml:space="preserve">, </w:t>
            </w:r>
            <w:r w:rsidR="00EF5C6C">
              <w:rPr>
                <w:noProof/>
                <w:color w:val="FF0000"/>
                <w:lang w:val="bg-BG"/>
              </w:rPr>
              <w:t>вкл. в областта на селските райони</w:t>
            </w:r>
            <w:r>
              <w:rPr>
                <w:noProof/>
              </w:rPr>
              <w:t>. Чрез критериите се цели и подпомагане на проект</w:t>
            </w:r>
            <w:r w:rsidR="00A17ECE">
              <w:rPr>
                <w:noProof/>
              </w:rPr>
              <w:t>и с по-висока добавена стойност</w:t>
            </w:r>
            <w:r w:rsidR="00A17ECE">
              <w:rPr>
                <w:noProof/>
                <w:lang w:val="bg-BG"/>
              </w:rPr>
              <w:t xml:space="preserve"> </w:t>
            </w:r>
            <w:r w:rsidR="00A17ECE" w:rsidRPr="00A17ECE">
              <w:rPr>
                <w:noProof/>
                <w:color w:val="FF0000"/>
                <w:lang w:val="en-GB"/>
              </w:rPr>
              <w:t>(</w:t>
            </w:r>
            <w:r w:rsidR="00A17ECE">
              <w:rPr>
                <w:noProof/>
                <w:color w:val="FF0000"/>
                <w:lang w:val="bg-BG"/>
              </w:rPr>
              <w:t>например: подобряване на производителността, пазарната ориентация, биосигурността, опазване компонентите на околната среда</w:t>
            </w:r>
            <w:r w:rsidR="00EF5C6C">
              <w:rPr>
                <w:noProof/>
                <w:color w:val="FF0000"/>
                <w:lang w:val="bg-BG"/>
              </w:rPr>
              <w:t xml:space="preserve"> и борба с климатичните промени</w:t>
            </w:r>
            <w:r w:rsidR="00A17ECE" w:rsidRPr="00A17ECE">
              <w:rPr>
                <w:noProof/>
                <w:color w:val="FF0000"/>
                <w:lang w:val="en-GB"/>
              </w:rPr>
              <w:t>)</w:t>
            </w:r>
            <w:r w:rsidR="00A17ECE" w:rsidRPr="00A17ECE">
              <w:rPr>
                <w:noProof/>
                <w:color w:val="FF0000"/>
                <w:lang w:val="bg-BG"/>
              </w:rPr>
              <w:t>,</w:t>
            </w:r>
            <w:r w:rsidR="00A17ECE">
              <w:rPr>
                <w:noProof/>
                <w:lang w:val="bg-BG"/>
              </w:rPr>
              <w:t xml:space="preserve"> </w:t>
            </w:r>
            <w:r w:rsidR="00A17ECE">
              <w:rPr>
                <w:noProof/>
                <w:color w:val="FF0000"/>
                <w:lang w:val="bg-BG"/>
              </w:rPr>
              <w:t xml:space="preserve">както и на проекти с включени дейности </w:t>
            </w:r>
            <w:r w:rsidR="002F3548" w:rsidRPr="002F3548">
              <w:rPr>
                <w:color w:val="FF0000"/>
                <w:lang w:val="bg-BG"/>
              </w:rPr>
              <w:t>в приоритетен сектор</w:t>
            </w:r>
            <w:r w:rsidR="00A17ECE">
              <w:rPr>
                <w:color w:val="FF0000"/>
                <w:lang w:val="bg-BG"/>
              </w:rPr>
              <w:t xml:space="preserve">, осигуряващи </w:t>
            </w:r>
            <w:r w:rsidR="002F3548" w:rsidRPr="002F3548">
              <w:rPr>
                <w:color w:val="FF0000"/>
                <w:lang w:val="bg-BG"/>
              </w:rPr>
              <w:t>възможност за производство на биологични продукти, създаване на нови работни места.</w:t>
            </w:r>
            <w:r w:rsidR="002F3548" w:rsidRPr="002F3548">
              <w:rPr>
                <w:rFonts w:asciiTheme="minorHAnsi" w:eastAsiaTheme="minorHAnsi" w:hAnsiTheme="minorHAnsi" w:cstheme="minorBidi"/>
                <w:sz w:val="22"/>
                <w:szCs w:val="22"/>
                <w:lang w:val="bg-BG"/>
              </w:rPr>
              <w:t xml:space="preserve"> </w:t>
            </w:r>
          </w:p>
          <w:p w:rsidR="00C60538" w:rsidRDefault="00C60538" w:rsidP="00376C49">
            <w:pPr>
              <w:spacing w:before="40" w:after="40"/>
            </w:pPr>
            <w:r>
              <w:rPr>
                <w:noProof/>
              </w:rPr>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tc>
      </w:tr>
    </w:tbl>
    <w:p w:rsidR="00C60538" w:rsidRDefault="00C60538" w:rsidP="00C60538">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jc w:val="both"/>
            </w:pPr>
            <w:r>
              <w:rPr>
                <w:b/>
                <w:bCs/>
                <w:noProof/>
              </w:rPr>
              <w:t>Подпомагат се нови земеделски стопани, които отговарят на следните изисквания:</w:t>
            </w:r>
          </w:p>
          <w:p w:rsidR="00C60538" w:rsidRDefault="00C60538" w:rsidP="00376C49">
            <w:pPr>
              <w:spacing w:before="40" w:after="40"/>
              <w:jc w:val="both"/>
            </w:pPr>
            <w:r>
              <w:rPr>
                <w:noProof/>
              </w:rPr>
              <w:t>· да са на възраст от 41 до 65 години (включително) към датата на подаване на искането за подпомагане;</w:t>
            </w:r>
          </w:p>
          <w:p w:rsidR="00C60538" w:rsidRDefault="00C60538" w:rsidP="00376C49">
            <w:pPr>
              <w:spacing w:before="40" w:after="40"/>
              <w:jc w:val="both"/>
            </w:pPr>
            <w:r>
              <w:rPr>
                <w:noProof/>
              </w:rPr>
              <w:t>· да са еднолични собственици на земеделското стопанство;</w:t>
            </w:r>
          </w:p>
          <w:p w:rsidR="00C60538" w:rsidRDefault="00C60538" w:rsidP="00376C49">
            <w:pPr>
              <w:spacing w:before="40" w:after="40"/>
              <w:jc w:val="both"/>
            </w:pPr>
            <w:r>
              <w:rPr>
                <w:noProof/>
              </w:rPr>
              <w:t>- да имат съответните професионални умения и познания за извършване на селскостопански и свързани със селското стопанство дейности. Ако към момента на кандидатстване не притежават професионални умения и познания, проектното предложение се одобрява при условие че тези изисквания ще бъдат изпълнени към датата на искане за второ плащане.</w:t>
            </w:r>
          </w:p>
          <w:p w:rsidR="00C60538" w:rsidRDefault="00C60538" w:rsidP="00376C49">
            <w:pPr>
              <w:spacing w:before="40" w:after="40"/>
              <w:jc w:val="both"/>
            </w:pPr>
            <w:r>
              <w:rPr>
                <w:noProof/>
              </w:rPr>
              <w:t>Земеделските стопани, които са допустими за подпомагане трябва да отговарят и на следните условия:</w:t>
            </w:r>
          </w:p>
          <w:p w:rsidR="00C60538" w:rsidRDefault="00C60538" w:rsidP="00376C49">
            <w:pPr>
              <w:spacing w:before="40" w:after="40"/>
              <w:jc w:val="both"/>
            </w:pPr>
            <w:r>
              <w:rPr>
                <w:noProof/>
              </w:rPr>
              <w:t>· да са физически лица или еднолични търговци /ЕТ/ или Еднолично дружество с ограничена отговорност /ЕООД/;</w:t>
            </w:r>
          </w:p>
          <w:p w:rsidR="00C60538" w:rsidRDefault="00C60538" w:rsidP="00376C49">
            <w:pPr>
              <w:spacing w:before="40" w:after="40"/>
              <w:jc w:val="both"/>
            </w:pPr>
            <w:r>
              <w:rPr>
                <w:noProof/>
              </w:rPr>
              <w:t>· да са регистрирани като земеделски стопани по Закона за подпомагане на земеделските производители;</w:t>
            </w:r>
          </w:p>
          <w:p w:rsidR="00C60538" w:rsidRDefault="00C60538" w:rsidP="00376C49">
            <w:pPr>
              <w:spacing w:before="40" w:after="40"/>
              <w:jc w:val="both"/>
            </w:pPr>
            <w:r>
              <w:rPr>
                <w:noProof/>
              </w:rPr>
              <w:t>· икономическият размер на земеделското стопанство е не по-малък от 4 000 евро стандартен производствен обем /СПО/;</w:t>
            </w:r>
          </w:p>
          <w:p w:rsidR="00C60538" w:rsidRDefault="00C60538" w:rsidP="00376C49">
            <w:pPr>
              <w:spacing w:before="40" w:after="40"/>
              <w:jc w:val="both"/>
            </w:pPr>
            <w:r>
              <w:rPr>
                <w:noProof/>
              </w:rPr>
              <w:t>· да имат разработен бизнес план за развитие на дейностите в земеделското стопанство.</w:t>
            </w:r>
          </w:p>
          <w:p w:rsidR="00C60538" w:rsidRDefault="00C60538" w:rsidP="00376C49">
            <w:pPr>
              <w:spacing w:before="40" w:after="40"/>
              <w:jc w:val="both"/>
            </w:pPr>
            <w:r>
              <w:rPr>
                <w:noProof/>
              </w:rPr>
              <w:t>· Земеделските стопани със земеделски стопанства, за които е приложимо трябва да отговарят на изискванията на Закона за ветеринарномедицинската дейност;</w:t>
            </w:r>
          </w:p>
          <w:p w:rsidR="00C60538" w:rsidRDefault="00C60538" w:rsidP="00376C49">
            <w:pPr>
              <w:spacing w:before="40" w:after="40"/>
              <w:jc w:val="both"/>
            </w:pPr>
            <w:r>
              <w:rPr>
                <w:noProof/>
                <w:color w:val="000000"/>
                <w:u w:val="single" w:color="000000"/>
              </w:rPr>
              <w:t>Земеделските стопани по интервенцията следва да отговарят на определението за нов земеделски стопанин, посочено в т. 4.1.6</w:t>
            </w:r>
          </w:p>
          <w:p w:rsidR="00C60538" w:rsidRDefault="00C60538" w:rsidP="00376C49">
            <w:pPr>
              <w:spacing w:before="40" w:after="40"/>
              <w:jc w:val="both"/>
            </w:pPr>
            <w:r>
              <w:rPr>
                <w:b/>
                <w:bCs/>
                <w:noProof/>
              </w:rPr>
              <w:t xml:space="preserve">Бизнес плана трябва да включва най – малко следните елементи: </w:t>
            </w:r>
          </w:p>
          <w:p w:rsidR="00C60538" w:rsidRDefault="00C60538" w:rsidP="00376C49">
            <w:pPr>
              <w:spacing w:before="40" w:after="40"/>
              <w:jc w:val="both"/>
            </w:pPr>
            <w:r>
              <w:rPr>
                <w:noProof/>
              </w:rPr>
              <w:t>· период за изпълнение до 36 месеца, считано от датата на сключването на договора за предоставяне на подкрепа.</w:t>
            </w:r>
          </w:p>
          <w:p w:rsidR="00C60538" w:rsidRDefault="00C60538" w:rsidP="00376C49">
            <w:pPr>
              <w:spacing w:before="40" w:after="40"/>
              <w:jc w:val="both"/>
            </w:pPr>
            <w:r>
              <w:rPr>
                <w:noProof/>
              </w:rPr>
              <w:t>· първоначално състояние на земеделското стопанство;</w:t>
            </w:r>
          </w:p>
          <w:p w:rsidR="00C60538" w:rsidRDefault="00C60538" w:rsidP="00376C49">
            <w:pPr>
              <w:spacing w:before="40" w:after="40"/>
              <w:jc w:val="both"/>
            </w:pPr>
            <w:r>
              <w:rPr>
                <w:noProof/>
              </w:rPr>
              <w:t>· етапи и цели за развитие на селскостопанската дейност;</w:t>
            </w:r>
          </w:p>
          <w:p w:rsidR="00C60538" w:rsidRDefault="00C60538" w:rsidP="00376C49">
            <w:pPr>
              <w:spacing w:before="40" w:after="40"/>
              <w:jc w:val="both"/>
            </w:pPr>
            <w:r>
              <w:rPr>
                <w:noProof/>
              </w:rPr>
              <w:t>· описание на предвидените дейности и срок за тяхното изпълнение;</w:t>
            </w:r>
          </w:p>
          <w:p w:rsidR="00C60538" w:rsidRDefault="00C60538" w:rsidP="00376C49">
            <w:pPr>
              <w:spacing w:before="40" w:after="40"/>
              <w:jc w:val="both"/>
            </w:pPr>
            <w:r>
              <w:rPr>
                <w:noProof/>
              </w:rPr>
              <w:t>· описаните на дейностите свързани с инвестиции, обучение и др.</w:t>
            </w:r>
          </w:p>
          <w:p w:rsidR="00C60538" w:rsidRDefault="00C60538" w:rsidP="00376C49">
            <w:pPr>
              <w:spacing w:before="40" w:after="40"/>
              <w:jc w:val="both"/>
            </w:pPr>
            <w:r>
              <w:rPr>
                <w:noProof/>
              </w:rPr>
              <w:t>· Изпълнението на бизнес план трябва да започне не по-късно от 9 месеца считано от датата на решението за отпускане на помощта;</w:t>
            </w:r>
          </w:p>
          <w:p w:rsidR="00C60538" w:rsidRDefault="00C60538" w:rsidP="00376C49">
            <w:pPr>
              <w:spacing w:before="40" w:after="40"/>
            </w:pPr>
            <w:r>
              <w:rPr>
                <w:noProof/>
              </w:rPr>
              <w:t>С изпълнението на бизнес плана трябва да се осигури въвеждане в експлоатация в стопанството на инвестиции, като например машини или съоръжения, или оборудване, или извършване на строително монтажни работи, или земеделска земя свързани с дейността на земеделското стопанство, включително създаване на трайни насаждения, на стойност не по – малка от 50% от размера на полученото първо плащане.</w:t>
            </w:r>
          </w:p>
        </w:tc>
      </w:tr>
    </w:tbl>
    <w:p w:rsidR="00C60538" w:rsidRDefault="00C60538" w:rsidP="00C60538">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jc w:val="both"/>
            </w:pPr>
            <w:r>
              <w:rPr>
                <w:noProof/>
              </w:rPr>
              <w:t>Дейностите по проектните предложения в рамките на интервенцията трябва:</w:t>
            </w:r>
          </w:p>
          <w:p w:rsidR="00C60538" w:rsidRDefault="00C60538" w:rsidP="00376C49">
            <w:pPr>
              <w:spacing w:before="40" w:after="40"/>
              <w:jc w:val="both"/>
            </w:pPr>
            <w:r>
              <w:rPr>
                <w:noProof/>
              </w:rPr>
              <w:t xml:space="preserve">· Да са свързани с производството на селскостопански продукти включени в приложение I на Договора за функционирането на Европейския съюз или памук, с изключение на риба и рибни </w:t>
            </w:r>
            <w:r>
              <w:rPr>
                <w:noProof/>
              </w:rPr>
              <w:lastRenderedPageBreak/>
              <w:t xml:space="preserve">продукти. </w:t>
            </w:r>
          </w:p>
          <w:p w:rsidR="00C60538" w:rsidRDefault="00C60538" w:rsidP="00376C49">
            <w:pPr>
              <w:spacing w:before="40" w:after="40"/>
              <w:jc w:val="both"/>
            </w:pPr>
            <w:r>
              <w:rPr>
                <w:noProof/>
              </w:rPr>
              <w:t>· В случай, че е приложимо да са придружени от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 издадени по реда на ЗООС и/или ЗБР и ЗВ.</w:t>
            </w:r>
          </w:p>
          <w:p w:rsidR="00C60538" w:rsidRDefault="00C60538" w:rsidP="00376C49">
            <w:pPr>
              <w:spacing w:before="40" w:after="40"/>
            </w:pPr>
            <w:r>
              <w:rPr>
                <w:b/>
                <w:bCs/>
                <w:noProof/>
              </w:rPr>
              <w:t>В рамките на интервенцията няма да се подпомагат земеделски стопани получили подпомагане по интервенция „Стартова помощ за установяване на млади земеделски стопани в селското стопанство“ и „Подпомагане на много малки земеделски стопанства“, включени в Стратегически план за развитие на земеделието и селските райони на Република България за периода 2023-2027 г.</w:t>
            </w:r>
          </w:p>
        </w:tc>
      </w:tr>
    </w:tbl>
    <w:p w:rsidR="00C60538" w:rsidRDefault="00C60538" w:rsidP="00C60538">
      <w:pPr>
        <w:pStyle w:val="Heading5"/>
        <w:spacing w:before="20" w:after="20"/>
        <w:rPr>
          <w:b w:val="0"/>
          <w:i w:val="0"/>
          <w:color w:val="000000"/>
          <w:sz w:val="24"/>
        </w:rPr>
      </w:pPr>
      <w:bookmarkStart w:id="6" w:name="_Toc256001517"/>
      <w:r>
        <w:rPr>
          <w:b w:val="0"/>
          <w:i w:val="0"/>
          <w:noProof/>
          <w:color w:val="000000"/>
          <w:sz w:val="24"/>
        </w:rPr>
        <w:lastRenderedPageBreak/>
        <w:t>6 Определяне на уместни базови характеристики</w:t>
      </w:r>
      <w:bookmarkEnd w:id="6"/>
    </w:p>
    <w:p w:rsidR="00C60538" w:rsidRDefault="00C60538" w:rsidP="00C60538">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C60538" w:rsidRDefault="00C60538" w:rsidP="00C60538">
      <w:pPr>
        <w:spacing w:before="20" w:after="20"/>
        <w:rPr>
          <w:color w:val="000000"/>
        </w:rPr>
      </w:pPr>
      <w:r>
        <w:rPr>
          <w:noProof/>
          <w:color w:val="000000"/>
        </w:rPr>
        <w:t>Неприложимо</w:t>
      </w:r>
    </w:p>
    <w:p w:rsidR="00C60538" w:rsidRDefault="00C60538" w:rsidP="00C60538">
      <w:pPr>
        <w:pStyle w:val="Heading5"/>
        <w:spacing w:before="20" w:after="20"/>
        <w:rPr>
          <w:b w:val="0"/>
          <w:i w:val="0"/>
          <w:color w:val="000000"/>
          <w:sz w:val="24"/>
        </w:rPr>
      </w:pPr>
      <w:bookmarkStart w:id="7" w:name="_Toc256001518"/>
      <w:r>
        <w:rPr>
          <w:b w:val="0"/>
          <w:i w:val="0"/>
          <w:noProof/>
          <w:color w:val="000000"/>
          <w:sz w:val="24"/>
        </w:rPr>
        <w:t>7 Форма и ставка на подпомагане/суми/методи за изчисляване</w:t>
      </w:r>
      <w:bookmarkEnd w:id="7"/>
    </w:p>
    <w:p w:rsidR="00C60538" w:rsidRDefault="00C60538" w:rsidP="00C60538">
      <w:pPr>
        <w:spacing w:before="20" w:after="20"/>
        <w:rPr>
          <w:color w:val="000000"/>
        </w:rPr>
      </w:pPr>
      <w:r>
        <w:rPr>
          <w:noProof/>
          <w:color w:val="000000"/>
        </w:rPr>
        <w:t>Форма на подкрепа</w:t>
      </w:r>
    </w:p>
    <w:p w:rsidR="00C60538" w:rsidRDefault="00C60538" w:rsidP="00C60538">
      <w:pPr>
        <w:spacing w:before="20" w:after="20"/>
        <w:rPr>
          <w:b/>
          <w:color w:val="000000"/>
        </w:rPr>
      </w:pPr>
      <w:r>
        <w:rPr>
          <w:rFonts w:ascii="Wingdings" w:eastAsia="Wingdings" w:hAnsi="Wingdings" w:cs="Wingdings"/>
          <w:b/>
          <w:noProof/>
          <w:color w:val="000000"/>
        </w:rPr>
        <w:t></w:t>
      </w:r>
      <w:r>
        <w:rPr>
          <w:b/>
          <w:noProof/>
          <w:color w:val="000000"/>
        </w:rPr>
        <w:t xml:space="preserve"> Безвъзмездни средства</w:t>
      </w:r>
    </w:p>
    <w:p w:rsidR="00C60538" w:rsidRDefault="00C60538" w:rsidP="00C60538">
      <w:pPr>
        <w:spacing w:before="20" w:after="20"/>
        <w:rPr>
          <w:b/>
          <w:color w:val="000000"/>
        </w:rPr>
      </w:pPr>
      <w:r>
        <w:rPr>
          <w:rFonts w:ascii="Wingdings" w:eastAsia="Wingdings" w:hAnsi="Wingdings" w:cs="Wingdings"/>
          <w:b/>
          <w:noProof/>
          <w:color w:val="000000"/>
        </w:rPr>
        <w:t></w:t>
      </w:r>
      <w:r>
        <w:rPr>
          <w:b/>
          <w:noProof/>
          <w:color w:val="000000"/>
        </w:rPr>
        <w:t xml:space="preserve"> Финансов инструмент</w:t>
      </w:r>
    </w:p>
    <w:p w:rsidR="00C60538" w:rsidRDefault="00C60538" w:rsidP="00C60538">
      <w:pPr>
        <w:spacing w:before="20" w:after="20"/>
        <w:rPr>
          <w:color w:val="000000"/>
          <w:sz w:val="12"/>
        </w:rPr>
      </w:pPr>
    </w:p>
    <w:p w:rsidR="00C60538" w:rsidRDefault="00C60538" w:rsidP="00C60538">
      <w:pPr>
        <w:spacing w:before="20" w:after="20"/>
        <w:rPr>
          <w:color w:val="000000"/>
        </w:rPr>
      </w:pPr>
      <w:r>
        <w:rPr>
          <w:noProof/>
          <w:color w:val="000000"/>
        </w:rPr>
        <w:t>Вид на плащането</w:t>
      </w:r>
    </w:p>
    <w:p w:rsidR="00C60538" w:rsidRDefault="00C60538" w:rsidP="00C60538">
      <w:pPr>
        <w:spacing w:before="20" w:after="20"/>
        <w:rPr>
          <w:color w:val="000000"/>
        </w:rPr>
      </w:pPr>
      <w:r>
        <w:rPr>
          <w:rFonts w:ascii="Wingdings" w:eastAsia="Wingdings" w:hAnsi="Wingdings" w:cs="Wingdings"/>
          <w:noProof/>
          <w:color w:val="000000"/>
        </w:rPr>
        <w:t></w:t>
      </w:r>
      <w:r>
        <w:rPr>
          <w:noProof/>
          <w:color w:val="000000"/>
        </w:rPr>
        <w:t xml:space="preserve"> възстановяване на действително направени от бенефициера допустими разходи</w:t>
      </w:r>
    </w:p>
    <w:p w:rsidR="00C60538" w:rsidRDefault="00C60538" w:rsidP="00C60538">
      <w:pPr>
        <w:spacing w:before="20" w:after="20"/>
        <w:rPr>
          <w:color w:val="000000"/>
        </w:rPr>
      </w:pPr>
      <w:r>
        <w:rPr>
          <w:rFonts w:ascii="Wingdings" w:eastAsia="Wingdings" w:hAnsi="Wingdings" w:cs="Wingdings"/>
          <w:noProof/>
          <w:color w:val="000000"/>
        </w:rPr>
        <w:t></w:t>
      </w:r>
      <w:r>
        <w:rPr>
          <w:noProof/>
          <w:color w:val="000000"/>
        </w:rPr>
        <w:t xml:space="preserve"> единични разходи</w:t>
      </w:r>
    </w:p>
    <w:p w:rsidR="00C60538" w:rsidRDefault="00C60538" w:rsidP="00C60538">
      <w:pPr>
        <w:spacing w:before="20" w:after="20"/>
        <w:rPr>
          <w:color w:val="000000"/>
        </w:rPr>
      </w:pPr>
      <w:r>
        <w:rPr>
          <w:rFonts w:ascii="Wingdings" w:eastAsia="Wingdings" w:hAnsi="Wingdings" w:cs="Wingdings"/>
          <w:noProof/>
          <w:color w:val="000000"/>
        </w:rPr>
        <w:t></w:t>
      </w:r>
      <w:r>
        <w:rPr>
          <w:noProof/>
          <w:color w:val="000000"/>
        </w:rPr>
        <w:t xml:space="preserve"> еднократни суми</w:t>
      </w:r>
    </w:p>
    <w:p w:rsidR="00C60538" w:rsidRDefault="00C60538" w:rsidP="00C60538">
      <w:pPr>
        <w:spacing w:before="20" w:after="20"/>
        <w:rPr>
          <w:color w:val="000000"/>
        </w:rPr>
      </w:pPr>
      <w:r>
        <w:rPr>
          <w:rFonts w:ascii="Wingdings" w:eastAsia="Wingdings" w:hAnsi="Wingdings" w:cs="Wingdings"/>
          <w:noProof/>
          <w:color w:val="000000"/>
        </w:rPr>
        <w:t></w:t>
      </w:r>
      <w:r>
        <w:rPr>
          <w:noProof/>
          <w:color w:val="000000"/>
        </w:rPr>
        <w:t xml:space="preserve"> финансиране с единна ставка</w:t>
      </w:r>
    </w:p>
    <w:p w:rsidR="00C60538" w:rsidRDefault="00C60538" w:rsidP="00C60538">
      <w:pPr>
        <w:spacing w:before="20" w:after="20"/>
        <w:rPr>
          <w:color w:val="000000"/>
          <w:sz w:val="12"/>
        </w:rPr>
      </w:pPr>
    </w:p>
    <w:p w:rsidR="00C60538" w:rsidRDefault="00C60538" w:rsidP="00C60538">
      <w:pPr>
        <w:spacing w:before="20" w:after="20"/>
        <w:rPr>
          <w:color w:val="000000"/>
        </w:rPr>
      </w:pPr>
      <w:r>
        <w:rPr>
          <w:noProof/>
          <w:color w:val="000000"/>
        </w:rPr>
        <w:t>Основа за определянето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pPr>
            <w:r>
              <w:rPr>
                <w:noProof/>
              </w:rPr>
              <w:t>Средната единична стойност е определена на база исторически данни от прилагането по сходни механизми за подкрепа, като са взети предвид и предложените изисквания към кандидатите и очакваните ангажименти, които те трябва да изпълняват с цел получаване на подкрепата</w:t>
            </w:r>
            <w:r w:rsidRPr="009569B5">
              <w:rPr>
                <w:noProof/>
              </w:rPr>
              <w:t>. Методът за изчисляване на вида плащане за целите на подготовката на Стратегическия план за развитие на земеделието и селските райони през периода 2023-2027 г. е в съответствие с разпоредбите на чл. 83, пар. 2, т. а, букви ii) от Регламент(ЕС) 2021/2115 на Европейския парламент и на Съвета</w:t>
            </w:r>
          </w:p>
        </w:tc>
      </w:tr>
    </w:tbl>
    <w:p w:rsidR="00C60538" w:rsidRDefault="00C60538" w:rsidP="00C60538">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jc w:val="both"/>
            </w:pPr>
            <w:r>
              <w:rPr>
                <w:b/>
                <w:bCs/>
                <w:noProof/>
              </w:rPr>
              <w:t>Подпомагането за нови земеделски стопани се предоставя под формата на еднократна сума за периода на изпълнение на бизнес плана.</w:t>
            </w:r>
          </w:p>
          <w:p w:rsidR="00C60538" w:rsidRDefault="00C60538" w:rsidP="00376C49">
            <w:pPr>
              <w:spacing w:before="40" w:after="40"/>
              <w:jc w:val="both"/>
            </w:pPr>
            <w:r>
              <w:rPr>
                <w:noProof/>
              </w:rPr>
              <w:t>·</w:t>
            </w:r>
            <w:r>
              <w:rPr>
                <w:noProof/>
                <w:u w:val="single"/>
              </w:rPr>
              <w:t xml:space="preserve"> Подкрепата е в размер на 30 000 евро за едно земеделско стопанство;</w:t>
            </w:r>
          </w:p>
          <w:p w:rsidR="00C60538" w:rsidRDefault="00C60538" w:rsidP="00376C49">
            <w:pPr>
              <w:spacing w:before="40" w:after="40"/>
              <w:jc w:val="both"/>
            </w:pPr>
            <w:r>
              <w:rPr>
                <w:noProof/>
                <w:u w:val="single"/>
              </w:rPr>
              <w:t>· Подкрепата се отпуска под формата на безвъзмездна финансова помощ и се изплаща на два етапа:</w:t>
            </w:r>
          </w:p>
          <w:p w:rsidR="00C60538" w:rsidRDefault="00C60538" w:rsidP="00376C49">
            <w:pPr>
              <w:spacing w:before="40" w:after="40"/>
              <w:jc w:val="both"/>
            </w:pPr>
            <w:r>
              <w:rPr>
                <w:noProof/>
                <w:u w:val="single"/>
              </w:rPr>
              <w:t>· Първи етап в размер на 15 000 евро: след одобрение на проектното предложение;</w:t>
            </w:r>
          </w:p>
          <w:p w:rsidR="00C60538" w:rsidRDefault="00C60538" w:rsidP="00376C49">
            <w:pPr>
              <w:spacing w:before="40" w:after="40"/>
            </w:pPr>
            <w:r>
              <w:rPr>
                <w:noProof/>
                <w:u w:val="single"/>
              </w:rPr>
              <w:t>· Втори етап в размер на 15 000 евро: след установяване на правилното изпълнение на бизнес плана</w:t>
            </w:r>
          </w:p>
        </w:tc>
      </w:tr>
    </w:tbl>
    <w:p w:rsidR="00C60538" w:rsidRDefault="00C60538" w:rsidP="00C60538">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pPr>
            <w:r>
              <w:rPr>
                <w:noProof/>
              </w:rPr>
              <w:t>Не приложимо</w:t>
            </w:r>
          </w:p>
        </w:tc>
      </w:tr>
    </w:tbl>
    <w:p w:rsidR="00C60538" w:rsidRDefault="00C60538" w:rsidP="00C60538">
      <w:pPr>
        <w:pStyle w:val="Heading5"/>
        <w:spacing w:before="20" w:after="20"/>
        <w:rPr>
          <w:b w:val="0"/>
          <w:i w:val="0"/>
          <w:color w:val="000000"/>
          <w:sz w:val="24"/>
        </w:rPr>
      </w:pPr>
      <w:bookmarkStart w:id="8" w:name="_Toc256001519"/>
      <w:r>
        <w:rPr>
          <w:b w:val="0"/>
          <w:i w:val="0"/>
          <w:noProof/>
          <w:color w:val="000000"/>
          <w:sz w:val="24"/>
        </w:rPr>
        <w:t>8 Информация относно оценката за държавна помощ</w:t>
      </w:r>
      <w:bookmarkEnd w:id="8"/>
    </w:p>
    <w:p w:rsidR="00C60538" w:rsidRDefault="00C60538" w:rsidP="00C60538">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C60538" w:rsidRDefault="00C60538" w:rsidP="00C60538">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C60538" w:rsidRDefault="00C60538" w:rsidP="00C60538">
      <w:pPr>
        <w:spacing w:before="20" w:after="20"/>
        <w:rPr>
          <w:color w:val="000000"/>
        </w:rPr>
      </w:pPr>
    </w:p>
    <w:p w:rsidR="00C60538" w:rsidRDefault="00C60538" w:rsidP="00C60538">
      <w:pPr>
        <w:pStyle w:val="Heading5"/>
        <w:spacing w:before="20" w:after="20"/>
        <w:rPr>
          <w:b w:val="0"/>
          <w:i w:val="0"/>
          <w:color w:val="000000"/>
          <w:sz w:val="24"/>
        </w:rPr>
      </w:pPr>
      <w:bookmarkStart w:id="9" w:name="_Toc256001520"/>
      <w:r>
        <w:rPr>
          <w:b w:val="0"/>
          <w:i w:val="0"/>
          <w:noProof/>
          <w:color w:val="000000"/>
          <w:sz w:val="24"/>
        </w:rPr>
        <w:lastRenderedPageBreak/>
        <w:t>9 Допълнителни въпроси/информация за вида на интервенцията</w:t>
      </w:r>
      <w:bookmarkEnd w:id="9"/>
    </w:p>
    <w:p w:rsidR="00C60538" w:rsidRDefault="00C60538" w:rsidP="00C60538">
      <w:pPr>
        <w:spacing w:before="20" w:after="20"/>
        <w:rPr>
          <w:color w:val="000000"/>
        </w:rPr>
      </w:pPr>
      <w:r>
        <w:rPr>
          <w:noProof/>
          <w:color w:val="000000"/>
        </w:rPr>
        <w:t>Неприложимо</w:t>
      </w:r>
    </w:p>
    <w:p w:rsidR="00C60538" w:rsidRDefault="00C60538" w:rsidP="00C60538">
      <w:pPr>
        <w:spacing w:before="20" w:after="20"/>
        <w:rPr>
          <w:color w:val="000000"/>
        </w:rPr>
      </w:pPr>
    </w:p>
    <w:p w:rsidR="00C60538" w:rsidRDefault="00C60538" w:rsidP="00C60538">
      <w:pPr>
        <w:pStyle w:val="Heading5"/>
        <w:spacing w:before="20" w:after="20"/>
        <w:rPr>
          <w:b w:val="0"/>
          <w:i w:val="0"/>
          <w:color w:val="000000"/>
          <w:sz w:val="24"/>
        </w:rPr>
      </w:pPr>
      <w:bookmarkStart w:id="10" w:name="_Toc256001521"/>
      <w:r>
        <w:rPr>
          <w:b w:val="0"/>
          <w:i w:val="0"/>
          <w:noProof/>
          <w:color w:val="000000"/>
          <w:sz w:val="24"/>
        </w:rPr>
        <w:t>10 Съответствие с правилата на СТО</w:t>
      </w:r>
      <w:bookmarkEnd w:id="10"/>
    </w:p>
    <w:p w:rsidR="00C60538" w:rsidRDefault="00C60538" w:rsidP="00C60538">
      <w:pPr>
        <w:spacing w:before="20" w:after="20"/>
        <w:rPr>
          <w:color w:val="000000"/>
        </w:rPr>
      </w:pPr>
      <w:r>
        <w:rPr>
          <w:noProof/>
          <w:color w:val="000000"/>
        </w:rPr>
        <w:t>Кехлибарена кутия</w:t>
      </w:r>
    </w:p>
    <w:p w:rsidR="00C60538" w:rsidRDefault="00C60538" w:rsidP="00C60538">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C60538" w:rsidTr="00376C4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60538" w:rsidRDefault="00C60538" w:rsidP="00376C49">
            <w:pPr>
              <w:spacing w:before="40" w:after="40"/>
            </w:pPr>
            <w:r>
              <w:rPr>
                <w:noProof/>
              </w:rPr>
              <w:t>Не приложимо - Интервенцията не е включена в приложение II на Регламент (ЕС) 2021/2115</w:t>
            </w:r>
          </w:p>
        </w:tc>
      </w:tr>
    </w:tbl>
    <w:p w:rsidR="00C60538" w:rsidRDefault="00C60538" w:rsidP="00C60538">
      <w:pPr>
        <w:pStyle w:val="Heading5"/>
        <w:spacing w:before="20" w:after="20"/>
        <w:rPr>
          <w:b w:val="0"/>
          <w:i w:val="0"/>
          <w:color w:val="000000"/>
          <w:sz w:val="24"/>
        </w:rPr>
      </w:pPr>
      <w:bookmarkStart w:id="11" w:name="_Toc256001522"/>
      <w:r>
        <w:rPr>
          <w:b w:val="0"/>
          <w:i w:val="0"/>
          <w:noProof/>
          <w:color w:val="000000"/>
          <w:sz w:val="24"/>
        </w:rPr>
        <w:t>11 Процентно участие, приложимо за тази интервенция</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249"/>
        <w:gridCol w:w="1872"/>
        <w:gridCol w:w="1881"/>
        <w:gridCol w:w="1957"/>
      </w:tblGrid>
      <w:tr w:rsidR="00C60538" w:rsidTr="00376C49">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60538" w:rsidRDefault="00C60538" w:rsidP="00376C49">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60538" w:rsidRDefault="00C60538" w:rsidP="00376C49">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60538" w:rsidRDefault="00C60538" w:rsidP="00376C49">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60538" w:rsidRDefault="00C60538" w:rsidP="00376C49">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60538" w:rsidRDefault="00C60538" w:rsidP="00376C49">
            <w:pPr>
              <w:spacing w:before="20" w:after="20"/>
              <w:rPr>
                <w:color w:val="000000"/>
                <w:sz w:val="20"/>
              </w:rPr>
            </w:pPr>
            <w:r>
              <w:rPr>
                <w:b/>
                <w:noProof/>
                <w:color w:val="000000"/>
                <w:sz w:val="20"/>
              </w:rPr>
              <w:t>Максимална ставка</w:t>
            </w:r>
          </w:p>
        </w:tc>
      </w:tr>
      <w:tr w:rsidR="00C60538" w:rsidTr="00376C49">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60538" w:rsidRDefault="00C60538" w:rsidP="00376C49">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60538" w:rsidRDefault="00C60538" w:rsidP="00376C49">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60538" w:rsidRDefault="00C60538" w:rsidP="00376C4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60538" w:rsidRDefault="00C60538" w:rsidP="00376C49">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60538" w:rsidRDefault="00C60538" w:rsidP="00376C49">
            <w:pPr>
              <w:spacing w:before="20" w:after="20"/>
              <w:jc w:val="right"/>
              <w:rPr>
                <w:color w:val="000000"/>
                <w:sz w:val="20"/>
              </w:rPr>
            </w:pPr>
            <w:r>
              <w:rPr>
                <w:noProof/>
                <w:color w:val="000000"/>
                <w:sz w:val="20"/>
              </w:rPr>
              <w:t>85,00%</w:t>
            </w:r>
          </w:p>
        </w:tc>
      </w:tr>
    </w:tbl>
    <w:p w:rsidR="00C60538" w:rsidRDefault="00C60538" w:rsidP="00C60538">
      <w:pPr>
        <w:spacing w:before="20" w:after="20"/>
        <w:rPr>
          <w:color w:val="000000"/>
        </w:rPr>
        <w:sectPr w:rsidR="00C60538">
          <w:pgSz w:w="11906" w:h="16838"/>
          <w:pgMar w:top="720" w:right="720" w:bottom="864" w:left="936" w:header="288" w:footer="72" w:gutter="0"/>
          <w:cols w:space="720"/>
          <w:noEndnote/>
          <w:docGrid w:linePitch="360"/>
        </w:sectPr>
      </w:pPr>
    </w:p>
    <w:p w:rsidR="00E668D1" w:rsidRDefault="00E668D1">
      <w:bookmarkStart w:id="12" w:name="_GoBack"/>
      <w:bookmarkEnd w:id="12"/>
    </w:p>
    <w:sectPr w:rsidR="00E668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538"/>
    <w:rsid w:val="002F3548"/>
    <w:rsid w:val="002F7A9C"/>
    <w:rsid w:val="009569B5"/>
    <w:rsid w:val="00A17ECE"/>
    <w:rsid w:val="00C60538"/>
    <w:rsid w:val="00E668D1"/>
    <w:rsid w:val="00EF5C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53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C60538"/>
    <w:pPr>
      <w:keepNext/>
      <w:spacing w:before="240" w:after="60"/>
      <w:outlineLvl w:val="3"/>
    </w:pPr>
    <w:rPr>
      <w:b/>
      <w:bCs/>
      <w:sz w:val="28"/>
      <w:szCs w:val="28"/>
    </w:rPr>
  </w:style>
  <w:style w:type="paragraph" w:styleId="Heading5">
    <w:name w:val="heading 5"/>
    <w:basedOn w:val="Normal"/>
    <w:next w:val="Normal"/>
    <w:link w:val="Heading5Char"/>
    <w:qFormat/>
    <w:rsid w:val="00C6053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60538"/>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C60538"/>
    <w:rPr>
      <w:rFonts w:ascii="Times New Roman" w:eastAsia="Times New Roman" w:hAnsi="Times New Roman" w:cs="Times New Roman"/>
      <w:b/>
      <w:bCs/>
      <w:i/>
      <w:iCs/>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53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C60538"/>
    <w:pPr>
      <w:keepNext/>
      <w:spacing w:before="240" w:after="60"/>
      <w:outlineLvl w:val="3"/>
    </w:pPr>
    <w:rPr>
      <w:b/>
      <w:bCs/>
      <w:sz w:val="28"/>
      <w:szCs w:val="28"/>
    </w:rPr>
  </w:style>
  <w:style w:type="paragraph" w:styleId="Heading5">
    <w:name w:val="heading 5"/>
    <w:basedOn w:val="Normal"/>
    <w:next w:val="Normal"/>
    <w:link w:val="Heading5Char"/>
    <w:qFormat/>
    <w:rsid w:val="00C6053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60538"/>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C60538"/>
    <w:rPr>
      <w:rFonts w:ascii="Times New Roman" w:eastAsia="Times New Roman" w:hAnsi="Times New Roman" w:cs="Times New Roman"/>
      <w:b/>
      <w:bCs/>
      <w:i/>
      <w:iCs/>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2071</Words>
  <Characters>11811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MZH1</dc:creator>
  <cp:keywords/>
  <dc:description/>
  <cp:lastModifiedBy>Elena A. Ivanova</cp:lastModifiedBy>
  <cp:revision>4</cp:revision>
  <dcterms:created xsi:type="dcterms:W3CDTF">2024-08-21T13:51:00Z</dcterms:created>
  <dcterms:modified xsi:type="dcterms:W3CDTF">2024-08-22T09:45:00Z</dcterms:modified>
</cp:coreProperties>
</file>