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C0D" w:rsidRDefault="00C12C0D" w:rsidP="00C12C0D">
      <w:pPr>
        <w:pStyle w:val="Heading4"/>
      </w:pPr>
      <w:bookmarkStart w:id="0" w:name="_Toc256001520"/>
      <w:bookmarkStart w:id="1" w:name="_GoBack"/>
      <w:r>
        <w:rPr>
          <w:noProof/>
        </w:rPr>
        <w:t>II.А.5. - Опазване на застрашени от изчезване местни сортове, важни за селското стопанство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C12C0D"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bookmarkEnd w:id="1"/>
          <w:p w:rsidR="00C12C0D" w:rsidRDefault="00C12C0D" w:rsidP="00B01EBC">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II.А.5.</w:t>
            </w:r>
          </w:p>
        </w:tc>
      </w:tr>
      <w:tr w:rsidR="00C12C0D"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Опазване на застрашени от изчезване местни сортове, важни за селското стопанство</w:t>
            </w:r>
          </w:p>
        </w:tc>
      </w:tr>
      <w:tr w:rsidR="00C12C0D"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C12C0D"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O.19. Брой на дейностите или единиците за подпомагане на генетични ресурси</w:t>
            </w:r>
          </w:p>
        </w:tc>
      </w:tr>
      <w:tr w:rsidR="00C12C0D"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Приемственост между поколенията: Не</w:t>
            </w:r>
          </w:p>
          <w:p w:rsidR="00C12C0D" w:rsidRDefault="00C12C0D" w:rsidP="00B01EBC">
            <w:pPr>
              <w:rPr>
                <w:color w:val="000000"/>
                <w:sz w:val="20"/>
              </w:rPr>
            </w:pPr>
            <w:r>
              <w:rPr>
                <w:noProof/>
                <w:color w:val="000000"/>
                <w:sz w:val="20"/>
              </w:rPr>
              <w:t>Околна среда: Да</w:t>
            </w:r>
          </w:p>
          <w:p w:rsidR="00C12C0D" w:rsidRDefault="00C12C0D" w:rsidP="00B01EBC">
            <w:pPr>
              <w:rPr>
                <w:color w:val="000000"/>
                <w:sz w:val="20"/>
              </w:rPr>
            </w:pPr>
            <w:r>
              <w:rPr>
                <w:noProof/>
                <w:color w:val="000000"/>
                <w:sz w:val="20"/>
              </w:rPr>
              <w:t>Система за облекчения за екосхеми: Не</w:t>
            </w:r>
          </w:p>
          <w:p w:rsidR="00C12C0D" w:rsidRDefault="00C12C0D" w:rsidP="00B01EBC">
            <w:pPr>
              <w:rPr>
                <w:color w:val="000000"/>
                <w:sz w:val="20"/>
              </w:rPr>
            </w:pPr>
            <w:r>
              <w:rPr>
                <w:noProof/>
                <w:color w:val="000000"/>
                <w:sz w:val="20"/>
              </w:rPr>
              <w:t>Подход LEADER: Не</w:t>
            </w:r>
          </w:p>
        </w:tc>
      </w:tr>
    </w:tbl>
    <w:p w:rsidR="00C12C0D" w:rsidRDefault="00C12C0D" w:rsidP="00C12C0D">
      <w:pPr>
        <w:pStyle w:val="Heading5"/>
        <w:rPr>
          <w:b w:val="0"/>
          <w:color w:val="000000"/>
          <w:sz w:val="24"/>
        </w:rPr>
      </w:pPr>
      <w:bookmarkStart w:id="2" w:name="_Toc256001521"/>
      <w:r>
        <w:rPr>
          <w:b w:val="0"/>
          <w:noProof/>
          <w:color w:val="000000"/>
          <w:sz w:val="24"/>
        </w:rPr>
        <w:t>1 Териториално приложение и ако е уместно, регионално измерение</w:t>
      </w:r>
      <w:bookmarkEnd w:id="2"/>
    </w:p>
    <w:p w:rsidR="00C12C0D" w:rsidRDefault="00C12C0D" w:rsidP="00C12C0D">
      <w:pPr>
        <w:rPr>
          <w:color w:val="000000"/>
          <w:sz w:val="0"/>
        </w:rPr>
      </w:pPr>
      <w:r>
        <w:rPr>
          <w:noProof/>
          <w:color w:val="000000"/>
        </w:rPr>
        <w:t xml:space="preserve">Териториално приложение: </w:t>
      </w:r>
      <w:r>
        <w:rPr>
          <w:b/>
          <w:noProof/>
          <w:color w:val="000000"/>
        </w:rPr>
        <w:t>Национално равнище</w:t>
      </w:r>
    </w:p>
    <w:p w:rsidR="00C12C0D" w:rsidRDefault="00C12C0D" w:rsidP="00C12C0D">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C12C0D" w:rsidTr="00B01EB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C12C0D" w:rsidRDefault="00C12C0D" w:rsidP="00B01EBC">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C12C0D" w:rsidRDefault="00C12C0D" w:rsidP="00B01EBC">
            <w:pPr>
              <w:rPr>
                <w:color w:val="000000"/>
                <w:sz w:val="20"/>
              </w:rPr>
            </w:pPr>
            <w:r>
              <w:rPr>
                <w:b/>
                <w:noProof/>
                <w:color w:val="000000"/>
                <w:sz w:val="20"/>
              </w:rPr>
              <w:t>Описание</w:t>
            </w:r>
          </w:p>
        </w:tc>
      </w:tr>
      <w:tr w:rsidR="00C12C0D"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12C0D" w:rsidRDefault="00C12C0D" w:rsidP="00B01EBC">
            <w:pPr>
              <w:rPr>
                <w:color w:val="000000"/>
                <w:sz w:val="20"/>
              </w:rPr>
            </w:pPr>
            <w:r>
              <w:rPr>
                <w:noProof/>
                <w:color w:val="000000"/>
                <w:sz w:val="20"/>
              </w:rPr>
              <w:t xml:space="preserve">България </w:t>
            </w:r>
          </w:p>
        </w:tc>
      </w:tr>
    </w:tbl>
    <w:p w:rsidR="00C12C0D" w:rsidRDefault="00C12C0D" w:rsidP="00C12C0D">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12C0D" w:rsidRDefault="00C12C0D" w:rsidP="00B01EBC">
            <w:pPr>
              <w:spacing w:before="40" w:after="40"/>
            </w:pPr>
            <w:r>
              <w:rPr>
                <w:rStyle w:val="ql-cursor"/>
                <w:rFonts w:ascii="Courier New" w:eastAsia="Courier New" w:hAnsi="Courier New" w:cs="Courier New"/>
                <w:noProof/>
              </w:rPr>
              <w:t>﻿</w:t>
            </w:r>
            <w:r>
              <w:rPr>
                <w:noProof/>
              </w:rPr>
              <w:t>Национален</w:t>
            </w:r>
          </w:p>
        </w:tc>
      </w:tr>
    </w:tbl>
    <w:p w:rsidR="00C12C0D" w:rsidRDefault="00C12C0D" w:rsidP="00C12C0D">
      <w:pPr>
        <w:pStyle w:val="Heading5"/>
        <w:spacing w:before="20" w:after="20"/>
        <w:rPr>
          <w:b w:val="0"/>
          <w:i w:val="0"/>
          <w:color w:val="000000"/>
          <w:sz w:val="24"/>
        </w:rPr>
      </w:pPr>
      <w:bookmarkStart w:id="3" w:name="_Toc256001522"/>
      <w:r>
        <w:rPr>
          <w:b w:val="0"/>
          <w:i w:val="0"/>
          <w:noProof/>
          <w:color w:val="000000"/>
          <w:sz w:val="24"/>
        </w:rPr>
        <w:t>2 Свързани специфични цели, междусекторна цел и уместни секторни цели</w:t>
      </w:r>
      <w:bookmarkEnd w:id="3"/>
    </w:p>
    <w:p w:rsidR="00C12C0D" w:rsidRDefault="00C12C0D" w:rsidP="00C12C0D">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C12C0D"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12C0D" w:rsidRDefault="00C12C0D" w:rsidP="00B01EBC">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C12C0D"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C12C0D" w:rsidRDefault="00C12C0D" w:rsidP="00C12C0D">
      <w:pPr>
        <w:spacing w:before="20" w:after="20"/>
        <w:rPr>
          <w:color w:val="000000"/>
          <w:sz w:val="0"/>
        </w:rPr>
      </w:pPr>
    </w:p>
    <w:p w:rsidR="00C12C0D" w:rsidRDefault="00C12C0D" w:rsidP="00C12C0D">
      <w:pPr>
        <w:pStyle w:val="Heading5"/>
        <w:spacing w:before="20" w:after="20"/>
        <w:rPr>
          <w:b w:val="0"/>
          <w:i w:val="0"/>
          <w:color w:val="000000"/>
          <w:sz w:val="24"/>
        </w:rPr>
      </w:pPr>
      <w:bookmarkStart w:id="4" w:name="_Toc256001523"/>
      <w:r>
        <w:rPr>
          <w:b w:val="0"/>
          <w:i w:val="0"/>
          <w:noProof/>
          <w:color w:val="000000"/>
          <w:sz w:val="24"/>
        </w:rPr>
        <w:t>3 Потребности, обхванати от интервенцията</w:t>
      </w:r>
      <w:bookmarkEnd w:id="4"/>
    </w:p>
    <w:p w:rsidR="00C12C0D" w:rsidRDefault="00C12C0D" w:rsidP="00C12C0D">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361"/>
        <w:gridCol w:w="2362"/>
        <w:gridCol w:w="2362"/>
      </w:tblGrid>
      <w:tr w:rsidR="00C12C0D"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12C0D" w:rsidRDefault="00C12C0D" w:rsidP="00B01EBC">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12C0D" w:rsidRDefault="00C12C0D" w:rsidP="00B01EBC">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12C0D" w:rsidRDefault="00C12C0D" w:rsidP="00B01EBC">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12C0D" w:rsidRDefault="00C12C0D" w:rsidP="00B01EBC">
            <w:pPr>
              <w:spacing w:before="20" w:after="20"/>
              <w:rPr>
                <w:color w:val="000000"/>
                <w:sz w:val="20"/>
              </w:rPr>
            </w:pPr>
            <w:r>
              <w:rPr>
                <w:b/>
                <w:noProof/>
                <w:color w:val="000000"/>
                <w:sz w:val="20"/>
              </w:rPr>
              <w:t>Разгледана в стратегически план по ОСП</w:t>
            </w:r>
          </w:p>
        </w:tc>
      </w:tr>
      <w:tr w:rsidR="00C12C0D"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20" w:after="20"/>
              <w:rPr>
                <w:color w:val="000000"/>
                <w:sz w:val="20"/>
              </w:rPr>
            </w:pPr>
            <w:r>
              <w:rPr>
                <w:noProof/>
                <w:color w:val="000000"/>
                <w:sz w:val="20"/>
              </w:rPr>
              <w:t>П.6.7.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20" w:after="20"/>
              <w:rPr>
                <w:color w:val="000000"/>
                <w:sz w:val="20"/>
              </w:rPr>
            </w:pPr>
            <w:r>
              <w:rPr>
                <w:noProof/>
                <w:color w:val="000000"/>
                <w:sz w:val="20"/>
              </w:rPr>
              <w:t xml:space="preserve">Запазване и подобряване на генетичното разнообразие в животновъдството и растениевъдството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20" w:after="20"/>
              <w:rPr>
                <w:color w:val="000000"/>
                <w:sz w:val="20"/>
              </w:rPr>
            </w:pPr>
            <w:r>
              <w:rPr>
                <w:noProof/>
                <w:color w:val="000000"/>
                <w:sz w:val="20"/>
              </w:rPr>
              <w:t>Да</w:t>
            </w:r>
          </w:p>
        </w:tc>
      </w:tr>
    </w:tbl>
    <w:p w:rsidR="00C12C0D" w:rsidRDefault="00C12C0D" w:rsidP="00C12C0D">
      <w:pPr>
        <w:pStyle w:val="Heading5"/>
        <w:spacing w:before="20" w:after="20"/>
        <w:rPr>
          <w:b w:val="0"/>
          <w:i w:val="0"/>
          <w:color w:val="000000"/>
          <w:sz w:val="24"/>
        </w:rPr>
      </w:pPr>
      <w:bookmarkStart w:id="5" w:name="_Toc256001524"/>
      <w:r>
        <w:rPr>
          <w:b w:val="0"/>
          <w:i w:val="0"/>
          <w:noProof/>
          <w:color w:val="000000"/>
          <w:sz w:val="24"/>
        </w:rPr>
        <w:t>4 Показател(и) за резултатите</w:t>
      </w:r>
      <w:bookmarkEnd w:id="5"/>
    </w:p>
    <w:p w:rsidR="00C12C0D" w:rsidRDefault="00C12C0D" w:rsidP="00C12C0D">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C12C0D"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12C0D" w:rsidRDefault="00C12C0D" w:rsidP="00B01EBC">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C12C0D"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bl>
    <w:p w:rsidR="00C12C0D" w:rsidRDefault="00C12C0D" w:rsidP="00C12C0D">
      <w:pPr>
        <w:pStyle w:val="Heading5"/>
        <w:spacing w:before="20" w:after="20"/>
        <w:rPr>
          <w:b w:val="0"/>
          <w:i w:val="0"/>
          <w:color w:val="000000"/>
          <w:sz w:val="24"/>
        </w:rPr>
      </w:pPr>
      <w:bookmarkStart w:id="6" w:name="_Toc256001525"/>
      <w:r>
        <w:rPr>
          <w:b w:val="0"/>
          <w:i w:val="0"/>
          <w:noProof/>
          <w:color w:val="000000"/>
          <w:sz w:val="24"/>
        </w:rPr>
        <w:t>5 Конкретен план, изисквания и условия за допустимост на интервенцията</w:t>
      </w:r>
      <w:bookmarkEnd w:id="6"/>
    </w:p>
    <w:p w:rsidR="00C12C0D" w:rsidRDefault="00C12C0D" w:rsidP="00C12C0D">
      <w:pPr>
        <w:spacing w:before="20" w:after="20"/>
        <w:rPr>
          <w:color w:val="000000"/>
        </w:rPr>
      </w:pPr>
      <w:r>
        <w:rPr>
          <w:noProof/>
          <w:color w:val="000000"/>
        </w:rPr>
        <w:t xml:space="preserve">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w:t>
      </w:r>
      <w:r>
        <w:rPr>
          <w:noProof/>
          <w:color w:val="000000"/>
        </w:rPr>
        <w:lastRenderedPageBreak/>
        <w:t>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12C0D" w:rsidRDefault="00C12C0D" w:rsidP="00B01EBC">
            <w:pPr>
              <w:spacing w:before="40" w:after="40"/>
              <w:jc w:val="both"/>
            </w:pPr>
            <w:r>
              <w:rPr>
                <w:noProof/>
              </w:rPr>
              <w:t>Основната цел на мярката е да се увеличи отглеждането застрашените от изчезване местни сортове растения. Ангажимента по управляването главно е свързан с инициативи в областта на околната среда и климата и биоразнообразието. Отглеждането и съхранението на застрашените от изчезване местни сортове изисква по-високи разходи, но генерира по-ниска възвръщаемост в сравнение с т.нар. конвенционални сортове. Поради тази причина те не са приоритетни за отглеждане и са застъпени основно в земеделски стопанства със специфична ориентация и специализация и научно-изследователските институти.Специфичното при всички видове култури е, че при тях добивите са значително по-ниски в сравнение с конвенционалните сортове. Интервенцията ще допринася за смекчаване на изменението на климата, като в контекста на все по-застрашаващите ни климатични промени, тези сортове са в пъти по – уязвими от други култури и сортове. В тази връзка е от особена важност отглеждането и съхранението им.</w:t>
            </w:r>
          </w:p>
          <w:p w:rsidR="00C12C0D" w:rsidRDefault="00C12C0D" w:rsidP="00B01EBC">
            <w:pPr>
              <w:spacing w:before="40" w:after="40"/>
              <w:jc w:val="both"/>
            </w:pPr>
            <w:r>
              <w:rPr>
                <w:noProof/>
              </w:rPr>
              <w:t>В България до началото на новото хилядолетие се е водила активна селекционна дейност и са запазени много разнообрази сортове, които са доказали своята устойчивост през годините. Тези сортове са били много популярни сред земеделските стопани, но поради икономически причини селекционерите не могат да предоставят посевен и посадъчен материал от тях.</w:t>
            </w:r>
          </w:p>
          <w:p w:rsidR="00C12C0D" w:rsidRDefault="00C12C0D" w:rsidP="00B01EBC">
            <w:pPr>
              <w:spacing w:before="40" w:after="40"/>
              <w:jc w:val="both"/>
            </w:pPr>
            <w:r>
              <w:rPr>
                <w:noProof/>
              </w:rPr>
              <w:t xml:space="preserve">Застрашените от изчезване местни сортове растения са важна културна ценност, която характеризира селските райони. Старите местни сортове представляват, ценен генетичен потенциал за бъдещ напредък. В контекста на все по застрашаващите ни климатични промени, тези сортове са от съществено значение, поради тяхната доказана адаптивност. </w:t>
            </w:r>
          </w:p>
          <w:p w:rsidR="00C12C0D" w:rsidRDefault="00C12C0D" w:rsidP="00B01EBC">
            <w:pPr>
              <w:spacing w:before="40" w:after="40"/>
              <w:jc w:val="both"/>
            </w:pPr>
            <w:r>
              <w:rPr>
                <w:noProof/>
              </w:rPr>
              <w:t xml:space="preserve">Прилагането на идентична дейност в мярка 10 „Агроекология и климат“ от ПРСР 2014-2020 г. оказа благоприятно въздействие и насърчи земеделските стопани да отглеждат местни сортове. С увеличаването на площите, върху които се отглеждат такива сортове се цели и да се разнообрази еднообразното сортово присъствие на пазара, което се налага от икономически по изгодните сортове растения, чието производство е по рентабилно. </w:t>
            </w:r>
          </w:p>
          <w:p w:rsidR="00C12C0D" w:rsidRDefault="00C12C0D" w:rsidP="00B01EBC">
            <w:pPr>
              <w:spacing w:before="40" w:after="40"/>
              <w:jc w:val="both"/>
            </w:pPr>
            <w:r>
              <w:rPr>
                <w:noProof/>
              </w:rPr>
              <w:t>В случай на изменения в съответните задължителни стандарти, изисквания или задължения, посочени в чл. 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C12C0D" w:rsidRDefault="00C12C0D" w:rsidP="00B01EBC">
            <w:pPr>
              <w:spacing w:before="40" w:after="40"/>
              <w:jc w:val="both"/>
            </w:pPr>
            <w:r>
              <w:rPr>
                <w:noProof/>
              </w:rPr>
              <w:t>Интервенцията е в съответствие с разпоредбите на член 45 от Регламент (ЕС) 2022/126.</w:t>
            </w:r>
          </w:p>
          <w:p w:rsidR="00C12C0D" w:rsidRDefault="00C12C0D" w:rsidP="00B01EBC">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C12C0D" w:rsidRDefault="00C12C0D" w:rsidP="00C12C0D">
      <w:pPr>
        <w:spacing w:before="20" w:after="20"/>
        <w:rPr>
          <w:color w:val="000000"/>
        </w:rPr>
      </w:pPr>
      <w:r>
        <w:rPr>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12C0D" w:rsidRDefault="00C12C0D" w:rsidP="00B01EBC">
            <w:pPr>
              <w:spacing w:before="40" w:after="40"/>
            </w:pPr>
            <w:r>
              <w:rPr>
                <w:noProof/>
              </w:rPr>
              <w:t>Земеделски стопани, които отговарят на изискванията за „активни земеделски стопани“.</w:t>
            </w:r>
          </w:p>
          <w:p w:rsidR="00C12C0D" w:rsidRDefault="00C12C0D" w:rsidP="00B01EBC">
            <w:pPr>
              <w:spacing w:before="40" w:after="40"/>
            </w:pPr>
            <w:r>
              <w:rPr>
                <w:noProof/>
              </w:rPr>
              <w:t>Земеделски стопани, които са регистрирани в ИСАК.</w:t>
            </w:r>
          </w:p>
          <w:p w:rsidR="00C12C0D" w:rsidRDefault="00C12C0D" w:rsidP="00B01EBC">
            <w:pPr>
              <w:spacing w:before="40" w:after="40"/>
            </w:pPr>
            <w:r>
              <w:rPr>
                <w:noProof/>
              </w:rPr>
              <w:t xml:space="preserve">Научни и образователни организации, които да кандидатстват с цел поддържане на </w:t>
            </w:r>
            <w:r>
              <w:rPr>
                <w:noProof/>
              </w:rPr>
              <w:lastRenderedPageBreak/>
              <w:t>Научния национален генофонд.</w:t>
            </w:r>
          </w:p>
          <w:p w:rsidR="00C12C0D" w:rsidRDefault="00C12C0D" w:rsidP="00B01EBC">
            <w:pPr>
              <w:spacing w:before="40" w:after="40"/>
            </w:pPr>
            <w:r>
              <w:rPr>
                <w:noProof/>
              </w:rPr>
              <w:t xml:space="preserve">Земеделски стопани, които стопанисват земеделски </w:t>
            </w:r>
            <w:r w:rsidRPr="00F122F6">
              <w:rPr>
                <w:noProof/>
              </w:rPr>
              <w:t>площи от минимум 0,5 ха.</w:t>
            </w:r>
          </w:p>
          <w:p w:rsidR="00C12C0D" w:rsidRDefault="00C12C0D" w:rsidP="00B01EBC">
            <w:pPr>
              <w:spacing w:before="40" w:after="40"/>
            </w:pPr>
            <w:r>
              <w:rPr>
                <w:noProof/>
              </w:rPr>
              <w:t>Максимална площ за подпомагане до 50 ха, с изключение научни и образователни организации.</w:t>
            </w:r>
          </w:p>
          <w:p w:rsidR="00C12C0D" w:rsidRDefault="00C12C0D" w:rsidP="00B01EBC">
            <w:pPr>
              <w:spacing w:before="40" w:after="40"/>
            </w:pPr>
            <w:r>
              <w:rPr>
                <w:noProof/>
              </w:rPr>
              <w:t>Плащането е на хектар допустима земеделска земя, обхваната от задълженията за извършване на земеделска дейност в съответствие с чл. 4, параграф 2, буква „а“ от Регламент (ЕС) 2021/2115.</w:t>
            </w:r>
          </w:p>
          <w:p w:rsidR="00C12C0D" w:rsidRDefault="00C12C0D" w:rsidP="00B01EBC">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C12C0D" w:rsidRDefault="00C12C0D" w:rsidP="00B01EBC">
            <w:pPr>
              <w:spacing w:before="40" w:after="40"/>
            </w:pPr>
            <w:r>
              <w:rPr>
                <w:noProof/>
              </w:rPr>
              <w:t>Дейностите могат да не се прилагат върху едни и същи площи за периода на изпълнение на агроекологичния ангажимент</w:t>
            </w:r>
            <w:r w:rsidRPr="00F122F6">
              <w:rPr>
                <w:noProof/>
              </w:rPr>
              <w:t xml:space="preserve">. </w:t>
            </w:r>
            <w:r w:rsidRPr="0021699B">
              <w:rPr>
                <w:strike/>
                <w:noProof/>
                <w:color w:val="FF0000"/>
              </w:rPr>
              <w:t>Ангажименът може да бъде разширяван с до 10 % от размера на площта, с която е поет, но с не повече от 2 ха.</w:t>
            </w:r>
            <w:r w:rsidRPr="0021699B">
              <w:rPr>
                <w:noProof/>
                <w:color w:val="FF0000"/>
              </w:rPr>
              <w:t xml:space="preserve"> </w:t>
            </w:r>
          </w:p>
          <w:p w:rsidR="00C12C0D" w:rsidRDefault="00C12C0D" w:rsidP="00B01EBC">
            <w:pPr>
              <w:spacing w:before="40" w:after="40"/>
            </w:pPr>
            <w:r>
              <w:rPr>
                <w:noProof/>
              </w:rPr>
              <w:t>Управляващият орган може да разработи специфични изисквания и за друг тип кандидати, а именно: Научни и образователни организации, които да кандидатстват с цел поддържане на Научния национален генофонд.</w:t>
            </w:r>
          </w:p>
          <w:p w:rsidR="00C12C0D" w:rsidRDefault="00C12C0D" w:rsidP="00B01EBC">
            <w:pPr>
              <w:spacing w:before="40" w:after="40"/>
            </w:pPr>
            <w:r>
              <w:rPr>
                <w:noProof/>
              </w:rPr>
              <w:t xml:space="preserve">Земеделските стопани </w:t>
            </w:r>
            <w:r w:rsidR="00D951F6" w:rsidRPr="00581057">
              <w:rPr>
                <w:noProof/>
                <w:color w:val="FF0000"/>
              </w:rPr>
              <w:t xml:space="preserve">или упълномощено </w:t>
            </w:r>
            <w:r w:rsidR="00D951F6" w:rsidRPr="00581057">
              <w:rPr>
                <w:noProof/>
                <w:color w:val="FF0000"/>
                <w:lang w:val="bg-BG"/>
              </w:rPr>
              <w:t xml:space="preserve">от тях </w:t>
            </w:r>
            <w:r w:rsidR="00D951F6" w:rsidRPr="00581057">
              <w:rPr>
                <w:noProof/>
                <w:color w:val="FF0000"/>
              </w:rPr>
              <w:t xml:space="preserve">лице </w:t>
            </w:r>
            <w:r>
              <w:rPr>
                <w:noProof/>
              </w:rPr>
              <w:t>трябва да преминат обучение или да докажат опит за прилагането на поетите от тях ангажименти в предходен програмен период.</w:t>
            </w:r>
          </w:p>
        </w:tc>
      </w:tr>
    </w:tbl>
    <w:p w:rsidR="00C12C0D" w:rsidRDefault="00C12C0D" w:rsidP="00C12C0D">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C12C0D" w:rsidRDefault="00C12C0D" w:rsidP="00B01EBC">
            <w:pPr>
              <w:spacing w:before="40" w:after="40"/>
            </w:pPr>
            <w:r>
              <w:rPr>
                <w:noProof/>
              </w:rPr>
              <w:t>Бенефициентите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C12C0D" w:rsidRDefault="00C12C0D" w:rsidP="00B01EBC">
            <w:pPr>
              <w:spacing w:before="40" w:after="40"/>
              <w:jc w:val="both"/>
            </w:pPr>
            <w:r>
              <w:rPr>
                <w:noProof/>
              </w:rPr>
              <w:t>Използват се култури и сортове, включени в Списък на застрашените от изчезване местни сортове, важни за селското стопанство, предоставен от ССА. След окончателното изготвяне на списъка от компетентните в България научни органи (ССА и ИАСАС), същият ще бъде оповестен на кандидатите и ще бъде включен в националното законодателство.</w:t>
            </w:r>
          </w:p>
          <w:p w:rsidR="00C12C0D" w:rsidRDefault="00C12C0D" w:rsidP="00B01EBC">
            <w:pPr>
              <w:spacing w:before="40" w:after="40"/>
            </w:pPr>
            <w:r>
              <w:rPr>
                <w:noProof/>
              </w:rPr>
              <w:t>Бенефициентите следва да притежават и предоставят официален документ за закупуване на посевния и посадъчен материал, използван за засаждане (при едногодишни култури се предоставя за стопанската година).</w:t>
            </w:r>
          </w:p>
        </w:tc>
      </w:tr>
    </w:tbl>
    <w:p w:rsidR="00C12C0D" w:rsidRDefault="00C12C0D" w:rsidP="00C12C0D">
      <w:pPr>
        <w:pStyle w:val="Heading5"/>
        <w:spacing w:before="20" w:after="20"/>
        <w:rPr>
          <w:b w:val="0"/>
          <w:i w:val="0"/>
          <w:color w:val="000000"/>
          <w:sz w:val="24"/>
        </w:rPr>
      </w:pPr>
      <w:bookmarkStart w:id="7" w:name="_Toc256001526"/>
      <w:r>
        <w:rPr>
          <w:b w:val="0"/>
          <w:i w:val="0"/>
          <w:noProof/>
          <w:color w:val="000000"/>
          <w:sz w:val="24"/>
        </w:rPr>
        <w:t>6 Определяне на уместни базови характеристики</w:t>
      </w:r>
      <w:bookmarkEnd w:id="7"/>
    </w:p>
    <w:p w:rsidR="00C12C0D" w:rsidRDefault="00C12C0D" w:rsidP="00C12C0D">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C12C0D" w:rsidRDefault="00C12C0D" w:rsidP="00C12C0D">
      <w:pPr>
        <w:spacing w:before="20" w:after="20"/>
        <w:rPr>
          <w:color w:val="000000"/>
        </w:rPr>
      </w:pPr>
      <w:r>
        <w:rPr>
          <w:noProof/>
          <w:color w:val="000000"/>
        </w:rPr>
        <w:t>Списък на приложимите стандарти за ДЗЕС и ЗИУ</w:t>
      </w:r>
    </w:p>
    <w:p w:rsidR="00C12C0D" w:rsidRDefault="00C12C0D" w:rsidP="00C12C0D">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C12C0D"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12C0D" w:rsidRDefault="00C12C0D" w:rsidP="00B01EBC">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C12C0D" w:rsidRDefault="00C12C0D" w:rsidP="00B01EBC">
            <w:pPr>
              <w:spacing w:before="20" w:after="20"/>
              <w:rPr>
                <w:color w:val="000000"/>
                <w:sz w:val="20"/>
              </w:rPr>
            </w:pPr>
            <w:r>
              <w:rPr>
                <w:b/>
                <w:noProof/>
                <w:color w:val="000000"/>
                <w:sz w:val="20"/>
              </w:rPr>
              <w:t>Описание</w:t>
            </w:r>
          </w:p>
        </w:tc>
      </w:tr>
      <w:tr w:rsidR="00C12C0D"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20" w:after="20"/>
              <w:rPr>
                <w:color w:val="000000"/>
                <w:sz w:val="20"/>
              </w:rPr>
            </w:pPr>
            <w:r>
              <w:rPr>
                <w:noProof/>
                <w:color w:val="000000"/>
                <w:sz w:val="20"/>
              </w:rPr>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20" w:after="20"/>
              <w:rPr>
                <w:color w:val="000000"/>
                <w:sz w:val="20"/>
              </w:rPr>
            </w:pPr>
            <w:r>
              <w:rPr>
                <w:noProof/>
                <w:color w:val="000000"/>
                <w:sz w:val="20"/>
              </w:rPr>
              <w:t>Директива 91/676/ЕИО на Съвета от 12 декември 1991 г. за опазване на водите от замърсяване с нитрати от селскостопански източници: членове 4 и 5</w:t>
            </w:r>
          </w:p>
        </w:tc>
      </w:tr>
    </w:tbl>
    <w:p w:rsidR="00C12C0D" w:rsidRDefault="00C12C0D" w:rsidP="00C12C0D">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40" w:after="40"/>
            </w:pPr>
            <w:r>
              <w:rPr>
                <w:noProof/>
              </w:rPr>
              <w:t xml:space="preserve">В съответствие с разпоредбите на член 45 от Делегиран Регламент (ЕС) 2022/126 на </w:t>
            </w:r>
            <w:r>
              <w:rPr>
                <w:noProof/>
              </w:rPr>
              <w:lastRenderedPageBreak/>
              <w:t>Комисията от 7 декември 2021 година за допълнение на Регламент (ЕС) 2021/2115 на Европейския парламент и на Съвета</w:t>
            </w:r>
          </w:p>
        </w:tc>
      </w:tr>
    </w:tbl>
    <w:p w:rsidR="00C12C0D" w:rsidRDefault="00C12C0D" w:rsidP="00C12C0D">
      <w:pPr>
        <w:spacing w:before="20" w:after="20"/>
        <w:rPr>
          <w:color w:val="000000"/>
        </w:rPr>
      </w:pPr>
      <w:r>
        <w:rPr>
          <w:noProof/>
          <w:color w:val="000000"/>
        </w:rPr>
        <w:lastRenderedPageBreak/>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Pr="00DB7714" w:rsidRDefault="00C12C0D" w:rsidP="00DB7714">
            <w:pPr>
              <w:spacing w:before="40" w:after="40"/>
              <w:jc w:val="both"/>
              <w:rPr>
                <w:color w:val="FF0000"/>
                <w:lang w:val="bg-BG"/>
              </w:rPr>
            </w:pPr>
            <w:r w:rsidRPr="005565CD">
              <w:rPr>
                <w:noProof/>
                <w:color w:val="FF0000"/>
              </w:rPr>
              <w:t>При извършване на дейността земеделските стопани спазват приложимите изисквания</w:t>
            </w:r>
            <w:r w:rsidR="00DB7714">
              <w:rPr>
                <w:noProof/>
                <w:color w:val="FF0000"/>
                <w:lang w:val="bg-BG"/>
              </w:rPr>
              <w:t>,</w:t>
            </w:r>
            <w:r w:rsidR="005565CD" w:rsidRPr="005565CD">
              <w:rPr>
                <w:noProof/>
                <w:color w:val="FF0000"/>
                <w:lang w:val="bg-BG"/>
              </w:rPr>
              <w:t xml:space="preserve"> про</w:t>
            </w:r>
            <w:r w:rsidR="005565CD">
              <w:rPr>
                <w:noProof/>
                <w:color w:val="FF0000"/>
                <w:lang w:val="bg-BG"/>
              </w:rPr>
              <w:t>и</w:t>
            </w:r>
            <w:r w:rsidR="005565CD" w:rsidRPr="005565CD">
              <w:rPr>
                <w:noProof/>
                <w:color w:val="FF0000"/>
                <w:lang w:val="bg-BG"/>
              </w:rPr>
              <w:t>з</w:t>
            </w:r>
            <w:r w:rsidR="005565CD">
              <w:rPr>
                <w:noProof/>
                <w:color w:val="FF0000"/>
                <w:lang w:val="bg-BG"/>
              </w:rPr>
              <w:t xml:space="preserve">тичащи </w:t>
            </w:r>
            <w:r w:rsidR="00DB7714">
              <w:rPr>
                <w:noProof/>
                <w:color w:val="FF0000"/>
                <w:lang w:val="bg-BG"/>
              </w:rPr>
              <w:t xml:space="preserve">от </w:t>
            </w:r>
            <w:r w:rsidR="00DB7714" w:rsidRPr="002922B9">
              <w:rPr>
                <w:noProof/>
                <w:color w:val="FF0000"/>
                <w:lang w:val="bg-BG"/>
              </w:rPr>
              <w:t>програма</w:t>
            </w:r>
            <w:r w:rsidR="00DB7714">
              <w:rPr>
                <w:noProof/>
                <w:color w:val="FF0000"/>
                <w:lang w:val="bg-BG"/>
              </w:rPr>
              <w:t>та</w:t>
            </w:r>
            <w:r w:rsidR="00DB7714" w:rsidRPr="002922B9">
              <w:rPr>
                <w:noProof/>
                <w:color w:val="FF0000"/>
                <w:lang w:val="bg-BG"/>
              </w:rPr>
              <w:t xml:space="preserve">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w:t>
            </w:r>
            <w:r w:rsidR="00DB7714">
              <w:rPr>
                <w:noProof/>
                <w:color w:val="FF0000"/>
                <w:lang w:val="bg-BG"/>
              </w:rPr>
              <w:t xml:space="preserve">024 г. на МЗХ и </w:t>
            </w:r>
            <w:r w:rsidR="00831A00">
              <w:rPr>
                <w:noProof/>
                <w:color w:val="FF0000"/>
                <w:lang w:val="bg-BG"/>
              </w:rPr>
              <w:t>№ РД – 620/10.07.2024 г.</w:t>
            </w:r>
            <w:r w:rsidR="0060455C">
              <w:rPr>
                <w:noProof/>
                <w:color w:val="FF0000"/>
                <w:lang w:val="bg-BG"/>
              </w:rPr>
              <w:t>на МОСВ.</w:t>
            </w:r>
          </w:p>
        </w:tc>
      </w:tr>
    </w:tbl>
    <w:p w:rsidR="00C12C0D" w:rsidRDefault="00C12C0D" w:rsidP="00C12C0D">
      <w:pPr>
        <w:pStyle w:val="Heading5"/>
        <w:spacing w:before="20" w:after="20"/>
        <w:rPr>
          <w:b w:val="0"/>
          <w:i w:val="0"/>
          <w:color w:val="000000"/>
          <w:sz w:val="24"/>
        </w:rPr>
      </w:pPr>
      <w:bookmarkStart w:id="8" w:name="_Toc256001527"/>
      <w:r>
        <w:rPr>
          <w:b w:val="0"/>
          <w:i w:val="0"/>
          <w:noProof/>
          <w:color w:val="000000"/>
          <w:sz w:val="24"/>
        </w:rPr>
        <w:t>7 Форма и ставка на подпомагане/суми/методи за изчисляване</w:t>
      </w:r>
      <w:bookmarkEnd w:id="8"/>
    </w:p>
    <w:p w:rsidR="00C12C0D" w:rsidRDefault="00C12C0D" w:rsidP="00C12C0D">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C12C0D" w:rsidRDefault="00C12C0D" w:rsidP="00C12C0D">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C12C0D" w:rsidRDefault="00C12C0D" w:rsidP="00C12C0D">
      <w:pPr>
        <w:spacing w:before="20" w:after="20"/>
        <w:rPr>
          <w:color w:val="000000"/>
        </w:rPr>
      </w:pPr>
    </w:p>
    <w:p w:rsidR="00C12C0D" w:rsidRDefault="00C12C0D" w:rsidP="00C12C0D">
      <w:pPr>
        <w:spacing w:before="20" w:after="20"/>
        <w:rPr>
          <w:color w:val="000000"/>
          <w:sz w:val="28"/>
        </w:rPr>
      </w:pPr>
      <w:r>
        <w:rPr>
          <w:noProof/>
          <w:color w:val="000000"/>
          <w:sz w:val="28"/>
        </w:rPr>
        <w:t>Раздел в обхвата на ИСАК</w:t>
      </w:r>
    </w:p>
    <w:p w:rsidR="00C12C0D" w:rsidRDefault="00C12C0D" w:rsidP="00C12C0D">
      <w:pPr>
        <w:spacing w:before="20" w:after="20"/>
        <w:rPr>
          <w:color w:val="000000"/>
        </w:rPr>
      </w:pPr>
      <w:r>
        <w:rPr>
          <w:noProof/>
          <w:color w:val="000000"/>
        </w:rPr>
        <w:t>Вид на плащането</w:t>
      </w:r>
    </w:p>
    <w:p w:rsidR="00C12C0D" w:rsidRDefault="00C12C0D" w:rsidP="00C12C0D">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C12C0D" w:rsidRDefault="00C12C0D" w:rsidP="00C12C0D">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C12C0D" w:rsidRDefault="00C12C0D" w:rsidP="00C12C0D">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C12C0D" w:rsidRDefault="00C12C0D" w:rsidP="00C12C0D">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C12C0D" w:rsidRDefault="00C12C0D" w:rsidP="00C12C0D">
      <w:pPr>
        <w:spacing w:before="20" w:after="20"/>
        <w:rPr>
          <w:color w:val="000000"/>
          <w:sz w:val="12"/>
        </w:rPr>
      </w:pPr>
    </w:p>
    <w:p w:rsidR="00C12C0D" w:rsidRDefault="00C12C0D" w:rsidP="00C12C0D">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40" w:after="40"/>
            </w:pPr>
            <w:r>
              <w:rPr>
                <w:noProof/>
              </w:rPr>
              <w:t>Полски култури 408,01 евро/ха</w:t>
            </w:r>
          </w:p>
          <w:p w:rsidR="00C12C0D" w:rsidRDefault="00C12C0D" w:rsidP="00B01EBC">
            <w:pPr>
              <w:spacing w:before="40" w:after="40"/>
            </w:pPr>
            <w:r>
              <w:rPr>
                <w:noProof/>
              </w:rPr>
              <w:t>Трайни насаждения 825,73 евро/ха</w:t>
            </w:r>
          </w:p>
          <w:p w:rsidR="00C12C0D" w:rsidRDefault="00C12C0D" w:rsidP="00B01EBC">
            <w:pPr>
              <w:spacing w:before="40" w:after="40"/>
            </w:pPr>
            <w:r>
              <w:rPr>
                <w:noProof/>
              </w:rPr>
              <w:t>Зеленчуци 956,12 евро/ха</w:t>
            </w:r>
          </w:p>
          <w:p w:rsidR="00C12C0D" w:rsidRDefault="00C12C0D" w:rsidP="00B01EBC">
            <w:pPr>
              <w:spacing w:before="40" w:after="40"/>
            </w:pPr>
            <w:r>
              <w:rPr>
                <w:noProof/>
              </w:rPr>
              <w:t>Етерични и медицински 845,34евро/ха</w:t>
            </w:r>
          </w:p>
          <w:p w:rsidR="00C12C0D" w:rsidRDefault="00C12C0D" w:rsidP="00B01EBC">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C12C0D" w:rsidRDefault="00C12C0D" w:rsidP="00C12C0D">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40" w:after="40"/>
            </w:pPr>
            <w:r>
              <w:rPr>
                <w:noProof/>
              </w:rPr>
              <w:t>компенсаторно плащане на база направените допълнителни разходи и пропуснати ползи</w:t>
            </w:r>
          </w:p>
        </w:tc>
      </w:tr>
    </w:tbl>
    <w:p w:rsidR="00C12C0D" w:rsidRDefault="00C12C0D" w:rsidP="00C12C0D">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40" w:after="40"/>
              <w:jc w:val="both"/>
            </w:pPr>
            <w:r>
              <w:rPr>
                <w:noProof/>
              </w:rPr>
              <w:t xml:space="preserve">Брутен марж на конвенционални </w:t>
            </w:r>
            <w:r>
              <w:rPr>
                <w:b/>
                <w:bCs/>
                <w:noProof/>
              </w:rPr>
              <w:t>Брутен марж на конвенционални полски култури, трайни насаждения, зеленчуци, ароматни и медицински култури, постоянно затревени култури</w:t>
            </w:r>
            <w:r>
              <w:rPr>
                <w:noProof/>
              </w:rPr>
              <w:t xml:space="preserve"> - представлява разлика между брутната продукция и променливите разходи, направени на базата на технологични и количествени карти за съответните видове култури. По отношение на производството и изчисляване на брутната продукция и производствените разходи са използвани научни данни и резултати, предоставени от специализираните научно-изследователски институти, както и експертни оценки и маркетингови проучвани сред отделните дистрибутори и търговци на материали и продукти от разглежданите направления.Използвани са и данни от Системата за земеделска счетоводна информация и базата данни от проектното моделиране, събрана от Центъра за икономически изследвания в селското стопанство – САРА и в Институт по аграрна икономика.</w:t>
            </w:r>
          </w:p>
          <w:p w:rsidR="00C12C0D" w:rsidRDefault="00C12C0D" w:rsidP="00B01EBC">
            <w:pPr>
              <w:spacing w:before="40" w:after="40"/>
              <w:jc w:val="both"/>
            </w:pPr>
            <w:r>
              <w:rPr>
                <w:b/>
                <w:bCs/>
                <w:noProof/>
              </w:rPr>
              <w:lastRenderedPageBreak/>
              <w:t xml:space="preserve">Добив при застрашени от изчезване полски сортове, трайни насаждения, зеленчуци, ароматни и медицински култури, тревни култури - </w:t>
            </w:r>
            <w:r>
              <w:rPr>
                <w:noProof/>
              </w:rPr>
              <w:t>използвани са научни данни и резултати, предоставени от специализираните научно-изследователски институти, както и експертни оценки, поради спецификата на растенията.</w:t>
            </w:r>
          </w:p>
          <w:p w:rsidR="00C12C0D" w:rsidRDefault="00C12C0D" w:rsidP="00B01EBC">
            <w:pPr>
              <w:spacing w:before="40" w:after="40"/>
              <w:jc w:val="both"/>
            </w:pPr>
            <w:r>
              <w:rPr>
                <w:b/>
                <w:bCs/>
                <w:noProof/>
              </w:rPr>
              <w:t>Средна цена на продукцията от полски сортове, трайни насаждения, зеленчуци, ароматни и медицински култури, тревни култури</w:t>
            </w:r>
            <w:r>
              <w:rPr>
                <w:noProof/>
              </w:rPr>
              <w:t xml:space="preserve"> – използвани са както официални данни на НСИ, Системата за земеделска счетоводна информация и базата данни от проектното моделиране, събрана от Центъра за икономически изследвания в селското стопанство – САРА и в Институт по аграрна икономика, така и данни от проведени маркетингови проучвани сред отделните дистрибутори и търговци и експертни оценки.</w:t>
            </w:r>
          </w:p>
          <w:p w:rsidR="00C12C0D" w:rsidRDefault="00C12C0D" w:rsidP="00B01EBC">
            <w:pPr>
              <w:spacing w:before="40" w:after="40"/>
              <w:jc w:val="both"/>
            </w:pPr>
            <w:r>
              <w:rPr>
                <w:b/>
                <w:bCs/>
                <w:noProof/>
              </w:rPr>
              <w:t>Разходи за семена и засяване на полски култури, годишни разходи по засаждане и създаване на трайни насаждения, за отглеждане на разсад при зеленчуци, за засаждане и създаване на ароматни и медицински култури и тревни култури</w:t>
            </w:r>
            <w:r>
              <w:rPr>
                <w:noProof/>
              </w:rPr>
              <w:t>–използвани са данни от Системата за земеделска счетоводна информация, НСИ, както и от технологични карти, разработени по информация от научно-изследователски институти и експертни оценки.</w:t>
            </w:r>
          </w:p>
          <w:p w:rsidR="00C12C0D" w:rsidRDefault="00C12C0D" w:rsidP="00B01EBC">
            <w:pPr>
              <w:spacing w:before="40" w:after="40"/>
              <w:jc w:val="both"/>
            </w:pPr>
            <w:r>
              <w:rPr>
                <w:b/>
                <w:bCs/>
                <w:noProof/>
              </w:rPr>
              <w:t xml:space="preserve">Разходи за торене – </w:t>
            </w:r>
            <w:r>
              <w:rPr>
                <w:noProof/>
              </w:rPr>
              <w:t>по научни данниот изследователските институти за препоръчителните норми на торене и торове. Остойностяването е извършено на основа ценова информация, събрана чрез пазарни проучвания, както и по данни от Системата за земеделска счетоводна информация.</w:t>
            </w:r>
          </w:p>
          <w:p w:rsidR="00C12C0D" w:rsidRDefault="00C12C0D" w:rsidP="00B01EBC">
            <w:pPr>
              <w:spacing w:before="40" w:after="40"/>
              <w:jc w:val="both"/>
            </w:pPr>
            <w:r>
              <w:rPr>
                <w:b/>
                <w:bCs/>
                <w:noProof/>
              </w:rPr>
              <w:t>Разходи за механизирани услуги при всички видове култури</w:t>
            </w:r>
            <w:r>
              <w:rPr>
                <w:noProof/>
              </w:rPr>
              <w:t xml:space="preserve"> – изчислени са на основа разработени подробни технологични карти и експертни оценки. Ценовата информация е с източници Системата за земеделска счетоводна информация и проведени проучвания.</w:t>
            </w:r>
          </w:p>
          <w:p w:rsidR="00C12C0D" w:rsidRDefault="00C12C0D" w:rsidP="00B01EBC">
            <w:pPr>
              <w:spacing w:before="40" w:after="40"/>
              <w:jc w:val="both"/>
            </w:pPr>
            <w:r>
              <w:rPr>
                <w:b/>
                <w:bCs/>
                <w:noProof/>
              </w:rPr>
              <w:t>Разходи за растителна защита при полски култури, трайни насаждения, зеленчуци, ароматни и медицински култури</w:t>
            </w:r>
            <w:r>
              <w:rPr>
                <w:noProof/>
              </w:rPr>
              <w:t xml:space="preserve"> - изчислени са на основа разработени подробни технологични карти и експертни оценки. Ценовата информация е с източници Системата за земеделска счетоводна информация и проведени проучвания.</w:t>
            </w:r>
          </w:p>
          <w:p w:rsidR="00C12C0D" w:rsidRDefault="00C12C0D" w:rsidP="00B01EBC">
            <w:pPr>
              <w:spacing w:before="40" w:after="40"/>
              <w:jc w:val="both"/>
            </w:pPr>
            <w:r>
              <w:rPr>
                <w:b/>
                <w:bCs/>
                <w:noProof/>
              </w:rPr>
              <w:t xml:space="preserve">Разходи за напояване при трайни насаждения, зеленчуци и ароматни и медицински култури – </w:t>
            </w:r>
            <w:r>
              <w:rPr>
                <w:noProof/>
              </w:rPr>
              <w:t xml:space="preserve">по данни от научни изследвания, експертни оценки и технологични карти. </w:t>
            </w:r>
          </w:p>
          <w:p w:rsidR="00C12C0D" w:rsidRDefault="00C12C0D" w:rsidP="00B01EBC">
            <w:pPr>
              <w:spacing w:before="40" w:after="40"/>
              <w:jc w:val="both"/>
            </w:pPr>
            <w:r>
              <w:rPr>
                <w:b/>
                <w:bCs/>
                <w:noProof/>
              </w:rPr>
              <w:t>Разходи за семена, за отглеждане на разсад, за разсаждане при отглеждане на зеленчуци</w:t>
            </w:r>
            <w:r>
              <w:rPr>
                <w:noProof/>
              </w:rPr>
              <w:t xml:space="preserve"> –предвидени са двата варианта на производство на зеленчуци – чрез директно засяване на семена и чрез засаждане на достигнали определена фаза на развитие разсадни растения. Разходите са изчислени на основа технологични карти и експертни оценки, при използване на информация от научно-изследователските институти и научни публикации. Остойностяването е извършено по данни от Системата за земеделска счетоводна информация и НСИ.</w:t>
            </w:r>
          </w:p>
          <w:p w:rsidR="00C12C0D" w:rsidRDefault="00C12C0D" w:rsidP="00B01EBC">
            <w:pPr>
              <w:spacing w:before="40" w:after="40"/>
              <w:jc w:val="both"/>
            </w:pPr>
            <w:r>
              <w:rPr>
                <w:b/>
                <w:bCs/>
                <w:noProof/>
              </w:rPr>
              <w:t>Годишни разходи по засаждане и създаване на трайни насаждения</w:t>
            </w:r>
            <w:r>
              <w:rPr>
                <w:noProof/>
              </w:rPr>
              <w:t>–включват годишна част от първоначалните инвестиционни разходи за създаване на овощни насаждения и лозя. Данните са по изчисления от технологични карти, експертни оценки и информация от научни публикации и научно-изследователски институти. Стойностната оценка стъпва и на информация от Системата за земеделска счетоводна информация и НСИ.</w:t>
            </w:r>
          </w:p>
          <w:p w:rsidR="00C12C0D" w:rsidRDefault="00C12C0D" w:rsidP="00B01EBC">
            <w:pPr>
              <w:spacing w:before="40" w:after="40"/>
              <w:jc w:val="both"/>
            </w:pPr>
            <w:r>
              <w:rPr>
                <w:b/>
                <w:bCs/>
                <w:noProof/>
              </w:rPr>
              <w:t>Разходи за поддръжка на насаждението до влизане в плододаване</w:t>
            </w:r>
            <w:r>
              <w:rPr>
                <w:noProof/>
              </w:rPr>
              <w:t xml:space="preserve">–включени са осреднени данни за необходимата издръжка на насажденията от овощни култури и лозя през непродуктивния им период. Изчисленията се основават на технологични карти, експертни оценки и информация от научно-изследователски институти. Остойностяването </w:t>
            </w:r>
            <w:r>
              <w:rPr>
                <w:noProof/>
              </w:rPr>
              <w:lastRenderedPageBreak/>
              <w:t>е съобразено с данните от Системата за земеделска счетоводна информация.</w:t>
            </w:r>
          </w:p>
          <w:p w:rsidR="00C12C0D" w:rsidRDefault="00C12C0D" w:rsidP="00B01EBC">
            <w:pPr>
              <w:spacing w:before="40" w:after="40"/>
              <w:jc w:val="both"/>
            </w:pPr>
            <w:r>
              <w:rPr>
                <w:b/>
                <w:bCs/>
                <w:noProof/>
              </w:rPr>
              <w:t>Разходи за годишна подготовка за плододаванепри трайни насаждения</w:t>
            </w:r>
            <w:r>
              <w:rPr>
                <w:noProof/>
              </w:rPr>
              <w:t xml:space="preserve"> –включени са предимно разходите за труд по извършването на необходимите агротехнически мероприятия през периода на вегетация на растенията. Изчисленията се основават на технологични карти, експертни оценки и информация от научно-изследователски институти. Остойностяването е съобразено с данните от Системата за земеделска счетоводна информация.</w:t>
            </w:r>
          </w:p>
          <w:p w:rsidR="00C12C0D" w:rsidRDefault="00C12C0D" w:rsidP="00B01EBC">
            <w:pPr>
              <w:spacing w:before="40" w:after="40"/>
              <w:jc w:val="both"/>
            </w:pPr>
            <w:r>
              <w:rPr>
                <w:b/>
                <w:bCs/>
                <w:noProof/>
              </w:rPr>
              <w:t xml:space="preserve">Годишни разходи по засаждане и създаване на ароматни и медицински култури – </w:t>
            </w:r>
            <w:r>
              <w:rPr>
                <w:noProof/>
              </w:rPr>
              <w:t>включват годишна част от разходите за подготовка на площта и агротехническите мероприятия по засаждане на насажденията. Данните са по изчисления от технологични карти, експертни оценки и информация от научни публикации и научно-изследователски институти. Стойностната оценка стъпва и на информация от Системата за земеделска счетоводна информация и НСИ.</w:t>
            </w:r>
          </w:p>
          <w:p w:rsidR="00C12C0D" w:rsidRDefault="00C12C0D" w:rsidP="00B01EBC">
            <w:pPr>
              <w:spacing w:before="40" w:after="40"/>
              <w:jc w:val="both"/>
            </w:pPr>
            <w:r>
              <w:rPr>
                <w:b/>
                <w:bCs/>
                <w:noProof/>
              </w:rPr>
              <w:t xml:space="preserve">Разходи за поддръжка на насаждението от ароматни и медицински култури до влизане в плододаване - </w:t>
            </w:r>
            <w:r>
              <w:rPr>
                <w:noProof/>
              </w:rPr>
              <w:t xml:space="preserve">включени са осреднени данни за необходимата издръжка на насажденията от през периода до встъпването им в плододаване. Изчисленията се основават на технологични карти, експертни оценки и информация от научно-изследователски институти. </w:t>
            </w:r>
          </w:p>
          <w:p w:rsidR="00C12C0D" w:rsidRDefault="00C12C0D" w:rsidP="00B01EBC">
            <w:pPr>
              <w:spacing w:before="40" w:after="40"/>
              <w:jc w:val="both"/>
            </w:pPr>
            <w:r>
              <w:rPr>
                <w:b/>
                <w:bCs/>
                <w:noProof/>
              </w:rPr>
              <w:t xml:space="preserve">Разходи за подготовка за плододаване на насаждения от ароматни и медицински култури – </w:t>
            </w:r>
            <w:r>
              <w:rPr>
                <w:noProof/>
              </w:rPr>
              <w:t>включват специфични според технологията на отглеждане агротехнически мероприятия, изискващи ръчен труд. Изчисленията се основават на технологични карти, експертни оценки и информация от научно-изследователски институти.</w:t>
            </w:r>
          </w:p>
          <w:p w:rsidR="00C12C0D" w:rsidRDefault="00C12C0D" w:rsidP="00B01EBC">
            <w:pPr>
              <w:spacing w:before="40" w:after="40"/>
              <w:jc w:val="both"/>
            </w:pPr>
            <w:r>
              <w:rPr>
                <w:b/>
                <w:bCs/>
                <w:noProof/>
              </w:rPr>
              <w:t xml:space="preserve">Брутен марж на застрашени от изчезване полски култури, трайни насаждения, зеленчуци, ароматни и медицински култури, постоянно затревени култури - </w:t>
            </w:r>
            <w:r>
              <w:rPr>
                <w:noProof/>
              </w:rPr>
              <w:t xml:space="preserve">представлява разлика между брутната продукция и променливите разходи, изчислени на базата на технологични и количествени карти за съответните видове култури. </w:t>
            </w:r>
          </w:p>
        </w:tc>
      </w:tr>
    </w:tbl>
    <w:p w:rsidR="00C12C0D" w:rsidRDefault="00C12C0D" w:rsidP="00C12C0D">
      <w:pPr>
        <w:pStyle w:val="Heading5"/>
        <w:spacing w:before="20" w:after="20"/>
        <w:rPr>
          <w:b w:val="0"/>
          <w:i w:val="0"/>
          <w:color w:val="000000"/>
          <w:sz w:val="24"/>
        </w:rPr>
      </w:pPr>
      <w:bookmarkStart w:id="9" w:name="_Toc256001528"/>
      <w:r>
        <w:rPr>
          <w:b w:val="0"/>
          <w:i w:val="0"/>
          <w:noProof/>
          <w:color w:val="000000"/>
          <w:sz w:val="24"/>
        </w:rPr>
        <w:lastRenderedPageBreak/>
        <w:t>8 Информация относно оценката за държавна помощ</w:t>
      </w:r>
      <w:bookmarkEnd w:id="9"/>
    </w:p>
    <w:p w:rsidR="00C12C0D" w:rsidRDefault="00C12C0D" w:rsidP="00C12C0D">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C12C0D" w:rsidRDefault="00C12C0D" w:rsidP="00C12C0D">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C12C0D" w:rsidRDefault="00C12C0D" w:rsidP="00C12C0D">
      <w:pPr>
        <w:spacing w:before="20" w:after="20"/>
        <w:rPr>
          <w:color w:val="000000"/>
        </w:rPr>
      </w:pPr>
    </w:p>
    <w:p w:rsidR="00C12C0D" w:rsidRDefault="00C12C0D" w:rsidP="00C12C0D">
      <w:pPr>
        <w:pStyle w:val="Heading5"/>
        <w:spacing w:before="20" w:after="20"/>
        <w:rPr>
          <w:b w:val="0"/>
          <w:i w:val="0"/>
          <w:color w:val="000000"/>
          <w:sz w:val="24"/>
        </w:rPr>
      </w:pPr>
      <w:bookmarkStart w:id="10" w:name="_Toc256001529"/>
      <w:r>
        <w:rPr>
          <w:b w:val="0"/>
          <w:i w:val="0"/>
          <w:noProof/>
          <w:color w:val="000000"/>
          <w:sz w:val="24"/>
        </w:rPr>
        <w:t>9 Допълнителни въпроси/информация за вида на интервенцията</w:t>
      </w:r>
      <w:bookmarkEnd w:id="10"/>
    </w:p>
    <w:p w:rsidR="00C12C0D" w:rsidRDefault="00C12C0D" w:rsidP="00C12C0D">
      <w:pPr>
        <w:spacing w:before="20" w:after="20"/>
        <w:rPr>
          <w:color w:val="000000"/>
        </w:rPr>
      </w:pPr>
      <w:r>
        <w:rPr>
          <w:noProof/>
          <w:color w:val="000000"/>
        </w:rPr>
        <w:t>Какви са моделите на ангажимента(ите) в интервенцията?</w:t>
      </w:r>
    </w:p>
    <w:p w:rsidR="00C12C0D" w:rsidRDefault="00C12C0D" w:rsidP="00C12C0D">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C12C0D" w:rsidRDefault="00C12C0D" w:rsidP="00C12C0D">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C12C0D" w:rsidRDefault="00C12C0D" w:rsidP="00C12C0D">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C12C0D" w:rsidRDefault="00C12C0D" w:rsidP="00C12C0D">
      <w:pPr>
        <w:spacing w:before="20" w:after="20"/>
        <w:rPr>
          <w:color w:val="000000"/>
        </w:rPr>
      </w:pPr>
    </w:p>
    <w:p w:rsidR="00C12C0D" w:rsidRDefault="00C12C0D" w:rsidP="00C12C0D">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Pr="00964E4F" w:rsidRDefault="00CC1AA3" w:rsidP="00FD3DFE">
            <w:pPr>
              <w:spacing w:before="40" w:after="40"/>
              <w:jc w:val="both"/>
              <w:rPr>
                <w:noProof/>
                <w:color w:val="FF0000"/>
                <w:lang w:val="bg-BG"/>
              </w:rPr>
            </w:pPr>
            <w:r>
              <w:rPr>
                <w:noProof/>
                <w:color w:val="FF0000"/>
                <w:lang w:val="bg-BG"/>
              </w:rPr>
              <w:t>Земеделските стопани п</w:t>
            </w:r>
            <w:r w:rsidR="00C12C0D" w:rsidRPr="00964E4F">
              <w:rPr>
                <w:noProof/>
                <w:color w:val="FF0000"/>
              </w:rPr>
              <w:t xml:space="preserve">оемат ангажименти за отглеждането на застрашени от изчезване местни сортове, важни за селското стопанство, които </w:t>
            </w:r>
            <w:r w:rsidR="00AC7335" w:rsidRPr="00964E4F">
              <w:rPr>
                <w:noProof/>
                <w:color w:val="FF0000"/>
                <w:lang w:val="bg-BG"/>
              </w:rPr>
              <w:t>са част от</w:t>
            </w:r>
            <w:r w:rsidR="00C12C0D" w:rsidRPr="00964E4F">
              <w:rPr>
                <w:noProof/>
                <w:color w:val="FF0000"/>
              </w:rPr>
              <w:t xml:space="preserve"> утвърден Списък със сорто</w:t>
            </w:r>
            <w:r w:rsidR="00466CFF" w:rsidRPr="00964E4F">
              <w:rPr>
                <w:noProof/>
                <w:color w:val="FF0000"/>
              </w:rPr>
              <w:t xml:space="preserve">вете от Селскостопанска академия и приложим </w:t>
            </w:r>
            <w:r w:rsidR="00AC7335" w:rsidRPr="00964E4F">
              <w:rPr>
                <w:noProof/>
                <w:color w:val="FF0000"/>
                <w:lang w:val="bg-BG"/>
              </w:rPr>
              <w:t>за</w:t>
            </w:r>
            <w:r w:rsidR="00AC7335" w:rsidRPr="00964E4F">
              <w:rPr>
                <w:noProof/>
                <w:color w:val="FF0000"/>
              </w:rPr>
              <w:t xml:space="preserve"> земеделския стопанин </w:t>
            </w:r>
            <w:r w:rsidR="00466CFF" w:rsidRPr="00964E4F">
              <w:rPr>
                <w:noProof/>
                <w:color w:val="FF0000"/>
              </w:rPr>
              <w:t>до изтичане на изпълявания ангажимент</w:t>
            </w:r>
            <w:r w:rsidR="00C12C0D" w:rsidRPr="00964E4F">
              <w:rPr>
                <w:noProof/>
                <w:color w:val="FF0000"/>
              </w:rPr>
              <w:t>.</w:t>
            </w:r>
          </w:p>
          <w:p w:rsidR="00CC1AA3" w:rsidRPr="00FF188C" w:rsidRDefault="00CC1AA3" w:rsidP="00CC1AA3">
            <w:pPr>
              <w:spacing w:before="40" w:after="40"/>
              <w:jc w:val="both"/>
              <w:rPr>
                <w:noProof/>
                <w:color w:val="FF0000"/>
                <w:lang w:val="bg-BG"/>
              </w:rPr>
            </w:pPr>
            <w:r w:rsidRPr="00FF188C">
              <w:rPr>
                <w:noProof/>
                <w:color w:val="FF0000"/>
              </w:rPr>
              <w:t>Площта за извършване на дейности</w:t>
            </w:r>
            <w:r w:rsidRPr="00FF188C">
              <w:rPr>
                <w:noProof/>
                <w:color w:val="FF0000"/>
                <w:lang w:val="bg-BG"/>
              </w:rPr>
              <w:t xml:space="preserve">те </w:t>
            </w:r>
            <w:r w:rsidRPr="00FF188C">
              <w:rPr>
                <w:noProof/>
                <w:color w:val="FF0000"/>
              </w:rPr>
              <w:t xml:space="preserve">по </w:t>
            </w:r>
            <w:r w:rsidRPr="00FF188C">
              <w:rPr>
                <w:noProof/>
                <w:color w:val="FF0000"/>
                <w:lang w:val="bg-BG"/>
              </w:rPr>
              <w:t>интервенцията</w:t>
            </w:r>
            <w:r w:rsidRPr="00FF188C">
              <w:rPr>
                <w:noProof/>
                <w:color w:val="FF0000"/>
              </w:rPr>
              <w:t xml:space="preserve"> може да бъде намалена с </w:t>
            </w:r>
            <w:r w:rsidRPr="00FF188C">
              <w:rPr>
                <w:noProof/>
                <w:color w:val="FF0000"/>
                <w:lang w:val="bg-BG"/>
              </w:rPr>
              <w:t xml:space="preserve">до </w:t>
            </w:r>
            <w:r w:rsidRPr="00FF188C">
              <w:rPr>
                <w:noProof/>
                <w:color w:val="FF0000"/>
              </w:rPr>
              <w:t>10 %</w:t>
            </w:r>
            <w:r>
              <w:rPr>
                <w:noProof/>
                <w:color w:val="FF0000"/>
                <w:lang w:val="bg-BG"/>
              </w:rPr>
              <w:t xml:space="preserve"> </w:t>
            </w:r>
            <w:r>
              <w:rPr>
                <w:noProof/>
                <w:color w:val="FF0000"/>
                <w:lang w:val="bg-BG"/>
              </w:rPr>
              <w:lastRenderedPageBreak/>
              <w:t>от площта, за която има поет ангажимент.</w:t>
            </w:r>
            <w:r w:rsidRPr="00FF188C">
              <w:rPr>
                <w:noProof/>
                <w:color w:val="FF0000"/>
                <w:lang w:val="bg-BG"/>
              </w:rPr>
              <w:t xml:space="preserve"> </w:t>
            </w:r>
          </w:p>
          <w:p w:rsidR="00CC1AA3" w:rsidRPr="00FF188C" w:rsidRDefault="00CC1AA3" w:rsidP="00CC1AA3">
            <w:pPr>
              <w:spacing w:before="40" w:after="40"/>
              <w:jc w:val="both"/>
              <w:rPr>
                <w:color w:val="FF0000"/>
                <w:lang w:val="bg-BG"/>
              </w:rPr>
            </w:pPr>
            <w:r w:rsidRPr="00FF188C">
              <w:rPr>
                <w:noProof/>
                <w:color w:val="FF0000"/>
                <w:lang w:val="bg-BG"/>
              </w:rPr>
              <w:t xml:space="preserve">Когато площта, </w:t>
            </w:r>
            <w:r w:rsidRPr="00FF188C">
              <w:rPr>
                <w:noProof/>
                <w:color w:val="FF0000"/>
              </w:rPr>
              <w:t>за която има поет ангажимент</w:t>
            </w:r>
            <w:r w:rsidRPr="00FF188C">
              <w:rPr>
                <w:noProof/>
                <w:color w:val="FF0000"/>
                <w:lang w:val="bg-BG"/>
              </w:rPr>
              <w:t xml:space="preserve">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 </w:t>
            </w:r>
          </w:p>
          <w:p w:rsidR="00CC1AA3" w:rsidRPr="00FF188C" w:rsidRDefault="00CC1AA3" w:rsidP="00CC1AA3">
            <w:pPr>
              <w:spacing w:before="40" w:after="40"/>
              <w:jc w:val="both"/>
              <w:rPr>
                <w:noProof/>
                <w:color w:val="FF0000"/>
                <w:lang w:val="bg-BG"/>
              </w:rPr>
            </w:pPr>
            <w:r w:rsidRPr="00FF188C">
              <w:rPr>
                <w:noProof/>
                <w:color w:val="FF0000"/>
                <w:lang w:val="bg-BG"/>
              </w:rPr>
              <w:t xml:space="preserve">Поетият ангажимент по съответната операция от земеделския стопанин може да бъде увеличен с нови площи в периода </w:t>
            </w:r>
            <w:r w:rsidR="00500EFB">
              <w:rPr>
                <w:noProof/>
                <w:color w:val="FF0000"/>
                <w:lang w:val="bg-BG"/>
              </w:rPr>
              <w:t xml:space="preserve">на </w:t>
            </w:r>
            <w:r w:rsidRPr="00FF188C">
              <w:rPr>
                <w:noProof/>
                <w:color w:val="FF0000"/>
                <w:lang w:val="bg-BG"/>
              </w:rPr>
              <w:t>изпълнение на ангажимент</w:t>
            </w:r>
            <w:r w:rsidR="00500EFB">
              <w:rPr>
                <w:noProof/>
                <w:color w:val="FF0000"/>
                <w:lang w:val="bg-BG"/>
              </w:rPr>
              <w:t>а</w:t>
            </w:r>
            <w:r w:rsidRPr="00FF188C">
              <w:rPr>
                <w:noProof/>
                <w:color w:val="FF0000"/>
                <w:lang w:val="bg-BG"/>
              </w:rPr>
              <w:t>, като същият може да бъде разширяван със заявените нови площи</w:t>
            </w:r>
            <w:r w:rsidR="00500EFB">
              <w:rPr>
                <w:noProof/>
                <w:color w:val="FF0000"/>
                <w:lang w:val="bg-BG"/>
              </w:rPr>
              <w:t>, които отговарят на изискванията за одобрение</w:t>
            </w:r>
            <w:r w:rsidRPr="00FF188C">
              <w:rPr>
                <w:noProof/>
                <w:color w:val="FF0000"/>
                <w:lang w:val="bg-BG"/>
              </w:rPr>
              <w:t xml:space="preserve"> за оставащия период до максимално допустимата площ по интервенцията. </w:t>
            </w:r>
            <w:r w:rsidR="0021699B" w:rsidRPr="00BD2D66">
              <w:rPr>
                <w:color w:val="FF0000"/>
                <w:lang w:val="bg-BG"/>
              </w:rPr>
              <w:t>Държавен фонд „З</w:t>
            </w:r>
            <w:r w:rsidR="00A85F2B">
              <w:rPr>
                <w:color w:val="FF0000"/>
                <w:lang w:val="bg-BG"/>
              </w:rPr>
              <w:t>емеделие“ уведомява земеделския</w:t>
            </w:r>
            <w:r w:rsidR="0021699B" w:rsidRPr="00BD2D66">
              <w:rPr>
                <w:color w:val="FF0000"/>
                <w:lang w:val="bg-BG"/>
              </w:rPr>
              <w:t xml:space="preserve"> стопанин за новия размер на площите в одобрен ангажимент.</w:t>
            </w:r>
          </w:p>
          <w:p w:rsidR="008E0834" w:rsidRPr="008E0834" w:rsidRDefault="008E0834" w:rsidP="00B01EBC">
            <w:pPr>
              <w:spacing w:before="40" w:after="40"/>
              <w:rPr>
                <w:lang w:val="bg-BG"/>
              </w:rPr>
            </w:pPr>
          </w:p>
        </w:tc>
      </w:tr>
    </w:tbl>
    <w:p w:rsidR="00C12C0D" w:rsidRDefault="00C12C0D" w:rsidP="00C12C0D">
      <w:pPr>
        <w:spacing w:before="20" w:after="20"/>
        <w:rPr>
          <w:color w:val="000000"/>
          <w:sz w:val="0"/>
        </w:rPr>
      </w:pPr>
    </w:p>
    <w:p w:rsidR="00C12C0D" w:rsidRDefault="00C12C0D" w:rsidP="00C12C0D">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40" w:after="40"/>
            </w:pPr>
            <w:r>
              <w:rPr>
                <w:noProof/>
              </w:rPr>
              <w:t>5 години</w:t>
            </w:r>
          </w:p>
        </w:tc>
      </w:tr>
    </w:tbl>
    <w:p w:rsidR="00C12C0D" w:rsidRDefault="00C12C0D" w:rsidP="00C12C0D">
      <w:pPr>
        <w:spacing w:before="20" w:after="20"/>
        <w:rPr>
          <w:color w:val="000000"/>
          <w:sz w:val="0"/>
        </w:rPr>
      </w:pPr>
    </w:p>
    <w:p w:rsidR="00C12C0D" w:rsidRDefault="00C12C0D" w:rsidP="00C12C0D">
      <w:pPr>
        <w:spacing w:before="20" w:after="20"/>
        <w:rPr>
          <w:color w:val="000000"/>
        </w:rPr>
      </w:pPr>
    </w:p>
    <w:p w:rsidR="00C12C0D" w:rsidRDefault="00C12C0D" w:rsidP="00C12C0D">
      <w:pPr>
        <w:pStyle w:val="Heading5"/>
        <w:spacing w:before="20" w:after="20"/>
        <w:rPr>
          <w:b w:val="0"/>
          <w:i w:val="0"/>
          <w:color w:val="000000"/>
          <w:sz w:val="24"/>
        </w:rPr>
      </w:pPr>
      <w:bookmarkStart w:id="11" w:name="_Toc256001530"/>
      <w:r>
        <w:rPr>
          <w:b w:val="0"/>
          <w:i w:val="0"/>
          <w:noProof/>
          <w:color w:val="000000"/>
          <w:sz w:val="24"/>
        </w:rPr>
        <w:t>10 Съответствие с правилата на СТО</w:t>
      </w:r>
      <w:bookmarkEnd w:id="11"/>
    </w:p>
    <w:p w:rsidR="00C12C0D" w:rsidRDefault="00C12C0D" w:rsidP="00C12C0D">
      <w:pPr>
        <w:spacing w:before="20" w:after="20"/>
        <w:rPr>
          <w:color w:val="000000"/>
        </w:rPr>
      </w:pPr>
      <w:r>
        <w:rPr>
          <w:noProof/>
          <w:color w:val="000000"/>
        </w:rPr>
        <w:t xml:space="preserve"> Зелена кутия</w:t>
      </w:r>
    </w:p>
    <w:p w:rsidR="00C12C0D" w:rsidRDefault="00C12C0D" w:rsidP="00C12C0D">
      <w:pPr>
        <w:spacing w:before="20" w:after="20"/>
        <w:rPr>
          <w:color w:val="000000"/>
        </w:rPr>
      </w:pPr>
      <w:r>
        <w:rPr>
          <w:noProof/>
          <w:color w:val="000000"/>
        </w:rPr>
        <w:t>Параграф 12 от приложение 2 към Споразумението за СТО</w:t>
      </w:r>
    </w:p>
    <w:p w:rsidR="00C12C0D" w:rsidRDefault="00C12C0D" w:rsidP="00C12C0D">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C12C0D"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C12C0D" w:rsidRDefault="00C12C0D" w:rsidP="00B01EBC">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w:t>
            </w:r>
          </w:p>
        </w:tc>
      </w:tr>
    </w:tbl>
    <w:p w:rsidR="00C12C0D" w:rsidRDefault="00C12C0D" w:rsidP="00C12C0D">
      <w:pPr>
        <w:pStyle w:val="Heading5"/>
        <w:spacing w:before="20" w:after="20"/>
        <w:rPr>
          <w:b w:val="0"/>
          <w:i w:val="0"/>
          <w:color w:val="000000"/>
          <w:sz w:val="24"/>
        </w:rPr>
      </w:pPr>
      <w:bookmarkStart w:id="12" w:name="_Toc256001531"/>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2912"/>
        <w:gridCol w:w="1736"/>
        <w:gridCol w:w="1744"/>
        <w:gridCol w:w="1817"/>
      </w:tblGrid>
      <w:tr w:rsidR="00C12C0D" w:rsidTr="00B01EB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12C0D" w:rsidRDefault="00C12C0D" w:rsidP="00B01EBC">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12C0D" w:rsidRDefault="00C12C0D" w:rsidP="00B01EBC">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12C0D" w:rsidRDefault="00C12C0D" w:rsidP="00B01EBC">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12C0D" w:rsidRDefault="00C12C0D" w:rsidP="00B01EBC">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C12C0D" w:rsidRDefault="00C12C0D" w:rsidP="00B01EBC">
            <w:pPr>
              <w:spacing w:before="20" w:after="20"/>
              <w:rPr>
                <w:color w:val="000000"/>
                <w:sz w:val="20"/>
              </w:rPr>
            </w:pPr>
            <w:r>
              <w:rPr>
                <w:b/>
                <w:noProof/>
                <w:color w:val="000000"/>
                <w:sz w:val="20"/>
              </w:rPr>
              <w:t>Максимална ставка</w:t>
            </w:r>
          </w:p>
        </w:tc>
      </w:tr>
      <w:tr w:rsidR="00C12C0D" w:rsidTr="00B01EB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12C0D" w:rsidRDefault="00C12C0D" w:rsidP="00B01EBC">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12C0D" w:rsidRDefault="00C12C0D" w:rsidP="00B01EBC">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12C0D" w:rsidRDefault="00C12C0D" w:rsidP="00B01EBC">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12C0D" w:rsidRDefault="00C12C0D" w:rsidP="00B01EBC">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C12C0D" w:rsidRDefault="00C12C0D" w:rsidP="00B01EBC">
            <w:pPr>
              <w:spacing w:before="20" w:after="20"/>
              <w:jc w:val="right"/>
              <w:rPr>
                <w:color w:val="000000"/>
                <w:sz w:val="20"/>
              </w:rPr>
            </w:pPr>
            <w:r>
              <w:rPr>
                <w:noProof/>
                <w:color w:val="000000"/>
                <w:sz w:val="20"/>
              </w:rPr>
              <w:t>85,00%</w:t>
            </w:r>
          </w:p>
        </w:tc>
      </w:tr>
    </w:tbl>
    <w:p w:rsidR="00EE3126" w:rsidRDefault="008719FC" w:rsidP="00F06B26">
      <w:pPr>
        <w:pStyle w:val="Heading5"/>
        <w:spacing w:before="20" w:after="20"/>
      </w:pPr>
    </w:p>
    <w:sectPr w:rsidR="00EE3126" w:rsidSect="00F06B2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C0D"/>
    <w:rsid w:val="000C1E8D"/>
    <w:rsid w:val="0021699B"/>
    <w:rsid w:val="003E038E"/>
    <w:rsid w:val="00466CFF"/>
    <w:rsid w:val="00500EFB"/>
    <w:rsid w:val="005565CD"/>
    <w:rsid w:val="00556B7E"/>
    <w:rsid w:val="00581057"/>
    <w:rsid w:val="005E3979"/>
    <w:rsid w:val="005F13FD"/>
    <w:rsid w:val="0060455C"/>
    <w:rsid w:val="00682C5C"/>
    <w:rsid w:val="00694BCD"/>
    <w:rsid w:val="007C7F98"/>
    <w:rsid w:val="00831A00"/>
    <w:rsid w:val="008719FC"/>
    <w:rsid w:val="008E0834"/>
    <w:rsid w:val="00964E4F"/>
    <w:rsid w:val="009B210D"/>
    <w:rsid w:val="00A85F2B"/>
    <w:rsid w:val="00AC7335"/>
    <w:rsid w:val="00B507CB"/>
    <w:rsid w:val="00B75CC3"/>
    <w:rsid w:val="00C12C0D"/>
    <w:rsid w:val="00CC1AA3"/>
    <w:rsid w:val="00D951F6"/>
    <w:rsid w:val="00DB7714"/>
    <w:rsid w:val="00DD1A16"/>
    <w:rsid w:val="00E65179"/>
    <w:rsid w:val="00F06B26"/>
    <w:rsid w:val="00F122F6"/>
    <w:rsid w:val="00FD3DFE"/>
    <w:rsid w:val="00FE1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C0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C12C0D"/>
    <w:pPr>
      <w:keepNext/>
      <w:spacing w:before="240" w:after="60"/>
      <w:outlineLvl w:val="3"/>
    </w:pPr>
    <w:rPr>
      <w:b/>
      <w:bCs/>
      <w:sz w:val="28"/>
      <w:szCs w:val="28"/>
    </w:rPr>
  </w:style>
  <w:style w:type="paragraph" w:styleId="Heading5">
    <w:name w:val="heading 5"/>
    <w:basedOn w:val="Normal"/>
    <w:next w:val="Normal"/>
    <w:link w:val="Heading5Char"/>
    <w:qFormat/>
    <w:rsid w:val="00C12C0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12C0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C12C0D"/>
    <w:rPr>
      <w:rFonts w:ascii="Times New Roman" w:eastAsia="Times New Roman" w:hAnsi="Times New Roman" w:cs="Times New Roman"/>
      <w:b/>
      <w:bCs/>
      <w:i/>
      <w:iCs/>
      <w:sz w:val="26"/>
      <w:szCs w:val="26"/>
    </w:rPr>
  </w:style>
  <w:style w:type="character" w:customStyle="1" w:styleId="ql-cursor">
    <w:name w:val="ql-cursor"/>
    <w:basedOn w:val="DefaultParagraphFont"/>
    <w:rsid w:val="00C12C0D"/>
  </w:style>
  <w:style w:type="paragraph" w:styleId="BalloonText">
    <w:name w:val="Balloon Text"/>
    <w:basedOn w:val="Normal"/>
    <w:link w:val="BalloonTextChar"/>
    <w:uiPriority w:val="99"/>
    <w:semiHidden/>
    <w:unhideWhenUsed/>
    <w:rsid w:val="0021699B"/>
    <w:rPr>
      <w:rFonts w:ascii="Tahoma" w:hAnsi="Tahoma" w:cs="Tahoma"/>
      <w:sz w:val="16"/>
      <w:szCs w:val="16"/>
    </w:rPr>
  </w:style>
  <w:style w:type="character" w:customStyle="1" w:styleId="BalloonTextChar">
    <w:name w:val="Balloon Text Char"/>
    <w:basedOn w:val="DefaultParagraphFont"/>
    <w:link w:val="BalloonText"/>
    <w:uiPriority w:val="99"/>
    <w:semiHidden/>
    <w:rsid w:val="0021699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C0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C12C0D"/>
    <w:pPr>
      <w:keepNext/>
      <w:spacing w:before="240" w:after="60"/>
      <w:outlineLvl w:val="3"/>
    </w:pPr>
    <w:rPr>
      <w:b/>
      <w:bCs/>
      <w:sz w:val="28"/>
      <w:szCs w:val="28"/>
    </w:rPr>
  </w:style>
  <w:style w:type="paragraph" w:styleId="Heading5">
    <w:name w:val="heading 5"/>
    <w:basedOn w:val="Normal"/>
    <w:next w:val="Normal"/>
    <w:link w:val="Heading5Char"/>
    <w:qFormat/>
    <w:rsid w:val="00C12C0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12C0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C12C0D"/>
    <w:rPr>
      <w:rFonts w:ascii="Times New Roman" w:eastAsia="Times New Roman" w:hAnsi="Times New Roman" w:cs="Times New Roman"/>
      <w:b/>
      <w:bCs/>
      <w:i/>
      <w:iCs/>
      <w:sz w:val="26"/>
      <w:szCs w:val="26"/>
    </w:rPr>
  </w:style>
  <w:style w:type="character" w:customStyle="1" w:styleId="ql-cursor">
    <w:name w:val="ql-cursor"/>
    <w:basedOn w:val="DefaultParagraphFont"/>
    <w:rsid w:val="00C12C0D"/>
  </w:style>
  <w:style w:type="paragraph" w:styleId="BalloonText">
    <w:name w:val="Balloon Text"/>
    <w:basedOn w:val="Normal"/>
    <w:link w:val="BalloonTextChar"/>
    <w:uiPriority w:val="99"/>
    <w:semiHidden/>
    <w:unhideWhenUsed/>
    <w:rsid w:val="0021699B"/>
    <w:rPr>
      <w:rFonts w:ascii="Tahoma" w:hAnsi="Tahoma" w:cs="Tahoma"/>
      <w:sz w:val="16"/>
      <w:szCs w:val="16"/>
    </w:rPr>
  </w:style>
  <w:style w:type="character" w:customStyle="1" w:styleId="BalloonTextChar">
    <w:name w:val="Balloon Text Char"/>
    <w:basedOn w:val="DefaultParagraphFont"/>
    <w:link w:val="BalloonText"/>
    <w:uiPriority w:val="99"/>
    <w:semiHidden/>
    <w:rsid w:val="002169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2727</Words>
  <Characters>15550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CAP</cp:lastModifiedBy>
  <cp:revision>2</cp:revision>
  <dcterms:created xsi:type="dcterms:W3CDTF">2024-08-16T07:24:00Z</dcterms:created>
  <dcterms:modified xsi:type="dcterms:W3CDTF">2024-08-16T07:24:00Z</dcterms:modified>
</cp:coreProperties>
</file>