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10" w:rsidRDefault="00AC2D10" w:rsidP="00AC2D10">
      <w:pPr>
        <w:pStyle w:val="Heading4"/>
      </w:pPr>
      <w:bookmarkStart w:id="0" w:name="_Toc256001569"/>
      <w:r>
        <w:rPr>
          <w:noProof/>
        </w:rPr>
        <w:t>II.Ж.3 - Подкрепа на организации на производители или групи от производители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5145"/>
      </w:tblGrid>
      <w:tr w:rsidR="00AC2D10" w:rsidTr="00376C49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II.Ж.3</w:t>
            </w:r>
          </w:p>
        </w:tc>
      </w:tr>
      <w:tr w:rsidR="00AC2D10" w:rsidTr="00376C49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Подкрепа на организации на производители или групи от производители</w:t>
            </w:r>
          </w:p>
        </w:tc>
      </w:tr>
      <w:tr w:rsidR="00AC2D10" w:rsidTr="00376C49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COOP(77) - Сътрудничество</w:t>
            </w:r>
          </w:p>
        </w:tc>
      </w:tr>
      <w:tr w:rsidR="00AC2D10" w:rsidTr="00376C49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O.28. Брой на подпомаганите групи и организации на производители</w:t>
            </w:r>
          </w:p>
        </w:tc>
      </w:tr>
      <w:tr w:rsidR="00AC2D10" w:rsidTr="00376C49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Участие за изискването за обособяване на средства за/на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Приемственост между поколенията: Не</w:t>
            </w:r>
          </w:p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Околна среда: Не</w:t>
            </w:r>
          </w:p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Система за облекчения за екосхеми: </w:t>
            </w:r>
          </w:p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Подход LEADER: Не</w:t>
            </w:r>
          </w:p>
        </w:tc>
      </w:tr>
    </w:tbl>
    <w:p w:rsidR="00AC2D10" w:rsidRDefault="00AC2D10" w:rsidP="00AC2D10">
      <w:pPr>
        <w:pStyle w:val="Heading5"/>
        <w:rPr>
          <w:b w:val="0"/>
          <w:color w:val="000000"/>
          <w:sz w:val="24"/>
        </w:rPr>
      </w:pPr>
      <w:bookmarkStart w:id="1" w:name="_Toc256001570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1"/>
    </w:p>
    <w:p w:rsidR="00AC2D10" w:rsidRDefault="00AC2D10" w:rsidP="00AC2D10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AC2D10" w:rsidRDefault="00AC2D10" w:rsidP="00AC2D10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5"/>
        <w:gridCol w:w="5145"/>
      </w:tblGrid>
      <w:tr w:rsidR="00AC2D10" w:rsidTr="00376C49">
        <w:trPr>
          <w:trHeight w:val="160"/>
          <w:tblHeader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AC2D10" w:rsidTr="00376C49">
        <w:trPr>
          <w:trHeight w:val="16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2D10" w:rsidRDefault="00AC2D10" w:rsidP="00376C4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</w:pPr>
            <w:r>
              <w:rPr>
                <w:noProof/>
                <w:color w:val="333333"/>
                <w:shd w:val="clear" w:color="auto" w:fill="FFFFFF"/>
              </w:rPr>
              <w:t>Дейностите по интервенцията се осъществят на територията на Република България</w:t>
            </w:r>
          </w:p>
        </w:tc>
      </w:tr>
    </w:tbl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2" w:name="_Toc256001571"/>
      <w:r>
        <w:rPr>
          <w:b w:val="0"/>
          <w:i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2"/>
    </w:p>
    <w:p w:rsidR="00AC2D10" w:rsidRDefault="00AC2D10" w:rsidP="00AC2D10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AC2D10" w:rsidTr="00376C4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SO3 Подобряване на позицията на земеделските стопани във веригата на стойността</w:t>
            </w:r>
          </w:p>
        </w:tc>
      </w:tr>
      <w:tr w:rsidR="00AC2D10" w:rsidTr="00376C4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SO7 Привличане и запазване на млади земеделски стопани и други нови земеделски стопани и улесняване на устойчиво развитие на стопанска дейност в селските райони</w:t>
            </w:r>
          </w:p>
        </w:tc>
      </w:tr>
      <w:tr w:rsidR="00AC2D10" w:rsidTr="00376C4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SO9 Подобряване на отговора на селското стопанство в Съюза на обществените нужди от храна и здравеопазване, включително висококачествени, безопасни и питателни храни, произвеждани по устойчив начин, намаляване на хранителните отпадъци, както и подобряване на хуманното отношение към животните и борба с резистентностите към антимикробни средства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  <w:sz w:val="0"/>
        </w:rPr>
      </w:pPr>
    </w:p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3" w:name="_Toc256001572"/>
      <w:r>
        <w:rPr>
          <w:b w:val="0"/>
          <w:i w:val="0"/>
          <w:noProof/>
          <w:color w:val="000000"/>
          <w:sz w:val="24"/>
        </w:rPr>
        <w:t>3 Потребности, обхванати от интервенцията</w:t>
      </w:r>
      <w:bookmarkEnd w:id="3"/>
    </w:p>
    <w:p w:rsidR="00AC2D10" w:rsidRDefault="00AC2D10" w:rsidP="00AC2D10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2572"/>
        <w:gridCol w:w="2573"/>
        <w:gridCol w:w="2573"/>
      </w:tblGrid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П.3.1.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Повишаване нивото на организираност на земеделските производители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П.3.2.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Подобряване пазарния достъп на малките земеделски стопанства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П.7.4.  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Намаляване диспропорциите в земеделската заетост на младите стопани между различните райони исектори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П.9.4.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Подобряване качеството на храните, насърчаване консумацията на здравословна храна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4" w:name="_Toc256001573"/>
      <w:r>
        <w:rPr>
          <w:b w:val="0"/>
          <w:i w:val="0"/>
          <w:noProof/>
          <w:color w:val="000000"/>
          <w:sz w:val="24"/>
        </w:rPr>
        <w:t>4 Показател(и) за резултатите</w:t>
      </w:r>
      <w:bookmarkEnd w:id="4"/>
    </w:p>
    <w:p w:rsidR="00AC2D10" w:rsidRDefault="00AC2D10" w:rsidP="00AC2D10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AC2D10" w:rsidTr="00376C4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R.10 Дял на земеделските стопани, участващи в групи на производители, организации на производители, местни пазари, къси вериги на доставки и схеми за качество, подпомагани от ОСП</w:t>
            </w:r>
          </w:p>
        </w:tc>
      </w:tr>
    </w:tbl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5" w:name="_Toc256001574"/>
      <w:r>
        <w:rPr>
          <w:b w:val="0"/>
          <w:i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5"/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Опишете какви са специфичните цели и съдържанието на интервенцията, включително специфично насочване, принципи за избор, връзки към съответното законодателство, взаимно допълване с други интервенции/набори от операции в двата стълба и друга релевантна информация.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Обединяването на земеделските стопани в организации и групи на производители е механизъм посредством, които се цели концентрирането на произведената земеделска продукция, планиране и адаптиране на производството в съответствие с търсенето на пазара по отношение на качество и количество, намаляване на производствените разходи, увеличаване на договорната сила на производителите на селскостопанска продукция във взаимоотношенията им с търговци на едро и дребно и постигане на по-добра пазарна реализация.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За периода 2007-2017 г. в страната са признати общо 25 организации на производители. Най-голям е броят на организации на производители в секторите плодове и зеленчуци (9) и мляко (9), по две признати организации функционират в секторите зърнено-житни и маслодайни и медицински и етерично-маслени култури и по една в секторите пчелни продукти, месо и технически култури. Декларираният стойностен обем на реализираната продукция от организациите на производители варира в широки граници.От друга страна малкият брой на активните членове в организации на производители (ОП) и групи на производителите (ГП) и ниското равнище на организираност на земеделските производители и в други форми на коопериране, измерено с дял на търгуваната от обединенията продукция в общия дял на продажбите на земеделска продукция са характеристиките, които определят слабия ефект от функционирането на ГП/ОП и други форми на традиционно коопериране върху концентрацията на производството, конкурентоспособността, пазарната мощ и договорната сила на земеделските производители. Това е и причината за слабото влияние на групите и организациите върху доставката на качествени суровини за преработвателната промишленост и спазването на екологичните стандарти в Българското земеделие.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Стойностите на индикатора среден брой членове на една организация, показват, че размерът на признатите организации на производители е малък във всички сектори и техните възможности за концентрация на производството и за оказване на влияние върху конкурентоспособността, пазарната мощ и договорната сила на земеделските производители са незначителни.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Слабите резултати от функционирането на ГП/ОП, поради малкото участващи производители, от там и сравнително малкият дял на произведените селскостопански продукти от ГП/ОП на пазара, водят до влошаване на финансовите резултати и до отлив на членуващите в организациите производители, които не установяват особени ползи от членството си в тях.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Възможностите за подпомагане по ПРСР на ГП и ОП и за инвестиционна подкрепа на късите вериги на доставки, както и за инвестиционна подкрепа на преработката на суровини в земеделските стопанства, са предпоставки за окрупняване на производството и обединяване на производителите, за подобряване на логистиката, съхранението, предлагането и реализацията на селскостопанската продукция. В рамките на ПРСР 2014-2020 беше отчетен висок интерес от страна на групите и организациите на производители по отношение финансиране базирано на обема реализирани продажби.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Създава се възможност да бъде повишена мотивацията на земеделските производители за обединяване в групи и организации, посредством определянето на различни приоритети и механизми за подпомагане. Това е от особено значение за групите и организации, с цел повишаване на тяхната конкурентоспособност и устойчивост.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Посредством стимулите за увеличаване на равнището на организираност на земеделските производители ще бъде повишен делът на търгуваната от продукция в общия дял на продажбите на земеделска продукция.</w:t>
            </w:r>
          </w:p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По този начин ще се търси и повишаване на резултатите и ползите от функционирането на групи и организации, както и повишаване на интереса на стопаните към коопериране и повишаване на дела на произведените селскостопански продукти предлагани на пазара в комбинация с постигане на по – добри финансови резултати.</w:t>
            </w:r>
          </w:p>
          <w:p w:rsidR="00AC2D10" w:rsidRDefault="00AC2D10" w:rsidP="00376C49">
            <w:pPr>
              <w:spacing w:before="40" w:after="40"/>
            </w:pPr>
            <w:r>
              <w:rPr>
                <w:b/>
                <w:bCs/>
                <w:noProof/>
              </w:rPr>
              <w:t>Приоритетно насочване на подкрепата</w:t>
            </w:r>
          </w:p>
          <w:p w:rsidR="00AC2D10" w:rsidRDefault="00AC2D10" w:rsidP="00376C49">
            <w:pPr>
              <w:spacing w:before="40" w:after="40"/>
            </w:pPr>
            <w:r>
              <w:rPr>
                <w:b/>
                <w:bCs/>
                <w:noProof/>
              </w:rPr>
              <w:t>·</w:t>
            </w:r>
            <w:r>
              <w:rPr>
                <w:noProof/>
              </w:rPr>
              <w:t xml:space="preserve"> С цел приоритетно подпомагане чрез интервенцията за селскостопански дейности определени в </w:t>
            </w:r>
            <w:r>
              <w:rPr>
                <w:noProof/>
              </w:rPr>
              <w:lastRenderedPageBreak/>
              <w:t>анализа като приоритетни ще бъде разработен подход, които да позволи целево насочване на финансирането в рамките на определените финансови условия.</w:t>
            </w:r>
          </w:p>
          <w:p w:rsidR="00913585" w:rsidRPr="00913585" w:rsidRDefault="00AC2D10" w:rsidP="00376C49">
            <w:pPr>
              <w:spacing w:before="40" w:after="40"/>
              <w:rPr>
                <w:noProof/>
                <w:lang w:val="bg-BG"/>
              </w:rPr>
            </w:pPr>
            <w:r>
              <w:rPr>
                <w:noProof/>
              </w:rPr>
              <w:t>За отпускането на тази помощ ще се използват принципи за подбор на операции, сред които (неизчерпателен списък): групите или организациите на производители развива</w:t>
            </w:r>
            <w:r w:rsidR="00913585" w:rsidRPr="00913585">
              <w:rPr>
                <w:noProof/>
                <w:color w:val="FF0000"/>
                <w:lang w:val="bg-BG"/>
              </w:rPr>
              <w:t>т</w:t>
            </w:r>
            <w:r>
              <w:rPr>
                <w:noProof/>
              </w:rPr>
              <w:t xml:space="preserve"> дейност в приоритетен сектор</w:t>
            </w:r>
            <w:r w:rsidR="00913585" w:rsidRPr="00913585">
              <w:rPr>
                <w:noProof/>
                <w:color w:val="FF0000"/>
              </w:rPr>
              <w:t>;</w:t>
            </w:r>
            <w:r w:rsidR="00913585">
              <w:rPr>
                <w:noProof/>
                <w:color w:val="FF0000"/>
                <w:lang w:val="bg-BG"/>
              </w:rPr>
              <w:t xml:space="preserve"> численост и/или състав на групите или организациите – млади</w:t>
            </w:r>
            <w:r w:rsidR="00A570D8">
              <w:rPr>
                <w:noProof/>
                <w:color w:val="FF0000"/>
                <w:lang w:val="bg-BG"/>
              </w:rPr>
              <w:t xml:space="preserve"> и/или малки и/или нови</w:t>
            </w:r>
            <w:r w:rsidR="00913585">
              <w:rPr>
                <w:noProof/>
                <w:color w:val="FF0000"/>
                <w:lang w:val="bg-BG"/>
              </w:rPr>
              <w:t xml:space="preserve"> фермери; </w:t>
            </w:r>
            <w:r w:rsidR="00A570D8">
              <w:rPr>
                <w:noProof/>
                <w:color w:val="FF0000"/>
                <w:lang w:val="bg-BG"/>
              </w:rPr>
              <w:t xml:space="preserve">проектни предложения, </w:t>
            </w:r>
            <w:r w:rsidR="00A570D8" w:rsidRPr="00A570D8">
              <w:rPr>
                <w:noProof/>
                <w:color w:val="FF0000"/>
                <w:lang w:val="bg-BG"/>
              </w:rPr>
              <w:t>в които е заложено обмяната на опит и обучения</w:t>
            </w:r>
            <w:r w:rsidR="00A570D8">
              <w:rPr>
                <w:noProof/>
                <w:color w:val="FF0000"/>
                <w:lang w:val="bg-BG"/>
              </w:rPr>
              <w:t>,</w:t>
            </w:r>
            <w:r w:rsidR="00A570D8" w:rsidRPr="00A570D8">
              <w:rPr>
                <w:noProof/>
                <w:color w:val="FF0000"/>
                <w:lang w:val="bg-BG"/>
              </w:rPr>
              <w:t xml:space="preserve"> допринасящи за по-доброто използване на иновациите, природните ресурси, околната среда и климата</w:t>
            </w:r>
            <w:r w:rsidR="00A570D8">
              <w:rPr>
                <w:noProof/>
                <w:color w:val="FF0000"/>
                <w:lang w:val="bg-BG"/>
              </w:rPr>
              <w:t xml:space="preserve"> и/или осигуряването на заетост.</w:t>
            </w:r>
          </w:p>
          <w:p w:rsidR="00AC2D10" w:rsidRPr="00913585" w:rsidRDefault="00AC2D10" w:rsidP="00376C49">
            <w:pPr>
              <w:spacing w:before="40" w:after="40"/>
              <w:rPr>
                <w:strike/>
                <w:noProof/>
                <w:color w:val="FF0000"/>
                <w:lang w:val="bg-BG"/>
              </w:rPr>
            </w:pPr>
            <w:r w:rsidRPr="00913585">
              <w:rPr>
                <w:strike/>
                <w:noProof/>
                <w:color w:val="FF0000"/>
              </w:rPr>
              <w:t>проектното предложение в които част от членовете на групата или организацията на производителите е съставена от млади фермери, проектното предложение в които част от членовете на групата или организацията на производителите са подпомогнати по Подпрограмата за малки стопанства. Подпомагат се проекти, в които е заложено обмяната на опит и обучения допринасящи за по-доброто използване на иновациите, природните ресурси, околната среда и климата</w:t>
            </w:r>
          </w:p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В процесът на оценка проектите на групите или организациите на производители, които не са събрали минималният брой точки няма да бъдат одобрени за подпомагане.</w:t>
            </w:r>
          </w:p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Управляващият орган ще определи критериите за подбор след съгласуването им с Комитета за наблюдение, вкл. точките за всеки критерий, както и минималния брой точки, над които дейността ще бъде одобрена за финансиране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Определете бенефициерите, отговарящи на критериите, както и специфичните критерии за допустимост, когато е приложимо за бенефициерите и площта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65A2" w:rsidRDefault="002365A2" w:rsidP="002365A2">
            <w:pPr>
              <w:spacing w:before="40" w:after="40"/>
              <w:jc w:val="both"/>
              <w:rPr>
                <w:b/>
                <w:bCs/>
                <w:noProof/>
                <w:color w:val="FF0000"/>
                <w:lang w:val="bg-BG"/>
              </w:rPr>
            </w:pPr>
            <w:r w:rsidRPr="002365A2">
              <w:rPr>
                <w:b/>
                <w:bCs/>
                <w:noProof/>
                <w:color w:val="FF0000"/>
              </w:rPr>
              <w:t>Подпомагат се групи и организации на производители, чи</w:t>
            </w:r>
            <w:r w:rsidR="00913585">
              <w:rPr>
                <w:b/>
                <w:bCs/>
                <w:noProof/>
                <w:color w:val="FF0000"/>
                <w:lang w:val="bg-BG"/>
              </w:rPr>
              <w:t>и</w:t>
            </w:r>
            <w:r w:rsidRPr="002365A2">
              <w:rPr>
                <w:b/>
                <w:bCs/>
                <w:noProof/>
                <w:color w:val="FF0000"/>
              </w:rPr>
              <w:t>то членове произвеждат продукти в един от секторите съгласно Регламент (ЕС) № 1308/2013 на Европейския парламент и на Съвета от 17 декември 2013 година за установяване на обща организация на пазарите на селскостопански продукти и за отмяна на регламенти (ЕИО) № 922/72, (ЕИО) № 234/79, (ЕО) № 1037/2001 и (ЕО) № 1234/2007</w:t>
            </w:r>
            <w:r w:rsidRPr="002365A2">
              <w:rPr>
                <w:b/>
                <w:bCs/>
                <w:noProof/>
                <w:color w:val="FF0000"/>
                <w:lang w:val="bg-BG"/>
              </w:rPr>
              <w:t xml:space="preserve"> и националното законодателство.</w:t>
            </w:r>
          </w:p>
          <w:p w:rsidR="00C51961" w:rsidRDefault="00C51961" w:rsidP="002365A2">
            <w:pPr>
              <w:spacing w:before="40" w:after="40"/>
              <w:jc w:val="both"/>
              <w:rPr>
                <w:b/>
                <w:bCs/>
                <w:noProof/>
                <w:color w:val="FF0000"/>
                <w:lang w:val="bg-BG"/>
              </w:rPr>
            </w:pP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зърнено-житни култури;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медицински и етерично-маслени култури;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зърнено-бобови култури;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технически култури, с изключение на тютюн;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картофи;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мляко и млечни продукти;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месо и месни продукти, с изключение на риба и аквакултури;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мед и пчелни продукти;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винено грозде;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яйца;</w:t>
            </w:r>
            <w:bookmarkStart w:id="6" w:name="_GoBack"/>
            <w:bookmarkEnd w:id="6"/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плодове и зеленчуци;</w:t>
            </w:r>
          </w:p>
          <w:p w:rsidR="00C51961" w:rsidRPr="001A1C59" w:rsidRDefault="00C51961" w:rsidP="00C51961">
            <w:pPr>
              <w:spacing w:before="40" w:after="40"/>
              <w:jc w:val="both"/>
              <w:rPr>
                <w:b/>
                <w:bCs/>
                <w:strike/>
                <w:noProof/>
                <w:lang w:val="bg-BG"/>
              </w:rPr>
            </w:pPr>
            <w:r w:rsidRPr="001A1C59">
              <w:rPr>
                <w:b/>
                <w:bCs/>
                <w:strike/>
                <w:noProof/>
                <w:lang w:val="bg-BG"/>
              </w:rPr>
              <w:t>· копринени буби;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Подпомагат се групи или организации на земеделски производители, които отговарят на следните условия: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е група или организация на производители призната от министъра на земеделието в съответствие със специфичното национално законодателство за тяхното признаване;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отговарят на определението за микро, малко и средно предприятие, съгласно Закона за малките и средните предприятия (ЗМСП) 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е регистрирана в Търговския регистър и регистъра на юридическите лица с нестопанска цел като търговско дружество по Търговския закон или кооперация съгласно Закона за кооперациите;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имат учредителен акт (дружествен договор/устав), както и вътрешни правила за работа на групата или организацията на производители;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да е група или организация на производители, чиято дейност съответства на една или няколко от </w:t>
            </w:r>
            <w:r>
              <w:rPr>
                <w:noProof/>
              </w:rPr>
              <w:lastRenderedPageBreak/>
              <w:t>целите на настоящата интервенцията;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Групите на земеделски производители трябва да отговарят и на следните допълнителни условия: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имат минимум четири члена;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предлагат всяка година на пазара продукция произведена от членовете си на стойност не по – малко от 25 000 лв.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За групи и организации на производители, регистрирани по Търговския закон, всеки член може да притежава не повече от 40 % от правото на глас. При определяне на процента на правото на глас се прилагат разпоредбите за свързани предприятия и предприятия партньори, съгласно чл. 4 от Закона за малките и средните предприятия;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Подпомагат се групи или организации на производители, членовете на които отговарят на следните изисквания: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са физически лица, еднолични търговци или юридически лица (с изключение на юридическите лица с нестопанска цел), които са регистрирани в ИСАК, и/или са регистрирани като земеделски стопани по реда на Наредба № 3 от 29 януари 1999 г. за създаване и поддържане на регистър на земеделските стопаникато производители на такива земеделски продукти или група от земеделски продукти, за които групата или организацията е призната;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да отговарят на изискванията на Закона за ветеринарномедицинската дейност за които е приложимо.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трябва да са производители на земеделските продукти, за които групата или организацията кандидатства за подпомагане.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Земеделски стопанин, който е производител на селскостопански продукт може да участва с всеки отделен вид селскостопански продукт, който произвежда като член само на една група или организация на производители.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Земеделски стопанин, които произвежда два или повече селскостопански продукти може да бъде член на различни групи или организации на производители за всеки един от тях.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.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Задайте отговарящите на критериите вид подпомагане (извън обхвата на ИСАК) или ангажименти (ИСАК) и други задължения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Допустимите кандидати трябва да представят бизнес план за период до 5 години, които включва подробно описание и информацията за показателите и дейностите, за периода, за които се кандидатства за отпускане на финансова помощ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Бизнес плана трябва да включва най – малко следните елементи: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описание на началното състояние на групата или организацията на производители; 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описание на концепцията за развитие, специфичните, дейности, цели и резултати, като например: 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Адаптиране към пазарните изисквания на продукцията; 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Съвместно пускане на стоки на пазара, включително подготовка за продажби;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Установяване на общи правила за информация за продукцията;</w:t>
            </w:r>
          </w:p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Изграждането на умения за стопанска и търговска дейност и организацията и улесняването на иновационните процеси.</w:t>
            </w:r>
          </w:p>
        </w:tc>
      </w:tr>
    </w:tbl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7" w:name="_Toc256001575"/>
      <w:r>
        <w:rPr>
          <w:b w:val="0"/>
          <w:i w:val="0"/>
          <w:noProof/>
          <w:color w:val="000000"/>
          <w:sz w:val="24"/>
        </w:rPr>
        <w:t>6 Определяне на уместни базови характеристики</w:t>
      </w:r>
      <w:bookmarkEnd w:id="7"/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8" w:name="_Toc256001576"/>
      <w:r>
        <w:rPr>
          <w:b w:val="0"/>
          <w:i w:val="0"/>
          <w:noProof/>
          <w:color w:val="000000"/>
          <w:sz w:val="24"/>
        </w:rPr>
        <w:t>7 Форма и ставка на подпомагане/суми/методи за изчисляване</w:t>
      </w:r>
      <w:bookmarkEnd w:id="8"/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Форма на подкрепа</w:t>
      </w:r>
    </w:p>
    <w:p w:rsidR="00AC2D10" w:rsidRDefault="00AC2D10" w:rsidP="00AC2D10">
      <w:pPr>
        <w:spacing w:before="20" w:after="20"/>
        <w:rPr>
          <w:b/>
          <w:color w:val="000000"/>
        </w:rPr>
      </w:pPr>
      <w:r>
        <w:rPr>
          <w:rFonts w:ascii="Wingdings" w:eastAsia="Wingdings" w:hAnsi="Wingdings" w:cs="Wingdings"/>
          <w:b/>
          <w:noProof/>
          <w:color w:val="000000"/>
        </w:rPr>
        <w:t></w:t>
      </w:r>
      <w:r>
        <w:rPr>
          <w:b/>
          <w:noProof/>
          <w:color w:val="000000"/>
        </w:rPr>
        <w:t xml:space="preserve"> Безвъзмездни средства</w:t>
      </w:r>
    </w:p>
    <w:p w:rsidR="00AC2D10" w:rsidRDefault="00AC2D10" w:rsidP="00AC2D10">
      <w:pPr>
        <w:spacing w:before="20" w:after="20"/>
        <w:rPr>
          <w:b/>
          <w:color w:val="000000"/>
        </w:rPr>
      </w:pPr>
      <w:r>
        <w:rPr>
          <w:rFonts w:ascii="Wingdings" w:eastAsia="Wingdings" w:hAnsi="Wingdings" w:cs="Wingdings"/>
          <w:b/>
          <w:noProof/>
          <w:color w:val="000000"/>
        </w:rPr>
        <w:t></w:t>
      </w:r>
      <w:r>
        <w:rPr>
          <w:b/>
          <w:noProof/>
          <w:color w:val="000000"/>
        </w:rPr>
        <w:t xml:space="preserve"> Финансов инструмент</w:t>
      </w:r>
    </w:p>
    <w:p w:rsidR="00AC2D10" w:rsidRDefault="00AC2D10" w:rsidP="00AC2D10">
      <w:pPr>
        <w:spacing w:before="20" w:after="20"/>
        <w:rPr>
          <w:color w:val="000000"/>
          <w:sz w:val="12"/>
        </w:rPr>
      </w:pPr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Вид на плащането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възстановяване на действително направени от бенефициера допустими разходи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единични разходи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еднократни суми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финансиране с единна ставка</w:t>
      </w:r>
    </w:p>
    <w:p w:rsidR="00AC2D10" w:rsidRDefault="00AC2D10" w:rsidP="00AC2D10">
      <w:pPr>
        <w:spacing w:before="20" w:after="20"/>
        <w:rPr>
          <w:color w:val="000000"/>
          <w:sz w:val="12"/>
        </w:rPr>
      </w:pPr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Основа за определянето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Средната единична стойност е определена на база исторически данни, като са взети предвид и предложените изисквания към кандидатите и очакваните ангажименти, които те трябва да изпълняват с цел получаване на подкрепата</w:t>
            </w:r>
            <w:r w:rsidRPr="00231397">
              <w:rPr>
                <w:noProof/>
              </w:rPr>
              <w:t xml:space="preserve">. </w:t>
            </w:r>
            <w:r w:rsidRPr="00231397">
              <w:rPr>
                <w:noProof/>
                <w:shd w:val="clear" w:color="auto" w:fill="FAFAFA"/>
              </w:rPr>
              <w:t xml:space="preserve">Методът за изчисляване на вида плащане за целите на подготовката на Стратегическия план за развитие на земеделието и селските райони през периода 2023-2027 г. е в съответствие с разпоредбите на чл. 83, пар. 2, т. а, букви ii) от Регламент(ЕС) 2021/2115 на Европейския парламент и на Съвета. 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Обхват на подпомагането на равнище бенефициер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</w:t>
            </w:r>
            <w:r>
              <w:rPr>
                <w:b/>
                <w:bCs/>
                <w:noProof/>
              </w:rPr>
              <w:t>Финансовата помощ по настоящата интервенция се предоставя в съответствие с чл.77, т.8 от Регламент (ЕС) №2021/2115.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</w:t>
            </w:r>
            <w:r>
              <w:rPr>
                <w:b/>
                <w:bCs/>
                <w:noProof/>
              </w:rPr>
              <w:t>Максималният размер на финансовата помощ за един кандидат на година, е не повече от 100 000 евро;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 xml:space="preserve">· </w:t>
            </w:r>
            <w:r>
              <w:rPr>
                <w:b/>
                <w:bCs/>
                <w:noProof/>
              </w:rPr>
              <w:t>Финансова помощ се изплаща за не повече от пет години считано от датата, на която групата или организацията на производители е призната в съответствие с националното законодателство;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Размерът на финансовата помощ за групите и организациите на производители е под формата на годишно плащане в съответствие с представения бизнес план и се определя като процент от стойността на годишната реализирана на пазара продукция от групата или организацията на производители както следва: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за първата година след признаване - 10%;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за втората година след признаване – 9,5%;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за третата година след признаване – 9%;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за четвъртата година след признаване – 8,5%;</w:t>
            </w: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· за петата година след признаване – 8%.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При изчисляване стойността на реализираната годишна пазарна продукция на групата или организацията на производители, не се включва стойността на реализираната продукция от земеделски производители, които не са членове на организацията.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 xml:space="preserve">Прогнозната стойност на финансовата помощ посочена от кандидата за всяка година от изпълнение на бизнес плана, трябва да съответства с капацитета за годишна реализация на </w:t>
            </w:r>
            <w:r>
              <w:rPr>
                <w:b/>
                <w:bCs/>
                <w:noProof/>
              </w:rPr>
              <w:lastRenderedPageBreak/>
              <w:t>пазара на продукция от кандидата.</w:t>
            </w:r>
          </w:p>
          <w:p w:rsidR="00AC2D10" w:rsidRDefault="00AC2D10" w:rsidP="00376C49">
            <w:pPr>
              <w:spacing w:before="40" w:after="40"/>
              <w:jc w:val="both"/>
            </w:pPr>
          </w:p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При определяне размера на финансовата помощ ще се извършва проверка за липса на двойно финансиране с други инструменти и механизми за предоставяне на финансова помощ;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Допълнително обяснение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В рамките на интервенцията не е допустимо авансова изплащане на финансова помощ.</w:t>
            </w:r>
          </w:p>
        </w:tc>
      </w:tr>
    </w:tbl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9" w:name="_Toc256001577"/>
      <w:r>
        <w:rPr>
          <w:b w:val="0"/>
          <w:i w:val="0"/>
          <w:noProof/>
          <w:color w:val="000000"/>
          <w:sz w:val="24"/>
        </w:rPr>
        <w:t>8 Информация относно оценката за държавна помощ</w:t>
      </w:r>
      <w:bookmarkEnd w:id="9"/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Интервенцията попада извън приложното поле на член 42 от ДФЕС и подлежи на оценка за държавна помощ: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Да      </w:t>
      </w:r>
      <w:r>
        <w:rPr>
          <w:rFonts w:ascii="Wingdings" w:eastAsia="Wingdings" w:hAnsi="Wingdings" w:cs="Wingdings"/>
          <w:noProof/>
          <w:color w:val="000000"/>
        </w:rPr>
        <w:t></w:t>
      </w:r>
      <w:r>
        <w:rPr>
          <w:noProof/>
          <w:color w:val="000000"/>
        </w:rPr>
        <w:t xml:space="preserve"> Не      </w:t>
      </w:r>
      <w:r>
        <w:rPr>
          <w:rFonts w:ascii="Wingdings" w:eastAsia="Wingdings" w:hAnsi="Wingdings" w:cs="Wingdings"/>
          <w:noProof/>
          <w:color w:val="000000"/>
        </w:rPr>
        <w:t></w:t>
      </w:r>
      <w:r>
        <w:rPr>
          <w:noProof/>
          <w:color w:val="000000"/>
        </w:rPr>
        <w:t xml:space="preserve"> Смесено участие      </w:t>
      </w:r>
    </w:p>
    <w:p w:rsidR="00AC2D10" w:rsidRDefault="00AC2D10" w:rsidP="00AC2D10">
      <w:pPr>
        <w:spacing w:before="20" w:after="20"/>
        <w:rPr>
          <w:color w:val="000000"/>
        </w:rPr>
      </w:pPr>
    </w:p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0" w:name="_Toc256001578"/>
      <w:r>
        <w:rPr>
          <w:b w:val="0"/>
          <w:i w:val="0"/>
          <w:noProof/>
          <w:color w:val="000000"/>
          <w:sz w:val="24"/>
        </w:rPr>
        <w:t>9 Допълнителни въпроси/информация за вида на интервенцията</w:t>
      </w:r>
      <w:bookmarkEnd w:id="10"/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Неприложимо</w:t>
      </w:r>
    </w:p>
    <w:p w:rsidR="00AC2D10" w:rsidRDefault="00AC2D10" w:rsidP="00AC2D10">
      <w:pPr>
        <w:spacing w:before="20" w:after="20"/>
        <w:rPr>
          <w:color w:val="000000"/>
        </w:rPr>
      </w:pPr>
    </w:p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1" w:name="_Toc256001579"/>
      <w:r>
        <w:rPr>
          <w:b w:val="0"/>
          <w:i w:val="0"/>
          <w:noProof/>
          <w:color w:val="000000"/>
          <w:sz w:val="24"/>
        </w:rPr>
        <w:t>10 Съответствие с правилата на СТО</w:t>
      </w:r>
      <w:bookmarkEnd w:id="11"/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AC2D10" w:rsidRDefault="00AC2D10" w:rsidP="00AC2D10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интервенцията спазва съответните разпоредби на приложение 2 към Споразумението за СТО за селското стопанство, както е посочено в член 10 от настоящия регламент и в приложение II към него(зелена кутия)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0"/>
      </w:tblGrid>
      <w:tr w:rsidR="00AC2D10" w:rsidTr="00376C4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C2D10" w:rsidRDefault="00AC2D10" w:rsidP="00376C49">
            <w:pPr>
              <w:spacing w:before="40" w:after="40"/>
              <w:jc w:val="both"/>
            </w:pPr>
            <w:r>
              <w:rPr>
                <w:noProof/>
              </w:rPr>
              <w:t>Интервенцията е в приложение II на Регламент (ЕС) №2021/2115 и е в съответствие с приложение 2 към Споразумението на СТО за селското стопанство и по-специално на параграф 2 „Общи услуги“ Политиките в тази категория включват разходи (или пропуснати приходи) във връзка с програми, които предоставят услуги или ползи за селското стопанство или селската общност.</w:t>
            </w:r>
          </w:p>
          <w:p w:rsidR="00AC2D10" w:rsidRDefault="00AC2D10" w:rsidP="00376C49">
            <w:pPr>
              <w:spacing w:before="40" w:after="40"/>
            </w:pPr>
            <w:r>
              <w:rPr>
                <w:noProof/>
              </w:rPr>
              <w:t>Те не включват директни плащания към производители или преработватели, тъй като съответните разходи се предоставят на групата/организацията производители за изпълнение на изследователски дейности, трансфер на технологии, маркетингови и промоционални услуги, включително пазарна информация, съвети и промоция, свързани с конкретни продукти, но с изключение на разходи за неопределени цели, които биха могли да бъдат използвани от продавачите за намаляване на продажната им цена или предоставяне на пряка икономическа изгода на купувачите; услуги за обучение, включително съоръжения за общо и специализирано обучениеи други действия за насърчаване и консултиране</w:t>
            </w:r>
          </w:p>
        </w:tc>
      </w:tr>
    </w:tbl>
    <w:p w:rsidR="00AC2D10" w:rsidRDefault="00AC2D10" w:rsidP="00AC2D10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2" w:name="_Toc256001580"/>
      <w:r>
        <w:rPr>
          <w:b w:val="0"/>
          <w:i w:val="0"/>
          <w:noProof/>
          <w:color w:val="000000"/>
          <w:sz w:val="24"/>
        </w:rPr>
        <w:t>11 Процентно участие, приложимо за тази интервенция</w:t>
      </w:r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1"/>
        <w:gridCol w:w="3249"/>
        <w:gridCol w:w="1872"/>
        <w:gridCol w:w="1881"/>
        <w:gridCol w:w="1957"/>
      </w:tblGrid>
      <w:tr w:rsidR="00AC2D10" w:rsidTr="00376C49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Член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Приложима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Минимална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Максимална ставка</w:t>
            </w:r>
          </w:p>
        </w:tc>
      </w:tr>
      <w:tr w:rsidR="00AC2D10" w:rsidTr="00376C49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BG - България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91(2)(a) - По-слабо развити региони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2D10" w:rsidRDefault="00AC2D10" w:rsidP="00376C4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85,00%</w:t>
            </w:r>
          </w:p>
        </w:tc>
      </w:tr>
    </w:tbl>
    <w:p w:rsidR="00AC2D10" w:rsidRDefault="00AC2D10" w:rsidP="00AC2D10">
      <w:pPr>
        <w:spacing w:before="20" w:after="20"/>
        <w:rPr>
          <w:color w:val="000000"/>
        </w:rPr>
        <w:sectPr w:rsidR="00AC2D10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668D1" w:rsidRDefault="00E668D1" w:rsidP="00913585">
      <w:pPr>
        <w:pStyle w:val="Heading5"/>
        <w:spacing w:before="20" w:after="20"/>
      </w:pPr>
    </w:p>
    <w:sectPr w:rsidR="00E668D1" w:rsidSect="00913585"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10"/>
    <w:rsid w:val="001A1C59"/>
    <w:rsid w:val="00231397"/>
    <w:rsid w:val="002365A2"/>
    <w:rsid w:val="002F7A9C"/>
    <w:rsid w:val="00913585"/>
    <w:rsid w:val="00A570D8"/>
    <w:rsid w:val="00AC2D10"/>
    <w:rsid w:val="00C51961"/>
    <w:rsid w:val="00D214C4"/>
    <w:rsid w:val="00E6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AC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C2D1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C2D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AC2D10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AC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C2D1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C2D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AC2D10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2588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MZH1</dc:creator>
  <cp:keywords/>
  <dc:description/>
  <cp:lastModifiedBy>Elena A. Ivanova</cp:lastModifiedBy>
  <cp:revision>6</cp:revision>
  <dcterms:created xsi:type="dcterms:W3CDTF">2024-08-21T13:50:00Z</dcterms:created>
  <dcterms:modified xsi:type="dcterms:W3CDTF">2024-08-23T12:15:00Z</dcterms:modified>
</cp:coreProperties>
</file>