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539" w:rsidRDefault="00210539" w:rsidP="00210539">
      <w:pPr>
        <w:pStyle w:val="Heading4"/>
      </w:pPr>
      <w:bookmarkStart w:id="0" w:name="_Toc256001436"/>
      <w:r>
        <w:rPr>
          <w:noProof/>
        </w:rPr>
        <w:t>II.A.1 - Биологично растениевъдство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II.A.1</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Биологично растениевъдство</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O.17. Брой на хектарите или брой на други единици, ползващи се от подпомагане за биологично земеделие</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Приемственост между поколенията: Не</w:t>
            </w:r>
          </w:p>
          <w:p w:rsidR="00210539" w:rsidRDefault="00210539" w:rsidP="00F24830">
            <w:pPr>
              <w:rPr>
                <w:color w:val="000000"/>
                <w:sz w:val="20"/>
              </w:rPr>
            </w:pPr>
            <w:r>
              <w:rPr>
                <w:noProof/>
                <w:color w:val="000000"/>
                <w:sz w:val="20"/>
              </w:rPr>
              <w:t>Околна среда: Да</w:t>
            </w:r>
          </w:p>
          <w:p w:rsidR="00210539" w:rsidRDefault="00210539" w:rsidP="00F24830">
            <w:pPr>
              <w:rPr>
                <w:color w:val="000000"/>
                <w:sz w:val="20"/>
              </w:rPr>
            </w:pPr>
            <w:r>
              <w:rPr>
                <w:noProof/>
                <w:color w:val="000000"/>
                <w:sz w:val="20"/>
              </w:rPr>
              <w:t>Система за облекчения за екосхеми: Не</w:t>
            </w:r>
          </w:p>
          <w:p w:rsidR="00210539" w:rsidRDefault="00210539" w:rsidP="00F24830">
            <w:pPr>
              <w:rPr>
                <w:color w:val="000000"/>
                <w:sz w:val="20"/>
              </w:rPr>
            </w:pPr>
            <w:r>
              <w:rPr>
                <w:noProof/>
                <w:color w:val="000000"/>
                <w:sz w:val="20"/>
              </w:rPr>
              <w:t>Подход LEADER: Не</w:t>
            </w:r>
          </w:p>
        </w:tc>
      </w:tr>
    </w:tbl>
    <w:p w:rsidR="00210539" w:rsidRDefault="00210539" w:rsidP="00210539">
      <w:pPr>
        <w:pStyle w:val="Heading5"/>
        <w:rPr>
          <w:b w:val="0"/>
          <w:color w:val="000000"/>
          <w:sz w:val="24"/>
        </w:rPr>
      </w:pPr>
      <w:bookmarkStart w:id="1" w:name="_Toc256001437"/>
      <w:r>
        <w:rPr>
          <w:b w:val="0"/>
          <w:noProof/>
          <w:color w:val="000000"/>
          <w:sz w:val="24"/>
        </w:rPr>
        <w:t>1 Териториално приложение и ако е уместно, регионално измерение</w:t>
      </w:r>
      <w:bookmarkEnd w:id="1"/>
    </w:p>
    <w:p w:rsidR="00210539" w:rsidRDefault="00210539" w:rsidP="00210539">
      <w:pPr>
        <w:rPr>
          <w:color w:val="000000"/>
          <w:sz w:val="0"/>
        </w:rPr>
      </w:pPr>
      <w:r>
        <w:rPr>
          <w:noProof/>
          <w:color w:val="000000"/>
        </w:rPr>
        <w:t xml:space="preserve">Териториално приложение: </w:t>
      </w:r>
      <w:r>
        <w:rPr>
          <w:b/>
          <w:noProof/>
          <w:color w:val="000000"/>
        </w:rPr>
        <w:t>Национално равнище</w:t>
      </w:r>
    </w:p>
    <w:p w:rsidR="00210539" w:rsidRDefault="00210539" w:rsidP="002105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210539" w:rsidTr="00F24830">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10539" w:rsidRDefault="00210539" w:rsidP="00F24830">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10539" w:rsidRDefault="00210539" w:rsidP="00F24830">
            <w:pPr>
              <w:rPr>
                <w:color w:val="000000"/>
                <w:sz w:val="20"/>
              </w:rPr>
            </w:pPr>
            <w:r>
              <w:rPr>
                <w:b/>
                <w:noProof/>
                <w:color w:val="000000"/>
                <w:sz w:val="20"/>
              </w:rPr>
              <w:t>Описание</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10539" w:rsidRDefault="00210539" w:rsidP="00F24830">
            <w:pPr>
              <w:rPr>
                <w:color w:val="000000"/>
                <w:sz w:val="20"/>
              </w:rPr>
            </w:pPr>
            <w:r>
              <w:rPr>
                <w:noProof/>
                <w:color w:val="000000"/>
                <w:sz w:val="20"/>
              </w:rPr>
              <w:t xml:space="preserve">България </w:t>
            </w:r>
          </w:p>
        </w:tc>
      </w:tr>
    </w:tbl>
    <w:p w:rsidR="00210539" w:rsidRDefault="00210539" w:rsidP="002105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10539" w:rsidRDefault="00210539" w:rsidP="00F24830">
            <w:pPr>
              <w:spacing w:before="40" w:after="40"/>
              <w:jc w:val="both"/>
            </w:pPr>
            <w:r>
              <w:rPr>
                <w:noProof/>
              </w:rPr>
              <w:t>Интервенцията се прилага на територията на цялата страна</w:t>
            </w:r>
          </w:p>
        </w:tc>
      </w:tr>
    </w:tbl>
    <w:p w:rsidR="00210539" w:rsidRDefault="00210539" w:rsidP="00210539">
      <w:pPr>
        <w:pStyle w:val="Heading5"/>
        <w:spacing w:before="20" w:after="20"/>
        <w:rPr>
          <w:b w:val="0"/>
          <w:i w:val="0"/>
          <w:color w:val="000000"/>
          <w:sz w:val="24"/>
        </w:rPr>
      </w:pPr>
      <w:bookmarkStart w:id="2" w:name="_Toc256001438"/>
      <w:r>
        <w:rPr>
          <w:b w:val="0"/>
          <w:i w:val="0"/>
          <w:noProof/>
          <w:color w:val="000000"/>
          <w:sz w:val="24"/>
        </w:rPr>
        <w:t>2 Свързани специфични цели, междусекторна цел и уместни секторни цели</w:t>
      </w:r>
      <w:bookmarkEnd w:id="2"/>
    </w:p>
    <w:p w:rsidR="00210539" w:rsidRDefault="00210539" w:rsidP="002105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210539" w:rsidTr="00F24830">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210539" w:rsidRDefault="00210539" w:rsidP="00210539">
      <w:pPr>
        <w:spacing w:before="20" w:after="20"/>
        <w:rPr>
          <w:color w:val="000000"/>
          <w:sz w:val="0"/>
        </w:rPr>
      </w:pPr>
    </w:p>
    <w:p w:rsidR="00210539" w:rsidRDefault="00210539" w:rsidP="00210539">
      <w:pPr>
        <w:pStyle w:val="Heading5"/>
        <w:spacing w:before="20" w:after="20"/>
        <w:rPr>
          <w:b w:val="0"/>
          <w:i w:val="0"/>
          <w:color w:val="000000"/>
          <w:sz w:val="24"/>
        </w:rPr>
      </w:pPr>
      <w:bookmarkStart w:id="3" w:name="_Toc256001439"/>
      <w:r>
        <w:rPr>
          <w:b w:val="0"/>
          <w:i w:val="0"/>
          <w:noProof/>
          <w:color w:val="000000"/>
          <w:sz w:val="24"/>
        </w:rPr>
        <w:t>3 Потребности, обхванати от интервенцията</w:t>
      </w:r>
      <w:bookmarkEnd w:id="3"/>
    </w:p>
    <w:p w:rsidR="00210539" w:rsidRDefault="00210539" w:rsidP="002105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2"/>
        <w:gridCol w:w="2362"/>
      </w:tblGrid>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color w:val="000000"/>
                <w:sz w:val="20"/>
              </w:rPr>
            </w:pPr>
            <w:r>
              <w:rPr>
                <w:b/>
                <w:noProof/>
                <w:color w:val="000000"/>
                <w:sz w:val="20"/>
              </w:rPr>
              <w:t>Разгледана в стратегически план по ОСП</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Да</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П.6.5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Насърчаване на практиките за разширяване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Да</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lastRenderedPageBreak/>
              <w:t>П.9.1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Насърчаване и подпомагане на биологичното земеделие, както и на научните изследвания в тази посока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Да</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Да</w:t>
            </w:r>
          </w:p>
        </w:tc>
      </w:tr>
    </w:tbl>
    <w:p w:rsidR="00210539" w:rsidRDefault="00210539" w:rsidP="00210539">
      <w:pPr>
        <w:pStyle w:val="Heading5"/>
        <w:spacing w:before="20" w:after="20"/>
        <w:rPr>
          <w:b w:val="0"/>
          <w:i w:val="0"/>
          <w:color w:val="000000"/>
          <w:sz w:val="24"/>
        </w:rPr>
      </w:pPr>
      <w:bookmarkStart w:id="4" w:name="_Toc256001440"/>
      <w:r>
        <w:rPr>
          <w:b w:val="0"/>
          <w:i w:val="0"/>
          <w:noProof/>
          <w:color w:val="000000"/>
          <w:sz w:val="24"/>
        </w:rPr>
        <w:t>4 Показател(и) за резултатите</w:t>
      </w:r>
      <w:bookmarkEnd w:id="4"/>
    </w:p>
    <w:p w:rsidR="00210539" w:rsidRDefault="00210539" w:rsidP="002105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R.21 Дял на използваната земеделска площ (ИЗП), обхваната от подпомагани ангажименти за качеството на водните обекти</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R.29 Дял на използваната земеделска площ (ИЗП), подпомагана по ОСП за органично земеделие, с разпределение за поддържане и преобразуване</w:t>
            </w:r>
          </w:p>
        </w:tc>
      </w:tr>
      <w:tr w:rsidR="00210539" w:rsidTr="00F24830">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210539" w:rsidRDefault="00210539" w:rsidP="00210539">
      <w:pPr>
        <w:pStyle w:val="Heading5"/>
        <w:spacing w:before="20" w:after="20"/>
        <w:rPr>
          <w:b w:val="0"/>
          <w:i w:val="0"/>
          <w:color w:val="000000"/>
          <w:sz w:val="24"/>
        </w:rPr>
      </w:pPr>
      <w:bookmarkStart w:id="5" w:name="_Toc256001441"/>
      <w:r>
        <w:rPr>
          <w:b w:val="0"/>
          <w:i w:val="0"/>
          <w:noProof/>
          <w:color w:val="000000"/>
          <w:sz w:val="24"/>
        </w:rPr>
        <w:t>5 Конкретен план, изисквания и условия за допустимост на интервенцията</w:t>
      </w:r>
      <w:bookmarkEnd w:id="5"/>
    </w:p>
    <w:p w:rsidR="00210539" w:rsidRDefault="00210539" w:rsidP="00210539">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10539" w:rsidRDefault="00210539" w:rsidP="00F24830">
            <w:pPr>
              <w:spacing w:before="40" w:after="40"/>
              <w:jc w:val="both"/>
            </w:pPr>
            <w:r>
              <w:rPr>
                <w:noProof/>
              </w:rPr>
              <w:t>Биологичното производство е устойчива система за управление, която се основава на общи и специфични принципи за биологично производство предвидени в Регламент (ЕС) 2018/848 относно биологичното производство и етикетирането на биологични продукти.</w:t>
            </w:r>
          </w:p>
          <w:p w:rsidR="00B67020" w:rsidRDefault="00B67020" w:rsidP="00F24830">
            <w:pPr>
              <w:spacing w:before="40" w:after="40"/>
              <w:jc w:val="both"/>
              <w:rPr>
                <w:noProof/>
              </w:rPr>
            </w:pPr>
          </w:p>
          <w:p w:rsidR="00210539" w:rsidRDefault="00210539" w:rsidP="00F24830">
            <w:pPr>
              <w:spacing w:before="40" w:after="40"/>
              <w:jc w:val="both"/>
            </w:pPr>
            <w:r>
              <w:rPr>
                <w:noProof/>
              </w:rPr>
              <w:t>Чрез прилагане на интервенцията се цели да се подпомогнат земеделските стопани, които искат да прилагат методите на биологичното производство в съответствие с изискванията на Регламент (ЕС) 2018/848 относно биологичното производство и етикетирането на биологични продукти в стопанствата, като се покрият разликите в допълнителните разходи и пропуснатите приходи при биологичния начин на отглеждане на земеделската продукция, сравнени с конвенционалните методи на производство.</w:t>
            </w:r>
          </w:p>
          <w:p w:rsidR="00B67020" w:rsidRDefault="00B67020" w:rsidP="00F24830">
            <w:pPr>
              <w:spacing w:before="40" w:after="40"/>
              <w:jc w:val="both"/>
              <w:rPr>
                <w:noProof/>
              </w:rPr>
            </w:pPr>
          </w:p>
          <w:p w:rsidR="00210539" w:rsidRDefault="00210539" w:rsidP="00F24830">
            <w:pPr>
              <w:spacing w:before="40" w:after="40"/>
              <w:jc w:val="both"/>
            </w:pPr>
            <w:r>
              <w:rPr>
                <w:noProof/>
              </w:rPr>
              <w:t xml:space="preserve">Очаква се интервенцията да доведе до положителен ефект и принос към устойчивото развитие на селските райони, като допринася за околната среда и смекчаването на последиците от изменението на климата. Предвид факта, че повечето биологични </w:t>
            </w:r>
            <w:r>
              <w:rPr>
                <w:noProof/>
              </w:rPr>
              <w:lastRenderedPageBreak/>
              <w:t xml:space="preserve">производители предпочитат да развиват къси вериги на доставки, се очаква също да допринесе за развитието на малките общности в селските райони. </w:t>
            </w:r>
          </w:p>
          <w:p w:rsidR="00B67020" w:rsidRDefault="00B67020" w:rsidP="00F24830">
            <w:pPr>
              <w:spacing w:before="40" w:after="40"/>
              <w:jc w:val="both"/>
              <w:rPr>
                <w:noProof/>
              </w:rPr>
            </w:pPr>
          </w:p>
          <w:p w:rsidR="00210539" w:rsidRDefault="00210539" w:rsidP="00F24830">
            <w:pPr>
              <w:spacing w:before="40" w:after="40"/>
              <w:jc w:val="both"/>
            </w:pPr>
            <w:r>
              <w:rPr>
                <w:noProof/>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rsidR="00210539" w:rsidRDefault="00210539" w:rsidP="00210539">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10539" w:rsidRDefault="00210539" w:rsidP="00F24830">
            <w:pPr>
              <w:spacing w:before="40" w:after="40"/>
              <w:jc w:val="both"/>
            </w:pPr>
            <w:r>
              <w:rPr>
                <w:noProof/>
              </w:rPr>
              <w:t>Земеделски стопани, които са регистрирани съгласно националното законодателство, имащи сключен договор с Контролиращо лице.Контролиращото лице трябва да е получило разрешение от министъра на земеделието за контрол и сертификация на биологично производство въз основа на 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tc>
      </w:tr>
    </w:tbl>
    <w:p w:rsidR="00210539" w:rsidRDefault="00210539" w:rsidP="00210539">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7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3"/>
      </w:tblGrid>
      <w:tr w:rsidR="00210539" w:rsidTr="00BE588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10539" w:rsidRDefault="00210539" w:rsidP="00210539">
            <w:pPr>
              <w:spacing w:before="40" w:after="40"/>
              <w:jc w:val="both"/>
            </w:pPr>
            <w:r>
              <w:rPr>
                <w:noProof/>
              </w:rPr>
              <w:t>Ангажиментите по интервенцията са обособени в две операции:</w:t>
            </w:r>
          </w:p>
          <w:p w:rsidR="00210539" w:rsidRDefault="00210539" w:rsidP="00210539">
            <w:pPr>
              <w:spacing w:before="40" w:after="40"/>
              <w:jc w:val="both"/>
            </w:pPr>
            <w:r>
              <w:rPr>
                <w:noProof/>
              </w:rPr>
              <w:t>• Плащания за преминаване към биологично растениевъдство</w:t>
            </w:r>
          </w:p>
          <w:p w:rsidR="00210539" w:rsidRDefault="00210539" w:rsidP="00210539">
            <w:pPr>
              <w:spacing w:before="40" w:after="40"/>
              <w:jc w:val="both"/>
            </w:pPr>
            <w:r>
              <w:rPr>
                <w:noProof/>
              </w:rPr>
              <w:t>• Плащания за поддържане на биологично растениевъдство</w:t>
            </w:r>
          </w:p>
          <w:p w:rsidR="00B67020" w:rsidRDefault="00B67020" w:rsidP="00210539">
            <w:pPr>
              <w:spacing w:before="40" w:after="40"/>
              <w:jc w:val="both"/>
              <w:rPr>
                <w:noProof/>
              </w:rPr>
            </w:pPr>
          </w:p>
          <w:p w:rsidR="00210539" w:rsidRDefault="00210539" w:rsidP="00210539">
            <w:pPr>
              <w:spacing w:before="40" w:after="40"/>
              <w:jc w:val="both"/>
            </w:pPr>
            <w:r>
              <w:rPr>
                <w:noProof/>
              </w:rPr>
              <w:t>Подпомагането по тази интервенция се предоставя под формата на годишни плащания на хектар земеделска площ.</w:t>
            </w:r>
          </w:p>
          <w:p w:rsidR="00B67020" w:rsidRDefault="00B67020" w:rsidP="00210539">
            <w:pPr>
              <w:spacing w:before="40" w:after="40"/>
              <w:jc w:val="both"/>
              <w:rPr>
                <w:noProof/>
              </w:rPr>
            </w:pPr>
          </w:p>
          <w:p w:rsidR="00210539" w:rsidRDefault="00210539" w:rsidP="00210539">
            <w:pPr>
              <w:spacing w:before="40" w:after="40"/>
              <w:jc w:val="both"/>
            </w:pPr>
            <w:r>
              <w:rPr>
                <w:noProof/>
              </w:rPr>
              <w:t>Земеделският стопанин може да поеме отделни ангажименти по двете операции съгласно изискванията на чл. 70 от Регламент (ЕС) 2021/2115.</w:t>
            </w:r>
          </w:p>
          <w:p w:rsidR="00B67020" w:rsidRDefault="00B67020" w:rsidP="00210539">
            <w:pPr>
              <w:spacing w:before="40" w:after="40"/>
              <w:jc w:val="both"/>
              <w:rPr>
                <w:noProof/>
              </w:rPr>
            </w:pPr>
          </w:p>
          <w:p w:rsidR="00210539" w:rsidRDefault="00210539" w:rsidP="00210539">
            <w:pPr>
              <w:spacing w:before="40" w:after="40"/>
              <w:jc w:val="both"/>
            </w:pPr>
            <w:r>
              <w:rPr>
                <w:noProof/>
              </w:rPr>
              <w:t>Задължително бенефициентите по интервенцията, трябва да спазват изискванията на Регламент (ЕС) 2018/848 относно биологичното производство и етикетирането на биологични продукти и да имат сключен договор за контрол и сертификация с контролиращо лице получило разрешение от министъра на земеделието за преминаване към и/или продължаване на управлението в съответствие с правилата за биологично производство.</w:t>
            </w:r>
          </w:p>
          <w:p w:rsidR="00B67020" w:rsidRDefault="00B67020" w:rsidP="00210539">
            <w:pPr>
              <w:spacing w:before="40" w:after="40"/>
              <w:jc w:val="both"/>
              <w:rPr>
                <w:noProof/>
              </w:rPr>
            </w:pPr>
          </w:p>
          <w:p w:rsidR="00210539" w:rsidRDefault="00210539" w:rsidP="00210539">
            <w:pPr>
              <w:spacing w:before="40" w:after="40"/>
              <w:jc w:val="both"/>
              <w:rPr>
                <w:noProof/>
              </w:rPr>
            </w:pPr>
            <w:r>
              <w:rPr>
                <w:noProof/>
              </w:rPr>
              <w:t xml:space="preserve">Цялото стопанство, с което се поема ангажимента, трябва да се управлява в съответствие с приложимите за биологичното производство изисквания в Регламент (ЕС) 2018/848 относно биологичното производство и етикетирането на биологични продукти,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 за преминаване към биологично производство и за небиологично производство, при условие че по отношение на производствените единици за небиологично производство растенията са от различни, лесно </w:t>
            </w:r>
            <w:r>
              <w:rPr>
                <w:noProof/>
              </w:rPr>
              <w:lastRenderedPageBreak/>
              <w:t>разграничими видове/сортове.</w:t>
            </w:r>
          </w:p>
          <w:p w:rsidR="00B67020" w:rsidRDefault="00B67020" w:rsidP="00210539">
            <w:pPr>
              <w:spacing w:before="40" w:after="40"/>
              <w:jc w:val="both"/>
            </w:pPr>
          </w:p>
          <w:p w:rsidR="00210539" w:rsidRDefault="00210539" w:rsidP="00210539">
            <w:pPr>
              <w:spacing w:before="40" w:after="40"/>
              <w:jc w:val="both"/>
              <w:rPr>
                <w:i/>
                <w:noProof/>
              </w:rPr>
            </w:pPr>
            <w:r w:rsidRPr="00B67020">
              <w:rPr>
                <w:i/>
                <w:noProof/>
              </w:rPr>
              <w:t>Общи изисквания по направленията за двете операции „Плащания за преминаване към биологично земеделие“ и „Плащания за поддържане на биологично земеделие“.</w:t>
            </w:r>
          </w:p>
          <w:p w:rsidR="00B67020" w:rsidRPr="00B67020" w:rsidRDefault="00B67020" w:rsidP="00210539">
            <w:pPr>
              <w:spacing w:before="40" w:after="40"/>
              <w:jc w:val="both"/>
              <w:rPr>
                <w:i/>
              </w:rPr>
            </w:pPr>
          </w:p>
          <w:p w:rsidR="00210539" w:rsidRDefault="00210539" w:rsidP="00210539">
            <w:pPr>
              <w:spacing w:before="40" w:after="40"/>
              <w:jc w:val="both"/>
            </w:pPr>
            <w:r>
              <w:rPr>
                <w:noProof/>
              </w:rPr>
              <w:t>Подпомагането е за земеделските площи, регистрирани в ИСАК, които отговарят на определението за „допустим хектар“.</w:t>
            </w:r>
          </w:p>
          <w:p w:rsidR="00B67020" w:rsidRDefault="00B67020" w:rsidP="00210539">
            <w:pPr>
              <w:spacing w:before="40" w:after="40"/>
              <w:jc w:val="both"/>
              <w:rPr>
                <w:noProof/>
              </w:rPr>
            </w:pPr>
          </w:p>
          <w:p w:rsidR="00B67020" w:rsidRDefault="00210539" w:rsidP="00210539">
            <w:pPr>
              <w:spacing w:before="40" w:after="40"/>
              <w:jc w:val="both"/>
              <w:rPr>
                <w:noProof/>
              </w:rPr>
            </w:pPr>
            <w:r>
              <w:rPr>
                <w:noProof/>
              </w:rPr>
              <w:t>Всички земеделски площи е необходимо да са под контрола на контролиращото лице.</w:t>
            </w:r>
          </w:p>
          <w:p w:rsidR="00B67020" w:rsidRDefault="00B67020" w:rsidP="00210539">
            <w:pPr>
              <w:spacing w:before="40" w:after="40"/>
              <w:jc w:val="both"/>
              <w:rPr>
                <w:noProof/>
              </w:rPr>
            </w:pPr>
          </w:p>
          <w:p w:rsidR="00F309B1" w:rsidRPr="00934B6D" w:rsidRDefault="00210539" w:rsidP="00210539">
            <w:pPr>
              <w:spacing w:before="40" w:after="40"/>
              <w:jc w:val="both"/>
              <w:rPr>
                <w:strike/>
                <w:noProof/>
              </w:rPr>
            </w:pPr>
            <w:r w:rsidRPr="00934B6D">
              <w:rPr>
                <w:strike/>
                <w:noProof/>
              </w:rPr>
              <w:t>Площта за извършване на дейности по двете операции може да бъде намалена с не повече от 10 %, като всяка година поне 90 % от площта се припокрива географски с площта, за която има поет ангажимент.</w:t>
            </w:r>
            <w:r w:rsidR="00CC6B2D" w:rsidRPr="00934B6D">
              <w:rPr>
                <w:strike/>
                <w:noProof/>
                <w:lang w:val="bg-BG"/>
              </w:rPr>
              <w:t xml:space="preserve"> </w:t>
            </w:r>
          </w:p>
          <w:p w:rsidR="00B67020" w:rsidRPr="00B67020" w:rsidRDefault="00B67020" w:rsidP="00210539">
            <w:pPr>
              <w:spacing w:before="40" w:after="40"/>
              <w:jc w:val="both"/>
              <w:rPr>
                <w:noProof/>
              </w:rPr>
            </w:pPr>
          </w:p>
          <w:p w:rsidR="00210539" w:rsidRDefault="00210539" w:rsidP="00210539">
            <w:pPr>
              <w:spacing w:before="40" w:after="40"/>
              <w:jc w:val="both"/>
            </w:pPr>
            <w:r>
              <w:rPr>
                <w:noProof/>
              </w:rPr>
              <w:t>Площи, заети с фуражни култури, както и постоянно затревени площи, участващи в формиране на размера на подпомагане съобразно съотношението, заложено в еко схемата за поддържане на биологично земеделие (селскостопански животни) по чл. 31 от Регламента за Стратегическите планове, не могат да получат подпомагане по интервенцията.</w:t>
            </w:r>
          </w:p>
          <w:p w:rsidR="00210539" w:rsidRDefault="00210539" w:rsidP="00210539">
            <w:pPr>
              <w:spacing w:before="40" w:after="40"/>
              <w:jc w:val="both"/>
            </w:pPr>
            <w:r>
              <w:rPr>
                <w:noProof/>
              </w:rPr>
              <w:t>Площи, заети с фуражни култури, които не са заявени по еко схемата за поддържане на биологично земеделие (селскостопански животни) по чл. 31 от Регламент (ЕС) 2021/2115, могат да получат подпомагане по интервенцията.</w:t>
            </w:r>
          </w:p>
          <w:p w:rsidR="00F309B1" w:rsidRDefault="00F309B1" w:rsidP="00210539">
            <w:pPr>
              <w:spacing w:before="40" w:after="40"/>
              <w:jc w:val="both"/>
              <w:rPr>
                <w:noProof/>
              </w:rPr>
            </w:pPr>
          </w:p>
          <w:p w:rsidR="00210539" w:rsidRPr="00F309B1" w:rsidRDefault="00210539" w:rsidP="00210539">
            <w:pPr>
              <w:spacing w:before="40" w:after="40"/>
              <w:jc w:val="both"/>
              <w:rPr>
                <w:i/>
              </w:rPr>
            </w:pPr>
            <w:r w:rsidRPr="00F309B1">
              <w:rPr>
                <w:i/>
                <w:noProof/>
              </w:rPr>
              <w:t>Специфични условия и изисквания по отделните операции въз основа на дейности от съответното направление:</w:t>
            </w:r>
          </w:p>
          <w:p w:rsidR="00210539" w:rsidRPr="00092A39" w:rsidRDefault="00210539" w:rsidP="00210539">
            <w:pPr>
              <w:spacing w:before="40" w:after="40"/>
              <w:jc w:val="both"/>
              <w:rPr>
                <w:b/>
              </w:rPr>
            </w:pPr>
            <w:r w:rsidRPr="00092A39">
              <w:rPr>
                <w:b/>
                <w:noProof/>
              </w:rPr>
              <w:t>1. „Плащания за преминаване към биологично растениъвъдство“:</w:t>
            </w:r>
          </w:p>
          <w:p w:rsidR="00210539" w:rsidRDefault="00210539" w:rsidP="00210539">
            <w:pPr>
              <w:spacing w:before="40" w:after="40"/>
              <w:jc w:val="both"/>
            </w:pPr>
            <w:r>
              <w:rPr>
                <w:noProof/>
              </w:rPr>
              <w:t>Ангажиментът за операцията е пет годишен в случаите, в които площите в стопанството са встъпили в период на преминаване към биологично растениевъдство. Въпреки че продължителността на периода за преминаване към биологично земеделие варира в зависимост от вида на отглежданите култури (между 2 и 3 години), помощта за подпомагането за преидода на преход се отпуска за срок от 5 години, считано от първата година на подаване на заявлението за помощ, за да се подкрепят всички земеделски стопани в промяната на техните практики, като им позволяват да придобият необходимите технически умения до постигане на стабилно ниво на добив. След изтичането на този период съгласно Регламент (ЕС) 2018/848, земеделският стопанин следва да предостави сертификат за биологична продукция.</w:t>
            </w:r>
          </w:p>
          <w:p w:rsidR="00B67020" w:rsidRDefault="00B67020" w:rsidP="00210539">
            <w:pPr>
              <w:spacing w:before="40" w:after="40"/>
              <w:jc w:val="both"/>
              <w:rPr>
                <w:noProof/>
              </w:rPr>
            </w:pPr>
          </w:p>
          <w:p w:rsidR="00210539" w:rsidRDefault="00210539" w:rsidP="00210539">
            <w:pPr>
              <w:spacing w:before="40" w:after="40"/>
              <w:jc w:val="both"/>
            </w:pPr>
            <w:r>
              <w:rPr>
                <w:noProof/>
              </w:rPr>
              <w:t>В случаите, в които съществуващите биологични стопанства добавят площи в период на преминаване към биологично земеделие, то тези площи получават подпомагане за целият период на ангажимента.</w:t>
            </w:r>
          </w:p>
          <w:p w:rsidR="00B67020" w:rsidRDefault="00B67020" w:rsidP="00210539">
            <w:pPr>
              <w:spacing w:before="40" w:after="40"/>
              <w:jc w:val="both"/>
              <w:rPr>
                <w:noProof/>
              </w:rPr>
            </w:pPr>
          </w:p>
          <w:p w:rsidR="00210539" w:rsidRDefault="00210539" w:rsidP="00210539">
            <w:pPr>
              <w:spacing w:before="40" w:after="40"/>
              <w:jc w:val="both"/>
            </w:pPr>
            <w:r>
              <w:rPr>
                <w:noProof/>
              </w:rPr>
              <w:t xml:space="preserve">Площите, преминали период на преход и получили подпомагане по операцията, не могат да бъдат подпомагани отново по същата операция. </w:t>
            </w:r>
          </w:p>
          <w:p w:rsidR="00B67020" w:rsidRDefault="00B67020" w:rsidP="00210539">
            <w:pPr>
              <w:spacing w:before="40" w:after="40"/>
              <w:jc w:val="both"/>
              <w:rPr>
                <w:noProof/>
              </w:rPr>
            </w:pPr>
          </w:p>
          <w:p w:rsidR="00210539" w:rsidRDefault="00210539" w:rsidP="00210539">
            <w:pPr>
              <w:spacing w:before="40" w:after="40"/>
              <w:jc w:val="both"/>
            </w:pPr>
            <w:r>
              <w:rPr>
                <w:noProof/>
              </w:rPr>
              <w:lastRenderedPageBreak/>
              <w:t>Площите, подпомогнати по мярка 11 „Биологично земеделие“ от ПРСР 2014-2020 г, както и площите, за които е бил отнет сертификат и/или за които е започнал нов преходен период, не могат да участват за подпомагане по тази операция.</w:t>
            </w:r>
          </w:p>
          <w:p w:rsidR="00B67020" w:rsidRDefault="00B67020" w:rsidP="00210539">
            <w:pPr>
              <w:spacing w:before="40" w:after="40"/>
              <w:jc w:val="both"/>
              <w:rPr>
                <w:noProof/>
              </w:rPr>
            </w:pPr>
          </w:p>
          <w:p w:rsidR="00210539" w:rsidRPr="00E43D4F" w:rsidRDefault="00210539" w:rsidP="00210539">
            <w:pPr>
              <w:spacing w:before="40" w:after="40"/>
              <w:jc w:val="both"/>
              <w:rPr>
                <w:color w:val="FF0000"/>
              </w:rPr>
            </w:pPr>
            <w:r w:rsidRPr="00860411">
              <w:rPr>
                <w:noProof/>
              </w:rPr>
              <w:t xml:space="preserve">До края на втората година от ангажимента, кандидатът за подпомагане </w:t>
            </w:r>
            <w:r w:rsidR="006B53AF" w:rsidRPr="00860411">
              <w:rPr>
                <w:noProof/>
                <w:lang w:val="bg-BG"/>
              </w:rPr>
              <w:t xml:space="preserve">или </w:t>
            </w:r>
            <w:r w:rsidR="006B53AF" w:rsidRPr="00860411">
              <w:rPr>
                <w:noProof/>
                <w:color w:val="FF0000"/>
                <w:lang w:val="bg-BG"/>
              </w:rPr>
              <w:t>упълномощено от него лице</w:t>
            </w:r>
            <w:r w:rsidR="006B53AF" w:rsidRPr="00860411">
              <w:rPr>
                <w:noProof/>
                <w:lang w:val="bg-BG"/>
              </w:rPr>
              <w:t xml:space="preserve"> </w:t>
            </w:r>
            <w:r w:rsidRPr="00860411">
              <w:rPr>
                <w:noProof/>
              </w:rPr>
              <w:t>трябва да премине обучение</w:t>
            </w:r>
            <w:r w:rsidR="000834FC" w:rsidRPr="00860411">
              <w:rPr>
                <w:noProof/>
                <w:lang w:val="bg-BG"/>
              </w:rPr>
              <w:t xml:space="preserve"> </w:t>
            </w:r>
            <w:r w:rsidR="00E43D4F" w:rsidRPr="00860411">
              <w:rPr>
                <w:noProof/>
              </w:rPr>
              <w:t>в областта на биологичното производство</w:t>
            </w:r>
            <w:r w:rsidR="00E43D4F" w:rsidRPr="00860411">
              <w:rPr>
                <w:noProof/>
                <w:lang w:val="bg-BG"/>
              </w:rPr>
              <w:t xml:space="preserve"> </w:t>
            </w:r>
            <w:proofErr w:type="gramStart"/>
            <w:r w:rsidR="00E43D4F" w:rsidRPr="00860411">
              <w:rPr>
                <w:noProof/>
                <w:lang w:val="bg-BG"/>
              </w:rPr>
              <w:t xml:space="preserve">или  </w:t>
            </w:r>
            <w:r w:rsidR="00E43D4F" w:rsidRPr="00860411">
              <w:rPr>
                <w:color w:val="FF0000"/>
                <w:lang w:val="en"/>
              </w:rPr>
              <w:t>агроекологично</w:t>
            </w:r>
            <w:proofErr w:type="gramEnd"/>
            <w:r w:rsidR="00E43D4F" w:rsidRPr="00860411">
              <w:rPr>
                <w:color w:val="FF0000"/>
                <w:lang w:val="en"/>
              </w:rPr>
              <w:t xml:space="preserve"> обучение в областта на земеделието</w:t>
            </w:r>
            <w:r w:rsidR="00E43D4F" w:rsidRPr="00860411">
              <w:rPr>
                <w:color w:val="FF0000"/>
                <w:lang w:val="bg-BG"/>
              </w:rPr>
              <w:t>,</w:t>
            </w:r>
            <w:r w:rsidR="00E43D4F" w:rsidRPr="00860411">
              <w:rPr>
                <w:noProof/>
                <w:color w:val="FF0000"/>
              </w:rPr>
              <w:t xml:space="preserve"> </w:t>
            </w:r>
            <w:r w:rsidR="00E43D4F" w:rsidRPr="00860411">
              <w:rPr>
                <w:noProof/>
                <w:color w:val="FF0000"/>
                <w:lang w:val="bg-BG"/>
              </w:rPr>
              <w:t>или да докаже придобит опит от предходен ангажимент.</w:t>
            </w:r>
            <w:r w:rsidR="00C4092D" w:rsidRPr="00860411">
              <w:rPr>
                <w:noProof/>
                <w:color w:val="FF0000"/>
                <w:lang w:val="bg-BG"/>
              </w:rPr>
              <w:t xml:space="preserve"> </w:t>
            </w:r>
          </w:p>
          <w:p w:rsidR="00934B6D" w:rsidRDefault="00934B6D" w:rsidP="00210539">
            <w:pPr>
              <w:spacing w:before="40" w:after="40"/>
              <w:jc w:val="both"/>
              <w:rPr>
                <w:noProof/>
              </w:rPr>
            </w:pPr>
          </w:p>
          <w:p w:rsidR="00210539" w:rsidRDefault="00210539" w:rsidP="00210539">
            <w:pPr>
              <w:spacing w:before="40" w:after="40"/>
              <w:jc w:val="both"/>
              <w:rPr>
                <w:noProof/>
              </w:rPr>
            </w:pPr>
            <w:r w:rsidRPr="00BC40A3">
              <w:rPr>
                <w:noProof/>
              </w:rPr>
              <w:t>Ангажиментът може да се разширява с площи, които отговарят на изискванията на тази операция, до края на третата година, съгласно подробни правила, разписани в националното законодателство.</w:t>
            </w:r>
            <w:r>
              <w:rPr>
                <w:noProof/>
              </w:rPr>
              <w:t xml:space="preserve"> </w:t>
            </w:r>
          </w:p>
          <w:p w:rsidR="004837A5" w:rsidRDefault="004837A5" w:rsidP="00210539">
            <w:pPr>
              <w:spacing w:before="40" w:after="40"/>
              <w:jc w:val="both"/>
            </w:pPr>
          </w:p>
          <w:p w:rsidR="00210539" w:rsidRPr="00D5534E" w:rsidRDefault="00210539" w:rsidP="00210539">
            <w:pPr>
              <w:spacing w:before="40" w:after="40"/>
              <w:jc w:val="both"/>
              <w:rPr>
                <w:b/>
              </w:rPr>
            </w:pPr>
            <w:r w:rsidRPr="00D5534E">
              <w:rPr>
                <w:b/>
                <w:noProof/>
              </w:rPr>
              <w:t>2. „Плащания за поддържане на биологично растениевъдство“</w:t>
            </w:r>
          </w:p>
          <w:p w:rsidR="00210539" w:rsidRDefault="00210539" w:rsidP="00210539">
            <w:pPr>
              <w:spacing w:before="40" w:after="40"/>
              <w:jc w:val="both"/>
            </w:pPr>
            <w:r>
              <w:rPr>
                <w:noProof/>
              </w:rPr>
              <w:t>Кандидатите за подпомагане поемат ангажимент да прилагат методите на биологично производство за период от пет последователни години. След изтичане на петгодишния период на ангажимента, кандидатите могат да удължават ангажимента си ежегодно до изтичане на програмния период.</w:t>
            </w:r>
          </w:p>
          <w:p w:rsidR="00B67020" w:rsidRDefault="00B67020" w:rsidP="00210539">
            <w:pPr>
              <w:spacing w:before="40" w:after="40"/>
              <w:jc w:val="both"/>
              <w:rPr>
                <w:strike/>
                <w:noProof/>
              </w:rPr>
            </w:pPr>
          </w:p>
          <w:p w:rsidR="00210539" w:rsidRPr="00B67020" w:rsidRDefault="00210539" w:rsidP="00210539">
            <w:pPr>
              <w:spacing w:before="40" w:after="40"/>
              <w:jc w:val="both"/>
              <w:rPr>
                <w:strike/>
                <w:noProof/>
              </w:rPr>
            </w:pPr>
            <w:r w:rsidRPr="00B67020">
              <w:rPr>
                <w:strike/>
                <w:noProof/>
              </w:rPr>
              <w:t>При увеличаване на общата одобрена площ по тази операция с до 10 % от първоначалния размер, но с не повече от 20 хектара, подпомаганите лица не поемат нов ангажимент, а разширяват ангажиментите си с новите площи за оставащия период, при условие че новите площи отговарят на изискванията на операцията.</w:t>
            </w:r>
          </w:p>
          <w:p w:rsidR="003106C3" w:rsidRPr="00B67020" w:rsidRDefault="003106C3" w:rsidP="00210539">
            <w:pPr>
              <w:spacing w:before="40" w:after="40"/>
              <w:jc w:val="both"/>
              <w:rPr>
                <w:strike/>
                <w:noProof/>
              </w:rPr>
            </w:pPr>
          </w:p>
          <w:p w:rsidR="00210539" w:rsidRPr="00B67020" w:rsidRDefault="00210539" w:rsidP="00210539">
            <w:pPr>
              <w:spacing w:before="40" w:after="40"/>
              <w:jc w:val="both"/>
              <w:rPr>
                <w:strike/>
                <w:noProof/>
                <w:color w:val="1F3864" w:themeColor="accent5" w:themeShade="80"/>
              </w:rPr>
            </w:pPr>
            <w:r w:rsidRPr="00B67020">
              <w:rPr>
                <w:strike/>
                <w:noProof/>
              </w:rPr>
              <w:t>При увеличаване на общата одобрена площ по тази операция с над 10 % от първоначалния размер или с повече от 20 хектара се поема нов ангажимент за всички подпомагани площи и те подлежат на ново одобрение в съответствие с изискванията на операцията.</w:t>
            </w:r>
          </w:p>
          <w:p w:rsidR="00B67020" w:rsidRDefault="00B67020" w:rsidP="00210539">
            <w:pPr>
              <w:spacing w:before="40" w:after="40"/>
              <w:jc w:val="both"/>
              <w:rPr>
                <w:noProof/>
              </w:rPr>
            </w:pPr>
          </w:p>
          <w:p w:rsidR="00210539" w:rsidRDefault="00210539" w:rsidP="00210539">
            <w:pPr>
              <w:spacing w:before="40" w:after="40"/>
              <w:jc w:val="both"/>
            </w:pPr>
            <w:r>
              <w:rPr>
                <w:noProof/>
              </w:rPr>
              <w:t>Земеделските стопани следва да предоставят всяка година от поетия многогодишен ангажимент:</w:t>
            </w:r>
          </w:p>
          <w:p w:rsidR="00210539" w:rsidRDefault="00210539" w:rsidP="00210539">
            <w:pPr>
              <w:spacing w:before="40" w:after="40"/>
              <w:jc w:val="both"/>
            </w:pPr>
            <w:r>
              <w:rPr>
                <w:noProof/>
              </w:rPr>
              <w:t>• сертификат за произведена от тях биологична растителна продукция с доказателства за добита продукция от всеки заявен земеделски парцел;</w:t>
            </w:r>
          </w:p>
          <w:p w:rsidR="00210539" w:rsidRDefault="00210539" w:rsidP="00210539">
            <w:pPr>
              <w:spacing w:before="40" w:after="40"/>
              <w:jc w:val="both"/>
            </w:pPr>
            <w:r>
              <w:rPr>
                <w:noProof/>
              </w:rPr>
              <w:t>• доказателства за реализация на сертифицираната биологична продукция, за която са получили подпомагане по операцията.</w:t>
            </w:r>
          </w:p>
          <w:p w:rsidR="00B67020" w:rsidRDefault="00B67020" w:rsidP="002323A8">
            <w:pPr>
              <w:spacing w:before="40" w:after="40"/>
              <w:jc w:val="both"/>
              <w:rPr>
                <w:noProof/>
              </w:rPr>
            </w:pPr>
          </w:p>
          <w:p w:rsidR="00210539" w:rsidRDefault="00210539" w:rsidP="002323A8">
            <w:pPr>
              <w:spacing w:before="40" w:after="40"/>
              <w:jc w:val="both"/>
            </w:pPr>
            <w:r>
              <w:rPr>
                <w:noProof/>
              </w:rPr>
              <w:t>Земеделските стопани могат да не предоставят доказателства за добита продукция от всеки заявен парцел и доказателства за реализация на сертифицирана биологична продукция, когато заявеният по операцията земеделски парцел е зает с биологични трайни насаждения, които са в младенчески период, който включва годините на създаване и отглеждане до встъпване в плододаване</w:t>
            </w:r>
            <w:r>
              <w:rPr>
                <w:noProof/>
                <w:lang w:val="bg-BG"/>
              </w:rPr>
              <w:t>,</w:t>
            </w:r>
            <w:r>
              <w:t xml:space="preserve"> </w:t>
            </w:r>
            <w:r w:rsidRPr="00B67020">
              <w:rPr>
                <w:noProof/>
                <w:color w:val="FF0000"/>
                <w:lang w:val="bg-BG"/>
              </w:rPr>
              <w:t>и/или е настъпило обстоятелство по чл. 3 от Регламент (ЕС) 2021/2116</w:t>
            </w:r>
            <w:r w:rsidRPr="00B67020">
              <w:rPr>
                <w:noProof/>
                <w:color w:val="FF0000"/>
              </w:rPr>
              <w:t>.</w:t>
            </w:r>
            <w:r w:rsidRPr="00D5534E">
              <w:rPr>
                <w:noProof/>
                <w:color w:val="FF0000"/>
              </w:rPr>
              <w:t xml:space="preserve"> </w:t>
            </w:r>
            <w:r>
              <w:rPr>
                <w:noProof/>
              </w:rPr>
              <w:t>Подробни правила ще бъдат разписани в националното законодателство.</w:t>
            </w:r>
          </w:p>
        </w:tc>
      </w:tr>
    </w:tbl>
    <w:p w:rsidR="00210539" w:rsidRDefault="00210539" w:rsidP="00210539">
      <w:pPr>
        <w:pStyle w:val="Heading5"/>
        <w:spacing w:before="20" w:after="20"/>
        <w:rPr>
          <w:b w:val="0"/>
          <w:i w:val="0"/>
          <w:color w:val="000000"/>
          <w:sz w:val="24"/>
        </w:rPr>
      </w:pPr>
      <w:bookmarkStart w:id="6" w:name="_Toc256001442"/>
      <w:r>
        <w:rPr>
          <w:b w:val="0"/>
          <w:i w:val="0"/>
          <w:noProof/>
          <w:color w:val="000000"/>
          <w:sz w:val="24"/>
        </w:rPr>
        <w:lastRenderedPageBreak/>
        <w:t>6 Определяне на уместни базови характеристики</w:t>
      </w:r>
      <w:bookmarkEnd w:id="6"/>
    </w:p>
    <w:p w:rsidR="00210539" w:rsidRDefault="00210539" w:rsidP="0021053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w:t>
      </w:r>
      <w:r>
        <w:rPr>
          <w:noProof/>
          <w:color w:val="000000"/>
        </w:rPr>
        <w:lastRenderedPageBreak/>
        <w:t>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210539" w:rsidRDefault="00210539" w:rsidP="00210539">
      <w:pPr>
        <w:spacing w:before="20" w:after="20"/>
        <w:rPr>
          <w:color w:val="000000"/>
        </w:rPr>
      </w:pPr>
      <w:r>
        <w:rPr>
          <w:noProof/>
          <w:color w:val="000000"/>
        </w:rPr>
        <w:t>Списък на приложимите стандарти за ДЗЕС и ЗИУ</w:t>
      </w:r>
    </w:p>
    <w:p w:rsidR="00210539" w:rsidRDefault="00210539" w:rsidP="002105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10539" w:rsidRDefault="00210539" w:rsidP="00F24830">
            <w:pPr>
              <w:spacing w:before="20" w:after="20"/>
              <w:rPr>
                <w:color w:val="000000"/>
                <w:sz w:val="20"/>
              </w:rPr>
            </w:pPr>
            <w:r>
              <w:rPr>
                <w:b/>
                <w:noProof/>
                <w:color w:val="000000"/>
                <w:sz w:val="20"/>
              </w:rPr>
              <w:t>Описание</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GAEC02</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Защита на влажните зони и торфищата</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GAEC03</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Забрана за изгаряне на стърнища от полски култури, освен по фитосанитарни причини</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GAEC04</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Изграждане на буферни ивици по продължението на водните басейни</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GAEC05</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Управление на обработката на почвата с цел намаляване на опасността от деградация и ерозия на почвата, включително предвид ъгъла на наклона</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GAEC06</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Минимално покриване на почвата с цел избягване на голи почви в най-чувствителните периоди</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GAEC07</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Сеитбооборот върху обработваема земя, с изключение на култури, отглеждани под вода</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GAEC08</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Минимален дял земеделска площ, предназначена за непроизводствени площи или обекти. Минимален дял от най-малко 4 % от обработваемата земя на равнище земеделско стопанство, предназначена за непроизводствени площи и обекти, включително земя, оставена под угар. Когато земеделски стопанин се ангажира да отдели най-малко 7 % от обработваемата си земя за непроизводствени площи или обекти, включително земя, оставена под угар, в рамките на подобрена екосхема в съответствие с член 31, параграф 6, делът, с който се покрива спазването на настоящия стандарт за ДЗЕС, се ограничава до 3 %. Минимален дял от най-малко 7 % от обработваемата земя на равнище земеделско стопанство, ако това включва също междинни култури или култури, които обогатяват почвата с азот, отглеждани без използването на продукти за растителна защита, от които 3 % са земя, оставена под угар, или непроизводствени обекти. Държавите членки следва да използват тегловен коефициент 0,3 за междинните култури. Запазване на особеностите на ландшафта. Забрана за рязане на живи плетове и дървета през размножителния период и периода на отглеждане при птиците. Прилагане, по възможност, на мерки за избягване на инвазивни растителни видове.</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GAEC09</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Забрана за промяна на предназначението или разораване на постоянно затревени площи, обозначени като екологично чувствителни постоянно затревени площи в зони от обхвата на „Натура 2000“</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SMR01</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 xml:space="preserve">Директива 2000/60/ЕО на Европейския парламент и на Съвета от 23 октомври 2000 г. за установяване на рамка за действията на Общността в областта на политиката за водите: член 11, параграф 3, букви д) и з) по отношение на задължителните изисквания за </w:t>
            </w:r>
            <w:r>
              <w:rPr>
                <w:noProof/>
                <w:color w:val="000000"/>
                <w:sz w:val="20"/>
              </w:rPr>
              <w:lastRenderedPageBreak/>
              <w:t>контрол на дифузни източници на замърсяване с фосфати</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lastRenderedPageBreak/>
              <w:t>SMR02</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SMR03</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SMR04</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Директива 92/43/ЕИО на Съвета от 21 май 1992 г. за опазване на естествените местообитания и на дивата флора и фауна: член 6, параграфи 1 и 2</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SMR07</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210539" w:rsidTr="00D5534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SMR08</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20" w:after="20"/>
              <w:rPr>
                <w:color w:val="000000"/>
                <w:sz w:val="20"/>
              </w:rPr>
            </w:pPr>
            <w:r>
              <w:rPr>
                <w:noProof/>
                <w:color w:val="000000"/>
                <w:sz w:val="20"/>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210539" w:rsidRDefault="00210539" w:rsidP="0021053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pPr>
            <w:r>
              <w:rPr>
                <w:noProof/>
              </w:rPr>
              <w:t>Неприложимо.</w:t>
            </w:r>
          </w:p>
        </w:tc>
      </w:tr>
    </w:tbl>
    <w:p w:rsidR="00210539" w:rsidRDefault="00210539" w:rsidP="00210539">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pPr>
            <w:r>
              <w:rPr>
                <w:noProof/>
              </w:rPr>
              <w:t xml:space="preserve">Биологичното растениевъдство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 </w:t>
            </w:r>
          </w:p>
        </w:tc>
      </w:tr>
    </w:tbl>
    <w:p w:rsidR="00210539" w:rsidRDefault="00210539" w:rsidP="00210539">
      <w:pPr>
        <w:pStyle w:val="Heading5"/>
        <w:spacing w:before="20" w:after="20"/>
        <w:rPr>
          <w:b w:val="0"/>
          <w:i w:val="0"/>
          <w:color w:val="000000"/>
          <w:sz w:val="24"/>
        </w:rPr>
      </w:pPr>
      <w:bookmarkStart w:id="7" w:name="_Toc256001443"/>
      <w:r>
        <w:rPr>
          <w:b w:val="0"/>
          <w:i w:val="0"/>
          <w:noProof/>
          <w:color w:val="000000"/>
          <w:sz w:val="24"/>
        </w:rPr>
        <w:t>7 Форма и ставка на подпомагане/суми/методи за изчисляване</w:t>
      </w:r>
      <w:bookmarkEnd w:id="7"/>
    </w:p>
    <w:p w:rsidR="00210539" w:rsidRDefault="00210539" w:rsidP="00210539">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210539" w:rsidRDefault="00210539" w:rsidP="00210539">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210539" w:rsidRDefault="00210539" w:rsidP="00210539">
      <w:pPr>
        <w:spacing w:before="20" w:after="20"/>
        <w:rPr>
          <w:color w:val="000000"/>
        </w:rPr>
      </w:pPr>
    </w:p>
    <w:p w:rsidR="00210539" w:rsidRDefault="00210539" w:rsidP="00210539">
      <w:pPr>
        <w:spacing w:before="20" w:after="20"/>
        <w:rPr>
          <w:color w:val="000000"/>
          <w:sz w:val="28"/>
        </w:rPr>
      </w:pPr>
      <w:r>
        <w:rPr>
          <w:noProof/>
          <w:color w:val="000000"/>
          <w:sz w:val="28"/>
        </w:rPr>
        <w:t>Раздел в обхвата на ИСАК</w:t>
      </w:r>
    </w:p>
    <w:p w:rsidR="00210539" w:rsidRDefault="00210539" w:rsidP="00210539">
      <w:pPr>
        <w:spacing w:before="20" w:after="20"/>
        <w:rPr>
          <w:color w:val="000000"/>
        </w:rPr>
      </w:pPr>
      <w:r>
        <w:rPr>
          <w:noProof/>
          <w:color w:val="000000"/>
        </w:rPr>
        <w:t>Вид на плащането</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210539" w:rsidRDefault="00210539" w:rsidP="00210539">
      <w:pPr>
        <w:spacing w:before="20" w:after="20"/>
        <w:rPr>
          <w:color w:val="000000"/>
          <w:sz w:val="12"/>
        </w:rPr>
      </w:pPr>
    </w:p>
    <w:p w:rsidR="00210539" w:rsidRDefault="00210539" w:rsidP="00210539">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jc w:val="both"/>
            </w:pPr>
            <w:r>
              <w:rPr>
                <w:b/>
                <w:bCs/>
                <w:noProof/>
              </w:rPr>
              <w:lastRenderedPageBreak/>
              <w:t>Подпомагането се предоставя под формата на годишни плащания на хектар използваема земеделска площ</w:t>
            </w:r>
          </w:p>
          <w:p w:rsidR="00210539" w:rsidRDefault="00210539" w:rsidP="00F24830">
            <w:pPr>
              <w:spacing w:before="40" w:after="40"/>
              <w:jc w:val="both"/>
            </w:pPr>
            <w:r>
              <w:rPr>
                <w:noProof/>
              </w:rPr>
              <w:t>За дейностите по операциите от интервенцията финансовото подпомагането се определя въз основа на дегресивни ставки на база заявения размер на площи от съответната група култури в стопанството.</w:t>
            </w:r>
          </w:p>
          <w:p w:rsidR="00210539" w:rsidRDefault="00210539" w:rsidP="00F24830">
            <w:pPr>
              <w:spacing w:before="40" w:after="40"/>
              <w:jc w:val="both"/>
            </w:pPr>
            <w:r>
              <w:rPr>
                <w:noProof/>
              </w:rPr>
              <w:t>Изчисленията се извършват на база средния размер на нивата на плащане към декларирани площи, определени както следва:</w:t>
            </w:r>
          </w:p>
          <w:p w:rsidR="00210539" w:rsidRDefault="00210539" w:rsidP="00F24830">
            <w:pPr>
              <w:spacing w:before="40" w:after="40"/>
              <w:jc w:val="both"/>
            </w:pPr>
            <w:r>
              <w:rPr>
                <w:noProof/>
                <w:u w:val="single"/>
              </w:rPr>
              <w:t>Размер на площите         Ставка</w:t>
            </w:r>
          </w:p>
          <w:p w:rsidR="00210539" w:rsidRDefault="00210539" w:rsidP="00F24830">
            <w:pPr>
              <w:spacing w:before="40" w:after="40"/>
              <w:jc w:val="both"/>
            </w:pPr>
            <w:r>
              <w:rPr>
                <w:noProof/>
              </w:rPr>
              <w:t>до 50 ха                                 100%</w:t>
            </w:r>
          </w:p>
          <w:p w:rsidR="00210539" w:rsidRDefault="00210539" w:rsidP="00F24830">
            <w:pPr>
              <w:spacing w:before="40" w:after="40"/>
              <w:jc w:val="both"/>
            </w:pPr>
            <w:r>
              <w:rPr>
                <w:noProof/>
              </w:rPr>
              <w:t>от 50.01 ха. до 100 ха.          50%</w:t>
            </w:r>
          </w:p>
          <w:p w:rsidR="00210539" w:rsidRDefault="00210539" w:rsidP="00F24830">
            <w:pPr>
              <w:spacing w:before="40" w:after="40"/>
              <w:jc w:val="both"/>
            </w:pPr>
            <w:r>
              <w:rPr>
                <w:noProof/>
              </w:rPr>
              <w:t>над 100 ха                             10%</w:t>
            </w:r>
          </w:p>
          <w:p w:rsidR="00210539" w:rsidRDefault="00210539" w:rsidP="00F24830">
            <w:pPr>
              <w:spacing w:before="40" w:after="40"/>
              <w:jc w:val="both"/>
            </w:pPr>
          </w:p>
          <w:p w:rsidR="00210539" w:rsidRDefault="00210539" w:rsidP="00F24830">
            <w:pPr>
              <w:spacing w:before="40" w:after="40"/>
              <w:jc w:val="both"/>
            </w:pPr>
            <w:r>
              <w:rPr>
                <w:noProof/>
              </w:rPr>
              <w:t>За културите попадащи в групата на полските култури, фуражните култури, както и за маслодайната роза изчисленията се извършват на база средния размер на нивата на плащане към декларираните площи както следва:</w:t>
            </w:r>
          </w:p>
          <w:p w:rsidR="00210539" w:rsidRDefault="00210539" w:rsidP="00F24830">
            <w:pPr>
              <w:spacing w:before="40" w:after="40"/>
              <w:jc w:val="both"/>
            </w:pPr>
          </w:p>
          <w:p w:rsidR="00210539" w:rsidRDefault="00210539" w:rsidP="00F24830">
            <w:pPr>
              <w:spacing w:before="40" w:after="40"/>
              <w:jc w:val="both"/>
            </w:pPr>
            <w:r>
              <w:rPr>
                <w:noProof/>
                <w:u w:val="single"/>
              </w:rPr>
              <w:t>Размер на площите              Ставка</w:t>
            </w:r>
          </w:p>
          <w:p w:rsidR="00210539" w:rsidRDefault="00210539" w:rsidP="00F24830">
            <w:pPr>
              <w:spacing w:before="40" w:after="40"/>
              <w:jc w:val="both"/>
            </w:pPr>
            <w:r>
              <w:rPr>
                <w:noProof/>
              </w:rPr>
              <w:t>до 200 ха                               100%</w:t>
            </w:r>
          </w:p>
          <w:p w:rsidR="00210539" w:rsidRDefault="00210539" w:rsidP="00F24830">
            <w:pPr>
              <w:spacing w:before="40" w:after="40"/>
              <w:jc w:val="both"/>
            </w:pPr>
            <w:r>
              <w:rPr>
                <w:noProof/>
              </w:rPr>
              <w:t>над 200 ха. до 300 ха.             50%</w:t>
            </w:r>
          </w:p>
          <w:p w:rsidR="00210539" w:rsidRDefault="00210539" w:rsidP="00F24830">
            <w:pPr>
              <w:spacing w:before="40" w:after="40"/>
              <w:jc w:val="both"/>
            </w:pPr>
            <w:r>
              <w:rPr>
                <w:noProof/>
              </w:rPr>
              <w:t>над 300 ха                              10%</w:t>
            </w:r>
          </w:p>
          <w:p w:rsidR="00210539" w:rsidRDefault="00210539" w:rsidP="00F24830">
            <w:pPr>
              <w:spacing w:before="40" w:after="40"/>
              <w:jc w:val="both"/>
            </w:pPr>
          </w:p>
          <w:p w:rsidR="00210539" w:rsidRDefault="00210539" w:rsidP="00F24830">
            <w:pPr>
              <w:spacing w:before="40" w:after="40"/>
              <w:jc w:val="both"/>
            </w:pPr>
            <w:r>
              <w:rPr>
                <w:noProof/>
              </w:rPr>
              <w:t>Подпомагането за сортове маслодайна роза от вида на Rosa damascena и Rosa Alba ще се извършва само на територията определена в географския район на защитеното географско указание „Българско розово масло“.</w:t>
            </w:r>
          </w:p>
          <w:p w:rsidR="00210539" w:rsidRDefault="00210539" w:rsidP="00F24830">
            <w:pPr>
              <w:spacing w:before="40" w:after="40"/>
              <w:jc w:val="both"/>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210539" w:rsidRDefault="00210539" w:rsidP="00F24830">
            <w:pPr>
              <w:spacing w:before="40" w:after="40"/>
            </w:pPr>
            <w:r>
              <w:rPr>
                <w:noProof/>
              </w:rPr>
              <w:t>Нивата на подпомагане са както следвa</w:t>
            </w:r>
          </w:p>
          <w:tbl>
            <w:tblPr>
              <w:tblStyle w:val="quill-better-table"/>
              <w:tblW w:w="5985" w:type="dxa"/>
              <w:tblCellSpacing w:w="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5E0" w:firstRow="1" w:lastRow="1" w:firstColumn="1" w:lastColumn="1" w:noHBand="0" w:noVBand="1"/>
            </w:tblPr>
            <w:tblGrid>
              <w:gridCol w:w="1497"/>
              <w:gridCol w:w="1496"/>
              <w:gridCol w:w="1496"/>
              <w:gridCol w:w="1496"/>
            </w:tblGrid>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tcPr>
                <w:p w:rsidR="00210539" w:rsidRDefault="00210539" w:rsidP="00F24830">
                  <w:pPr>
                    <w:pStyle w:val="qlbt-cell-lineql-align-center"/>
                    <w:rPr>
                      <w:color w:val="000000"/>
                    </w:rPr>
                  </w:pP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rPr>
                      <w:color w:val="000000"/>
                    </w:rPr>
                  </w:pPr>
                  <w:r>
                    <w:rPr>
                      <w:b/>
                      <w:bCs/>
                      <w:noProof/>
                      <w:color w:val="000000"/>
                    </w:rPr>
                    <w:t>Основни типове земеделски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spacing w:after="240"/>
                    <w:rPr>
                      <w:color w:val="000000"/>
                    </w:rPr>
                  </w:pPr>
                  <w:r>
                    <w:rPr>
                      <w:b/>
                      <w:bCs/>
                      <w:noProof/>
                      <w:color w:val="000000"/>
                    </w:rPr>
                    <w:t>Преход</w:t>
                  </w:r>
                </w:p>
                <w:p w:rsidR="00210539" w:rsidRDefault="00210539" w:rsidP="00F24830">
                  <w:pPr>
                    <w:pStyle w:val="qlbt-cell-lineql-align-center"/>
                    <w:spacing w:before="240"/>
                    <w:rPr>
                      <w:color w:val="000000"/>
                    </w:rPr>
                  </w:pP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spacing w:after="240"/>
                    <w:rPr>
                      <w:color w:val="000000"/>
                    </w:rPr>
                  </w:pPr>
                  <w:r>
                    <w:rPr>
                      <w:b/>
                      <w:bCs/>
                      <w:noProof/>
                      <w:color w:val="000000"/>
                    </w:rPr>
                    <w:t>Био</w:t>
                  </w:r>
                </w:p>
                <w:p w:rsidR="00210539" w:rsidRDefault="00210539" w:rsidP="00F24830">
                  <w:pPr>
                    <w:pStyle w:val="qlbt-cell-lineql-align-center"/>
                    <w:spacing w:before="240"/>
                    <w:rPr>
                      <w:color w:val="000000"/>
                    </w:rPr>
                  </w:pP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Зърнено-житни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359.92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285.56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Зърнено-бобови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223.73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177.51</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индустриални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255.69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202.86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Технически </w:t>
                  </w:r>
                  <w:r>
                    <w:rPr>
                      <w:noProof/>
                      <w:color w:val="000000"/>
                    </w:rPr>
                    <w:lastRenderedPageBreak/>
                    <w:t>култури - маслодайни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324.97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257.84</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влакнодайни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250.22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198.52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медицински и ароматни култури, без билки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394.16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333.06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759.27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589.26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листностъблени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744.08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577.48</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кореноплодни зеленчукови култури, картофи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698.53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542.12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луковични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455.56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353.56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многогодишни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759.27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589.26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Отопляеми оранжерийни площи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2163.92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1679.4</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Неотопляеми </w:t>
                  </w:r>
                  <w:r>
                    <w:rPr>
                      <w:noProof/>
                      <w:color w:val="000000"/>
                    </w:rPr>
                    <w:lastRenderedPageBreak/>
                    <w:t>оранжерийни площи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857.97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665.87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14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Десертни лозя</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1352.94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1094.73</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Винени лозя</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646.19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522.86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Семкови и костилкови овощни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1461.65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1182.7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Ядкови (черупкови)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735.76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595.34</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Ягодоплодни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1461.65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1182.7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Многогодишни медицински и ароматни култури, без билки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628.3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530.9</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Маслодайна роза – Rosa damascena Mill и Rosa alba L</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897.45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837.5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Култивирани гъби(субстрати от компоненти съгласно Приложение 2, част I, т, 2,1 от Регламент (ЕО) 848/2018)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455.56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353.56</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Площи за производство на биологичен растителен </w:t>
                  </w:r>
                  <w:r>
                    <w:rPr>
                      <w:noProof/>
                      <w:color w:val="000000"/>
                    </w:rPr>
                    <w:lastRenderedPageBreak/>
                    <w:t>репродуктивен материал и растителен репродуктивен материал, произведен при преход към биологично производство</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949.09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736.58</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23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Билки и горски плодове (по списък, утвърден в националното законодателство)</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723.75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585.63</w:t>
                  </w:r>
                </w:p>
              </w:tc>
            </w:tr>
          </w:tbl>
          <w:p w:rsidR="00210539" w:rsidRDefault="00210539" w:rsidP="00F24830">
            <w:pPr>
              <w:spacing w:before="40" w:after="40"/>
            </w:pPr>
          </w:p>
          <w:p w:rsidR="00210539" w:rsidRDefault="00210539" w:rsidP="00F24830">
            <w:pPr>
              <w:spacing w:before="40" w:after="40"/>
              <w:jc w:val="both"/>
            </w:pPr>
            <w:r>
              <w:rPr>
                <w:noProof/>
              </w:rPr>
              <w:t>За заявените за подпомагане площи след 01.01.2024 г. нивата на подпомагане са:</w:t>
            </w:r>
          </w:p>
          <w:tbl>
            <w:tblPr>
              <w:tblStyle w:val="quill-better-table"/>
              <w:tblW w:w="0" w:type="auto"/>
              <w:tblCellSpacing w:w="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5E0" w:firstRow="1" w:lastRow="1" w:firstColumn="1" w:lastColumn="1" w:noHBand="0" w:noVBand="1"/>
            </w:tblPr>
            <w:tblGrid>
              <w:gridCol w:w="1545"/>
              <w:gridCol w:w="1545"/>
              <w:gridCol w:w="1545"/>
              <w:gridCol w:w="1545"/>
            </w:tblGrid>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tcPr>
                <w:p w:rsidR="00210539" w:rsidRDefault="00210539" w:rsidP="00F24830">
                  <w:pPr>
                    <w:pStyle w:val="qlbt-cell-lineql-align-center"/>
                    <w:rPr>
                      <w:color w:val="000000"/>
                    </w:rPr>
                  </w:pP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rPr>
                      <w:color w:val="000000"/>
                    </w:rPr>
                  </w:pPr>
                  <w:r>
                    <w:rPr>
                      <w:b/>
                      <w:bCs/>
                      <w:noProof/>
                      <w:color w:val="000000"/>
                    </w:rPr>
                    <w:t>Основни типове земеделски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spacing w:after="240"/>
                    <w:rPr>
                      <w:color w:val="000000"/>
                    </w:rPr>
                  </w:pPr>
                  <w:r>
                    <w:rPr>
                      <w:b/>
                      <w:bCs/>
                      <w:noProof/>
                      <w:color w:val="000000"/>
                    </w:rPr>
                    <w:t>Преход</w:t>
                  </w:r>
                </w:p>
                <w:p w:rsidR="00210539" w:rsidRDefault="00210539" w:rsidP="00F24830">
                  <w:pPr>
                    <w:pStyle w:val="qlbt-cell-lineql-align-center"/>
                    <w:spacing w:before="240"/>
                    <w:rPr>
                      <w:color w:val="000000"/>
                    </w:rPr>
                  </w:pP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center"/>
                    <w:spacing w:after="240"/>
                    <w:rPr>
                      <w:color w:val="000000"/>
                    </w:rPr>
                  </w:pPr>
                  <w:r>
                    <w:rPr>
                      <w:b/>
                      <w:bCs/>
                      <w:noProof/>
                      <w:color w:val="000000"/>
                    </w:rPr>
                    <w:t>Био</w:t>
                  </w:r>
                </w:p>
                <w:p w:rsidR="00210539" w:rsidRDefault="00210539" w:rsidP="00F24830">
                  <w:pPr>
                    <w:pStyle w:val="qlbt-cell-lineql-align-center"/>
                    <w:spacing w:before="240"/>
                    <w:rPr>
                      <w:color w:val="000000"/>
                    </w:rPr>
                  </w:pP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Зърнено-житни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371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297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Зърнено-бобови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231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185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индустриални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264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211</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маслодайни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335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268</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Технически култури - влакнодайни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258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207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Технически </w:t>
                  </w:r>
                  <w:r>
                    <w:rPr>
                      <w:noProof/>
                      <w:color w:val="000000"/>
                    </w:rPr>
                    <w:lastRenderedPageBreak/>
                    <w:t>култури - медицински и ароматни култури, без билки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445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384</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Фуражни култури - едногодишни фуражни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166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145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Фуражни култури - многогодишни фуражни култури </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182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159</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1038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862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листностъблени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966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801</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кореноплодни зеленчукови култури, картофи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987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818</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луковични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623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517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Зеленчуци - многогодишни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1038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862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Отопляеми оранжерийни площи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2960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2455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Неотопляеми </w:t>
                  </w:r>
                  <w:r>
                    <w:rPr>
                      <w:noProof/>
                      <w:color w:val="000000"/>
                    </w:rPr>
                    <w:lastRenderedPageBreak/>
                    <w:t>оранжерийни площи - плодови зеленчукови култури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1173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974</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16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Десертни лозя</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1448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1190</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Винени лозя</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931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765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Семкови и костилкови овощни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1499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1232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19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Ядкови (черупкови)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787</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647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Ягодоплодни видове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1564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1285</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Многогодишни медицински и ароматни култури, без билки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709</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612</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22</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Маслодайна роза – Rosa damascena Mill и Rosa alba L</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981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928</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Култивирани гъби(субстрати от компоненти съгласно Приложение 2, част I, т, 2,1 от Регламент (ЕО) 848/2018)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623</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517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24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 xml:space="preserve">Площи за производство на биологичен растителен репродуктивен материал и растителен </w:t>
                  </w:r>
                  <w:r>
                    <w:rPr>
                      <w:noProof/>
                      <w:color w:val="000000"/>
                    </w:rPr>
                    <w:lastRenderedPageBreak/>
                    <w:t>репродуктивен материал, произведен при преход към биологично производство</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lastRenderedPageBreak/>
                    <w:t>1298</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1077</w:t>
                  </w:r>
                </w:p>
              </w:tc>
            </w:tr>
            <w:tr w:rsidR="00210539" w:rsidTr="00F24830">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lastRenderedPageBreak/>
                    <w:t>25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
                    <w:rPr>
                      <w:color w:val="000000"/>
                    </w:rPr>
                  </w:pPr>
                  <w:r>
                    <w:rPr>
                      <w:noProof/>
                      <w:color w:val="000000"/>
                    </w:rPr>
                    <w:t>Билки и горски плодове (по списък, утвърден в националното законодателство)</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774</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210539" w:rsidRDefault="00210539" w:rsidP="00F24830">
                  <w:pPr>
                    <w:pStyle w:val="qlbt-cell-lineql-align-right"/>
                    <w:rPr>
                      <w:color w:val="000000"/>
                    </w:rPr>
                  </w:pPr>
                  <w:r>
                    <w:rPr>
                      <w:noProof/>
                      <w:color w:val="000000"/>
                    </w:rPr>
                    <w:t>636</w:t>
                  </w:r>
                </w:p>
              </w:tc>
            </w:tr>
          </w:tbl>
          <w:p w:rsidR="00210539" w:rsidRDefault="00210539" w:rsidP="00F24830"/>
        </w:tc>
      </w:tr>
    </w:tbl>
    <w:p w:rsidR="00210539" w:rsidRDefault="00210539" w:rsidP="00210539">
      <w:pPr>
        <w:spacing w:before="20" w:after="20"/>
        <w:rPr>
          <w:color w:val="000000"/>
        </w:rPr>
      </w:pPr>
      <w:r>
        <w:rPr>
          <w:noProof/>
          <w:color w:val="000000"/>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pPr>
            <w:r>
              <w:rPr>
                <w:noProof/>
              </w:rPr>
              <w:t>Изчисленията са извършени съгласно изискванията на чл.82 отРегламент (ЕС)2021/2115 и са представени в Методология за изчисляване на компенсаторни плащания по интервенция Биологично растениевъдство</w:t>
            </w:r>
          </w:p>
        </w:tc>
      </w:tr>
    </w:tbl>
    <w:p w:rsidR="00210539" w:rsidRDefault="00210539" w:rsidP="00210539">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jc w:val="both"/>
            </w:pPr>
            <w:r>
              <w:rPr>
                <w:noProof/>
              </w:rPr>
              <w:t>Плащанията за изпълнение на задължения в областта на околната среда и климата част от Стратегическия план, основните изисквания са посочени в Регламент(ЕС)2021/2115. Подкрепа и подобряването на опазването на околната среда и действията за климата са основен приоритет в ОСП за постигането на целите на Съюза в областта на околната среда и климата.</w:t>
            </w:r>
          </w:p>
          <w:p w:rsidR="004D52CF" w:rsidRDefault="004D52CF" w:rsidP="00F24830">
            <w:pPr>
              <w:spacing w:before="40" w:after="40"/>
              <w:jc w:val="both"/>
              <w:rPr>
                <w:noProof/>
              </w:rPr>
            </w:pPr>
          </w:p>
          <w:p w:rsidR="00210539" w:rsidRDefault="00210539" w:rsidP="00F24830">
            <w:pPr>
              <w:spacing w:before="40" w:after="40"/>
              <w:jc w:val="both"/>
            </w:pPr>
            <w:r>
              <w:rPr>
                <w:noProof/>
              </w:rPr>
              <w:t xml:space="preserve">Методологията за изчисляване е в съответствие с Регламент(ЕС) 2021/2115 и се базира на предоставените фишове за разписаните интервенции от Стратегическия план от страна на МЗм. Съгласно чл.70 от регламента за установяване на правила за подпомагане за стратегическите планове,плащанията се отпускат за покриване задължения, които: </w:t>
            </w:r>
          </w:p>
          <w:p w:rsidR="00210539" w:rsidRDefault="00210539" w:rsidP="00F24830">
            <w:pPr>
              <w:spacing w:before="40" w:after="40"/>
              <w:jc w:val="both"/>
            </w:pPr>
            <w:r>
              <w:rPr>
                <w:noProof/>
              </w:rPr>
              <w:t xml:space="preserve">А) надхвърлят съответните законоустановени изисквания зауправление и стандартите за ДЗЕС; </w:t>
            </w:r>
          </w:p>
          <w:p w:rsidR="00210539" w:rsidRDefault="00210539" w:rsidP="00F24830">
            <w:pPr>
              <w:spacing w:before="40" w:after="40"/>
              <w:jc w:val="both"/>
            </w:pPr>
            <w:r>
              <w:rPr>
                <w:noProof/>
              </w:rPr>
              <w:t>Б) надхвърлят съответните минимални изисквания за използване на торове и на продукти за растителна защита или за хуманно отношение към животните, както и съответните други задължителни изисквания, установени в националното право и в правото на Съюза;</w:t>
            </w:r>
          </w:p>
          <w:p w:rsidR="00210539" w:rsidRDefault="00210539" w:rsidP="00F24830">
            <w:pPr>
              <w:spacing w:before="40" w:after="40"/>
              <w:jc w:val="both"/>
            </w:pPr>
            <w:r>
              <w:rPr>
                <w:noProof/>
              </w:rPr>
              <w:t>В) надхвърлят условията, установени за поддържането на земеделските площи в съответствие с член 4, параграф 2, буква а) от Регламент 2021/2115 за Стратегическият план</w:t>
            </w:r>
          </w:p>
          <w:p w:rsidR="00210539" w:rsidRDefault="00210539" w:rsidP="00F24830">
            <w:pPr>
              <w:spacing w:before="40" w:after="40"/>
              <w:jc w:val="both"/>
            </w:pPr>
          </w:p>
          <w:p w:rsidR="00210539" w:rsidRDefault="00210539" w:rsidP="00F24830">
            <w:pPr>
              <w:spacing w:before="40" w:after="40"/>
              <w:jc w:val="both"/>
            </w:pPr>
            <w:r>
              <w:rPr>
                <w:noProof/>
              </w:rPr>
              <w:t xml:space="preserve">Подпомагането по тази интервенция се предоставя под формата на годишни плащания на хектар. </w:t>
            </w:r>
          </w:p>
          <w:p w:rsidR="00210539" w:rsidRDefault="00210539" w:rsidP="00F24830">
            <w:pPr>
              <w:spacing w:before="40" w:after="40"/>
              <w:jc w:val="both"/>
            </w:pPr>
            <w:r>
              <w:rPr>
                <w:noProof/>
              </w:rPr>
              <w:t>Ангажиментите по интервенцията са обособени в две операции:</w:t>
            </w:r>
          </w:p>
          <w:p w:rsidR="00210539" w:rsidRDefault="00210539" w:rsidP="00F24830">
            <w:pPr>
              <w:spacing w:before="40" w:after="40"/>
              <w:jc w:val="both"/>
            </w:pPr>
            <w:r>
              <w:rPr>
                <w:noProof/>
              </w:rPr>
              <w:t>·Плащания за преминаване към биологично растениевъдство</w:t>
            </w:r>
          </w:p>
          <w:p w:rsidR="00210539" w:rsidRDefault="00210539" w:rsidP="00F24830">
            <w:pPr>
              <w:spacing w:before="40" w:after="40"/>
              <w:jc w:val="both"/>
            </w:pPr>
            <w:r>
              <w:rPr>
                <w:noProof/>
              </w:rPr>
              <w:lastRenderedPageBreak/>
              <w:t>·Плащания за поддържане на биологично растениевъдство</w:t>
            </w:r>
          </w:p>
          <w:p w:rsidR="00210539" w:rsidRDefault="00210539" w:rsidP="00F24830">
            <w:pPr>
              <w:spacing w:before="40" w:after="40"/>
              <w:jc w:val="both"/>
            </w:pPr>
          </w:p>
          <w:p w:rsidR="00210539" w:rsidRDefault="00210539" w:rsidP="00F24830">
            <w:pPr>
              <w:spacing w:before="40" w:after="40"/>
              <w:jc w:val="both"/>
            </w:pPr>
            <w:r>
              <w:rPr>
                <w:noProof/>
              </w:rPr>
              <w:t>Подпомагането се основа на групиране на земеделски култури, като, с цел недопускане на свръх-компенсиране към основните типове, могат да се включат допълнителни земеделски култури с изчислен идентичен размер на подпомагане.</w:t>
            </w:r>
          </w:p>
        </w:tc>
      </w:tr>
    </w:tbl>
    <w:p w:rsidR="00210539" w:rsidRDefault="00210539" w:rsidP="00210539">
      <w:pPr>
        <w:pStyle w:val="Heading5"/>
        <w:spacing w:before="20" w:after="20"/>
        <w:rPr>
          <w:b w:val="0"/>
          <w:i w:val="0"/>
          <w:color w:val="000000"/>
          <w:sz w:val="24"/>
        </w:rPr>
      </w:pPr>
      <w:bookmarkStart w:id="8" w:name="_Toc256001444"/>
      <w:r>
        <w:rPr>
          <w:b w:val="0"/>
          <w:i w:val="0"/>
          <w:noProof/>
          <w:color w:val="000000"/>
          <w:sz w:val="24"/>
        </w:rPr>
        <w:lastRenderedPageBreak/>
        <w:t>8 Информация относно оценката за държавна помощ</w:t>
      </w:r>
      <w:bookmarkEnd w:id="8"/>
    </w:p>
    <w:p w:rsidR="00210539" w:rsidRDefault="00210539" w:rsidP="00210539">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210539" w:rsidRDefault="00210539" w:rsidP="00210539">
      <w:pPr>
        <w:spacing w:before="20" w:after="20"/>
        <w:rPr>
          <w:color w:val="000000"/>
        </w:rPr>
      </w:pPr>
    </w:p>
    <w:p w:rsidR="00210539" w:rsidRDefault="00210539" w:rsidP="00210539">
      <w:pPr>
        <w:pStyle w:val="Heading5"/>
        <w:spacing w:before="20" w:after="20"/>
        <w:rPr>
          <w:b w:val="0"/>
          <w:i w:val="0"/>
          <w:color w:val="000000"/>
          <w:sz w:val="24"/>
        </w:rPr>
      </w:pPr>
      <w:bookmarkStart w:id="9" w:name="_Toc256001445"/>
      <w:r>
        <w:rPr>
          <w:b w:val="0"/>
          <w:i w:val="0"/>
          <w:noProof/>
          <w:color w:val="000000"/>
          <w:sz w:val="24"/>
        </w:rPr>
        <w:t>9 Допълнителни въпроси/информация за вида на интервенцията</w:t>
      </w:r>
      <w:bookmarkEnd w:id="9"/>
    </w:p>
    <w:p w:rsidR="00210539" w:rsidRDefault="00210539" w:rsidP="00210539">
      <w:pPr>
        <w:spacing w:before="20" w:after="20"/>
        <w:rPr>
          <w:color w:val="000000"/>
        </w:rPr>
      </w:pPr>
      <w:r>
        <w:rPr>
          <w:noProof/>
          <w:color w:val="000000"/>
        </w:rPr>
        <w:t>Какви са моделите на ангажимента(ите) в интервенцията?</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210539" w:rsidRDefault="00210539" w:rsidP="00210539">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210539" w:rsidRDefault="00210539" w:rsidP="00210539">
      <w:pPr>
        <w:spacing w:before="20" w:after="20"/>
        <w:rPr>
          <w:color w:val="000000"/>
        </w:rPr>
      </w:pPr>
    </w:p>
    <w:p w:rsidR="00210539" w:rsidRDefault="00210539" w:rsidP="00210539">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jc w:val="both"/>
            </w:pPr>
            <w:r>
              <w:rPr>
                <w:noProof/>
              </w:rPr>
              <w:t>Земеделският стопанин може да поеме отделни ангажименти по двете операции съгласно изискванията на чл. 70 от Регламент 2021/2115.</w:t>
            </w:r>
          </w:p>
          <w:p w:rsidR="004D52CF" w:rsidRDefault="004D52CF" w:rsidP="00BC40A3">
            <w:pPr>
              <w:spacing w:before="40" w:after="40"/>
              <w:jc w:val="both"/>
              <w:rPr>
                <w:noProof/>
              </w:rPr>
            </w:pPr>
          </w:p>
          <w:p w:rsidR="00210539" w:rsidRDefault="00210539" w:rsidP="00BC40A3">
            <w:pPr>
              <w:spacing w:before="40" w:after="40"/>
              <w:jc w:val="both"/>
              <w:rPr>
                <w:noProof/>
              </w:rPr>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първа алинея на буква г) на параграф 3 от чл. 70 от Регламент 2021/2115 се предоставя възможност за преразглеждане, за да се гарантира адаптиране на ангажиментите. Когато тези изменения не бъдат приети от бенефициента, ангажиментът отпада и не се изисква възстановяване на средства по отношение на периода, през който е изпълняван ангажиментът.</w:t>
            </w:r>
          </w:p>
          <w:p w:rsidR="00934B6D" w:rsidRDefault="00934B6D" w:rsidP="00B67020">
            <w:pPr>
              <w:spacing w:before="40" w:after="40"/>
              <w:jc w:val="both"/>
              <w:rPr>
                <w:noProof/>
                <w:color w:val="FF0000"/>
              </w:rPr>
            </w:pPr>
          </w:p>
          <w:p w:rsidR="00934B6D" w:rsidRDefault="00934B6D" w:rsidP="00B67020">
            <w:pPr>
              <w:spacing w:before="40" w:after="40"/>
              <w:jc w:val="both"/>
              <w:rPr>
                <w:noProof/>
                <w:color w:val="FF0000"/>
              </w:rPr>
            </w:pPr>
            <w:r w:rsidRPr="00934B6D">
              <w:rPr>
                <w:noProof/>
                <w:color w:val="FF0000"/>
              </w:rPr>
              <w:t>Площта за извършване на дейности по</w:t>
            </w:r>
            <w:r w:rsidR="003716B4">
              <w:rPr>
                <w:noProof/>
                <w:color w:val="FF0000"/>
                <w:lang w:val="bg-BG"/>
              </w:rPr>
              <w:t xml:space="preserve"> </w:t>
            </w:r>
            <w:r w:rsidR="00424613">
              <w:rPr>
                <w:noProof/>
                <w:color w:val="FF0000"/>
                <w:lang w:val="bg-BG"/>
              </w:rPr>
              <w:t xml:space="preserve">всяка една от </w:t>
            </w:r>
            <w:r w:rsidRPr="00934B6D">
              <w:rPr>
                <w:noProof/>
                <w:color w:val="FF0000"/>
              </w:rPr>
              <w:t>двете операции може да бъде намалена с не повече от 10 %, като всяка година поне 90 % от площта се припокрива географски с площта, за която има поет ангажимент.</w:t>
            </w:r>
            <w:r>
              <w:rPr>
                <w:noProof/>
                <w:color w:val="FF0000"/>
              </w:rPr>
              <w:t xml:space="preserve"> </w:t>
            </w:r>
          </w:p>
          <w:p w:rsidR="00B67020" w:rsidRDefault="00B67020" w:rsidP="00B67020">
            <w:pPr>
              <w:spacing w:before="40" w:after="40"/>
              <w:jc w:val="both"/>
              <w:rPr>
                <w:noProof/>
                <w:color w:val="FF0000"/>
              </w:rPr>
            </w:pPr>
            <w:r w:rsidRPr="00B67020">
              <w:rPr>
                <w:noProof/>
                <w:color w:val="FF0000"/>
              </w:rPr>
              <w:t xml:space="preserve">Когато площта по дадена операция,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p>
          <w:p w:rsidR="00B67020" w:rsidRPr="00B67020" w:rsidRDefault="00B67020" w:rsidP="00B67020">
            <w:pPr>
              <w:spacing w:before="40" w:after="40"/>
              <w:jc w:val="both"/>
              <w:rPr>
                <w:noProof/>
                <w:color w:val="FF0000"/>
              </w:rPr>
            </w:pPr>
          </w:p>
          <w:p w:rsidR="00B67020" w:rsidRPr="00B67020" w:rsidRDefault="00320317" w:rsidP="00B67020">
            <w:pPr>
              <w:spacing w:before="40" w:after="40"/>
              <w:jc w:val="both"/>
              <w:rPr>
                <w:noProof/>
                <w:color w:val="FF0000"/>
              </w:rPr>
            </w:pPr>
            <w:r>
              <w:rPr>
                <w:noProof/>
                <w:color w:val="FF0000"/>
              </w:rPr>
              <w:t xml:space="preserve">Поетият ангажимент по </w:t>
            </w:r>
            <w:r w:rsidR="00B67020" w:rsidRPr="00B67020">
              <w:rPr>
                <w:noProof/>
                <w:color w:val="FF0000"/>
              </w:rPr>
              <w:t xml:space="preserve">операция „Плащания за поддържане на биологично растениевъдство“ от земеделския стопанин може да бъде увеличен с нови площи в периода на изпълнение на ангажимента, като същият се разширява със заявените нови площи, които отговарят на изискванията за одобрение за оставащия период. Държавен фонд „Земеделие“ </w:t>
            </w:r>
            <w:r w:rsidR="00441B24">
              <w:rPr>
                <w:noProof/>
                <w:color w:val="FF0000"/>
                <w:lang w:val="bg-BG"/>
              </w:rPr>
              <w:t>уведомява</w:t>
            </w:r>
            <w:r w:rsidR="00B67020" w:rsidRPr="00B67020">
              <w:rPr>
                <w:noProof/>
                <w:color w:val="FF0000"/>
              </w:rPr>
              <w:t xml:space="preserve"> земеделския стопанин за новия размер на площите в одобрен ангажимент.</w:t>
            </w:r>
          </w:p>
          <w:p w:rsidR="001F3592" w:rsidRDefault="001F3592" w:rsidP="006D2BA5">
            <w:pPr>
              <w:spacing w:before="40" w:after="40"/>
              <w:jc w:val="both"/>
              <w:rPr>
                <w:noProof/>
              </w:rPr>
            </w:pPr>
            <w:bookmarkStart w:id="10" w:name="_GoBack"/>
            <w:bookmarkEnd w:id="10"/>
          </w:p>
        </w:tc>
      </w:tr>
    </w:tbl>
    <w:p w:rsidR="00210539" w:rsidRDefault="00210539" w:rsidP="00210539">
      <w:pPr>
        <w:spacing w:before="20" w:after="20"/>
        <w:rPr>
          <w:color w:val="000000"/>
          <w:sz w:val="0"/>
        </w:rPr>
      </w:pPr>
    </w:p>
    <w:p w:rsidR="00210539" w:rsidRDefault="00210539" w:rsidP="00210539">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pPr>
            <w:r>
              <w:rPr>
                <w:noProof/>
              </w:rPr>
              <w:t>Земеделският стопанин може да поеме отделни ангажименти по двете операции съгласно изискванията на чл. 70 от Регламент 2021/2115.</w:t>
            </w:r>
          </w:p>
          <w:p w:rsidR="00210539" w:rsidRDefault="00210539" w:rsidP="00F24830">
            <w:pPr>
              <w:spacing w:before="40" w:after="40"/>
              <w:jc w:val="both"/>
            </w:pPr>
            <w:r>
              <w:rPr>
                <w:noProof/>
              </w:rPr>
              <w:t>По операция „Плащания за преминаване към биологично растениевъдство“ - ангажиментът за операцията е пет годишен в случаите, в които площите в стопанството са встъпили в период на преминаване към биологично растениевъдство.</w:t>
            </w:r>
          </w:p>
          <w:p w:rsidR="00210539" w:rsidRDefault="00210539" w:rsidP="00F24830">
            <w:pPr>
              <w:spacing w:before="40" w:after="40"/>
            </w:pPr>
            <w:r>
              <w:rPr>
                <w:noProof/>
              </w:rPr>
              <w:t>По операция „Плащания за поддържане на биологично растениевъдство“ ангажиментът е пет годишен, като канидидатите се задължават да прилагат методите на биологичното производство.</w:t>
            </w:r>
          </w:p>
        </w:tc>
      </w:tr>
    </w:tbl>
    <w:p w:rsidR="00210539" w:rsidRDefault="00210539" w:rsidP="00210539">
      <w:pPr>
        <w:spacing w:before="20" w:after="20"/>
        <w:rPr>
          <w:color w:val="000000"/>
          <w:sz w:val="0"/>
        </w:rPr>
      </w:pPr>
    </w:p>
    <w:p w:rsidR="00210539" w:rsidRDefault="00210539" w:rsidP="00210539">
      <w:pPr>
        <w:spacing w:before="20" w:after="20"/>
        <w:rPr>
          <w:color w:val="000000"/>
        </w:rPr>
      </w:pPr>
    </w:p>
    <w:p w:rsidR="00210539" w:rsidRDefault="00210539" w:rsidP="00210539">
      <w:pPr>
        <w:pStyle w:val="Heading5"/>
        <w:spacing w:before="20" w:after="20"/>
        <w:rPr>
          <w:b w:val="0"/>
          <w:i w:val="0"/>
          <w:color w:val="000000"/>
          <w:sz w:val="24"/>
        </w:rPr>
      </w:pPr>
      <w:bookmarkStart w:id="11" w:name="_Toc256001446"/>
      <w:r>
        <w:rPr>
          <w:b w:val="0"/>
          <w:i w:val="0"/>
          <w:noProof/>
          <w:color w:val="000000"/>
          <w:sz w:val="24"/>
        </w:rPr>
        <w:t>10 Съответствие с правилата на СТО</w:t>
      </w:r>
      <w:bookmarkEnd w:id="11"/>
    </w:p>
    <w:p w:rsidR="00210539" w:rsidRDefault="00210539" w:rsidP="00210539">
      <w:pPr>
        <w:spacing w:before="20" w:after="20"/>
        <w:rPr>
          <w:color w:val="000000"/>
        </w:rPr>
      </w:pPr>
      <w:r>
        <w:rPr>
          <w:noProof/>
          <w:color w:val="000000"/>
        </w:rPr>
        <w:t xml:space="preserve"> Зелена кутия</w:t>
      </w:r>
    </w:p>
    <w:p w:rsidR="00210539" w:rsidRDefault="00210539" w:rsidP="00210539">
      <w:pPr>
        <w:spacing w:before="20" w:after="20"/>
        <w:rPr>
          <w:color w:val="000000"/>
        </w:rPr>
      </w:pPr>
      <w:r>
        <w:rPr>
          <w:noProof/>
          <w:color w:val="000000"/>
        </w:rPr>
        <w:t>Параграф 12 от приложение 2 към Споразумението за СТО</w:t>
      </w:r>
    </w:p>
    <w:p w:rsidR="00210539" w:rsidRDefault="00210539" w:rsidP="00210539">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210539" w:rsidTr="00F24830">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10539" w:rsidRDefault="00210539" w:rsidP="00F24830">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допълнителни разходи и пропуснати приходи в изпълнение на ангажимента.</w:t>
            </w:r>
          </w:p>
        </w:tc>
      </w:tr>
    </w:tbl>
    <w:p w:rsidR="00210539" w:rsidRDefault="00210539" w:rsidP="00210539">
      <w:pPr>
        <w:pStyle w:val="Heading5"/>
        <w:spacing w:before="20" w:after="20"/>
        <w:rPr>
          <w:b w:val="0"/>
          <w:i w:val="0"/>
          <w:color w:val="000000"/>
          <w:sz w:val="24"/>
        </w:rPr>
      </w:pPr>
      <w:bookmarkStart w:id="12" w:name="_Toc256001447"/>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2912"/>
        <w:gridCol w:w="1736"/>
        <w:gridCol w:w="1744"/>
        <w:gridCol w:w="1817"/>
      </w:tblGrid>
      <w:tr w:rsidR="00210539" w:rsidTr="00F24830">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10539" w:rsidRDefault="00210539" w:rsidP="00F24830">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10539" w:rsidRDefault="00210539" w:rsidP="00F24830">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10539" w:rsidRDefault="00210539" w:rsidP="00F24830">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10539" w:rsidRDefault="00210539" w:rsidP="00F24830">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10539" w:rsidRDefault="00210539" w:rsidP="00F24830">
            <w:pPr>
              <w:spacing w:before="20" w:after="20"/>
              <w:rPr>
                <w:color w:val="000000"/>
                <w:sz w:val="20"/>
              </w:rPr>
            </w:pPr>
            <w:r>
              <w:rPr>
                <w:b/>
                <w:noProof/>
                <w:color w:val="000000"/>
                <w:sz w:val="20"/>
              </w:rPr>
              <w:t>Максимална ставка</w:t>
            </w:r>
          </w:p>
        </w:tc>
      </w:tr>
      <w:tr w:rsidR="00210539" w:rsidTr="00F24830">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10539" w:rsidRDefault="00210539" w:rsidP="00F24830">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10539" w:rsidRDefault="00210539" w:rsidP="00F24830">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10539" w:rsidRDefault="00210539" w:rsidP="00F24830">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10539" w:rsidRDefault="00210539" w:rsidP="00F24830">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10539" w:rsidRDefault="00210539" w:rsidP="00F24830">
            <w:pPr>
              <w:spacing w:before="20" w:after="20"/>
              <w:jc w:val="right"/>
              <w:rPr>
                <w:color w:val="000000"/>
                <w:sz w:val="20"/>
              </w:rPr>
            </w:pPr>
            <w:r>
              <w:rPr>
                <w:noProof/>
                <w:color w:val="000000"/>
                <w:sz w:val="20"/>
              </w:rPr>
              <w:t>85,00%</w:t>
            </w:r>
          </w:p>
        </w:tc>
      </w:tr>
    </w:tbl>
    <w:p w:rsidR="00A4502C" w:rsidRDefault="00A4502C" w:rsidP="007B340C">
      <w:pPr>
        <w:pStyle w:val="Heading5"/>
        <w:spacing w:before="20" w:after="20"/>
      </w:pPr>
    </w:p>
    <w:sectPr w:rsidR="00A4502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7DB1"/>
    <w:multiLevelType w:val="hybridMultilevel"/>
    <w:tmpl w:val="75A224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73AF53A1"/>
    <w:multiLevelType w:val="hybridMultilevel"/>
    <w:tmpl w:val="61988F4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946"/>
    <w:rsid w:val="000834FC"/>
    <w:rsid w:val="00092A39"/>
    <w:rsid w:val="001F3592"/>
    <w:rsid w:val="00210539"/>
    <w:rsid w:val="002323A8"/>
    <w:rsid w:val="003106C3"/>
    <w:rsid w:val="00320317"/>
    <w:rsid w:val="003716B4"/>
    <w:rsid w:val="00420C94"/>
    <w:rsid w:val="00424613"/>
    <w:rsid w:val="00441B24"/>
    <w:rsid w:val="004837A5"/>
    <w:rsid w:val="004D52CF"/>
    <w:rsid w:val="005B7AE1"/>
    <w:rsid w:val="00672EB8"/>
    <w:rsid w:val="006B53AF"/>
    <w:rsid w:val="006D2BA5"/>
    <w:rsid w:val="00720BF9"/>
    <w:rsid w:val="00721F8D"/>
    <w:rsid w:val="007740A3"/>
    <w:rsid w:val="007B340C"/>
    <w:rsid w:val="00860411"/>
    <w:rsid w:val="00934B6D"/>
    <w:rsid w:val="009E1CC0"/>
    <w:rsid w:val="00A4502C"/>
    <w:rsid w:val="00AB1294"/>
    <w:rsid w:val="00B67020"/>
    <w:rsid w:val="00BC40A3"/>
    <w:rsid w:val="00BE588D"/>
    <w:rsid w:val="00C4092D"/>
    <w:rsid w:val="00C6692A"/>
    <w:rsid w:val="00CC6B2D"/>
    <w:rsid w:val="00D5534E"/>
    <w:rsid w:val="00D7311E"/>
    <w:rsid w:val="00DC2406"/>
    <w:rsid w:val="00DD2946"/>
    <w:rsid w:val="00DD4770"/>
    <w:rsid w:val="00E20591"/>
    <w:rsid w:val="00E43D4F"/>
    <w:rsid w:val="00F24830"/>
    <w:rsid w:val="00F309B1"/>
    <w:rsid w:val="00FB0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53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210539"/>
    <w:pPr>
      <w:keepNext/>
      <w:spacing w:before="240" w:after="60"/>
      <w:outlineLvl w:val="3"/>
    </w:pPr>
    <w:rPr>
      <w:b/>
      <w:bCs/>
      <w:sz w:val="28"/>
      <w:szCs w:val="28"/>
    </w:rPr>
  </w:style>
  <w:style w:type="paragraph" w:styleId="Heading5">
    <w:name w:val="heading 5"/>
    <w:basedOn w:val="Normal"/>
    <w:next w:val="Normal"/>
    <w:link w:val="Heading5Char"/>
    <w:qFormat/>
    <w:rsid w:val="0021053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1053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10539"/>
    <w:rPr>
      <w:rFonts w:ascii="Times New Roman" w:eastAsia="Times New Roman" w:hAnsi="Times New Roman" w:cs="Times New Roman"/>
      <w:b/>
      <w:bCs/>
      <w:i/>
      <w:iCs/>
      <w:sz w:val="26"/>
      <w:szCs w:val="26"/>
    </w:rPr>
  </w:style>
  <w:style w:type="paragraph" w:customStyle="1" w:styleId="qlbt-cell-line">
    <w:name w:val="qlbt-cell-line"/>
    <w:basedOn w:val="Normal"/>
    <w:rsid w:val="00210539"/>
  </w:style>
  <w:style w:type="table" w:customStyle="1" w:styleId="quill-better-table">
    <w:name w:val="quill-better-table"/>
    <w:basedOn w:val="TableNormal"/>
    <w:rsid w:val="00210539"/>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210539"/>
  </w:style>
  <w:style w:type="paragraph" w:customStyle="1" w:styleId="qlbt-cell-lineql-align-right">
    <w:name w:val="qlbt-cell-line ql-align-right"/>
    <w:basedOn w:val="Normal"/>
    <w:rsid w:val="00210539"/>
  </w:style>
  <w:style w:type="paragraph" w:styleId="BalloonText">
    <w:name w:val="Balloon Text"/>
    <w:basedOn w:val="Normal"/>
    <w:link w:val="BalloonTextChar"/>
    <w:uiPriority w:val="99"/>
    <w:semiHidden/>
    <w:unhideWhenUsed/>
    <w:rsid w:val="002105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53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837A5"/>
    <w:rPr>
      <w:sz w:val="16"/>
      <w:szCs w:val="16"/>
    </w:rPr>
  </w:style>
  <w:style w:type="paragraph" w:styleId="CommentText">
    <w:name w:val="annotation text"/>
    <w:basedOn w:val="Normal"/>
    <w:link w:val="CommentTextChar"/>
    <w:uiPriority w:val="99"/>
    <w:semiHidden/>
    <w:unhideWhenUsed/>
    <w:rsid w:val="004837A5"/>
    <w:rPr>
      <w:sz w:val="20"/>
      <w:szCs w:val="20"/>
    </w:rPr>
  </w:style>
  <w:style w:type="character" w:customStyle="1" w:styleId="CommentTextChar">
    <w:name w:val="Comment Text Char"/>
    <w:basedOn w:val="DefaultParagraphFont"/>
    <w:link w:val="CommentText"/>
    <w:uiPriority w:val="99"/>
    <w:semiHidden/>
    <w:rsid w:val="004837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37A5"/>
    <w:rPr>
      <w:b/>
      <w:bCs/>
    </w:rPr>
  </w:style>
  <w:style w:type="character" w:customStyle="1" w:styleId="CommentSubjectChar">
    <w:name w:val="Comment Subject Char"/>
    <w:basedOn w:val="CommentTextChar"/>
    <w:link w:val="CommentSubject"/>
    <w:uiPriority w:val="99"/>
    <w:semiHidden/>
    <w:rsid w:val="004837A5"/>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539"/>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210539"/>
    <w:pPr>
      <w:keepNext/>
      <w:spacing w:before="240" w:after="60"/>
      <w:outlineLvl w:val="3"/>
    </w:pPr>
    <w:rPr>
      <w:b/>
      <w:bCs/>
      <w:sz w:val="28"/>
      <w:szCs w:val="28"/>
    </w:rPr>
  </w:style>
  <w:style w:type="paragraph" w:styleId="Heading5">
    <w:name w:val="heading 5"/>
    <w:basedOn w:val="Normal"/>
    <w:next w:val="Normal"/>
    <w:link w:val="Heading5Char"/>
    <w:qFormat/>
    <w:rsid w:val="0021053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1053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10539"/>
    <w:rPr>
      <w:rFonts w:ascii="Times New Roman" w:eastAsia="Times New Roman" w:hAnsi="Times New Roman" w:cs="Times New Roman"/>
      <w:b/>
      <w:bCs/>
      <w:i/>
      <w:iCs/>
      <w:sz w:val="26"/>
      <w:szCs w:val="26"/>
    </w:rPr>
  </w:style>
  <w:style w:type="paragraph" w:customStyle="1" w:styleId="qlbt-cell-line">
    <w:name w:val="qlbt-cell-line"/>
    <w:basedOn w:val="Normal"/>
    <w:rsid w:val="00210539"/>
  </w:style>
  <w:style w:type="table" w:customStyle="1" w:styleId="quill-better-table">
    <w:name w:val="quill-better-table"/>
    <w:basedOn w:val="TableNormal"/>
    <w:rsid w:val="00210539"/>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210539"/>
  </w:style>
  <w:style w:type="paragraph" w:customStyle="1" w:styleId="qlbt-cell-lineql-align-right">
    <w:name w:val="qlbt-cell-line ql-align-right"/>
    <w:basedOn w:val="Normal"/>
    <w:rsid w:val="00210539"/>
  </w:style>
  <w:style w:type="paragraph" w:styleId="BalloonText">
    <w:name w:val="Balloon Text"/>
    <w:basedOn w:val="Normal"/>
    <w:link w:val="BalloonTextChar"/>
    <w:uiPriority w:val="99"/>
    <w:semiHidden/>
    <w:unhideWhenUsed/>
    <w:rsid w:val="002105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53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837A5"/>
    <w:rPr>
      <w:sz w:val="16"/>
      <w:szCs w:val="16"/>
    </w:rPr>
  </w:style>
  <w:style w:type="paragraph" w:styleId="CommentText">
    <w:name w:val="annotation text"/>
    <w:basedOn w:val="Normal"/>
    <w:link w:val="CommentTextChar"/>
    <w:uiPriority w:val="99"/>
    <w:semiHidden/>
    <w:unhideWhenUsed/>
    <w:rsid w:val="004837A5"/>
    <w:rPr>
      <w:sz w:val="20"/>
      <w:szCs w:val="20"/>
    </w:rPr>
  </w:style>
  <w:style w:type="character" w:customStyle="1" w:styleId="CommentTextChar">
    <w:name w:val="Comment Text Char"/>
    <w:basedOn w:val="DefaultParagraphFont"/>
    <w:link w:val="CommentText"/>
    <w:uiPriority w:val="99"/>
    <w:semiHidden/>
    <w:rsid w:val="004837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37A5"/>
    <w:rPr>
      <w:b/>
      <w:bCs/>
    </w:rPr>
  </w:style>
  <w:style w:type="character" w:customStyle="1" w:styleId="CommentSubjectChar">
    <w:name w:val="Comment Subject Char"/>
    <w:basedOn w:val="CommentTextChar"/>
    <w:link w:val="CommentSubject"/>
    <w:uiPriority w:val="99"/>
    <w:semiHidden/>
    <w:rsid w:val="004837A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CD737-C411-4899-B672-2DF8DA439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4183</Words>
  <Characters>23844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Lyubomira Tsvetanova</dc:creator>
  <cp:lastModifiedBy>Elena A. Ivanova</cp:lastModifiedBy>
  <cp:revision>2</cp:revision>
  <cp:lastPrinted>2024-08-13T08:44:00Z</cp:lastPrinted>
  <dcterms:created xsi:type="dcterms:W3CDTF">2024-08-27T09:10:00Z</dcterms:created>
  <dcterms:modified xsi:type="dcterms:W3CDTF">2024-08-27T09:10:00Z</dcterms:modified>
</cp:coreProperties>
</file>