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BCB" w:rsidRDefault="004D5BCB" w:rsidP="004D5BCB">
      <w:pPr>
        <w:pStyle w:val="Heading4"/>
      </w:pPr>
      <w:bookmarkStart w:id="0" w:name="_Toc256001626"/>
      <w:r>
        <w:rPr>
          <w:noProof/>
        </w:rPr>
        <w:t>II.И.2. - Професионално обучение и придобиване на знания</w:t>
      </w:r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5"/>
        <w:gridCol w:w="5145"/>
      </w:tblGrid>
      <w:tr w:rsidR="004D5BCB" w:rsidTr="00397510">
        <w:trPr>
          <w:trHeight w:val="160"/>
          <w:tblHeader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Код на интервенцията (държава членка)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II.И.2.</w:t>
            </w:r>
          </w:p>
        </w:tc>
      </w:tr>
      <w:tr w:rsidR="004D5BCB" w:rsidTr="00397510">
        <w:trPr>
          <w:trHeight w:val="160"/>
          <w:tblHeader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Име на интервенцията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Професионално обучение и придобиване на знания</w:t>
            </w:r>
          </w:p>
        </w:tc>
      </w:tr>
      <w:tr w:rsidR="004D5BCB" w:rsidTr="00397510">
        <w:trPr>
          <w:trHeight w:val="160"/>
          <w:tblHeader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Вид интервенция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KNOW(78) - Обмен на знания и разпространение на информация</w:t>
            </w:r>
          </w:p>
        </w:tc>
      </w:tr>
      <w:tr w:rsidR="004D5BCB" w:rsidTr="00397510">
        <w:trPr>
          <w:trHeight w:val="160"/>
          <w:tblHeader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Общ показател за крайния продукт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O.33. Брой на подпомаганите дейности или единици за обучение, консултации и повишаване на осведомеността</w:t>
            </w:r>
          </w:p>
        </w:tc>
      </w:tr>
      <w:tr w:rsidR="004D5BCB" w:rsidTr="00397510">
        <w:trPr>
          <w:trHeight w:val="160"/>
          <w:tblHeader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Участие за изискването за обособяване на средства за/на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Приемственост между поколенията: Не</w:t>
            </w:r>
          </w:p>
          <w:p w:rsidR="004D5BCB" w:rsidRDefault="004D5BCB" w:rsidP="00397510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Околна среда: Не</w:t>
            </w:r>
          </w:p>
          <w:p w:rsidR="004D5BCB" w:rsidRDefault="004D5BCB" w:rsidP="00397510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 xml:space="preserve">Система за облекчения за екосхеми: </w:t>
            </w:r>
          </w:p>
          <w:p w:rsidR="004D5BCB" w:rsidRDefault="004D5BCB" w:rsidP="00397510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Подход LEADER: Не</w:t>
            </w:r>
          </w:p>
        </w:tc>
      </w:tr>
    </w:tbl>
    <w:p w:rsidR="004D5BCB" w:rsidRDefault="004D5BCB" w:rsidP="004D5BCB">
      <w:pPr>
        <w:pStyle w:val="Heading5"/>
        <w:rPr>
          <w:b w:val="0"/>
          <w:color w:val="000000"/>
          <w:sz w:val="24"/>
        </w:rPr>
      </w:pPr>
      <w:bookmarkStart w:id="1" w:name="_Toc256001627"/>
      <w:r>
        <w:rPr>
          <w:b w:val="0"/>
          <w:noProof/>
          <w:color w:val="000000"/>
          <w:sz w:val="24"/>
        </w:rPr>
        <w:t>1 Териториално приложение и ако е уместно, регионално измерение</w:t>
      </w:r>
      <w:bookmarkEnd w:id="1"/>
    </w:p>
    <w:p w:rsidR="004D5BCB" w:rsidRDefault="004D5BCB" w:rsidP="004D5BCB">
      <w:pPr>
        <w:rPr>
          <w:color w:val="000000"/>
          <w:sz w:val="0"/>
        </w:rPr>
      </w:pPr>
      <w:r>
        <w:rPr>
          <w:noProof/>
          <w:color w:val="000000"/>
        </w:rPr>
        <w:t xml:space="preserve">Териториално приложение: </w:t>
      </w:r>
      <w:r>
        <w:rPr>
          <w:b/>
          <w:noProof/>
          <w:color w:val="000000"/>
        </w:rPr>
        <w:t>Национално равнище</w:t>
      </w:r>
    </w:p>
    <w:p w:rsidR="004D5BCB" w:rsidRDefault="004D5BCB" w:rsidP="004D5BCB">
      <w:pPr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5"/>
        <w:gridCol w:w="5145"/>
      </w:tblGrid>
      <w:tr w:rsidR="004D5BCB" w:rsidTr="00397510">
        <w:trPr>
          <w:trHeight w:val="160"/>
          <w:tblHeader/>
        </w:trPr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Код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Описание</w:t>
            </w:r>
          </w:p>
        </w:tc>
      </w:tr>
      <w:tr w:rsidR="004D5BCB" w:rsidTr="00397510">
        <w:trPr>
          <w:trHeight w:val="160"/>
          <w:tblHeader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BG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D5BCB" w:rsidRDefault="004D5BCB" w:rsidP="00397510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 xml:space="preserve">България </w:t>
            </w:r>
          </w:p>
        </w:tc>
      </w:tr>
    </w:tbl>
    <w:p w:rsidR="004D5BCB" w:rsidRDefault="004D5BCB" w:rsidP="004D5BCB">
      <w:pPr>
        <w:spacing w:before="20" w:after="20"/>
        <w:rPr>
          <w:color w:val="000000"/>
        </w:rPr>
      </w:pPr>
      <w:r>
        <w:rPr>
          <w:noProof/>
          <w:color w:val="000000"/>
        </w:rPr>
        <w:t>Описание на териториалното приложение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90"/>
      </w:tblGrid>
      <w:tr w:rsidR="004D5BCB" w:rsidTr="00397510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Дейностите по проектите се осъществят на територията на Република България</w:t>
            </w:r>
          </w:p>
        </w:tc>
      </w:tr>
    </w:tbl>
    <w:p w:rsidR="004D5BCB" w:rsidRDefault="004D5BCB" w:rsidP="004D5BCB">
      <w:pPr>
        <w:pStyle w:val="Heading5"/>
        <w:spacing w:before="20" w:after="20"/>
        <w:rPr>
          <w:b w:val="0"/>
          <w:i w:val="0"/>
          <w:color w:val="000000"/>
          <w:sz w:val="24"/>
        </w:rPr>
      </w:pPr>
      <w:bookmarkStart w:id="2" w:name="_Toc256001628"/>
      <w:r>
        <w:rPr>
          <w:b w:val="0"/>
          <w:i w:val="0"/>
          <w:noProof/>
          <w:color w:val="000000"/>
          <w:sz w:val="24"/>
        </w:rPr>
        <w:t>2 Свързани специфични цели, междусекторна цел и уместни секторни цели</w:t>
      </w:r>
      <w:bookmarkEnd w:id="2"/>
    </w:p>
    <w:p w:rsidR="004D5BCB" w:rsidRDefault="004D5BCB" w:rsidP="004D5BCB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0"/>
      </w:tblGrid>
      <w:tr w:rsidR="004D5BCB" w:rsidTr="00397510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Код на СПЕЦИФИЧНАТА ЦЕЛ НА ОСП + описание</w:t>
            </w:r>
            <w:r>
              <w:rPr>
                <w:noProof/>
                <w:color w:val="000000"/>
                <w:sz w:val="20"/>
              </w:rPr>
              <w:t xml:space="preserve"> Препоръчителните специфични цели на ОСП за този вид интервенция са обозначени с получер шрифт</w:t>
            </w:r>
          </w:p>
        </w:tc>
      </w:tr>
      <w:tr w:rsidR="004D5BCB" w:rsidTr="00397510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XCO Междуведомствена цел за модернизиране на сектора чрез стимулиране и споделяне на знания, иновации и цифровизация в селското стопанство и селските райони и чрез насърчаване на усвояването им</w:t>
            </w:r>
          </w:p>
        </w:tc>
      </w:tr>
    </w:tbl>
    <w:p w:rsidR="004D5BCB" w:rsidRDefault="004D5BCB" w:rsidP="004D5BCB">
      <w:pPr>
        <w:spacing w:before="20" w:after="20"/>
        <w:rPr>
          <w:color w:val="000000"/>
          <w:sz w:val="0"/>
        </w:rPr>
      </w:pPr>
    </w:p>
    <w:p w:rsidR="004D5BCB" w:rsidRDefault="004D5BCB" w:rsidP="004D5BCB">
      <w:pPr>
        <w:pStyle w:val="Heading5"/>
        <w:spacing w:before="20" w:after="20"/>
        <w:rPr>
          <w:b w:val="0"/>
          <w:i w:val="0"/>
          <w:color w:val="000000"/>
          <w:sz w:val="24"/>
        </w:rPr>
      </w:pPr>
      <w:bookmarkStart w:id="3" w:name="_Toc256001629"/>
      <w:r>
        <w:rPr>
          <w:b w:val="0"/>
          <w:i w:val="0"/>
          <w:noProof/>
          <w:color w:val="000000"/>
          <w:sz w:val="24"/>
        </w:rPr>
        <w:t>3 Потребности, обхванати от интервенцията</w:t>
      </w:r>
      <w:bookmarkEnd w:id="3"/>
    </w:p>
    <w:p w:rsidR="004D5BCB" w:rsidRDefault="004D5BCB" w:rsidP="004D5BCB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2"/>
        <w:gridCol w:w="2572"/>
        <w:gridCol w:w="2573"/>
        <w:gridCol w:w="2573"/>
      </w:tblGrid>
      <w:tr w:rsidR="004D5BCB" w:rsidTr="00397510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Код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Описание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Определяне на приоритети на равнище стратегическия план по ОСП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Разгледана в стратегически план по ОСП</w:t>
            </w:r>
          </w:p>
        </w:tc>
      </w:tr>
      <w:tr w:rsidR="004D5BCB" w:rsidTr="00397510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П.10.3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 xml:space="preserve">Повишаване на професионалната квалификация на предприемачите и заетите лица в селскостопанския 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Висок приоритет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Да</w:t>
            </w:r>
          </w:p>
        </w:tc>
      </w:tr>
    </w:tbl>
    <w:p w:rsidR="004D5BCB" w:rsidRDefault="004D5BCB" w:rsidP="004D5BCB">
      <w:pPr>
        <w:pStyle w:val="Heading5"/>
        <w:spacing w:before="20" w:after="20"/>
        <w:rPr>
          <w:b w:val="0"/>
          <w:i w:val="0"/>
          <w:color w:val="000000"/>
          <w:sz w:val="24"/>
        </w:rPr>
      </w:pPr>
      <w:bookmarkStart w:id="4" w:name="_Toc256001630"/>
      <w:r>
        <w:rPr>
          <w:b w:val="0"/>
          <w:i w:val="0"/>
          <w:noProof/>
          <w:color w:val="000000"/>
          <w:sz w:val="24"/>
        </w:rPr>
        <w:t>4 Показател(и) за резултатите</w:t>
      </w:r>
      <w:bookmarkEnd w:id="4"/>
    </w:p>
    <w:p w:rsidR="004D5BCB" w:rsidRDefault="004D5BCB" w:rsidP="004D5BCB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0"/>
      </w:tblGrid>
      <w:tr w:rsidR="004D5BCB" w:rsidTr="00397510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Код на ПОКАЗАТЕЛИТЕ ЗА РЕЗУЛТАТИТЕ + описание</w:t>
            </w:r>
            <w:r>
              <w:rPr>
                <w:noProof/>
                <w:color w:val="000000"/>
                <w:sz w:val="20"/>
              </w:rPr>
              <w:t xml:space="preserve"> Препоръчителните показатели за резултатите за избраните специфични цели на ОСП за тази интервенция са обозначени с получер шрифт</w:t>
            </w:r>
          </w:p>
        </w:tc>
      </w:tr>
      <w:tr w:rsidR="004D5BCB" w:rsidTr="00397510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R.1 Брой лица, които се възползват от консултации, обучение, обмен на знания или участват в оперативни групи на Европейското партньорство за иновации (ЕПИ), подпомагани от ОСП, с цел подобряване на устойчивите показатели в областта на икономиката, социалните дейности, околната среда, климата и ефективното използване на ресурсите</w:t>
            </w:r>
          </w:p>
        </w:tc>
      </w:tr>
      <w:tr w:rsidR="004D5BCB" w:rsidTr="00397510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R.2 Брой на съветниците, които получават подпомагане за интегриране в системите за знания и иновации в селското стопанство (AKIS)</w:t>
            </w:r>
          </w:p>
        </w:tc>
      </w:tr>
      <w:tr w:rsidR="004D5BCB" w:rsidTr="00397510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R.28 Брой на лицата, ползващи се от консултации, обучения и обмен на знания или участващи в оперативни групи по европейското партньорство за иновации (ЕПИ), подпомагани от ОСП, свързани с показателите в областта на околната среда и климата</w:t>
            </w:r>
          </w:p>
        </w:tc>
      </w:tr>
      <w:tr w:rsidR="004D5BCB" w:rsidTr="00397510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R.3 Брой на стопанствата, ползващи се от подпомагане с цел използване на технологии за цифрово земеделие по линия на ОСП</w:t>
            </w:r>
          </w:p>
        </w:tc>
      </w:tr>
    </w:tbl>
    <w:p w:rsidR="004D5BCB" w:rsidRDefault="004D5BCB" w:rsidP="004D5BCB">
      <w:pPr>
        <w:pStyle w:val="Heading5"/>
        <w:spacing w:before="20" w:after="20"/>
        <w:rPr>
          <w:b w:val="0"/>
          <w:i w:val="0"/>
          <w:color w:val="000000"/>
          <w:sz w:val="24"/>
        </w:rPr>
      </w:pPr>
      <w:bookmarkStart w:id="5" w:name="_Toc256001631"/>
      <w:r>
        <w:rPr>
          <w:b w:val="0"/>
          <w:i w:val="0"/>
          <w:noProof/>
          <w:color w:val="000000"/>
          <w:sz w:val="24"/>
        </w:rPr>
        <w:t>5 Конкретен план, изисквания и условия за допустимост на интервенцията</w:t>
      </w:r>
      <w:bookmarkEnd w:id="5"/>
    </w:p>
    <w:p w:rsidR="004D5BCB" w:rsidRDefault="004D5BCB" w:rsidP="004D5BCB">
      <w:pPr>
        <w:spacing w:before="20" w:after="20"/>
        <w:rPr>
          <w:color w:val="000000"/>
        </w:rPr>
      </w:pPr>
      <w:r>
        <w:rPr>
          <w:noProof/>
          <w:color w:val="000000"/>
        </w:rPr>
        <w:t>Опишете какви са специфичните цели и съдържанието на интервенцията, включително специфично насочване, принципи за избор, връзки към съответното законодателство, взаимно допълване с други интервенции/набори от операции в двата стълба и друга релевантна информация.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90"/>
      </w:tblGrid>
      <w:tr w:rsidR="004D5BCB" w:rsidTr="00397510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>В страната се наблюдава продължаване на тенденцията преобладаваща част от собствениците и управителите на земеделските стопанства да нямат подходящо специализирано образование или обучение и да разчитат предимно на своя практически опит.</w:t>
            </w:r>
          </w:p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lastRenderedPageBreak/>
              <w:t>По данни на Агростатистика за 2016 година, 91% от управителите на земеделски стопанства в страната разполагат единствено с практически опит в осъществяваната стопанска дейност, 5% притежават средно професионално образование, 3% от управителите са придобили основно земеделско обучение и едва 2% от управителите на земеделски стопанства притежават висше образование в областта на селското стопанство или ветеринарната медицина.</w:t>
            </w:r>
          </w:p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>Тази тенденция се запазва, въпреки целенасочената подкрепа и постигнатите резултати по повишаване квалификацията на земеделските стопани чрез финансиране на различни обучителни форми по линия на ЕЗФРСР.</w:t>
            </w:r>
          </w:p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>От своя страна, липсата на подходящо образование при земеделските стопани, в комбинация с недостатъчен финансов ресурс, ограничава възможностите за внедряване на иновации и нови технологии в земеделските стопанства. Близо половината от земеделските стопани не са запознати със същността на цифровото земеделие, а само 14% използват съвременни цифрови технологии.</w:t>
            </w:r>
          </w:p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>Иновационната стратегия за интелигентна специализация за периода 2021-2027 г. поставя акцент върху необходимостта от подобряване на човешкия ресурс, чрез инвестиции в обучения и ключови компетенции в приоритетните тематични области за интелигентна специализация и технологиите на Индустрия 4.0, в т.ч. подобряване на дигиталните умения и работа с цифрови технологии.</w:t>
            </w:r>
          </w:p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>В ИСИС 2021-2027 г. се посочва, че по отношение на навлизането на цифровите технологии в икономиката и обществото (Digital Economy and Society Index - DESI), резултатът на нашата страна по критерия „Човешки капитал“ е значително под средния за ЕС. Тук оценката за нивото на уменията в областта на цифровите технологии е сред най-ниските в ЕС. Делът на хората с поне основни умения в областта на цифровите технологии възлиза на около 29% от българското население, докато средно за ЕС този дял е 57%.</w:t>
            </w:r>
          </w:p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>От друга страна се наблюдава недостатъчна осведоменост и познания на земеделските стопани относно целите за опазване на околна среда и климата, въвеждане на екологосъобразни селскостопански практики, биоразнообразие и др.</w:t>
            </w:r>
          </w:p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>Като цяло, въпреки предлаганите разнообразни форми на образование и обучение и значителния размер на изразходваните обществени средства, степента на участие в селските райони през годините след присъединяване към ЕС остава слабо и постоянно намалява (ЕВРОСТАТ).</w:t>
            </w:r>
          </w:p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>Необходимо е да се стимулират организациите, предоставящи различни методи за трансфер на знания да предлагат форми и методи на обучение и повишаване на квалификация, които се доближават в максимална степен до потребностите на заетите в селскостопанския сектор. Налице е необходимост от насочване на интервенциите към обучителни дейности на селскостопански теми, включително такива, свързани с опазване компонентите на околната среда и към такива, които осигуряват получаване на познания в областта на иновациите, цифровите технологии и оптимизиране на дейностите чрез съвременни методи на производство.</w:t>
            </w:r>
          </w:p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>От друга страна е необходимо да се насърчава участието на земеделските стопани, техните организации и Национална служба за съвети в земеделието в Системата за знания и иновации в селското стопанство (AKIS), което да разшири възможностите за споделяне, обмен и разпространение на знания и опит, включително в контекста на националната мрежа по Общата селскостопанска политика. По този начин ще се осигури и съдействие на администрацията при изпълнението на политиките, насочени към повишаване на конкурентните предимства на селскостопанския отрасъл, в зависимост от специфичните очаквания на различните видове производства и структура (обем на стопанствата, възрастова структура, специфични регионални характеристики и др.) на стопанствата.</w:t>
            </w:r>
          </w:p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 xml:space="preserve">Обученията, свързани с качеството на изпълнение на практиките за опазване на околната среда и климата, биоразнообразието, включително обучението за прилагане на добрите земеделски практики, съвети, обменът на информация и знания са от съществено значение за осигуряване на ефективно изпълнение на земеделските практики от полза за климата и околната среда. AKIS, в която се включват научни работници, съветници, експерти, фермери и други заинтересовани лица в областта на селското стопанство, ще помогне за справяне с някои от проблемите между засилената амбиция за опазване на околната среда и жизнеспособните земеделски доходи, например по-ниска възвръщаемост в кратък до средносрочен план в резултат на екологични изисквания. Тук от изключителна важност е необходимостта от реализиране на демонстрационни </w:t>
            </w:r>
            <w:r>
              <w:rPr>
                <w:noProof/>
              </w:rPr>
              <w:lastRenderedPageBreak/>
              <w:t>дейности, които да онагледяват добри практики и иновативни подходи, свързани с оптимизиране на селскостопанските производствени процеси, които да бъдат представяни както от представители на научната общност, така също и от практици в лицето на земеделски стопани, които са внедрили в практиката съответните подходи.</w:t>
            </w:r>
          </w:p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>Съществува недостатъчна осведоменост за нарастващите заплахи за околната среда, произтичащи от загубата на биологично разнообразие и последващото от това намаляване на климатичната устойчивост на екосистемите и обществените системи, разчитащи на екосистемни услуги. Информацията относно измененията на климата и екосистемите като единна комплексна система не се разпространява лесно. Недостатъчни са знанията на земеделските стопани за ползите от прилагане на практики, които допринасят за опазване на околната среда и климата. Необходимо е продължаване прилагането на дейностите за обучения за ограничаване навлизането на инвазивни видове, особено насекоми и гъби в горските екосистеми, както и обучение сред обществеността по всички действия за опазване на биологичното разнообразие.</w:t>
            </w:r>
          </w:p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>Необходимо е и продължаването на мерките за консултации и обучение в екологосъобразните практики – консервационно, интегрирано и биологично земеделие, за да се адресират целите на Зелената сделка, както и целите по Националния план за действие по изменение на климата (НПДИК).</w:t>
            </w:r>
          </w:p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>Наложително е да се продължи прилагането на дейности за обучения за агроекологични дейности, устойчиви земеделски и лесовъдски практики, както и да се включат обучения по отношение на определяне на методите за предотвратяване и намаляване на негативните последици от изменение на климата, адаптация към климатичните промени и свързаните с ресурсната ефективност аспекти, и практики, щадящи околната среда.</w:t>
            </w:r>
          </w:p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>Налице е необходимост от повишаване на знанията по отношение на възможностите за използване на растителни остатъци и заплахите (както и резултатите) от паленето на стърнищата върху околната среда и почвите, от повишаване на информираността за съхранението и прилагането на оборски тор, нисковъглеродни практики за преработка на оборски тор (компостиране, преработка в биогаз в анаеробни условия и т.н.), с което се отговаря на целите на кръговата икономика.</w:t>
            </w:r>
          </w:p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>Различните потребности, свързани с повишаване знанията и уменията на предприемачите и заетите лица в селскостопанския отрасъл чрез адаптиране на формите за трансфер на знания към специфичните секторни особености, очертани в отделните специфични цели, са:</w:t>
            </w:r>
          </w:p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>·Обучения и повишаване на знанията във връзка с приноса за смекчаване на последиците от изменението на климата и за адаптация към него, както и за устойчивата енергия /СЦ 4/;</w:t>
            </w:r>
          </w:p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>·Обучения и повишаване на знанията за устойчиво управление на природните ресурси (води, почви, въздух) и добри практики в земеделието по отношение на природните ресурси /СЦ 5/;</w:t>
            </w:r>
          </w:p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>Обучения, свързани с качеството на изпълнение с оглед опазване на околната среда и климата и биологичното разнообразие /СЦ 6/.</w:t>
            </w:r>
          </w:p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>Интервенцията ще осигури възможност одобрени съветници, по интервенция "Консултантски услуги и повишаване на консултантския капацитет" да предоставят трансфер на знания чрез провеждане на демонстрационни дейности и информационни семинари. Във връзка с чл. 15 (3) от Регламент (ЕС) 2021/2115, координационният орган на AKIS самостоятелно или с помощта на други организации ще има ангажимента да организира периодични онлайн или присъствени обучения, включително и под формата на демонстрационни дейности за одобрените съветници/минимум 18 уч.ч. в годината/, на които експерти в съответната област ще представят актуална технологична и научна информация, вкл. добри практики и иновативни решения в областта на земеделието и селското стопанство, нормативни изисквания и промени в европейското и националното законодателство, актуална информация, свързана с опазване компонентите на околната среда, въпроси, свързани със социално-икономическото развитие и др. като по този начин ще се гарантира, че съветниците са преминали подходящо обучение, за да предоставят обучения и демонстрации, съответстващи на актуалните въпроси и новости в сектора.</w:t>
            </w:r>
          </w:p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>Подборът на проектни предложения ще се извършва въз основа на оценка на качеството на предложените обучения, информационни събития или демонстрации и оценка на експертизата на обучаващите, извършена в съответствие с чл. 79 от Регламент (ЕС) 2021/2115.</w:t>
            </w:r>
          </w:p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 xml:space="preserve">За да се избегне припокриване/двойно финансиране при прилагането на дейностите, включени в </w:t>
            </w:r>
            <w:r>
              <w:rPr>
                <w:noProof/>
              </w:rPr>
              <w:lastRenderedPageBreak/>
              <w:t>интервенцията с други инструменти за финансиране ще бъдат предвидени подходящи контролни механизми при разработването на националното законодателство, в т.ч. във връзка с дейностите, предвидени в инвестиция № 2 (С6.I.2) — „Цифровизация на процесите от фермата до трапезата на българския план за възстановяване и устойчивост“ от Плана за възстановяване и устойчивост, където е предвиден модул за онлайн обучение, вкл. съдържание на обучителните модули и консултации на земеделски стопани, едновременно с поддържането на информация, свързана със съвременни технологични и екологични решения за отглеждане на основни групи земеделски култури и селскостопански животни по конвенционален и биологичен начин в съответствие с изискванията за устойчиво използване на природните ресурси и адаптиране към климатичните промени.</w:t>
            </w:r>
          </w:p>
        </w:tc>
      </w:tr>
    </w:tbl>
    <w:p w:rsidR="004D5BCB" w:rsidRDefault="004D5BCB" w:rsidP="004D5BCB">
      <w:pPr>
        <w:spacing w:before="20" w:after="20"/>
        <w:rPr>
          <w:color w:val="000000"/>
        </w:rPr>
      </w:pPr>
      <w:r>
        <w:rPr>
          <w:noProof/>
          <w:color w:val="000000"/>
        </w:rPr>
        <w:lastRenderedPageBreak/>
        <w:t>Определете бенефициерите, отговарящи на критериите, както и специфичните критерии за допустимост, когато е приложимо за бенефициерите и площта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90"/>
      </w:tblGrid>
      <w:tr w:rsidR="004D5BCB" w:rsidTr="00397510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I. Подпомагани дейности.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1. Подкрепата се предоставя за обучение и придобиване на умения в областта на земеделието и горите за лица, ангажирани в сектора на селското и горското стопанство. Подпомагането обхваща дейности за професионално обучение и придобиване на умения, които включват провеждане на: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а) Курсове за придобиване на квалификация по професия или по част от професия, съгласно изискванията на Закона за професионалното образование и обучение (ЗПОО);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б) Курсове за повишаване на квалификацията, съгласно изискванията на Закон за висшето образование;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в) Специализирани курсове за придобиване на правоспособност за работа със земеделска и горска техника;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г) Информационни семинари за повишаване на знанията по конкретни теми, насочени към постигане на специфичните цели и идентифицираните потребности в Стратегическия план;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д) Демонстрационни дейности.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II. Допустими кандидати.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1. Допустими бенефициенти за провеждане на обучения за придобиване на квалификация по професия или по част от професия от Списъка на професиите за професионално образование и обучение, утвърден от министъра на образованието и науката, могат да бъдат: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а) Институции в системата на професионалното образование и обучение, посочени в чл. 18 на Закон за професионалното образование и обучение (ЗПОО), които отгoварят на изискването на чл. 22, ал. 2 от ЗПОО и имат право да провеждат обучение по професии от професионални направления: „Растениевъдство и животновъдство“, „Горско стопанство“, „Ветеринарна медицина“ и/или „Хранителни технологии“;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б) браншови организации за производство и преработка на селскостопански продукти.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2. Допустими бенефициенти за провеждане на курсове за повишаване на квалификацията могат да бъдат: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а) Висши училища и научни организации, които имат акредитирано минимум едно от следните професионални направления: 6.1.Растениевъдство, 6.2. Растителна защита, 6.3. Животновъдство, 6.4. Ветеринарна медицина, 6.5. Горско стопанство, 5.12 Хранителни технологии, 4.4 Науки за земята, 3.8 Икономика (специалности в направление Аграрна икономика и агробизнес), съгласно Класификатор на областите на висше образование и професионалните направления, утвърден с ПМС №125 от 24.06.2002 г.;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б) браншови организации за производство и преработка на селскостопански продукти.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3. Допустими бенефициенти за провеждане на специализирани курсове за придобиване на правоспособност за работа със земеделска и горска техника могат да бъдат: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 xml:space="preserve">а) Организации, които имат валидно удостоверение за регистрация, издадено от министъра на земеделието при условията и по реда на Наредба № 12 от 22 април 2009 г. за условията и реда за придобиване и отнемане на правоспособност за работа със земеделска и горска техника (Наредба № 12 от 2009 г.) или Наредба № 1 от 15 февруари 2019 г. за условията и реда за обучение на кандидатите за придобиване на правоспособност за работа със земеделска и горска техника и условията и реда за издаване на удостоверение за регистрация на учебни форми за тяхното </w:t>
            </w:r>
            <w:r>
              <w:rPr>
                <w:noProof/>
              </w:rPr>
              <w:lastRenderedPageBreak/>
              <w:t>обучение (Наредба № 1 от 2019 г.);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б) браншови организации за производство и преработка на селскостопански продукти.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4. Допустими бенефициенти за провеждане на семинари могат да бъдат: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а) институции в системата на професионалното образование и обучение, съгласно ЗПОО, които имат право да провеждат обучение по професии от професионални направления: „Растениевъдство и животновъдство“, „Горско стопанство“, „Ветеринарна медицина“ и/или „Хранителни технологии“;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б) висши училища, акредитирани по Закона за висшето образование, които имат акредитирани специалности от професионални направления: 6.1.Растениевъдство, 6.2. Растителна защита, 6.3. Животновъдство, 6.4. Ветеринарна медицина, 6.5. Горско стопанство, 5.12 Хранителни технологии, 4.4 Науки за земята, 5.13 Общо инженерство, 4.6 Информатика и компютърни науки, 3.8 Икономика (специалности в направление Аграрна икономика и агробизнес), съгласно Класификатор на областите на висше образование и професионалните направления, утвърден с ПМС №125 от 24.06.2002 г.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в) научни институти и опитни станции, които извършват научни изследвания и научно обслужване в областта на селското стопанство или горското стопанство или биотехнологиите или хранителните технологии, които са организации по Закона за Селскостопанската академия, Закона за Българската академия на науките или Закона за горите;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г) съветници, одобрени за подпомагане по интервенция "Консултантски услуги и повишаване на консултантския капацитет";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д) браншови организации за производство и преработка на селскостопански продукти.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5. Бенефициенти, предоставящи трансфер на знания чрез демонстрационни дейности могат да бъдат: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а) Висши училища и научни организации, които имат акредитирано минимум едно от следните професионални направления: 6.1.Растениевъдство, 6.2. Растителна защита, 6.3. Животновъдство, 6.4. Ветеринарна медицина, 6.5. Горско стопанство, 5.13 Общо инженерство, 4.6 Информатика и компютърни науки, 5.12 Хранителни технологии, 4.4 Науки за земята, съгласно Класификатор на областите на висше образование и професионалните направления, утвърден с ПМС №125 от 24.06.2002 г.;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б) професионални гимназии по Закона за професионалното образование и обучение, които имат право да провеждат обучение по професии от професионални направления: „Растениевъдство и животновъдство“, „Горско стопанство“, „Ветеринарна медицина“ и/или „Хранителни технологии;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в) научни институти или опитни станции, които са организации по Закона за Селскостопанската академия, Закона за Българската академия на науките или Закона за горите и които извършват научни изследвания и научно обслужване в някоя от следните области: селско стопанство, горско стопанство, биотехнологиите, хранителни технологии;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г) Национална служба за съвети в земеделието и съветници, одобрени за подпомагане по интервенция „Консултантски услуги и повишаване на консултантския капацитет“;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д) Регистрирани земеделски стопани по реда на Наредба № 3 от 29 януари 1999 г. за създаване и поддържане на регистър на земеделските стопани;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е) юридически лица с нестопанска цел, регистрирани с предмет на дейност в областта на селското или горското стопанство, опазването на околната среда или водите и/или цифровите/дигиталните технологии в т.ч. браншови организации за производство и преработка на селскостопански продукти.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Допустимо е да се реализират проекти чрез партньорство между отделните категории допустими кандидати, при което водещия партньор е бенефициент на БФП по проекта.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III. Условия за допустимост на дейностите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 xml:space="preserve">1. Управляващият орган </w:t>
            </w:r>
            <w:r w:rsidRPr="00960920">
              <w:rPr>
                <w:noProof/>
                <w:color w:val="FF0000"/>
              </w:rPr>
              <w:t xml:space="preserve">ще </w:t>
            </w:r>
            <w:r w:rsidR="00960920" w:rsidRPr="00960920">
              <w:rPr>
                <w:noProof/>
                <w:color w:val="FF0000"/>
                <w:lang w:val="bg-BG"/>
              </w:rPr>
              <w:t>проведе процедура за подбор на проектни предложения</w:t>
            </w:r>
            <w:r w:rsidR="002F5E3C">
              <w:rPr>
                <w:noProof/>
                <w:color w:val="FF0000"/>
                <w:lang w:val="bg-BG"/>
              </w:rPr>
              <w:t>,</w:t>
            </w:r>
            <w:r w:rsidR="00960920" w:rsidRPr="00960920">
              <w:rPr>
                <w:noProof/>
                <w:color w:val="FF0000"/>
              </w:rPr>
              <w:t xml:space="preserve"> </w:t>
            </w:r>
            <w:r w:rsidR="00960920">
              <w:rPr>
                <w:noProof/>
                <w:lang w:val="bg-BG"/>
              </w:rPr>
              <w:t>за избор на</w:t>
            </w:r>
            <w:r>
              <w:rPr>
                <w:noProof/>
              </w:rPr>
              <w:t xml:space="preserve"> </w:t>
            </w:r>
            <w:r w:rsidR="002F5E3C" w:rsidRPr="002F5E3C">
              <w:rPr>
                <w:noProof/>
                <w:color w:val="000000" w:themeColor="text1"/>
                <w:lang w:val="bg-BG"/>
              </w:rPr>
              <w:t>организации</w:t>
            </w:r>
            <w:r>
              <w:rPr>
                <w:noProof/>
              </w:rPr>
              <w:t xml:space="preserve">, които ще бъдат включени в списък на одобрените </w:t>
            </w:r>
            <w:r w:rsidRPr="002F5E3C">
              <w:rPr>
                <w:strike/>
                <w:noProof/>
              </w:rPr>
              <w:t>доставчици</w:t>
            </w:r>
            <w:r w:rsidR="002F5E3C">
              <w:rPr>
                <w:strike/>
                <w:noProof/>
                <w:lang w:val="bg-BG"/>
              </w:rPr>
              <w:t xml:space="preserve"> </w:t>
            </w:r>
            <w:r w:rsidR="002F5E3C" w:rsidRPr="002F5E3C">
              <w:rPr>
                <w:noProof/>
                <w:color w:val="FF0000"/>
                <w:lang w:val="bg-BG"/>
              </w:rPr>
              <w:t>бенефициенти</w:t>
            </w:r>
            <w:r>
              <w:rPr>
                <w:noProof/>
              </w:rPr>
              <w:t>, като за всяка организация ще бъдат посочени обученията и темите на семинарите</w:t>
            </w:r>
            <w:r w:rsidR="002F5E3C">
              <w:rPr>
                <w:noProof/>
                <w:lang w:val="bg-BG"/>
              </w:rPr>
              <w:t xml:space="preserve"> и демонстрациите</w:t>
            </w:r>
            <w:r>
              <w:rPr>
                <w:noProof/>
              </w:rPr>
              <w:t xml:space="preserve">, </w:t>
            </w:r>
            <w:r w:rsidRPr="002F5E3C">
              <w:rPr>
                <w:noProof/>
                <w:color w:val="FF0000"/>
              </w:rPr>
              <w:t xml:space="preserve">които </w:t>
            </w:r>
            <w:r w:rsidR="002F5E3C" w:rsidRPr="002F5E3C">
              <w:rPr>
                <w:noProof/>
                <w:color w:val="FF0000"/>
                <w:lang w:val="bg-BG"/>
              </w:rPr>
              <w:t xml:space="preserve">са одобрени за финансиране </w:t>
            </w:r>
            <w:r w:rsidRPr="00960920">
              <w:rPr>
                <w:strike/>
                <w:noProof/>
              </w:rPr>
              <w:t>имат право да</w:t>
            </w:r>
            <w:r>
              <w:rPr>
                <w:noProof/>
              </w:rPr>
              <w:t xml:space="preserve"> </w:t>
            </w:r>
            <w:r w:rsidRPr="002F5E3C">
              <w:rPr>
                <w:strike/>
                <w:noProof/>
              </w:rPr>
              <w:t>провеждат</w:t>
            </w:r>
            <w:r>
              <w:rPr>
                <w:noProof/>
              </w:rPr>
              <w:t xml:space="preserve">. Допустима целева група за включване в обучения, информационни семинари и демонстрационни дейности са регистрирани земеделски </w:t>
            </w:r>
            <w:r>
              <w:rPr>
                <w:noProof/>
              </w:rPr>
              <w:lastRenderedPageBreak/>
              <w:t>стопани и заетите лица в техните стопанства, както и собственици и ползватели на гори и заетите в техните стопанства.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2. Общинските/областните служби „Земеделие“ ще извършват предварителна проверка за допустимост на лицата от целевата група, заявили желание да бъдат включени в обучение/семинар/демонстрационна дейност при избран от тях одобрен доставчик на услугата.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3. Обученията за придобиване на професионална квалификация ще се провеждат съгласно Закона за професионалното образование и обучение (ЗПОО).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4. Обученията за повишаване на квалификацията ще се провеждат съгласно Закон за висшето образование.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5. Всеки курс за професионална квалификация и за повишаване на квалификацията, допустим за подпомагане в рамките на интервенцията, задължително включва часове за придобиване на цифрови/дигитални умения, които трябва да са не по-малко от 5% от общия брой часове на курса (в случай, че е приложимо).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6. Информационните семинари са тематични срещи, на които ще се разглеждат и обсъждат конкретни приоритетни теми, конкретизирани в обхвата на специфичните цели на Стратегическия план. В зависимост от съдържанието на програмата и предвидените теми, продължителността на семинарите може да бъде 8 учебни часа или 18 учебни часа.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7. Допустимо е обученията и семинарите да се провеждат в дневна, вечерна, дистанционна/онлайн/ или комбинирана форма, в зависимост от вида и продължителността им.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8. Бенефициенти, предоставящи трансфер на знания чрез демонстрационни дейности, трябва да разполагат със собствени или да имат достъп до демонстрационни обекти от типа на учебно-опитни полета, изследователски опитни полета, учебни или изследователски лаборатории или да имат достъп до земеделски стопанства, в които да се предоставят демонстрации в реални практически условия. Демонстрационен обект може да бъде опитно поле или учебно-опитно поле, или лаборатория на научен институт, висше училище или професионална гимназия. Опитното поле може да бъде разположено и в рамките на земеделско стопанство, собственост на земеделски стопанин, регистриран по реда на наредба № 3 от 1999 г. за създаване и поддържане на регистър на земеделски стопани, като тази форма на предоставяне на демонстрации в реални практически условия следва да бъде поощрявана. Опитното поле може да бъде осигурено от член на областно, регионално и национално представителни браншови организации за производство и преработка на селскостопански продукти или чрез участие на партньор по проекта.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9. На един демонстрационен обект може да се организират и провеждат различен вид и брой демонстрационни дейности. За всяка дейност се посочват кратка учебна програма (с тема, цели, съдържание, методи на демонстриране) и описание на демонстрационния обект (с конкретно посочване на обектите или практиките, които ще се демонстрират).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10. Демонстрационните дейности са практически занятия по определена тема с цел придобиване на информация и запознаване в реални практически условия с: представяне на технологии и специализирана техника за извършване на различни земеделски дейности или комбинация от дейности, технология на отглеждане на култура или група култури, прибиране на реколтата, напояване, производство и използване на екологични торове или подобрители на почвата; използване на препарати или заместители на препарати за растителна защита; техники, методи и оборудване за определяне на качеството на продукцията; нови сортове (хибриди) растения или подобрена порода животни; иновативни практики, техники и технологии или съоръжения, управление на отпадъци, обект на селското стопанство като източник или като ползвате</w:t>
            </w:r>
          </w:p>
        </w:tc>
      </w:tr>
    </w:tbl>
    <w:p w:rsidR="004D5BCB" w:rsidRDefault="004D5BCB" w:rsidP="004D5BCB">
      <w:pPr>
        <w:spacing w:before="20" w:after="20"/>
        <w:rPr>
          <w:color w:val="000000"/>
        </w:rPr>
      </w:pPr>
      <w:r>
        <w:rPr>
          <w:noProof/>
          <w:color w:val="000000"/>
        </w:rPr>
        <w:lastRenderedPageBreak/>
        <w:t>Задайте отговарящите на критериите вид подпомагане (извън обхвата на ИСАК) или ангажименти (ИСАК) и други задължения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90"/>
      </w:tblGrid>
      <w:tr w:rsidR="004D5BCB" w:rsidTr="00397510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>Подпомагането се предоставя под формата на единна ставка за единица продукт (стандартни опростени разходи), като покриват до 100 % от размера на подпомаганите разходи.</w:t>
            </w:r>
          </w:p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>Изчисленията на стандартните разходи са извършени от външно независимо от Министерство на земеделието и храните лице, притежаващо необходимите знания и компетенции. Изчисленията са адекватни и точни, както и са направени въз основа на метод за коректно, справедливо и доказуемо изчисление.</w:t>
            </w:r>
          </w:p>
          <w:p w:rsidR="004D5BCB" w:rsidRDefault="004D5BCB" w:rsidP="00397510">
            <w:pPr>
              <w:spacing w:before="40" w:after="40"/>
              <w:jc w:val="both"/>
            </w:pPr>
          </w:p>
          <w:p w:rsidR="004D5BCB" w:rsidRDefault="004D5BCB" w:rsidP="00397510">
            <w:pPr>
              <w:spacing w:before="40" w:after="40"/>
              <w:jc w:val="both"/>
            </w:pPr>
            <w:r>
              <w:rPr>
                <w:b/>
                <w:bCs/>
                <w:noProof/>
              </w:rPr>
              <w:t>Определени максимални стойности по дейности:</w:t>
            </w:r>
          </w:p>
          <w:tbl>
            <w:tblPr>
              <w:tblStyle w:val="quill-better-table"/>
              <w:tblW w:w="17730" w:type="dxa"/>
              <w:tblCellSpacing w:w="0" w:type="dxa"/>
              <w:tblBorders>
                <w:top w:val="outset" w:sz="6" w:space="0" w:color="808080"/>
                <w:left w:val="outset" w:sz="6" w:space="0" w:color="808080"/>
                <w:bottom w:val="outset" w:sz="6" w:space="0" w:color="808080"/>
                <w:right w:val="outset" w:sz="6" w:space="0" w:color="808080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firstRow="1" w:lastRow="1" w:firstColumn="1" w:lastColumn="1" w:noHBand="0" w:noVBand="1"/>
            </w:tblPr>
            <w:tblGrid>
              <w:gridCol w:w="992"/>
              <w:gridCol w:w="6037"/>
              <w:gridCol w:w="7384"/>
              <w:gridCol w:w="1614"/>
              <w:gridCol w:w="1703"/>
            </w:tblGrid>
            <w:tr w:rsidR="004D5BCB" w:rsidTr="00397510">
              <w:trPr>
                <w:tblCellSpacing w:w="0" w:type="dxa"/>
              </w:trPr>
              <w:tc>
                <w:tcPr>
                  <w:tcW w:w="1005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№</w:t>
                  </w:r>
                </w:p>
              </w:tc>
              <w:tc>
                <w:tcPr>
                  <w:tcW w:w="6120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Описание</w:t>
                  </w:r>
                </w:p>
              </w:tc>
              <w:tc>
                <w:tcPr>
                  <w:tcW w:w="7485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Вид обучение и включени разходи</w:t>
                  </w:r>
                </w:p>
              </w:tc>
              <w:tc>
                <w:tcPr>
                  <w:tcW w:w="3315" w:type="dxa"/>
                  <w:gridSpan w:val="2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Общ размер на разходите за 1 обучаем / участник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384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в лв.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в евро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1005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</w:t>
                  </w:r>
                </w:p>
              </w:tc>
              <w:tc>
                <w:tcPr>
                  <w:tcW w:w="6120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 xml:space="preserve">Демонстрация с продължителност от 1 ден </w:t>
                  </w: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демонстрация с включени разходи свързани с осигуряване на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106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54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демонстрация без разходи за обеди и кафе паузи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75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38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демонстрация без включени разходи свързани с осигуряване на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35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18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1005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</w:t>
                  </w:r>
                </w:p>
              </w:tc>
              <w:tc>
                <w:tcPr>
                  <w:tcW w:w="6120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Информационен семинар с продължителност 8 учебни часа</w:t>
                  </w: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с включени разходи свързани с осигуряване на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108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55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разходи за обеди и кафе паузи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65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33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включени разходи свързани с осигуряване на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45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23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онлайн обучение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36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18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1005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3</w:t>
                  </w:r>
                </w:p>
              </w:tc>
              <w:tc>
                <w:tcPr>
                  <w:tcW w:w="6120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Информационен семинар с продължителност 18 учебни часа</w:t>
                  </w: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с посещение на база/и за практическо обучение и с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449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230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посещение на база/и за практическо обучение и с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441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225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с посещение на база/и за практическо обучение и без разходи за нощувки и вечери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269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138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посещение на база/и за практическо обучение и без разходи за нощувки и вечери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260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133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с посещение на база/и за практическо обучение и без разходи за нощувки, вечери, обеди и кафе паузи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144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74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посещение на база/и за практическо обучение и без разходи за нощувки, вечери, обеди и кафе паузи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136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70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76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39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с посещение на база/и за практическо обучение и с включени разходи свързани с осигуряване на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166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85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без посещение на база/и за практическо обучение и с включени разходи свързани с осигуряване на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158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81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с посещение на база/и за практическо обучение и без разходи за обеди и кафе паузи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124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63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без посещение на база/и за практическо обучение и без разходи за обеди и кафе паузи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116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59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без включени разходи свързани с осигуряване на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60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31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онлайн обучение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53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27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1005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4</w:t>
                  </w:r>
                </w:p>
              </w:tc>
              <w:tc>
                <w:tcPr>
                  <w:tcW w:w="6120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Курс за придобиване на квалификация по част от професия от 50 учебни часа</w:t>
                  </w: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с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1 192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609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разходи за нощувки и вечери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642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328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 xml:space="preserve">при присъствено обучение без разходи за нощувки, вечери, обеди и </w:t>
                  </w:r>
                  <w:r>
                    <w:rPr>
                      <w:noProof/>
                      <w:color w:val="000000"/>
                    </w:rPr>
                    <w:lastRenderedPageBreak/>
                    <w:t>кафе паузи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lastRenderedPageBreak/>
                    <w:t>346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177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231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118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с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609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311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без разходи за нощувки и вечери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425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217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без разходи за нощувки, вечери, обеди и кафе паузи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297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152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без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189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97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онлайн обучение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173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88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1005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5</w:t>
                  </w:r>
                </w:p>
              </w:tc>
              <w:tc>
                <w:tcPr>
                  <w:tcW w:w="6120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spacing w:after="240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Курс за придобиване на правоспособност за работа със земеделска и горска техника за следната категория:</w:t>
                  </w:r>
                </w:p>
                <w:p w:rsidR="004D5BCB" w:rsidRDefault="004D5BCB" w:rsidP="00397510">
                  <w:pPr>
                    <w:pStyle w:val="qlbt-cell-line"/>
                    <w:spacing w:before="240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Тпс (моторни триони и храсторези) - 54 учебни часа</w:t>
                  </w: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с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1 304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667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разходи за нощувки и вечери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732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374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разходи за нощувки, вечери, обеди и кафе паузи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423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216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324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166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1005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6</w:t>
                  </w:r>
                </w:p>
              </w:tc>
              <w:tc>
                <w:tcPr>
                  <w:tcW w:w="6120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spacing w:after="240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Курс за придобиване на правоспособност за работа със земеделска и горска техника за следните категории:</w:t>
                  </w:r>
                </w:p>
                <w:p w:rsidR="004D5BCB" w:rsidRDefault="004D5BCB" w:rsidP="00397510">
                  <w:pPr>
                    <w:pStyle w:val="qlbt-cell-line"/>
                    <w:spacing w:before="240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Твк-М – 75 уч. часа и Твк-Г – 75 уч. часа</w:t>
                  </w: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с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1 867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955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разходи за нощувки и вечери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1 009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516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разходи за нощувки, вечери, обеди и кафе паузи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568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290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465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238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1005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7</w:t>
                  </w:r>
                </w:p>
              </w:tc>
              <w:tc>
                <w:tcPr>
                  <w:tcW w:w="6120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spacing w:after="240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Курс за придобиване на правоспособност за работа със земеделска и горска техника за следната категория:</w:t>
                  </w:r>
                </w:p>
                <w:p w:rsidR="004D5BCB" w:rsidRDefault="004D5BCB" w:rsidP="00397510">
                  <w:pPr>
                    <w:pStyle w:val="qlbt-cell-line"/>
                    <w:spacing w:before="240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 Тпс (вертикални и/или хоризонтални банцизи) – 87 учебни часа</w:t>
                  </w: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с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2 047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1 047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разходи за нощувки и вечери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1 094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559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разходи за нощувки, вечери, обеди и кафе паузи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610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312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494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253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1005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8</w:t>
                  </w:r>
                </w:p>
              </w:tc>
              <w:tc>
                <w:tcPr>
                  <w:tcW w:w="6120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spacing w:after="240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Курс за придобиване на правоспособност за работа със земеделска и горска техника за следните категории:</w:t>
                  </w:r>
                </w:p>
                <w:p w:rsidR="004D5BCB" w:rsidRDefault="004D5BCB" w:rsidP="00397510">
                  <w:pPr>
                    <w:pStyle w:val="qlbt-cell-line"/>
                    <w:spacing w:before="240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Твк – 100 уч. часа, Твк-3 – 100 уч. часа иТпс (въжени линии) - 100 учебни часа</w:t>
                  </w: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с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2 396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1 225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разходи за нощувки и вечери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1 260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644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разходи за нощувки, вечери, обеди и кафе паузи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692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354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569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291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1005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9</w:t>
                  </w:r>
                </w:p>
              </w:tc>
              <w:tc>
                <w:tcPr>
                  <w:tcW w:w="6120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Курс за обучение от 150 учебни часа</w:t>
                  </w: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с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3 671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1 877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разходи за нощувки и вечери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1 986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1 015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разходи за нощувки, вечери, обеди и кафе паузи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1 165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596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865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442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с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1 763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901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без разходи за нощувки и вечери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1 198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613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без разходи за нощувки, вечери, обеди и кафе паузи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892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456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без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664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339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онлайн обучение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569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291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1005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10</w:t>
                  </w:r>
                </w:p>
              </w:tc>
              <w:tc>
                <w:tcPr>
                  <w:tcW w:w="6120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Курс за придобиване на квалификация по част от професия от 300 учебни часа</w:t>
                  </w: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с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7 819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3 998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разходи за нощувки и вечери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4 315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2 206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разходи за нощувки, вечери, обеди и кафе паузи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2 652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1 356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1 969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1 007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с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3 710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1 897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без разходи за нощувки и вечери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2 566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1 312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без разходи за нощувки, вечери, обеди и кафе паузи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1 990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1 017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без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1 491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762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онлайн обучение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1 279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654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1005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11</w:t>
                  </w:r>
                </w:p>
              </w:tc>
              <w:tc>
                <w:tcPr>
                  <w:tcW w:w="6120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Курс с продължителност от 300 учебни часа за придобиване на професионална квалификация по професии в областта на селското и горското стопанство и хранително вкусовата промишленост</w:t>
                  </w: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с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7 819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3 998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разходи за нощувки и вечери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4 315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2 206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разходи за нощувки, вечери, обеди и кафе паузи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2 652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1 356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1 969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1 007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с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3 710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1 897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без разходи за нощувки и вечери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2 566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1 312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без разходи за нощувки, вечери, обеди и кафе паузи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1 990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1 017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без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1 491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762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онлайн обучение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1 279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654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1005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12</w:t>
                  </w:r>
                </w:p>
              </w:tc>
              <w:tc>
                <w:tcPr>
                  <w:tcW w:w="6120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Курс с продължителност от 660 учебни часа за придобиване на професионална квалификация по професии в областта на селското и горското стопанство и хранително вкусовата промишленост</w:t>
                  </w: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с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17 999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9 203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разходи за нощувки и вечери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10 110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5 169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разходи за нощувки, вечери, обеди и кафе паузи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6 415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3 280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5 044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2 579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с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8 894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4 547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без разходи за нощувки и вечери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6 277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3 209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без разходи за нощувки, вечери, обеди и кафе паузи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5 012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2 563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без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3 801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1 943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онлайн обучение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3 240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1 657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1005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13</w:t>
                  </w:r>
                </w:p>
              </w:tc>
              <w:tc>
                <w:tcPr>
                  <w:tcW w:w="6120" w:type="dxa"/>
                  <w:vMerge w:val="restart"/>
                  <w:tcBorders>
                    <w:top w:val="outset" w:sz="6" w:space="0" w:color="808080"/>
                    <w:left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Курс с продължителност от 960 учебни часа за придобиване на професионална квалификация по професии в областта на селското и горското стопанство и хранително вкусовата промишленост </w:t>
                  </w: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с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28 638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14 642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разходи за нощувки и вечери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16 916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8 649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разходи за нощувки, вечери, обеди и кафе паузи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11 440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5 849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присъствено обучение без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9 084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4 645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с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14 648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7 489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без разходи за нощувки и вечери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10 772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5 508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без разходи за нощувки, вечери, обеди и кафе паузи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8 913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4 557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хибридно обучение без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6 832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3 493</w:t>
                  </w:r>
                </w:p>
              </w:tc>
            </w:tr>
            <w:tr w:rsidR="004D5BCB" w:rsidTr="00397510">
              <w:trPr>
                <w:tblCellSpacing w:w="0" w:type="dxa"/>
              </w:trPr>
              <w:tc>
                <w:tcPr>
                  <w:tcW w:w="992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037" w:type="dxa"/>
                  <w:vMerge/>
                  <w:tcBorders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vAlign w:val="center"/>
                  <w:hideMark/>
                </w:tcPr>
                <w:p w:rsidR="004D5BCB" w:rsidRDefault="004D5BCB" w:rsidP="0039751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48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при онлайн обучение</w:t>
                  </w:r>
                </w:p>
              </w:tc>
              <w:tc>
                <w:tcPr>
                  <w:tcW w:w="163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5 824</w:t>
                  </w:r>
                </w:p>
              </w:tc>
              <w:tc>
                <w:tcPr>
                  <w:tcW w:w="1725" w:type="dxa"/>
                  <w:tcBorders>
                    <w:top w:val="outset" w:sz="6" w:space="0" w:color="808080"/>
                    <w:left w:val="outset" w:sz="6" w:space="0" w:color="808080"/>
                    <w:bottom w:val="outset" w:sz="6" w:space="0" w:color="808080"/>
                    <w:right w:val="outset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D5BCB" w:rsidRDefault="004D5BCB" w:rsidP="00397510">
                  <w:pPr>
                    <w:pStyle w:val="qlbt-cell-line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t>2 978</w:t>
                  </w:r>
                </w:p>
              </w:tc>
            </w:tr>
          </w:tbl>
          <w:p w:rsidR="004D5BCB" w:rsidRDefault="004D5BCB" w:rsidP="00397510">
            <w:pPr>
              <w:spacing w:before="40" w:after="40"/>
              <w:jc w:val="both"/>
            </w:pPr>
          </w:p>
        </w:tc>
      </w:tr>
    </w:tbl>
    <w:p w:rsidR="004D5BCB" w:rsidRDefault="004D5BCB" w:rsidP="004D5BCB">
      <w:pPr>
        <w:pStyle w:val="Heading5"/>
        <w:spacing w:before="20" w:after="20"/>
        <w:rPr>
          <w:b w:val="0"/>
          <w:i w:val="0"/>
          <w:color w:val="000000"/>
          <w:sz w:val="24"/>
        </w:rPr>
      </w:pPr>
      <w:bookmarkStart w:id="6" w:name="_Toc256001632"/>
      <w:r>
        <w:rPr>
          <w:b w:val="0"/>
          <w:i w:val="0"/>
          <w:noProof/>
          <w:color w:val="000000"/>
          <w:sz w:val="24"/>
        </w:rPr>
        <w:lastRenderedPageBreak/>
        <w:t>6 Определяне на уместни базови характеристики</w:t>
      </w:r>
      <w:bookmarkEnd w:id="6"/>
    </w:p>
    <w:p w:rsidR="004D5BCB" w:rsidRDefault="004D5BCB" w:rsidP="004D5BCB">
      <w:pPr>
        <w:spacing w:before="20" w:after="20"/>
        <w:rPr>
          <w:color w:val="000000"/>
        </w:rPr>
      </w:pPr>
      <w:r>
        <w:rPr>
          <w:noProof/>
          <w:color w:val="000000"/>
        </w:rPr>
        <w:t xml:space="preserve"> (приложими стандарти за ДЗЕС, законоустановени изисквания за управление (ЗИУ) и други задължителни изисквания, установени в националното право и правото на Съюза), когато е приложимо, описание на специфичните уместни задължения съгласно ЗИУ и обяснение как ангажиментът надхвърля задължителните изисквания (както е посочено в член 28, параграф 5, член 70, параграф 3 и член 72, параграф 5)</w:t>
      </w:r>
    </w:p>
    <w:p w:rsidR="004D5BCB" w:rsidRDefault="004D5BCB" w:rsidP="004D5BCB">
      <w:pPr>
        <w:spacing w:before="20" w:after="20"/>
        <w:rPr>
          <w:color w:val="000000"/>
        </w:rPr>
      </w:pPr>
      <w:r>
        <w:rPr>
          <w:noProof/>
          <w:color w:val="000000"/>
        </w:rPr>
        <w:t>Неприложимо</w:t>
      </w:r>
    </w:p>
    <w:p w:rsidR="004D5BCB" w:rsidRDefault="004D5BCB" w:rsidP="004D5BCB">
      <w:pPr>
        <w:pStyle w:val="Heading5"/>
        <w:spacing w:before="20" w:after="20"/>
        <w:rPr>
          <w:b w:val="0"/>
          <w:i w:val="0"/>
          <w:color w:val="000000"/>
          <w:sz w:val="24"/>
        </w:rPr>
      </w:pPr>
      <w:bookmarkStart w:id="7" w:name="_Toc256001633"/>
      <w:r>
        <w:rPr>
          <w:b w:val="0"/>
          <w:i w:val="0"/>
          <w:noProof/>
          <w:color w:val="000000"/>
          <w:sz w:val="24"/>
        </w:rPr>
        <w:t>7 Форма и ставка на подпомагане/суми/методи за изчисляване</w:t>
      </w:r>
      <w:bookmarkEnd w:id="7"/>
    </w:p>
    <w:p w:rsidR="004D5BCB" w:rsidRDefault="004D5BCB" w:rsidP="004D5BCB">
      <w:pPr>
        <w:spacing w:before="20" w:after="20"/>
        <w:rPr>
          <w:color w:val="000000"/>
        </w:rPr>
      </w:pPr>
      <w:r>
        <w:rPr>
          <w:noProof/>
          <w:color w:val="000000"/>
        </w:rPr>
        <w:t>Форма на подкрепа</w:t>
      </w:r>
    </w:p>
    <w:p w:rsidR="004D5BCB" w:rsidRDefault="004D5BCB" w:rsidP="004D5BCB">
      <w:pPr>
        <w:spacing w:before="20" w:after="20"/>
        <w:rPr>
          <w:b/>
          <w:color w:val="000000"/>
        </w:rPr>
      </w:pPr>
      <w:r>
        <w:rPr>
          <w:rFonts w:ascii="Wingdings" w:eastAsia="Wingdings" w:hAnsi="Wingdings" w:cs="Wingdings"/>
          <w:b/>
          <w:noProof/>
          <w:color w:val="000000"/>
        </w:rPr>
        <w:t></w:t>
      </w:r>
      <w:r>
        <w:rPr>
          <w:b/>
          <w:noProof/>
          <w:color w:val="000000"/>
        </w:rPr>
        <w:t xml:space="preserve"> Безвъзмездни средства</w:t>
      </w:r>
    </w:p>
    <w:p w:rsidR="004D5BCB" w:rsidRDefault="004D5BCB" w:rsidP="004D5BCB">
      <w:pPr>
        <w:spacing w:before="20" w:after="20"/>
        <w:rPr>
          <w:b/>
          <w:color w:val="000000"/>
        </w:rPr>
      </w:pPr>
      <w:r>
        <w:rPr>
          <w:rFonts w:ascii="Wingdings" w:eastAsia="Wingdings" w:hAnsi="Wingdings" w:cs="Wingdings"/>
          <w:b/>
          <w:noProof/>
          <w:color w:val="000000"/>
        </w:rPr>
        <w:t></w:t>
      </w:r>
      <w:r>
        <w:rPr>
          <w:b/>
          <w:noProof/>
          <w:color w:val="000000"/>
        </w:rPr>
        <w:t xml:space="preserve"> Финансов инструмент</w:t>
      </w:r>
    </w:p>
    <w:p w:rsidR="004D5BCB" w:rsidRDefault="004D5BCB" w:rsidP="004D5BCB">
      <w:pPr>
        <w:spacing w:before="20" w:after="20"/>
        <w:rPr>
          <w:color w:val="000000"/>
          <w:sz w:val="12"/>
        </w:rPr>
      </w:pPr>
    </w:p>
    <w:p w:rsidR="004D5BCB" w:rsidRDefault="004D5BCB" w:rsidP="004D5BCB">
      <w:pPr>
        <w:spacing w:before="20" w:after="20"/>
        <w:rPr>
          <w:color w:val="000000"/>
        </w:rPr>
      </w:pPr>
      <w:r>
        <w:rPr>
          <w:noProof/>
          <w:color w:val="000000"/>
        </w:rPr>
        <w:t>Вид на плащането</w:t>
      </w:r>
    </w:p>
    <w:p w:rsidR="004D5BCB" w:rsidRDefault="004D5BCB" w:rsidP="004D5BCB">
      <w:pPr>
        <w:spacing w:before="20" w:after="20"/>
        <w:rPr>
          <w:color w:val="000000"/>
        </w:rPr>
      </w:pPr>
      <w:r>
        <w:rPr>
          <w:rFonts w:ascii="Wingdings" w:eastAsia="Wingdings" w:hAnsi="Wingdings" w:cs="Wingdings"/>
          <w:noProof/>
          <w:color w:val="000000"/>
        </w:rPr>
        <w:t></w:t>
      </w:r>
      <w:r>
        <w:rPr>
          <w:noProof/>
          <w:color w:val="000000"/>
        </w:rPr>
        <w:t xml:space="preserve"> възстановяване на действително направени от бенефициера допустими разходи</w:t>
      </w:r>
    </w:p>
    <w:p w:rsidR="004D5BCB" w:rsidRDefault="004D5BCB" w:rsidP="004D5BCB">
      <w:pPr>
        <w:spacing w:before="20" w:after="20"/>
        <w:rPr>
          <w:color w:val="000000"/>
        </w:rPr>
      </w:pPr>
      <w:r>
        <w:rPr>
          <w:rFonts w:ascii="Wingdings" w:eastAsia="Wingdings" w:hAnsi="Wingdings" w:cs="Wingdings"/>
          <w:noProof/>
          <w:color w:val="000000"/>
        </w:rPr>
        <w:t></w:t>
      </w:r>
      <w:r>
        <w:rPr>
          <w:noProof/>
          <w:color w:val="000000"/>
        </w:rPr>
        <w:t xml:space="preserve"> единични разходи</w:t>
      </w:r>
    </w:p>
    <w:p w:rsidR="004D5BCB" w:rsidRDefault="004D5BCB" w:rsidP="004D5BCB">
      <w:pPr>
        <w:spacing w:before="20" w:after="20"/>
        <w:rPr>
          <w:color w:val="000000"/>
        </w:rPr>
      </w:pPr>
      <w:r>
        <w:rPr>
          <w:rFonts w:ascii="Wingdings" w:eastAsia="Wingdings" w:hAnsi="Wingdings" w:cs="Wingdings"/>
          <w:noProof/>
          <w:color w:val="000000"/>
        </w:rPr>
        <w:t></w:t>
      </w:r>
      <w:r>
        <w:rPr>
          <w:noProof/>
          <w:color w:val="000000"/>
        </w:rPr>
        <w:t xml:space="preserve"> еднократни суми</w:t>
      </w:r>
    </w:p>
    <w:p w:rsidR="004D5BCB" w:rsidRDefault="004D5BCB" w:rsidP="004D5BCB">
      <w:pPr>
        <w:spacing w:before="20" w:after="20"/>
        <w:rPr>
          <w:color w:val="000000"/>
        </w:rPr>
      </w:pPr>
      <w:r>
        <w:rPr>
          <w:rFonts w:ascii="Wingdings" w:eastAsia="Wingdings" w:hAnsi="Wingdings" w:cs="Wingdings"/>
          <w:noProof/>
          <w:color w:val="000000"/>
        </w:rPr>
        <w:t></w:t>
      </w:r>
      <w:r>
        <w:rPr>
          <w:noProof/>
          <w:color w:val="000000"/>
        </w:rPr>
        <w:t xml:space="preserve"> финансиране с единна ставка</w:t>
      </w:r>
    </w:p>
    <w:p w:rsidR="004D5BCB" w:rsidRDefault="004D5BCB" w:rsidP="004D5BCB">
      <w:pPr>
        <w:spacing w:before="20" w:after="20"/>
        <w:rPr>
          <w:color w:val="000000"/>
          <w:sz w:val="12"/>
        </w:rPr>
      </w:pPr>
    </w:p>
    <w:p w:rsidR="004D5BCB" w:rsidRDefault="004D5BCB" w:rsidP="004D5BCB">
      <w:pPr>
        <w:spacing w:before="20" w:after="20"/>
        <w:rPr>
          <w:color w:val="000000"/>
        </w:rPr>
      </w:pPr>
      <w:r>
        <w:rPr>
          <w:noProof/>
          <w:color w:val="000000"/>
        </w:rPr>
        <w:t>Основа за определянето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90"/>
      </w:tblGrid>
      <w:tr w:rsidR="004D5BCB" w:rsidTr="00397510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40" w:after="40"/>
            </w:pPr>
            <w:r>
              <w:rPr>
                <w:noProof/>
                <w:color w:val="333333"/>
                <w:shd w:val="clear" w:color="auto" w:fill="FAFAFA"/>
              </w:rPr>
              <w:t>Подпомагането се предоставя под формата на единна ставка за единица продукт (стандартни опростени разходи), като покриват до 100 % от размера на подпомаганите разходи.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  <w:color w:val="333333"/>
                <w:shd w:val="clear" w:color="auto" w:fill="FFFFFF"/>
              </w:rPr>
              <w:t>Размерът на единичните разходи е определен в съответствие с разпоредбите на член 83 (2)(a)(i) от Регламент (ЕС) 2021/2115.</w:t>
            </w:r>
          </w:p>
        </w:tc>
      </w:tr>
    </w:tbl>
    <w:p w:rsidR="004D5BCB" w:rsidRDefault="004D5BCB" w:rsidP="004D5BCB">
      <w:pPr>
        <w:spacing w:before="20" w:after="20"/>
        <w:rPr>
          <w:color w:val="000000"/>
        </w:rPr>
      </w:pPr>
      <w:r>
        <w:rPr>
          <w:noProof/>
          <w:color w:val="000000"/>
        </w:rPr>
        <w:t>Обхват на подпомагането на равнище бенефициер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90"/>
      </w:tblGrid>
      <w:tr w:rsidR="004D5BCB" w:rsidTr="00397510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>Максималния размер на допустимите разходи за един проект, представен от един кандидат е не повече от 1 000 000 лв. за целия период на прилагане на Стратегическия план.</w:t>
            </w:r>
          </w:p>
        </w:tc>
      </w:tr>
    </w:tbl>
    <w:p w:rsidR="004D5BCB" w:rsidRDefault="004D5BCB" w:rsidP="004D5BCB">
      <w:pPr>
        <w:spacing w:before="20" w:after="20"/>
        <w:rPr>
          <w:color w:val="000000"/>
        </w:rPr>
      </w:pPr>
      <w:r>
        <w:rPr>
          <w:noProof/>
          <w:color w:val="000000"/>
        </w:rPr>
        <w:t>Допълнително обяснение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90"/>
      </w:tblGrid>
      <w:tr w:rsidR="004D5BCB" w:rsidTr="00397510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Приоритет: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Ще се прилагат критерии за подбор на проектни предложения, базирани на следните принципи: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-Оценка на учебната/семинарна/демонстрационна програма в съответствие с приоритетите, посочени в Стратегическия план;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 xml:space="preserve">-Оценка на професионалния опит/експертиза на лекторите, които провеждат </w:t>
            </w:r>
            <w:r>
              <w:rPr>
                <w:noProof/>
              </w:rPr>
              <w:lastRenderedPageBreak/>
              <w:t>обучението/семинара/демонстрационната дейност;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-включени часове за теми, свързани с иновации.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Ще бъде предвиден приоритет за: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- Държавни и общински институции в системата на професионалното образование и обучение, висши училища, научни институти и опитни станции в областта на селското и горското стопанство;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-Обучения/семинари/демонстрационни дейности насочени към: смекчаване на последиците от изменението на климата и за адаптация към него; устойчивото развитие и ефективно управление на природните ресурси като вода, почва и въздух; защита на биологичното разнообразие, подобряване на екосистемните услуги и опазване на местообитанията и ландшафта; цифрови/дигитални технологии и иновации;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-Обучения на теми, свързани с Натура 2000 и ролята на земеделските стопани за постигане на целите на екологичната мрежа;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- Демонстрации, провеждани от съветнически организации или индивидуални съветници, притежаващи практически опит;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- Демонстрации, които се извършват в рамките на земеделски стопанства, в реални производствени условия.</w:t>
            </w:r>
          </w:p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Ще се определи минимален брой точки за класиране на проектните предложения.</w:t>
            </w:r>
          </w:p>
        </w:tc>
      </w:tr>
    </w:tbl>
    <w:p w:rsidR="004D5BCB" w:rsidRDefault="004D5BCB" w:rsidP="004D5BCB">
      <w:pPr>
        <w:pStyle w:val="Heading5"/>
        <w:spacing w:before="20" w:after="20"/>
        <w:rPr>
          <w:b w:val="0"/>
          <w:i w:val="0"/>
          <w:color w:val="000000"/>
          <w:sz w:val="24"/>
        </w:rPr>
      </w:pPr>
      <w:bookmarkStart w:id="8" w:name="_Toc256001634"/>
      <w:r>
        <w:rPr>
          <w:b w:val="0"/>
          <w:i w:val="0"/>
          <w:noProof/>
          <w:color w:val="000000"/>
          <w:sz w:val="24"/>
        </w:rPr>
        <w:lastRenderedPageBreak/>
        <w:t>8 Информация относно оценката за държавна помощ</w:t>
      </w:r>
      <w:bookmarkEnd w:id="8"/>
    </w:p>
    <w:p w:rsidR="004D5BCB" w:rsidRDefault="004D5BCB" w:rsidP="004D5BCB">
      <w:pPr>
        <w:spacing w:before="20" w:after="20"/>
        <w:rPr>
          <w:color w:val="000000"/>
        </w:rPr>
      </w:pPr>
      <w:r>
        <w:rPr>
          <w:noProof/>
          <w:color w:val="000000"/>
        </w:rPr>
        <w:t>Интервенцията попада извън приложното поле на член 42 от ДФЕС и подлежи на оценка за държавна помощ:</w:t>
      </w:r>
    </w:p>
    <w:p w:rsidR="004D5BCB" w:rsidRDefault="004D5BCB" w:rsidP="004D5BCB">
      <w:pPr>
        <w:spacing w:before="20" w:after="20"/>
        <w:rPr>
          <w:color w:val="000000"/>
        </w:rPr>
      </w:pPr>
      <w:r>
        <w:rPr>
          <w:rFonts w:ascii="Wingdings" w:eastAsia="Wingdings" w:hAnsi="Wingdings" w:cs="Wingdings"/>
          <w:noProof/>
          <w:color w:val="000000"/>
        </w:rPr>
        <w:t></w:t>
      </w:r>
      <w:r>
        <w:rPr>
          <w:noProof/>
          <w:color w:val="000000"/>
        </w:rPr>
        <w:t xml:space="preserve"> Да      </w:t>
      </w:r>
      <w:r>
        <w:rPr>
          <w:rFonts w:ascii="Wingdings" w:eastAsia="Wingdings" w:hAnsi="Wingdings" w:cs="Wingdings"/>
          <w:noProof/>
          <w:color w:val="000000"/>
        </w:rPr>
        <w:t></w:t>
      </w:r>
      <w:r>
        <w:rPr>
          <w:noProof/>
          <w:color w:val="000000"/>
        </w:rPr>
        <w:t xml:space="preserve"> Не      </w:t>
      </w:r>
      <w:r>
        <w:rPr>
          <w:rFonts w:ascii="Wingdings" w:eastAsia="Wingdings" w:hAnsi="Wingdings" w:cs="Wingdings"/>
          <w:noProof/>
          <w:color w:val="000000"/>
        </w:rPr>
        <w:t></w:t>
      </w:r>
      <w:r>
        <w:rPr>
          <w:noProof/>
          <w:color w:val="000000"/>
        </w:rPr>
        <w:t xml:space="preserve"> Смесено участие      </w:t>
      </w:r>
    </w:p>
    <w:p w:rsidR="004D5BCB" w:rsidRDefault="004D5BCB" w:rsidP="004D5BCB">
      <w:pPr>
        <w:spacing w:before="20" w:after="20"/>
        <w:rPr>
          <w:color w:val="000000"/>
        </w:rPr>
      </w:pPr>
      <w:r>
        <w:rPr>
          <w:noProof/>
          <w:color w:val="000000"/>
        </w:rPr>
        <w:t>Обяснение на спомагателните дейности извън приложното поле на член 42 от ДФЕС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90"/>
      </w:tblGrid>
      <w:tr w:rsidR="004D5BCB" w:rsidTr="00397510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40" w:after="40"/>
              <w:jc w:val="both"/>
            </w:pPr>
            <w:r>
              <w:rPr>
                <w:noProof/>
              </w:rPr>
              <w:t>Чрез интервенцията ще се подпомагат и обучения, информационни семинари и демонстрационни дейности, насочени към горски стопани и заетите лица в техните стопанства, като това подпомагане ще бъде обект на нотифициране за държавна помощ във връзка с чл. 47</w:t>
            </w:r>
            <w:r>
              <w:rPr>
                <w:b/>
                <w:bCs/>
                <w:noProof/>
              </w:rPr>
              <w:t xml:space="preserve"> </w:t>
            </w:r>
            <w:r>
              <w:rPr>
                <w:noProof/>
              </w:rPr>
              <w:t xml:space="preserve">от </w:t>
            </w:r>
            <w:r>
              <w:rPr>
                <w:noProof/>
                <w:color w:val="333333"/>
                <w:shd w:val="clear" w:color="auto" w:fill="FFFFFF"/>
              </w:rPr>
              <w:t>Регламент (ЕС) 2022/2472 на Комисията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съюз.</w:t>
            </w:r>
          </w:p>
        </w:tc>
      </w:tr>
    </w:tbl>
    <w:p w:rsidR="004D5BCB" w:rsidRDefault="004D5BCB" w:rsidP="004D5BCB">
      <w:pPr>
        <w:spacing w:before="20" w:after="20"/>
        <w:rPr>
          <w:color w:val="000000"/>
        </w:rPr>
      </w:pPr>
      <w:r>
        <w:rPr>
          <w:noProof/>
          <w:color w:val="000000"/>
        </w:rPr>
        <w:t>Вид на инструмента за държавна помощ, който да се използва за оформяне:</w:t>
      </w:r>
    </w:p>
    <w:p w:rsidR="004D5BCB" w:rsidRDefault="004D5BCB" w:rsidP="004D5BCB">
      <w:pPr>
        <w:spacing w:before="20" w:after="20"/>
        <w:rPr>
          <w:color w:val="000000"/>
        </w:rPr>
      </w:pPr>
      <w:r>
        <w:rPr>
          <w:rFonts w:ascii="Wingdings" w:eastAsia="Wingdings" w:hAnsi="Wingdings" w:cs="Wingdings"/>
          <w:noProof/>
          <w:color w:val="000000"/>
        </w:rPr>
        <w:t></w:t>
      </w:r>
      <w:r>
        <w:rPr>
          <w:noProof/>
          <w:color w:val="000000"/>
        </w:rPr>
        <w:t xml:space="preserve"> Нотифициране      </w:t>
      </w:r>
      <w:r>
        <w:rPr>
          <w:rFonts w:ascii="Wingdings" w:eastAsia="Wingdings" w:hAnsi="Wingdings" w:cs="Wingdings"/>
          <w:noProof/>
          <w:color w:val="000000"/>
        </w:rPr>
        <w:t></w:t>
      </w:r>
      <w:r>
        <w:rPr>
          <w:noProof/>
          <w:color w:val="000000"/>
        </w:rPr>
        <w:t xml:space="preserve"> ОРГО      </w:t>
      </w:r>
      <w:r>
        <w:rPr>
          <w:rFonts w:ascii="Wingdings" w:eastAsia="Wingdings" w:hAnsi="Wingdings" w:cs="Wingdings"/>
          <w:noProof/>
          <w:color w:val="000000"/>
        </w:rPr>
        <w:t></w:t>
      </w:r>
      <w:r>
        <w:rPr>
          <w:noProof/>
          <w:color w:val="000000"/>
        </w:rPr>
        <w:t xml:space="preserve"> РГОСС      </w:t>
      </w:r>
      <w:r>
        <w:rPr>
          <w:rFonts w:ascii="Wingdings" w:eastAsia="Wingdings" w:hAnsi="Wingdings" w:cs="Wingdings"/>
          <w:noProof/>
          <w:color w:val="000000"/>
        </w:rPr>
        <w:t></w:t>
      </w:r>
      <w:r>
        <w:rPr>
          <w:noProof/>
          <w:color w:val="000000"/>
        </w:rPr>
        <w:t xml:space="preserve"> de minimis      </w:t>
      </w:r>
    </w:p>
    <w:p w:rsidR="004D5BCB" w:rsidRDefault="004D5BCB" w:rsidP="004D5BCB">
      <w:pPr>
        <w:spacing w:before="20" w:after="20"/>
        <w:rPr>
          <w:color w:val="000000"/>
        </w:rPr>
      </w:pPr>
      <w:r>
        <w:rPr>
          <w:noProof/>
          <w:color w:val="000000"/>
        </w:rPr>
        <w:t>Номер на преписката за държавна помощ</w:t>
      </w:r>
    </w:p>
    <w:p w:rsidR="004D5BCB" w:rsidRDefault="004D5BCB" w:rsidP="004D5BCB">
      <w:pPr>
        <w:spacing w:before="20" w:after="20"/>
        <w:rPr>
          <w:color w:val="000000"/>
        </w:rPr>
      </w:pPr>
      <w:r>
        <w:rPr>
          <w:noProof/>
          <w:color w:val="000000"/>
        </w:rPr>
        <w:t>Неприложимо</w:t>
      </w:r>
    </w:p>
    <w:p w:rsidR="004D5BCB" w:rsidRDefault="004D5BCB" w:rsidP="004D5BCB">
      <w:pPr>
        <w:spacing w:before="20" w:after="20"/>
        <w:rPr>
          <w:color w:val="000000"/>
        </w:rPr>
      </w:pPr>
    </w:p>
    <w:p w:rsidR="004D5BCB" w:rsidRDefault="004D5BCB" w:rsidP="004D5BCB">
      <w:pPr>
        <w:spacing w:before="20" w:after="20"/>
        <w:rPr>
          <w:color w:val="000000"/>
        </w:rPr>
      </w:pPr>
      <w:r>
        <w:rPr>
          <w:noProof/>
          <w:color w:val="000000"/>
        </w:rPr>
        <w:t>Допълнителна информация:</w:t>
      </w:r>
    </w:p>
    <w:p w:rsidR="004D5BCB" w:rsidRDefault="004D5BCB" w:rsidP="004D5BCB">
      <w:pPr>
        <w:spacing w:before="20" w:after="20"/>
        <w:rPr>
          <w:color w:val="000000"/>
        </w:rPr>
      </w:pPr>
      <w:r>
        <w:rPr>
          <w:rFonts w:ascii="Wingdings" w:eastAsia="Wingdings" w:hAnsi="Wingdings" w:cs="Wingdings"/>
          <w:noProof/>
          <w:color w:val="000000"/>
        </w:rPr>
        <w:t></w:t>
      </w:r>
      <w:r>
        <w:rPr>
          <w:noProof/>
          <w:color w:val="000000"/>
        </w:rPr>
        <w:t xml:space="preserve"> Държавата членка все още не е избрала инструмента (инструментите) и е посочила алтернативите. На бенефициерите няма да се изплаща помощ преди датата, на която уравняването на избрания инструмент влезе в сила.      </w:t>
      </w:r>
      <w:r>
        <w:rPr>
          <w:rFonts w:ascii="Wingdings" w:eastAsia="Wingdings" w:hAnsi="Wingdings" w:cs="Wingdings"/>
          <w:noProof/>
          <w:color w:val="000000"/>
        </w:rPr>
        <w:t></w:t>
      </w:r>
      <w:r>
        <w:rPr>
          <w:noProof/>
          <w:color w:val="000000"/>
        </w:rPr>
        <w:t xml:space="preserve"> Държавата членка е избрала инструмента, както е посочено, но все още не е получено уравняване. На бенефициерите няма да се изплаща помощ преди датата, на която уравняването влезе в сила.</w:t>
      </w:r>
    </w:p>
    <w:p w:rsidR="004D5BCB" w:rsidRDefault="004D5BCB" w:rsidP="004D5BCB">
      <w:pPr>
        <w:spacing w:before="20" w:after="20"/>
        <w:rPr>
          <w:color w:val="000000"/>
        </w:rPr>
      </w:pPr>
      <w:r>
        <w:rPr>
          <w:rFonts w:ascii="Wingdings" w:eastAsia="Wingdings" w:hAnsi="Wingdings" w:cs="Wingdings"/>
          <w:noProof/>
          <w:color w:val="000000"/>
        </w:rPr>
        <w:t></w:t>
      </w:r>
      <w:r>
        <w:rPr>
          <w:noProof/>
          <w:color w:val="000000"/>
        </w:rPr>
        <w:t xml:space="preserve"> Държавата членка е избрала инструмента, както е посочено, получено е уравняване и е посочен номерът на SA за уведомяване, ОРГО или РГОСС.</w:t>
      </w:r>
    </w:p>
    <w:p w:rsidR="004D5BCB" w:rsidRDefault="004D5BCB" w:rsidP="004D5BCB">
      <w:pPr>
        <w:spacing w:before="20" w:after="20"/>
        <w:rPr>
          <w:color w:val="000000"/>
        </w:rPr>
      </w:pPr>
    </w:p>
    <w:p w:rsidR="004D5BCB" w:rsidRDefault="004D5BCB" w:rsidP="004D5BCB">
      <w:pPr>
        <w:pStyle w:val="Heading5"/>
        <w:spacing w:before="20" w:after="20"/>
        <w:rPr>
          <w:b w:val="0"/>
          <w:i w:val="0"/>
          <w:color w:val="000000"/>
          <w:sz w:val="24"/>
        </w:rPr>
      </w:pPr>
      <w:bookmarkStart w:id="9" w:name="_Toc256001635"/>
      <w:r>
        <w:rPr>
          <w:b w:val="0"/>
          <w:i w:val="0"/>
          <w:noProof/>
          <w:color w:val="000000"/>
          <w:sz w:val="24"/>
        </w:rPr>
        <w:t>9 Допълнителни въпроси/информация за вида на интервенцията</w:t>
      </w:r>
      <w:bookmarkEnd w:id="9"/>
    </w:p>
    <w:p w:rsidR="004D5BCB" w:rsidRDefault="004D5BCB" w:rsidP="004D5BCB">
      <w:pPr>
        <w:spacing w:before="20" w:after="20"/>
        <w:rPr>
          <w:color w:val="000000"/>
        </w:rPr>
      </w:pPr>
      <w:r>
        <w:rPr>
          <w:noProof/>
          <w:color w:val="000000"/>
        </w:rPr>
        <w:t>Неприложимо</w:t>
      </w:r>
    </w:p>
    <w:p w:rsidR="004D5BCB" w:rsidRDefault="004D5BCB" w:rsidP="004D5BCB">
      <w:pPr>
        <w:spacing w:before="20" w:after="20"/>
        <w:rPr>
          <w:color w:val="000000"/>
        </w:rPr>
      </w:pPr>
    </w:p>
    <w:p w:rsidR="004D5BCB" w:rsidRDefault="004D5BCB" w:rsidP="004D5BCB">
      <w:pPr>
        <w:pStyle w:val="Heading5"/>
        <w:spacing w:before="20" w:after="20"/>
        <w:rPr>
          <w:b w:val="0"/>
          <w:i w:val="0"/>
          <w:color w:val="000000"/>
          <w:sz w:val="24"/>
        </w:rPr>
      </w:pPr>
      <w:bookmarkStart w:id="10" w:name="_Toc256001636"/>
      <w:r>
        <w:rPr>
          <w:b w:val="0"/>
          <w:i w:val="0"/>
          <w:noProof/>
          <w:color w:val="000000"/>
          <w:sz w:val="24"/>
        </w:rPr>
        <w:t>10 Съответствие с правилата на СТО</w:t>
      </w:r>
      <w:bookmarkEnd w:id="10"/>
    </w:p>
    <w:p w:rsidR="004D5BCB" w:rsidRDefault="004D5BCB" w:rsidP="004D5BCB">
      <w:pPr>
        <w:spacing w:before="20" w:after="20"/>
        <w:rPr>
          <w:color w:val="000000"/>
        </w:rPr>
      </w:pPr>
      <w:r>
        <w:rPr>
          <w:noProof/>
          <w:color w:val="000000"/>
        </w:rPr>
        <w:t xml:space="preserve"> Зелена кутия</w:t>
      </w:r>
    </w:p>
    <w:p w:rsidR="004D5BCB" w:rsidRDefault="004D5BCB" w:rsidP="004D5BCB">
      <w:pPr>
        <w:spacing w:before="20" w:after="20"/>
        <w:rPr>
          <w:color w:val="000000"/>
        </w:rPr>
      </w:pPr>
      <w:r>
        <w:rPr>
          <w:noProof/>
          <w:color w:val="000000"/>
        </w:rPr>
        <w:t>Параграф 2 от приложение 2 към Споразумението за СТО</w:t>
      </w:r>
    </w:p>
    <w:p w:rsidR="004D5BCB" w:rsidRDefault="004D5BCB" w:rsidP="004D5BCB">
      <w:pPr>
        <w:spacing w:before="20" w:after="20"/>
        <w:rPr>
          <w:color w:val="000000"/>
        </w:rPr>
      </w:pPr>
      <w:r>
        <w:rPr>
          <w:noProof/>
          <w:color w:val="000000"/>
        </w:rPr>
        <w:lastRenderedPageBreak/>
        <w:t>Разяснение как интервенцията спазва съответните разпоредби на приложение 2 към Споразумението за СТО за селското стопанство, както е посочено в член 10 от настоящия регламент и в приложение II към него(зелена кутия)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90"/>
      </w:tblGrid>
      <w:tr w:rsidR="004D5BCB" w:rsidTr="00397510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D5BCB" w:rsidRDefault="004D5BCB" w:rsidP="00397510">
            <w:pPr>
              <w:spacing w:before="40" w:after="40"/>
            </w:pPr>
            <w:r>
              <w:rPr>
                <w:noProof/>
              </w:rPr>
              <w:t>Интервенцията е включена в приложение II на Регламент (ЕС) 2021/2115. и е разработена в съответствие с условията, посочени в т. 2 от Приложение 2 на Споразумението за земеделие на СТО, тъй като подпомагането е насочено към организации, които предоставят услуги за земеделски и горски стопани и заетите лица в техните стопанства, под формата на обучения и демонстрации.</w:t>
            </w:r>
          </w:p>
        </w:tc>
      </w:tr>
    </w:tbl>
    <w:p w:rsidR="004D5BCB" w:rsidRDefault="004D5BCB" w:rsidP="004D5BCB">
      <w:pPr>
        <w:pStyle w:val="Heading5"/>
        <w:spacing w:before="20" w:after="20"/>
        <w:rPr>
          <w:b w:val="0"/>
          <w:i w:val="0"/>
          <w:color w:val="000000"/>
          <w:sz w:val="24"/>
        </w:rPr>
      </w:pPr>
      <w:bookmarkStart w:id="11" w:name="_Toc256001637"/>
      <w:r>
        <w:rPr>
          <w:b w:val="0"/>
          <w:i w:val="0"/>
          <w:noProof/>
          <w:color w:val="000000"/>
          <w:sz w:val="24"/>
        </w:rPr>
        <w:t>11 Процентно участие, приложимо за тази интервенция</w:t>
      </w:r>
      <w:bookmarkEnd w:id="1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1"/>
        <w:gridCol w:w="3249"/>
        <w:gridCol w:w="1872"/>
        <w:gridCol w:w="1881"/>
        <w:gridCol w:w="1957"/>
      </w:tblGrid>
      <w:tr w:rsidR="004D5BCB" w:rsidTr="00397510">
        <w:trPr>
          <w:trHeight w:val="24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Регион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Член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Приложима ставка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Минимална ставка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Максимална ставка</w:t>
            </w:r>
          </w:p>
        </w:tc>
      </w:tr>
      <w:tr w:rsidR="004D5BCB" w:rsidTr="00397510">
        <w:trPr>
          <w:trHeight w:val="2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 xml:space="preserve">BG - България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D5BCB" w:rsidRDefault="004D5BCB" w:rsidP="00397510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91(2)(a) - По-слабо развити региони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40,00%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20,00%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D5BCB" w:rsidRDefault="004D5BCB" w:rsidP="00397510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85,00%</w:t>
            </w:r>
          </w:p>
        </w:tc>
      </w:tr>
    </w:tbl>
    <w:p w:rsidR="004D5BCB" w:rsidRPr="00F56875" w:rsidRDefault="004D5BCB" w:rsidP="004D5BCB">
      <w:pPr>
        <w:spacing w:before="20" w:after="20"/>
        <w:rPr>
          <w:color w:val="000000"/>
          <w:lang w:val="bg-BG"/>
        </w:rPr>
        <w:sectPr w:rsidR="004D5BCB" w:rsidRPr="00F56875">
          <w:pgSz w:w="11906" w:h="16838"/>
          <w:pgMar w:top="720" w:right="720" w:bottom="864" w:left="936" w:header="288" w:footer="72" w:gutter="0"/>
          <w:cols w:space="720"/>
          <w:noEndnote/>
          <w:docGrid w:linePitch="360"/>
        </w:sectPr>
      </w:pPr>
      <w:bookmarkStart w:id="12" w:name="_GoBack"/>
      <w:bookmarkEnd w:id="12"/>
    </w:p>
    <w:p w:rsidR="00D74966" w:rsidRDefault="004D5BCB" w:rsidP="004D5BCB">
      <w:r>
        <w:rPr>
          <w:noProof/>
        </w:rPr>
        <w:lastRenderedPageBreak/>
        <w:t> </w:t>
      </w:r>
    </w:p>
    <w:sectPr w:rsidR="00D749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8BF"/>
    <w:rsid w:val="001123AC"/>
    <w:rsid w:val="001968BF"/>
    <w:rsid w:val="00203932"/>
    <w:rsid w:val="002F5E3C"/>
    <w:rsid w:val="00397510"/>
    <w:rsid w:val="003F5936"/>
    <w:rsid w:val="004D5BCB"/>
    <w:rsid w:val="0072653A"/>
    <w:rsid w:val="00960920"/>
    <w:rsid w:val="00B84B3B"/>
    <w:rsid w:val="00BB3AAE"/>
    <w:rsid w:val="00D74966"/>
    <w:rsid w:val="00F5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D5BC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D5BC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4D5BC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D5BC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4D5BC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4D5BC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D5BC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4D5BCB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4D5BCB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D5BC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4D5BCB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4D5BCB"/>
    <w:rPr>
      <w:rFonts w:ascii="Times New Roman" w:eastAsia="Times New Roman" w:hAnsi="Times New Roman" w:cs="Times New Roman"/>
      <w:b/>
      <w:bCs/>
    </w:rPr>
  </w:style>
  <w:style w:type="character" w:customStyle="1" w:styleId="ql-cursor">
    <w:name w:val="ql-cursor"/>
    <w:basedOn w:val="DefaultParagraphFont"/>
    <w:rsid w:val="004D5BCB"/>
  </w:style>
  <w:style w:type="paragraph" w:customStyle="1" w:styleId="qlbt-cell-lineql-align-justify">
    <w:name w:val="qlbt-cell-line ql-align-justify"/>
    <w:basedOn w:val="Normal"/>
    <w:rsid w:val="004D5BCB"/>
  </w:style>
  <w:style w:type="paragraph" w:customStyle="1" w:styleId="qlbt-cell-line">
    <w:name w:val="qlbt-cell-line"/>
    <w:basedOn w:val="Normal"/>
    <w:rsid w:val="004D5BCB"/>
  </w:style>
  <w:style w:type="table" w:customStyle="1" w:styleId="quill-better-table">
    <w:name w:val="quill-better-table"/>
    <w:basedOn w:val="TableNormal"/>
    <w:rsid w:val="004D5B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/>
  </w:style>
  <w:style w:type="paragraph" w:customStyle="1" w:styleId="qlbt-cell-lineql-align-center">
    <w:name w:val="qlbt-cell-line ql-align-center"/>
    <w:basedOn w:val="Normal"/>
    <w:rsid w:val="004D5BCB"/>
  </w:style>
  <w:style w:type="paragraph" w:customStyle="1" w:styleId="ql-align-center">
    <w:name w:val="ql-align-center"/>
    <w:basedOn w:val="Normal"/>
    <w:rsid w:val="004D5BCB"/>
  </w:style>
  <w:style w:type="character" w:customStyle="1" w:styleId="ql-ui">
    <w:name w:val="ql-ui"/>
    <w:basedOn w:val="DefaultParagraphFont"/>
    <w:rsid w:val="004D5BCB"/>
  </w:style>
  <w:style w:type="paragraph" w:customStyle="1" w:styleId="qlbt-cell-lineql-align-right">
    <w:name w:val="qlbt-cell-line ql-align-right"/>
    <w:basedOn w:val="Normal"/>
    <w:rsid w:val="004D5BCB"/>
  </w:style>
  <w:style w:type="character" w:styleId="Hyperlink">
    <w:name w:val="Hyperlink"/>
    <w:basedOn w:val="DefaultParagraphFont"/>
    <w:rsid w:val="004D5BCB"/>
    <w:rPr>
      <w:color w:val="0000FF"/>
      <w:u w:val="single"/>
    </w:rPr>
  </w:style>
  <w:style w:type="paragraph" w:styleId="TOC2">
    <w:name w:val="toc 2"/>
    <w:basedOn w:val="Normal"/>
    <w:next w:val="Normal"/>
    <w:autoRedefine/>
    <w:rsid w:val="004D5BCB"/>
    <w:pPr>
      <w:ind w:left="240"/>
    </w:pPr>
  </w:style>
  <w:style w:type="paragraph" w:styleId="TOC1">
    <w:name w:val="toc 1"/>
    <w:basedOn w:val="Normal"/>
    <w:next w:val="Normal"/>
    <w:autoRedefine/>
    <w:rsid w:val="004D5BCB"/>
  </w:style>
  <w:style w:type="paragraph" w:styleId="TOC3">
    <w:name w:val="toc 3"/>
    <w:basedOn w:val="Normal"/>
    <w:next w:val="Normal"/>
    <w:autoRedefine/>
    <w:rsid w:val="004D5BCB"/>
    <w:pPr>
      <w:ind w:left="480"/>
    </w:pPr>
  </w:style>
  <w:style w:type="paragraph" w:styleId="TOC4">
    <w:name w:val="toc 4"/>
    <w:basedOn w:val="Normal"/>
    <w:next w:val="Normal"/>
    <w:autoRedefine/>
    <w:rsid w:val="004D5BCB"/>
    <w:pPr>
      <w:ind w:left="720"/>
    </w:pPr>
  </w:style>
  <w:style w:type="paragraph" w:styleId="TOC5">
    <w:name w:val="toc 5"/>
    <w:basedOn w:val="Normal"/>
    <w:next w:val="Normal"/>
    <w:autoRedefine/>
    <w:rsid w:val="004D5BCB"/>
    <w:pPr>
      <w:ind w:left="960"/>
    </w:pPr>
  </w:style>
  <w:style w:type="paragraph" w:styleId="TOC6">
    <w:name w:val="toc 6"/>
    <w:basedOn w:val="Normal"/>
    <w:next w:val="Normal"/>
    <w:autoRedefine/>
    <w:rsid w:val="004D5BCB"/>
    <w:pPr>
      <w:ind w:left="1200"/>
    </w:pPr>
  </w:style>
  <w:style w:type="character" w:styleId="FollowedHyperlink">
    <w:name w:val="FollowedHyperlink"/>
    <w:basedOn w:val="DefaultParagraphFont"/>
    <w:uiPriority w:val="99"/>
    <w:semiHidden/>
    <w:unhideWhenUsed/>
    <w:rsid w:val="004D5BCB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D5BC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D5BC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4D5BC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D5BC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4D5BC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4D5BC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D5BC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4D5BCB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4D5BCB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D5BC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4D5BCB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4D5BCB"/>
    <w:rPr>
      <w:rFonts w:ascii="Times New Roman" w:eastAsia="Times New Roman" w:hAnsi="Times New Roman" w:cs="Times New Roman"/>
      <w:b/>
      <w:bCs/>
    </w:rPr>
  </w:style>
  <w:style w:type="character" w:customStyle="1" w:styleId="ql-cursor">
    <w:name w:val="ql-cursor"/>
    <w:basedOn w:val="DefaultParagraphFont"/>
    <w:rsid w:val="004D5BCB"/>
  </w:style>
  <w:style w:type="paragraph" w:customStyle="1" w:styleId="qlbt-cell-lineql-align-justify">
    <w:name w:val="qlbt-cell-line ql-align-justify"/>
    <w:basedOn w:val="Normal"/>
    <w:rsid w:val="004D5BCB"/>
  </w:style>
  <w:style w:type="paragraph" w:customStyle="1" w:styleId="qlbt-cell-line">
    <w:name w:val="qlbt-cell-line"/>
    <w:basedOn w:val="Normal"/>
    <w:rsid w:val="004D5BCB"/>
  </w:style>
  <w:style w:type="table" w:customStyle="1" w:styleId="quill-better-table">
    <w:name w:val="quill-better-table"/>
    <w:basedOn w:val="TableNormal"/>
    <w:rsid w:val="004D5B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/>
  </w:style>
  <w:style w:type="paragraph" w:customStyle="1" w:styleId="qlbt-cell-lineql-align-center">
    <w:name w:val="qlbt-cell-line ql-align-center"/>
    <w:basedOn w:val="Normal"/>
    <w:rsid w:val="004D5BCB"/>
  </w:style>
  <w:style w:type="paragraph" w:customStyle="1" w:styleId="ql-align-center">
    <w:name w:val="ql-align-center"/>
    <w:basedOn w:val="Normal"/>
    <w:rsid w:val="004D5BCB"/>
  </w:style>
  <w:style w:type="character" w:customStyle="1" w:styleId="ql-ui">
    <w:name w:val="ql-ui"/>
    <w:basedOn w:val="DefaultParagraphFont"/>
    <w:rsid w:val="004D5BCB"/>
  </w:style>
  <w:style w:type="paragraph" w:customStyle="1" w:styleId="qlbt-cell-lineql-align-right">
    <w:name w:val="qlbt-cell-line ql-align-right"/>
    <w:basedOn w:val="Normal"/>
    <w:rsid w:val="004D5BCB"/>
  </w:style>
  <w:style w:type="character" w:styleId="Hyperlink">
    <w:name w:val="Hyperlink"/>
    <w:basedOn w:val="DefaultParagraphFont"/>
    <w:rsid w:val="004D5BCB"/>
    <w:rPr>
      <w:color w:val="0000FF"/>
      <w:u w:val="single"/>
    </w:rPr>
  </w:style>
  <w:style w:type="paragraph" w:styleId="TOC2">
    <w:name w:val="toc 2"/>
    <w:basedOn w:val="Normal"/>
    <w:next w:val="Normal"/>
    <w:autoRedefine/>
    <w:rsid w:val="004D5BCB"/>
    <w:pPr>
      <w:ind w:left="240"/>
    </w:pPr>
  </w:style>
  <w:style w:type="paragraph" w:styleId="TOC1">
    <w:name w:val="toc 1"/>
    <w:basedOn w:val="Normal"/>
    <w:next w:val="Normal"/>
    <w:autoRedefine/>
    <w:rsid w:val="004D5BCB"/>
  </w:style>
  <w:style w:type="paragraph" w:styleId="TOC3">
    <w:name w:val="toc 3"/>
    <w:basedOn w:val="Normal"/>
    <w:next w:val="Normal"/>
    <w:autoRedefine/>
    <w:rsid w:val="004D5BCB"/>
    <w:pPr>
      <w:ind w:left="480"/>
    </w:pPr>
  </w:style>
  <w:style w:type="paragraph" w:styleId="TOC4">
    <w:name w:val="toc 4"/>
    <w:basedOn w:val="Normal"/>
    <w:next w:val="Normal"/>
    <w:autoRedefine/>
    <w:rsid w:val="004D5BCB"/>
    <w:pPr>
      <w:ind w:left="720"/>
    </w:pPr>
  </w:style>
  <w:style w:type="paragraph" w:styleId="TOC5">
    <w:name w:val="toc 5"/>
    <w:basedOn w:val="Normal"/>
    <w:next w:val="Normal"/>
    <w:autoRedefine/>
    <w:rsid w:val="004D5BCB"/>
    <w:pPr>
      <w:ind w:left="960"/>
    </w:pPr>
  </w:style>
  <w:style w:type="paragraph" w:styleId="TOC6">
    <w:name w:val="toc 6"/>
    <w:basedOn w:val="Normal"/>
    <w:next w:val="Normal"/>
    <w:autoRedefine/>
    <w:rsid w:val="004D5BCB"/>
    <w:pPr>
      <w:ind w:left="1200"/>
    </w:pPr>
  </w:style>
  <w:style w:type="character" w:styleId="FollowedHyperlink">
    <w:name w:val="FollowedHyperlink"/>
    <w:basedOn w:val="DefaultParagraphFont"/>
    <w:uiPriority w:val="99"/>
    <w:semiHidden/>
    <w:unhideWhenUsed/>
    <w:rsid w:val="004D5BC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13</Pages>
  <Words>5991</Words>
  <Characters>34153</Characters>
  <Application>Microsoft Office Word</Application>
  <DocSecurity>0</DocSecurity>
  <Lines>284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Hristo Todorov</dc:creator>
  <cp:lastModifiedBy>Elena A. Ivanova</cp:lastModifiedBy>
  <cp:revision>5</cp:revision>
  <dcterms:created xsi:type="dcterms:W3CDTF">2024-08-22T13:27:00Z</dcterms:created>
  <dcterms:modified xsi:type="dcterms:W3CDTF">2024-08-27T09:31:00Z</dcterms:modified>
</cp:coreProperties>
</file>