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A43" w:rsidRDefault="00080A43" w:rsidP="00080A43">
      <w:pPr>
        <w:pStyle w:val="Heading4"/>
      </w:pPr>
      <w:bookmarkStart w:id="0" w:name="_Toc256001548"/>
      <w:bookmarkStart w:id="1" w:name="_GoBack"/>
      <w:r>
        <w:rPr>
          <w:noProof/>
        </w:rPr>
        <w:t>II.А.7  - Традиционни практики за сезонна паша (пасторализъм)</w:t>
      </w:r>
      <w:bookmarkEnd w:id="0"/>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2"/>
        <w:gridCol w:w="4722"/>
      </w:tblGrid>
      <w:tr w:rsidR="00080A43"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bookmarkEnd w:id="1"/>
          <w:p w:rsidR="00080A43" w:rsidRDefault="00080A43" w:rsidP="00B01EBC">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 xml:space="preserve">II.А.7 </w:t>
            </w:r>
          </w:p>
        </w:tc>
      </w:tr>
      <w:tr w:rsidR="00080A43"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 xml:space="preserve">Традиционни практики за сезонна паша (пасторализъм) </w:t>
            </w:r>
          </w:p>
        </w:tc>
      </w:tr>
      <w:tr w:rsidR="00080A43"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080A43"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080A43"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Приемственост между поколенията: Не</w:t>
            </w:r>
          </w:p>
          <w:p w:rsidR="00080A43" w:rsidRDefault="00080A43" w:rsidP="00B01EBC">
            <w:pPr>
              <w:rPr>
                <w:color w:val="000000"/>
                <w:sz w:val="20"/>
              </w:rPr>
            </w:pPr>
            <w:r>
              <w:rPr>
                <w:noProof/>
                <w:color w:val="000000"/>
                <w:sz w:val="20"/>
              </w:rPr>
              <w:t>Околна среда: Да</w:t>
            </w:r>
          </w:p>
          <w:p w:rsidR="00080A43" w:rsidRDefault="00080A43" w:rsidP="00B01EBC">
            <w:pPr>
              <w:rPr>
                <w:color w:val="000000"/>
                <w:sz w:val="20"/>
              </w:rPr>
            </w:pPr>
            <w:r>
              <w:rPr>
                <w:noProof/>
                <w:color w:val="000000"/>
                <w:sz w:val="20"/>
              </w:rPr>
              <w:t>Система за облекчения за екосхеми: Не</w:t>
            </w:r>
          </w:p>
          <w:p w:rsidR="00080A43" w:rsidRDefault="00080A43" w:rsidP="00B01EBC">
            <w:pPr>
              <w:rPr>
                <w:color w:val="000000"/>
                <w:sz w:val="20"/>
              </w:rPr>
            </w:pPr>
            <w:r>
              <w:rPr>
                <w:noProof/>
                <w:color w:val="000000"/>
                <w:sz w:val="20"/>
              </w:rPr>
              <w:t>Подход LEADER: Не</w:t>
            </w:r>
          </w:p>
        </w:tc>
      </w:tr>
    </w:tbl>
    <w:p w:rsidR="00080A43" w:rsidRDefault="00080A43" w:rsidP="00080A43">
      <w:pPr>
        <w:pStyle w:val="Heading5"/>
        <w:rPr>
          <w:b w:val="0"/>
          <w:color w:val="000000"/>
          <w:sz w:val="24"/>
        </w:rPr>
      </w:pPr>
      <w:bookmarkStart w:id="2" w:name="_Toc256001549"/>
      <w:r>
        <w:rPr>
          <w:b w:val="0"/>
          <w:noProof/>
          <w:color w:val="000000"/>
          <w:sz w:val="24"/>
        </w:rPr>
        <w:t>1 Териториално приложение и ако е уместно, регионално измерение</w:t>
      </w:r>
      <w:bookmarkEnd w:id="2"/>
    </w:p>
    <w:p w:rsidR="00080A43" w:rsidRDefault="00080A43" w:rsidP="00080A43">
      <w:pPr>
        <w:rPr>
          <w:color w:val="000000"/>
          <w:sz w:val="0"/>
        </w:rPr>
      </w:pPr>
      <w:r>
        <w:rPr>
          <w:noProof/>
          <w:color w:val="000000"/>
        </w:rPr>
        <w:t xml:space="preserve">Териториално приложение: </w:t>
      </w:r>
      <w:r>
        <w:rPr>
          <w:b/>
          <w:noProof/>
          <w:color w:val="000000"/>
        </w:rPr>
        <w:t>Национално равнище</w:t>
      </w:r>
    </w:p>
    <w:p w:rsidR="00080A43" w:rsidRDefault="00080A43" w:rsidP="00080A43">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2"/>
        <w:gridCol w:w="4722"/>
      </w:tblGrid>
      <w:tr w:rsidR="00080A43" w:rsidTr="00B01EB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080A43" w:rsidRDefault="00080A43" w:rsidP="00B01EBC">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080A43" w:rsidRDefault="00080A43" w:rsidP="00B01EBC">
            <w:pPr>
              <w:rPr>
                <w:color w:val="000000"/>
                <w:sz w:val="20"/>
              </w:rPr>
            </w:pPr>
            <w:r>
              <w:rPr>
                <w:b/>
                <w:noProof/>
                <w:color w:val="000000"/>
                <w:sz w:val="20"/>
              </w:rPr>
              <w:t>Описание</w:t>
            </w:r>
          </w:p>
        </w:tc>
      </w:tr>
      <w:tr w:rsidR="00080A43"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80A43" w:rsidRDefault="00080A43" w:rsidP="00B01EBC">
            <w:pPr>
              <w:rPr>
                <w:color w:val="000000"/>
                <w:sz w:val="20"/>
              </w:rPr>
            </w:pPr>
            <w:r>
              <w:rPr>
                <w:noProof/>
                <w:color w:val="000000"/>
                <w:sz w:val="20"/>
              </w:rPr>
              <w:t xml:space="preserve">България </w:t>
            </w:r>
          </w:p>
        </w:tc>
      </w:tr>
    </w:tbl>
    <w:p w:rsidR="00080A43" w:rsidRDefault="00080A43" w:rsidP="00080A43">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80A43" w:rsidRDefault="00080A43" w:rsidP="00B01EBC">
            <w:pPr>
              <w:spacing w:before="40" w:after="40"/>
            </w:pPr>
            <w:r>
              <w:rPr>
                <w:noProof/>
              </w:rPr>
              <w:t>Планински пасища на:</w:t>
            </w:r>
          </w:p>
          <w:p w:rsidR="00080A43" w:rsidRDefault="00080A43" w:rsidP="00B01EBC">
            <w:pPr>
              <w:spacing w:before="40" w:after="40"/>
            </w:pPr>
            <w:r>
              <w:rPr>
                <w:noProof/>
              </w:rPr>
              <w:t xml:space="preserve">-Териториите на Националните паркове, с обособени зони за извършване на сезонна паша на селскостопански животни, съобразно годишните планове за паша, издавани от дирекциите на национални паркове Рила, Пирин и/или Централен Балкан. </w:t>
            </w:r>
          </w:p>
          <w:p w:rsidR="00080A43" w:rsidRDefault="00080A43" w:rsidP="00B01EBC">
            <w:pPr>
              <w:spacing w:before="40" w:after="40"/>
            </w:pPr>
            <w:r>
              <w:rPr>
                <w:noProof/>
              </w:rPr>
              <w:t>-Териториите на природни паркове, с обособени зони за извършване на регулирана паша на селскостопански животни, съгласно планове за управление;</w:t>
            </w:r>
          </w:p>
          <w:p w:rsidR="00080A43" w:rsidRDefault="00080A43" w:rsidP="00B01EBC">
            <w:pPr>
              <w:spacing w:before="40" w:after="40"/>
            </w:pPr>
            <w:r>
              <w:rPr>
                <w:noProof/>
              </w:rPr>
              <w:t>-В зони от мрежата Натура 2000, с утвърдени планове за управление, с обособени зони за извършване на сезонна паша на селскостопански животни.</w:t>
            </w:r>
          </w:p>
          <w:p w:rsidR="00080A43" w:rsidRDefault="00080A43" w:rsidP="00B01EBC">
            <w:pPr>
              <w:spacing w:before="40" w:after="40"/>
            </w:pPr>
            <w:r>
              <w:rPr>
                <w:noProof/>
              </w:rPr>
              <w:t>В съответствие с мерките по Становището по екологична оценка № 5–4/2023 г., издадено от министъра на околната среда и водите:</w:t>
            </w:r>
          </w:p>
          <w:p w:rsidR="00080A43" w:rsidRDefault="00080A43" w:rsidP="00B01EBC">
            <w:pPr>
              <w:spacing w:before="40" w:after="40"/>
            </w:pPr>
            <w:r>
              <w:rPr>
                <w:noProof/>
              </w:rPr>
              <w:t>- не се прилага на територия над 1800 м. н. в. в ПП „Рилски Манастир“, ПП „Витоша“ и ПП „Беласица“, както и в територии над 1800 м. н. в. в защитени зони от мрежата „Натура 2000“.</w:t>
            </w:r>
          </w:p>
          <w:p w:rsidR="00080A43" w:rsidRDefault="00080A43" w:rsidP="00B01EBC">
            <w:pPr>
              <w:spacing w:before="40" w:after="40"/>
            </w:pPr>
            <w:r>
              <w:rPr>
                <w:noProof/>
              </w:rPr>
              <w:t>- подпомагането по интервенция II.А. 7 - Традиционни практики за сезонна паша (пасторализъм) за НП „Централен Балкан“, НП „Рила“, НП „Пирин“ да се осъществи само в първата половина на периода за финансиране (2023 - 2025 г.), като подпомагането по интервенцията в посочения период постепенно отпада във всички територии над 1500 м. н. в. в НП „Централен Балкан“, всички територии над 1800 м. н. в. в НП „Рила“, НП „Пирин“.</w:t>
            </w:r>
          </w:p>
          <w:p w:rsidR="00080A43" w:rsidRDefault="00080A43" w:rsidP="00B01EBC">
            <w:pPr>
              <w:spacing w:before="40" w:after="40"/>
            </w:pPr>
            <w:r>
              <w:rPr>
                <w:noProof/>
              </w:rPr>
              <w:t>- да бъдат изключени от подпомагане по мярката площи с тревни и храстово-тревни съобщества около малки водни обекти (под 1 дка) със стоящи води, подхранвани от дъждовни води и снеготопене, буфер от 100 м около планински езера в националните паркове, както и буфер от 1 km около местата за токуване (центровете на токовищата) на глухаря.</w:t>
            </w:r>
          </w:p>
          <w:p w:rsidR="00080A43" w:rsidRDefault="00080A43" w:rsidP="00B01EBC">
            <w:pPr>
              <w:spacing w:before="40" w:after="40"/>
            </w:pPr>
            <w:r>
              <w:rPr>
                <w:noProof/>
              </w:rPr>
              <w:t xml:space="preserve">Дирекциите на националните паркове могат по всяко време да преустановят пашата с цел </w:t>
            </w:r>
            <w:r>
              <w:rPr>
                <w:noProof/>
              </w:rPr>
              <w:lastRenderedPageBreak/>
              <w:t>недопускане на преизпасване на определените територии, а данни от мониторинг и/или анализ по приложението на интервенцията могат да са основание за промяна и/или преразглеждане на интервенцията в съответствие с I.27 от Становището по екологична оценка № 5–4/2023 г.</w:t>
            </w:r>
          </w:p>
          <w:p w:rsidR="00080A43" w:rsidRDefault="00080A43" w:rsidP="00B01EBC">
            <w:pPr>
              <w:spacing w:before="40" w:after="40"/>
            </w:pPr>
            <w:r>
              <w:rPr>
                <w:noProof/>
              </w:rPr>
              <w:t>Дирекциите на природни паркове или органите по управление на Натура зоните могат по всяко време да преустановят пашата и/или с цел недопускане на преизпасване на определените територии.</w:t>
            </w:r>
          </w:p>
        </w:tc>
      </w:tr>
    </w:tbl>
    <w:p w:rsidR="00080A43" w:rsidRDefault="00080A43" w:rsidP="00080A43">
      <w:pPr>
        <w:pStyle w:val="Heading5"/>
        <w:spacing w:before="20" w:after="20"/>
        <w:rPr>
          <w:b w:val="0"/>
          <w:i w:val="0"/>
          <w:color w:val="000000"/>
          <w:sz w:val="24"/>
        </w:rPr>
      </w:pPr>
      <w:bookmarkStart w:id="3" w:name="_Toc256001550"/>
      <w:r>
        <w:rPr>
          <w:b w:val="0"/>
          <w:i w:val="0"/>
          <w:noProof/>
          <w:color w:val="000000"/>
          <w:sz w:val="24"/>
        </w:rPr>
        <w:lastRenderedPageBreak/>
        <w:t>2 Свързани специфични цели, междусекторна цел и уместни секторни цели</w:t>
      </w:r>
      <w:bookmarkEnd w:id="3"/>
    </w:p>
    <w:p w:rsidR="00080A43" w:rsidRDefault="00080A43" w:rsidP="00080A43">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4"/>
      </w:tblGrid>
      <w:tr w:rsidR="00080A43"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080A43"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080A43" w:rsidRDefault="00080A43" w:rsidP="00080A43">
      <w:pPr>
        <w:spacing w:before="20" w:after="20"/>
        <w:rPr>
          <w:color w:val="000000"/>
          <w:sz w:val="0"/>
        </w:rPr>
      </w:pPr>
    </w:p>
    <w:p w:rsidR="00080A43" w:rsidRDefault="00080A43" w:rsidP="00080A43">
      <w:pPr>
        <w:pStyle w:val="Heading5"/>
        <w:spacing w:before="20" w:after="20"/>
        <w:rPr>
          <w:b w:val="0"/>
          <w:i w:val="0"/>
          <w:color w:val="000000"/>
          <w:sz w:val="24"/>
        </w:rPr>
      </w:pPr>
      <w:bookmarkStart w:id="4" w:name="_Toc256001551"/>
      <w:r>
        <w:rPr>
          <w:b w:val="0"/>
          <w:i w:val="0"/>
          <w:noProof/>
          <w:color w:val="000000"/>
          <w:sz w:val="24"/>
        </w:rPr>
        <w:t>3 Потребности, обхванати от интервенцията</w:t>
      </w:r>
      <w:bookmarkEnd w:id="4"/>
    </w:p>
    <w:p w:rsidR="00080A43" w:rsidRDefault="00080A43" w:rsidP="00080A43">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2361"/>
        <w:gridCol w:w="2361"/>
      </w:tblGrid>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color w:val="000000"/>
                <w:sz w:val="20"/>
              </w:rPr>
            </w:pPr>
            <w:r>
              <w:rPr>
                <w:b/>
                <w:noProof/>
                <w:color w:val="000000"/>
                <w:sz w:val="20"/>
              </w:rPr>
              <w:t>Разгледана в стратегически план по ОСП</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П.6.1.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Опазване и подобряване на природозащитното състояние на естествените местообитания и на дивата флора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Да</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П.6.2.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 xml:space="preserve">Опазване и подобряване на природозащитното състояние на видове птици, свързани с обработваеми земи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Да</w:t>
            </w:r>
          </w:p>
        </w:tc>
      </w:tr>
    </w:tbl>
    <w:p w:rsidR="00080A43" w:rsidRDefault="00080A43" w:rsidP="00080A43">
      <w:pPr>
        <w:pStyle w:val="Heading5"/>
        <w:spacing w:before="20" w:after="20"/>
        <w:rPr>
          <w:b w:val="0"/>
          <w:i w:val="0"/>
          <w:color w:val="000000"/>
          <w:sz w:val="24"/>
        </w:rPr>
      </w:pPr>
      <w:bookmarkStart w:id="5" w:name="_Toc256001552"/>
      <w:r>
        <w:rPr>
          <w:b w:val="0"/>
          <w:i w:val="0"/>
          <w:noProof/>
          <w:color w:val="000000"/>
          <w:sz w:val="24"/>
        </w:rPr>
        <w:t>4 Показател(и) за резултатите</w:t>
      </w:r>
      <w:bookmarkEnd w:id="5"/>
    </w:p>
    <w:p w:rsidR="00080A43" w:rsidRDefault="00080A43" w:rsidP="00080A43">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4"/>
      </w:tblGrid>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R.33 Дял на общата защитена зона по „Натура 2000“ съгласно подпомогнатите ангажименти</w:t>
            </w:r>
          </w:p>
        </w:tc>
      </w:tr>
    </w:tbl>
    <w:p w:rsidR="00080A43" w:rsidRDefault="00080A43" w:rsidP="00080A43">
      <w:pPr>
        <w:pStyle w:val="Heading5"/>
        <w:spacing w:before="20" w:after="20"/>
        <w:rPr>
          <w:b w:val="0"/>
          <w:i w:val="0"/>
          <w:color w:val="000000"/>
          <w:sz w:val="24"/>
        </w:rPr>
      </w:pPr>
      <w:bookmarkStart w:id="6" w:name="_Toc256001553"/>
      <w:r>
        <w:rPr>
          <w:b w:val="0"/>
          <w:i w:val="0"/>
          <w:noProof/>
          <w:color w:val="000000"/>
          <w:sz w:val="24"/>
        </w:rPr>
        <w:t>5 Конкретен план, изисквания и условия за допустимост на интервенцията</w:t>
      </w:r>
      <w:bookmarkEnd w:id="6"/>
    </w:p>
    <w:p w:rsidR="00080A43" w:rsidRDefault="00080A43" w:rsidP="00080A43">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80A43" w:rsidRDefault="00080A43" w:rsidP="00B01EBC">
            <w:pPr>
              <w:spacing w:before="40" w:after="40"/>
            </w:pPr>
            <w:r>
              <w:rPr>
                <w:noProof/>
              </w:rPr>
              <w:t>Подпомагането на дейности по сезонна паша ще допринесе за съхраняване на тревните екосистеми и свързаните с тях ценни местообитания и видове в защитените територии и зони. Дейностите по мярката са съобразени с утвърдените планове за управление в конкретните защитени територии (национални и природни паркове) и зони от мрежата Натура 2000.</w:t>
            </w:r>
          </w:p>
          <w:p w:rsidR="00080A43" w:rsidRDefault="00080A43" w:rsidP="00B01EBC">
            <w:pPr>
              <w:spacing w:before="40" w:after="40"/>
              <w:jc w:val="both"/>
            </w:pPr>
            <w:r>
              <w:rPr>
                <w:noProof/>
              </w:rPr>
              <w:t xml:space="preserve">Земеделските стопани извеждат селскостопански животни броя и вида, предварително определен в издаваните разрешителни за паша от дирекциите на парковете. По този начин и въз основа действителната необходимост пашата ще е съобразена с определените норми </w:t>
            </w:r>
            <w:r>
              <w:rPr>
                <w:noProof/>
              </w:rPr>
              <w:lastRenderedPageBreak/>
              <w:t>на натоварване на площите без да се допуска преизпасване на същите. Земеделският стопанин не може да бъде одобрен, когато декларира по-голям брой животни или с животни, различни от тези вписани в издаденото разрешително за паша.</w:t>
            </w:r>
          </w:p>
          <w:p w:rsidR="00080A43" w:rsidRDefault="00080A43" w:rsidP="00B01EBC">
            <w:pPr>
              <w:spacing w:before="40" w:after="40"/>
              <w:jc w:val="both"/>
            </w:pPr>
            <w:r>
              <w:rPr>
                <w:noProof/>
              </w:rPr>
              <w:t>Информация от извърпшените проверки от структурите на управление на парковете се въвежда ежегодно в електронна система на Разплащателна агенция и се отчита при одобряване на финансовата помощ по интервенцията.</w:t>
            </w:r>
          </w:p>
          <w:p w:rsidR="00080A43" w:rsidRDefault="00080A43" w:rsidP="00B01EBC">
            <w:pPr>
              <w:spacing w:before="40" w:after="40"/>
              <w:jc w:val="both"/>
            </w:pPr>
            <w:r>
              <w:rPr>
                <w:noProof/>
              </w:rPr>
              <w:t>Не са допустими за подпомагане площи, попадащи в територията на резервати и поддържани резервати.</w:t>
            </w:r>
          </w:p>
        </w:tc>
      </w:tr>
    </w:tbl>
    <w:p w:rsidR="00080A43" w:rsidRDefault="00080A43" w:rsidP="00080A43">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80A43" w:rsidRDefault="00080A43" w:rsidP="00B01EBC">
            <w:pPr>
              <w:spacing w:before="40" w:after="40"/>
            </w:pPr>
            <w:r>
              <w:rPr>
                <w:noProof/>
              </w:rPr>
              <w:t>Земеделски стопани, които отговарят на изискванията за „активни земеделски стопани“ и са регистрирани в ИСАК.</w:t>
            </w:r>
          </w:p>
          <w:p w:rsidR="00080A43" w:rsidRDefault="00080A43" w:rsidP="00B01EBC">
            <w:pPr>
              <w:spacing w:before="40" w:after="40"/>
            </w:pPr>
            <w:r>
              <w:rPr>
                <w:noProof/>
              </w:rPr>
              <w:t>Земеделските стопани разполагат с годишно разрешително за паша на територията на националните паркове съгласно чл. 50, т. 5 от Закона за защитените територии, въз основа на утвърдените годишни планове за паша и процедури на съответния парк в съответствие с функциите на дирекциите на чл. 5 от Правилника за устройството и дейността на дирекциите на националните паркове .</w:t>
            </w:r>
          </w:p>
          <w:p w:rsidR="00080A43" w:rsidRDefault="00080A43" w:rsidP="00B01EBC">
            <w:pPr>
              <w:spacing w:before="40" w:after="40"/>
            </w:pPr>
            <w:r>
              <w:rPr>
                <w:noProof/>
              </w:rPr>
              <w:t>За териториите на природните паркове документ за съответствие на броя и вида животни с нормите и режимите на утвърдения план за управление, издаден от директора на природния парк.</w:t>
            </w:r>
          </w:p>
          <w:p w:rsidR="00080A43" w:rsidRDefault="00080A43" w:rsidP="00B01EBC">
            <w:pPr>
              <w:spacing w:before="40" w:after="40"/>
            </w:pPr>
            <w:r>
              <w:rPr>
                <w:noProof/>
              </w:rPr>
              <w:t>Земеделски стопани, които извършват паша на площ от минимум 5 ха.</w:t>
            </w:r>
          </w:p>
          <w:p w:rsidR="00080A43" w:rsidRDefault="00080A43" w:rsidP="00B01EBC">
            <w:pPr>
              <w:spacing w:before="40" w:after="40"/>
            </w:pPr>
            <w:r>
              <w:rPr>
                <w:noProof/>
              </w:rPr>
              <w:t>Земеделските стопани, кандидатстващи за подпомагане трябва да притежават тревопасни животни от видовете, с които е разрешено от компетентните органи извършването на паша върху териториите.</w:t>
            </w:r>
          </w:p>
          <w:p w:rsidR="00080A43" w:rsidRDefault="00080A43" w:rsidP="00B01EBC">
            <w:pPr>
              <w:spacing w:before="40" w:after="40"/>
            </w:pPr>
            <w:r>
              <w:rPr>
                <w:noProof/>
              </w:rPr>
              <w:t>Земеделският стопанин, кандидатстващи за подпомагане трябва да притежава най-малко или 50 овце, или 10 говеда, или комбинация от разрешените видове животни, но не по-малко от 10 ЖЕ от видовете животни, с които е разрешено извършването на паша.</w:t>
            </w:r>
          </w:p>
          <w:p w:rsidR="00080A43" w:rsidRDefault="00080A43" w:rsidP="00B01EBC">
            <w:pPr>
              <w:spacing w:before="40" w:after="40"/>
            </w:pPr>
            <w:r>
              <w:rPr>
                <w:noProof/>
              </w:rPr>
              <w:t>Извежданите на паша животни от видовете включени в плановете за управление и годишните планове за паша са идентифицирани в информационната системата по чл. 30, ал. 2, т. 3 от ЗПЗП.</w:t>
            </w:r>
          </w:p>
          <w:p w:rsidR="00080A43" w:rsidRDefault="00080A43" w:rsidP="00B01EBC">
            <w:pPr>
              <w:spacing w:before="40" w:after="40"/>
            </w:pPr>
            <w:r>
              <w:rPr>
                <w:noProof/>
              </w:rPr>
              <w:t xml:space="preserve">Земеделските стопани спазват изискванията за натоварване на пасищните системи с животните, с които им разрешено извършването на паша в съответствие с установените норми, разрешени от компетентните органи по управление на защитените територии. </w:t>
            </w:r>
          </w:p>
          <w:p w:rsidR="00080A43" w:rsidRDefault="00080A43" w:rsidP="00B01EBC">
            <w:pPr>
              <w:spacing w:before="40" w:after="40"/>
            </w:pPr>
            <w:r>
              <w:rPr>
                <w:noProof/>
              </w:rPr>
              <w:t xml:space="preserve">Земеделските стопани спазват изискванията за натоварване на пасищните системи, за които може да са им предоставени географски цифрови данни в рамките на периода на извършване на интервенцията. </w:t>
            </w:r>
          </w:p>
          <w:p w:rsidR="00080A43" w:rsidRDefault="00080A43" w:rsidP="00B01EBC">
            <w:pPr>
              <w:spacing w:before="40" w:after="40"/>
            </w:pPr>
            <w:r>
              <w:rPr>
                <w:noProof/>
              </w:rPr>
              <w:t>Дирекциите на НП имат право да променят нормите за натоварване на конкретни пасища, да преместват стада на други пасища или да преустановят пашата на дадена площ, което не води до финансови загуби на бенефицентите по интервенцията, извършвали паша на животните в съответствие с издадените разрешителни за паша и спазвали режимите за управление на териториите и предписаните промени от дирекциите.</w:t>
            </w:r>
          </w:p>
          <w:p w:rsidR="00080A43" w:rsidRDefault="00080A43" w:rsidP="00B01EBC">
            <w:pPr>
              <w:spacing w:before="40" w:after="40"/>
            </w:pPr>
            <w:r>
              <w:rPr>
                <w:noProof/>
              </w:rPr>
              <w:t xml:space="preserve">Придвижването до териториите върху, които ще се извършва паша се удостоверява в Интегрираната информационна система на БАБХ, като се издава ветеринарномедицински документ за придвижване на животните.Земеделските стопани или пастира трябва да </w:t>
            </w:r>
            <w:r>
              <w:rPr>
                <w:noProof/>
              </w:rPr>
              <w:lastRenderedPageBreak/>
              <w:t>преминат обучение или да докажат опит за прилагането на поетите от тях ангажименти в предходен програмен период.</w:t>
            </w:r>
          </w:p>
        </w:tc>
      </w:tr>
    </w:tbl>
    <w:p w:rsidR="00080A43" w:rsidRDefault="00080A43" w:rsidP="00080A43">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80A43" w:rsidRDefault="002727D9" w:rsidP="00B01EBC">
            <w:pPr>
              <w:spacing w:before="40" w:after="40"/>
            </w:pPr>
            <w:r w:rsidRPr="002727D9">
              <w:rPr>
                <w:noProof/>
                <w:color w:val="FF0000"/>
                <w:lang w:val="bg-BG"/>
              </w:rPr>
              <w:t xml:space="preserve">В срока на ангажимента </w:t>
            </w:r>
            <w:r w:rsidRPr="008219D0">
              <w:rPr>
                <w:strike/>
                <w:noProof/>
                <w:color w:val="FF0000"/>
                <w:lang w:val="bg-BG"/>
              </w:rPr>
              <w:t>А</w:t>
            </w:r>
            <w:r w:rsidR="00080A43" w:rsidRPr="008219D0">
              <w:rPr>
                <w:strike/>
                <w:noProof/>
                <w:color w:val="FF0000"/>
              </w:rPr>
              <w:t>нгажиментът е за срок 3 години</w:t>
            </w:r>
            <w:r w:rsidR="00080A43" w:rsidRPr="002727D9">
              <w:rPr>
                <w:strike/>
                <w:noProof/>
              </w:rPr>
              <w:t>, като</w:t>
            </w:r>
            <w:r w:rsidR="00080A43">
              <w:rPr>
                <w:noProof/>
              </w:rPr>
              <w:t xml:space="preserve"> по преценка и предписание на Дирекциите на националните и природните паркове, и органите по управление на защитените зони, пашата върху дадено пасище може да бъде преустановена.</w:t>
            </w:r>
          </w:p>
          <w:p w:rsidR="00080A43" w:rsidRDefault="00080A43" w:rsidP="00B01EBC">
            <w:pPr>
              <w:spacing w:before="40" w:after="40"/>
            </w:pPr>
            <w:r>
              <w:rPr>
                <w:noProof/>
              </w:rPr>
              <w:t>Дирекциите на националните и природни паркове, или органите по управление на Натура зоните могат по всяко време да преустановят пашата с цел недопускане на преизпасване на определените територии.</w:t>
            </w:r>
          </w:p>
          <w:p w:rsidR="00080A43" w:rsidRDefault="00080A43" w:rsidP="00B01EBC">
            <w:pPr>
              <w:spacing w:before="40" w:after="40"/>
            </w:pPr>
            <w:r>
              <w:rPr>
                <w:noProof/>
              </w:rPr>
              <w:t>Подпомагането се изплаща само, при спазване на режимите, определени в плановете за управление и нормите на натоварване на пасищата, одобрени от дирекциите на Националните и природни паркове, в съответствие с площите, за които са издадени съответните разрешителни за паша съгласно годишните планове за паша.</w:t>
            </w:r>
          </w:p>
          <w:p w:rsidR="00080A43" w:rsidRDefault="00080A43" w:rsidP="00B01EBC">
            <w:pPr>
              <w:spacing w:before="40" w:after="40"/>
            </w:pPr>
            <w:r>
              <w:rPr>
                <w:noProof/>
              </w:rPr>
              <w:t>В съответствие с мерките по Становището по екологична оценка № 5–4/2023 г., издадено от министъра на околната среда и водите, интервенцията да се извършва при натоварване на пасищните системи от 0,3 до мах. 0,4 ЖЕ/ха.</w:t>
            </w:r>
          </w:p>
          <w:p w:rsidR="00080A43" w:rsidRDefault="00080A43" w:rsidP="00B01EBC">
            <w:pPr>
              <w:spacing w:before="40" w:after="40"/>
            </w:pPr>
            <w:r>
              <w:rPr>
                <w:noProof/>
              </w:rPr>
              <w:t>Ангажиментът не се поема за едни и същи фиксирани земеделски парцели и един и същ размер на площта – те могат да варират в зависимост от състоянието на пасищата и целесъобразността на пашата;</w:t>
            </w:r>
          </w:p>
          <w:p w:rsidR="00080A43" w:rsidRDefault="00080A43" w:rsidP="00B01EBC">
            <w:pPr>
              <w:spacing w:before="40" w:after="40"/>
            </w:pPr>
            <w:r>
              <w:rPr>
                <w:noProof/>
              </w:rPr>
              <w:t>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080A43" w:rsidRDefault="00080A43" w:rsidP="00B01EBC">
            <w:pPr>
              <w:spacing w:before="40" w:after="40"/>
            </w:pPr>
            <w:r>
              <w:rPr>
                <w:noProof/>
              </w:rPr>
              <w:t>Земеделският стопанин или гледача на животните (пастир) трябва да извежда животните на определените пасища, 3 месеца от годината в периода май – октомври (90 дни), освен когато относно пашата в съответния национален парк е налице предписание от компетентния орган за преустановяване на пашата преди изтичане на периода или преместване на други пасища.</w:t>
            </w:r>
          </w:p>
          <w:p w:rsidR="00080A43" w:rsidRDefault="00080A43" w:rsidP="00B01EBC">
            <w:pPr>
              <w:spacing w:before="40" w:after="40"/>
            </w:pPr>
            <w:r>
              <w:rPr>
                <w:noProof/>
              </w:rPr>
              <w:t>Когато дейността се изпълнява с придружаващи стадото кучета за опазване на животните от нападения на хищници, те не трябва да застрашават хора, На всяко куче трябва да е поставена „спъвачка“, както и допълнителни обезопасителни средства при необходимост.</w:t>
            </w:r>
          </w:p>
          <w:p w:rsidR="00080A43" w:rsidRDefault="00080A43" w:rsidP="00B01EBC">
            <w:pPr>
              <w:spacing w:before="40" w:after="40"/>
            </w:pPr>
            <w:r>
              <w:rPr>
                <w:noProof/>
              </w:rPr>
              <w:t>Земеделските стопани, които притежават не по-малко от две кучета от каракачанската порода и/или кучета от порода „Българско овчарско куче“ за опазване на животните от нападение на хищници, могат да получат допълнително агроекологично плащане. За получаване на допълнителното агроекологично плащане за паша с каракачански кучета и/или кучетата от порода „Българско овчарско куче“ земеделските стопани са длъжни да представят за всяко куче „Родословен сертификат“ за произход, издаден от Международната асоциация на каракачанските кучета или друга развъдна организация, получила разрешение за дейност по реда на Закона за животновъдството.</w:t>
            </w:r>
          </w:p>
          <w:p w:rsidR="00080A43" w:rsidRDefault="00080A43" w:rsidP="00B01EBC">
            <w:pPr>
              <w:spacing w:before="40" w:after="40"/>
            </w:pPr>
            <w:r>
              <w:rPr>
                <w:noProof/>
              </w:rPr>
              <w:t xml:space="preserve">След предоставяне от МЗХ на земеделския стопанин, на едно животно (от заявените) от всеки до 50 броя може да се постави устройство, позволяващо проследяване на движението. Данните се ползват при извършване на проверките за спазване на изискванията по управление на дейността. Устройствата за проследяване следва да отговарят на минималните изисквания и да са съвместими с системата изработена от </w:t>
            </w:r>
            <w:r>
              <w:rPr>
                <w:noProof/>
              </w:rPr>
              <w:lastRenderedPageBreak/>
              <w:t>Министерство на земеделието и храните. При изгубване и/или унищожаване на устройствата за проследяване, земеделският стопанин следва да уведоми ДФЗ и компетентния орган по предоставяне на устройството, както и да възстанови или замени в определения срок по условията за кандидатстване.</w:t>
            </w:r>
          </w:p>
          <w:p w:rsidR="00080A43" w:rsidRDefault="00080A43" w:rsidP="00B01EBC">
            <w:pPr>
              <w:spacing w:before="40" w:after="40"/>
            </w:pPr>
            <w:r>
              <w:rPr>
                <w:noProof/>
              </w:rPr>
              <w:t>При наличие на съмнения за несъответствие с целите и изискванията на мярката и приложимото законодателство се изпраща информация на всяка една компетентна структура с цел извършване на допълнителни проверки.</w:t>
            </w:r>
          </w:p>
          <w:p w:rsidR="00080A43" w:rsidRDefault="00080A43" w:rsidP="00B01EBC">
            <w:pPr>
              <w:spacing w:before="40" w:after="40"/>
            </w:pPr>
            <w:r w:rsidRPr="00227FF3">
              <w:rPr>
                <w:noProof/>
              </w:rPr>
              <w:t xml:space="preserve">Министерство на земеделието и храните, периодично предоставя </w:t>
            </w:r>
            <w:r w:rsidR="00227FF3" w:rsidRPr="00227FF3">
              <w:rPr>
                <w:noProof/>
                <w:color w:val="FF0000"/>
                <w:lang w:val="bg-BG"/>
              </w:rPr>
              <w:t xml:space="preserve">наличните </w:t>
            </w:r>
            <w:r w:rsidRPr="00227FF3">
              <w:rPr>
                <w:noProof/>
              </w:rPr>
              <w:t>данни от извършвани дистанционни проверки на дирекциите на Националните паркове за наличието на преизпасвани площи, ако има регистрирани такива, в предоставените за ползване пасища на земеделските стопани, като на тези площи може да бъде въведена забрана или преустановяване на пашата, в т.ч. на цялата площ за определен период;</w:t>
            </w:r>
          </w:p>
          <w:p w:rsidR="00080A43" w:rsidRDefault="00080A43" w:rsidP="00B01EBC">
            <w:pPr>
              <w:spacing w:before="40" w:after="40"/>
            </w:pPr>
            <w:r>
              <w:rPr>
                <w:noProof/>
              </w:rPr>
              <w:t>При констатирано първо несъответствие за паша при забранени територии, преизпасани територии, паша на непозволени животни земеделският стопанин се предупреждава писмено (включително и по ел. поща). При всяко следващо ДФЗ – РА налага допълнителни санкции съобразно разписаните процедури и приложимо законодателство.</w:t>
            </w:r>
          </w:p>
          <w:p w:rsidR="00080A43" w:rsidRDefault="00080A43" w:rsidP="00B01EBC">
            <w:pPr>
              <w:spacing w:before="40" w:after="40"/>
            </w:pPr>
            <w:r>
              <w:rPr>
                <w:noProof/>
              </w:rPr>
              <w:t>При констатирани съмнения за несъответствия на броя животни изведени на паша, Дирекциите на националните и придорните паркове и ДФЗ – РА писмено информират БАБХ в качеството му на орган по официален контрол.</w:t>
            </w:r>
          </w:p>
          <w:p w:rsidR="00080A43" w:rsidRDefault="00080A43" w:rsidP="00B01EBC">
            <w:pPr>
              <w:spacing w:before="40" w:after="40"/>
            </w:pPr>
            <w:r>
              <w:rPr>
                <w:noProof/>
              </w:rPr>
              <w:t>В случай, че е констатирано нерегламентирано извеждане на животни, за които няма издадено разрешително за паша не се изплаща подпомагане за дейността, като фермера може да търпи санкции съобразно приложимото законодателство.</w:t>
            </w:r>
          </w:p>
        </w:tc>
      </w:tr>
    </w:tbl>
    <w:p w:rsidR="00080A43" w:rsidRDefault="00080A43" w:rsidP="00080A43">
      <w:pPr>
        <w:spacing w:before="20" w:after="20"/>
        <w:rPr>
          <w:color w:val="000000"/>
        </w:rPr>
      </w:pPr>
      <w:r>
        <w:rPr>
          <w:noProof/>
          <w:color w:val="000000"/>
        </w:rPr>
        <w:lastRenderedPageBreak/>
        <w:t>O14 Каква площ отговаря на критериите?</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080A43" w:rsidRDefault="00080A43" w:rsidP="00080A43">
      <w:pPr>
        <w:spacing w:before="20" w:after="20"/>
        <w:rPr>
          <w:color w:val="000000"/>
          <w:sz w:val="0"/>
        </w:rPr>
      </w:pPr>
    </w:p>
    <w:p w:rsidR="00080A43" w:rsidRDefault="00080A43" w:rsidP="00080A43">
      <w:pPr>
        <w:pStyle w:val="Heading5"/>
        <w:spacing w:before="20" w:after="20"/>
        <w:rPr>
          <w:b w:val="0"/>
          <w:i w:val="0"/>
          <w:color w:val="000000"/>
          <w:sz w:val="24"/>
        </w:rPr>
      </w:pPr>
      <w:bookmarkStart w:id="7" w:name="_Toc256001554"/>
      <w:r>
        <w:rPr>
          <w:b w:val="0"/>
          <w:i w:val="0"/>
          <w:noProof/>
          <w:color w:val="000000"/>
          <w:sz w:val="24"/>
        </w:rPr>
        <w:t>6 Определяне на уместни базови характеристики</w:t>
      </w:r>
      <w:bookmarkEnd w:id="7"/>
    </w:p>
    <w:p w:rsidR="00080A43" w:rsidRDefault="00080A43" w:rsidP="00080A43">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080A43" w:rsidRDefault="00080A43" w:rsidP="00080A43">
      <w:pPr>
        <w:spacing w:before="20" w:after="20"/>
        <w:rPr>
          <w:color w:val="000000"/>
        </w:rPr>
      </w:pPr>
      <w:r>
        <w:rPr>
          <w:noProof/>
          <w:color w:val="000000"/>
        </w:rPr>
        <w:t>Списък на приложимите стандарти за ДЗЕС и ЗИУ</w:t>
      </w:r>
    </w:p>
    <w:p w:rsidR="00080A43" w:rsidRDefault="00080A43" w:rsidP="00080A43">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2"/>
        <w:gridCol w:w="4722"/>
      </w:tblGrid>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80A43" w:rsidRDefault="00080A43" w:rsidP="00B01EBC">
            <w:pPr>
              <w:spacing w:before="20" w:after="20"/>
              <w:rPr>
                <w:color w:val="000000"/>
                <w:sz w:val="20"/>
              </w:rPr>
            </w:pPr>
            <w:r>
              <w:rPr>
                <w:b/>
                <w:noProof/>
                <w:color w:val="000000"/>
                <w:sz w:val="20"/>
              </w:rPr>
              <w:t>Описание</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GAEC09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Забрана за промяна на предназначението или разораване на постоянно затревени площи, обозначени като екологично чувствителни постоянно затревени площи в зони от обхвата на „Натура 2000“</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080A43"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20" w:after="20"/>
              <w:rPr>
                <w:color w:val="000000"/>
                <w:sz w:val="20"/>
              </w:rPr>
            </w:pPr>
            <w:r>
              <w:rPr>
                <w:noProof/>
                <w:color w:val="000000"/>
                <w:sz w:val="20"/>
              </w:rPr>
              <w:t>Директива 92/43/ЕИО на Съвета от 21 май 1992 г. за опазване на естествените местообитания и на дивата флора и фауна: член 6, параграфи 1 и 2</w:t>
            </w:r>
          </w:p>
        </w:tc>
      </w:tr>
    </w:tbl>
    <w:p w:rsidR="00080A43" w:rsidRDefault="00080A43" w:rsidP="00080A43">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jc w:val="both"/>
            </w:pPr>
            <w:r>
              <w:rPr>
                <w:noProof/>
              </w:rPr>
              <w:lastRenderedPageBreak/>
              <w:t>Забрани и ограничения, включени в 17 и чл. 21, т. 4, 6, 9, 12, 13 и 14 от Закона за защитените територии: В националните паркове се забраняват: използване на изкуствени торове и други химически средства; паша на кози, както и пашата в горите извън ливадите и пасищата; замърсяване на водите и терените с битови, промишлени и други отпадъци; бивакуване и палене на огън извън определените места, нарушаване на естественото състояние на водни площи, водни течения, техните брегове и прилежащи територии, освен в случаи на опасност от наводнения, които могат да доведат до риск за живота и здравето на хората или настъпване на материални щети; намеса в биологичното разнообразие.</w:t>
            </w:r>
          </w:p>
          <w:p w:rsidR="00080A43" w:rsidRDefault="00080A43" w:rsidP="00B01EBC">
            <w:pPr>
              <w:spacing w:before="40" w:after="40"/>
              <w:jc w:val="both"/>
            </w:pPr>
            <w:r>
              <w:rPr>
                <w:noProof/>
              </w:rPr>
              <w:t>В резерватите се забраняват извършването на всякакви дейности, с изключение на посочените в чл. 17 от Закона за защитените територии.</w:t>
            </w:r>
          </w:p>
          <w:p w:rsidR="00080A43" w:rsidRDefault="00080A43" w:rsidP="00B01EBC">
            <w:pPr>
              <w:spacing w:before="40" w:after="40"/>
              <w:jc w:val="both"/>
            </w:pPr>
            <w:r>
              <w:rPr>
                <w:noProof/>
              </w:rPr>
              <w:t>Изисквания по Закона за ветеринарномедицинската дейност:</w:t>
            </w:r>
          </w:p>
          <w:p w:rsidR="00080A43" w:rsidRDefault="00080A43" w:rsidP="00B01EBC">
            <w:pPr>
              <w:spacing w:before="40" w:after="40"/>
              <w:jc w:val="both"/>
            </w:pPr>
            <w:r>
              <w:rPr>
                <w:noProof/>
              </w:rPr>
              <w:t>Чл. 132, ал. 1, т. 3а от ЗВМД - При придвижване/транспортиране животните трябва да бъдат придружени от ветеринарномедицинско свидетелство за придвижване/транспортиране;</w:t>
            </w:r>
          </w:p>
          <w:p w:rsidR="00080A43" w:rsidRDefault="00080A43" w:rsidP="00B01EBC">
            <w:pPr>
              <w:spacing w:before="40" w:after="40"/>
              <w:jc w:val="both"/>
            </w:pPr>
            <w:r>
              <w:rPr>
                <w:noProof/>
              </w:rPr>
              <w:t>Чл. 139, ал.1, т. 3а. пускането на животни извън животновъдния обект без придружител (собственик или гледач), освен когато животните се намират в оградени пасища.</w:t>
            </w:r>
          </w:p>
          <w:p w:rsidR="00080A43" w:rsidRDefault="00080A43" w:rsidP="00B01EBC">
            <w:pPr>
              <w:spacing w:before="40" w:after="40"/>
              <w:jc w:val="both"/>
            </w:pPr>
            <w:r>
              <w:rPr>
                <w:noProof/>
              </w:rPr>
              <w:t>Земеделските стопани спазват въведените специфични режими на защитената територия.</w:t>
            </w:r>
          </w:p>
          <w:p w:rsidR="00080A43" w:rsidRDefault="00080A43" w:rsidP="00B01EBC">
            <w:pPr>
              <w:spacing w:before="40" w:after="40"/>
              <w:jc w:val="both"/>
            </w:pPr>
            <w:r>
              <w:rPr>
                <w:noProof/>
              </w:rPr>
              <w:t>Базови задължения в природните паркове са определение в чл. 31 и 32 от ЗЗТ. В природните паркове се спазват забраните, предвидени в чл. 31 от Закона за защитените територии, както и забраните, предвидени в чл. 21, ал. 1 от Закона за защитените територии, когато са приети с плановете за управление.</w:t>
            </w:r>
          </w:p>
        </w:tc>
      </w:tr>
    </w:tbl>
    <w:p w:rsidR="00080A43" w:rsidRDefault="00080A43" w:rsidP="00080A43">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pPr>
            <w:r>
              <w:rPr>
                <w:noProof/>
              </w:rPr>
              <w:t>Извежданите на паша животни от видовете включени в плановете за управление и годишните планове за паша са идентифицирани в информационната системата по чл. 30, ал. 2, т. 3 от ЗПЗП.</w:t>
            </w:r>
          </w:p>
          <w:p w:rsidR="00080A43" w:rsidRDefault="00080A43" w:rsidP="00B01EBC">
            <w:pPr>
              <w:spacing w:before="40" w:after="40"/>
              <w:jc w:val="both"/>
            </w:pPr>
            <w:r>
              <w:rPr>
                <w:noProof/>
              </w:rPr>
              <w:t>Земеделските стопани спазват, задължителните базови изискваиня, като спазват режимите, определени в плановете за управление и нормите на натоварване на пасищата, одобрени от дирекциите на Националните и природни паркове, и в плановете за управление.</w:t>
            </w:r>
          </w:p>
        </w:tc>
      </w:tr>
    </w:tbl>
    <w:p w:rsidR="00080A43" w:rsidRDefault="00080A43" w:rsidP="00080A43">
      <w:pPr>
        <w:pStyle w:val="Heading5"/>
        <w:spacing w:before="20" w:after="20"/>
        <w:rPr>
          <w:b w:val="0"/>
          <w:i w:val="0"/>
          <w:color w:val="000000"/>
          <w:sz w:val="24"/>
        </w:rPr>
      </w:pPr>
      <w:bookmarkStart w:id="8" w:name="_Toc256001555"/>
      <w:r>
        <w:rPr>
          <w:b w:val="0"/>
          <w:i w:val="0"/>
          <w:noProof/>
          <w:color w:val="000000"/>
          <w:sz w:val="24"/>
        </w:rPr>
        <w:t>7 Форма и ставка на подпомагане/суми/методи за изчисляване</w:t>
      </w:r>
      <w:bookmarkEnd w:id="8"/>
    </w:p>
    <w:p w:rsidR="00080A43" w:rsidRDefault="00080A43" w:rsidP="00080A43">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080A43" w:rsidRDefault="00080A43" w:rsidP="00080A43">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080A43" w:rsidRDefault="00080A43" w:rsidP="00080A43">
      <w:pPr>
        <w:spacing w:before="20" w:after="20"/>
        <w:rPr>
          <w:color w:val="000000"/>
        </w:rPr>
      </w:pPr>
    </w:p>
    <w:p w:rsidR="00080A43" w:rsidRDefault="00080A43" w:rsidP="00080A43">
      <w:pPr>
        <w:spacing w:before="20" w:after="20"/>
        <w:rPr>
          <w:color w:val="000000"/>
          <w:sz w:val="28"/>
        </w:rPr>
      </w:pPr>
      <w:r>
        <w:rPr>
          <w:noProof/>
          <w:color w:val="000000"/>
          <w:sz w:val="28"/>
        </w:rPr>
        <w:t>Раздел в обхвата на ИСАК</w:t>
      </w:r>
    </w:p>
    <w:p w:rsidR="00080A43" w:rsidRDefault="00080A43" w:rsidP="00080A43">
      <w:pPr>
        <w:spacing w:before="20" w:after="20"/>
        <w:rPr>
          <w:color w:val="000000"/>
        </w:rPr>
      </w:pPr>
      <w:r>
        <w:rPr>
          <w:noProof/>
          <w:color w:val="000000"/>
        </w:rPr>
        <w:t>Вид на плащането</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080A43" w:rsidRDefault="00080A43" w:rsidP="00080A43">
      <w:pPr>
        <w:spacing w:before="20" w:after="20"/>
        <w:rPr>
          <w:color w:val="000000"/>
          <w:sz w:val="12"/>
        </w:rPr>
      </w:pPr>
    </w:p>
    <w:p w:rsidR="00080A43" w:rsidRDefault="00080A43" w:rsidP="00080A43">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pPr>
            <w:r>
              <w:rPr>
                <w:noProof/>
                <w:color w:val="000000"/>
              </w:rPr>
              <w:t>Традиционни практики за сезонна паша (пасторализъм) стадо без каракачански кучета - 168,15 евро/ха</w:t>
            </w:r>
          </w:p>
          <w:p w:rsidR="00080A43" w:rsidRDefault="00080A43" w:rsidP="00B01EBC">
            <w:pPr>
              <w:spacing w:before="40" w:after="40"/>
            </w:pPr>
            <w:r>
              <w:rPr>
                <w:noProof/>
                <w:color w:val="000000"/>
              </w:rPr>
              <w:t xml:space="preserve">Традиционни практики за сезонна паша (пасторализъм) стадо с каракачански кучета - </w:t>
            </w:r>
            <w:r>
              <w:rPr>
                <w:noProof/>
                <w:color w:val="000000"/>
              </w:rPr>
              <w:lastRenderedPageBreak/>
              <w:t>177,36 евро/ха</w:t>
            </w:r>
          </w:p>
          <w:p w:rsidR="00080A43" w:rsidRDefault="00080A43" w:rsidP="00B01EBC">
            <w:pPr>
              <w:spacing w:before="40" w:after="40"/>
            </w:pPr>
            <w:r w:rsidRPr="00F402EB">
              <w:rPr>
                <w:noProof/>
              </w:rPr>
              <w:t>При спазване на изискването за приравняване на 1 ЖЕ към 1 хектар. Когато броят на ЖЕ е по-малък от размера на площта в хектари, се предоставя годишно плащане, съответстващо на броя на ЖЕ.</w:t>
            </w:r>
          </w:p>
          <w:p w:rsidR="00080A43" w:rsidRDefault="00080A43" w:rsidP="00B01EBC">
            <w:pPr>
              <w:spacing w:before="40" w:after="40"/>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080A43" w:rsidRDefault="00080A43" w:rsidP="00080A43">
      <w:pPr>
        <w:spacing w:before="20" w:after="20"/>
        <w:rPr>
          <w:color w:val="000000"/>
        </w:rPr>
      </w:pPr>
      <w:r>
        <w:rPr>
          <w:noProof/>
          <w:color w:val="000000"/>
        </w:rPr>
        <w:lastRenderedPageBreak/>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jc w:val="both"/>
            </w:pPr>
            <w:r>
              <w:rPr>
                <w:noProof/>
                <w:shd w:val="clear" w:color="auto" w:fill="FFFFFF"/>
              </w:rPr>
              <w:t>Въз основа на допълнително направените разходи и пропуснатите приходи, произтичащи от поетите задължения</w:t>
            </w:r>
            <w:r>
              <w:rPr>
                <w:noProof/>
              </w:rPr>
              <w:t>. Годишният размер на подпомагане за дейността има компенсаторен характер съгласно чл. 82 от Регламент (ЕС) 2021/2115 на Европейския парламент и на Съвета от 2 декември 2021 година.</w:t>
            </w:r>
          </w:p>
        </w:tc>
      </w:tr>
    </w:tbl>
    <w:p w:rsidR="00080A43" w:rsidRDefault="00080A43" w:rsidP="00080A43">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jc w:val="both"/>
            </w:pPr>
            <w:r>
              <w:rPr>
                <w:noProof/>
              </w:rPr>
              <w:t>Плащането се изчислява като вземат предвид допълнителните разходи за: транспорт на животните до националните и природни паркове, настаняване и устройване на стадата, за допълнителен труд, за наем на високопланински пасища и увеличени разходи за ветеринарно обслужване във високопланински пасища. Изчислението се извършва чрез натрупване на тези разходи: към произведението на допълнителния труд за 90 дни и годишната норма на заплащане се добавят горепосочените категории разходи. Така се формира подпомагането на хектар и ЖЕ, като при наличие на каракачански овчарски кучета се добавят разходите по изхранването и отглеждането им.</w:t>
            </w:r>
          </w:p>
        </w:tc>
      </w:tr>
    </w:tbl>
    <w:p w:rsidR="00080A43" w:rsidRDefault="00080A43" w:rsidP="00080A43">
      <w:pPr>
        <w:pStyle w:val="Heading5"/>
        <w:spacing w:before="20" w:after="20"/>
        <w:rPr>
          <w:b w:val="0"/>
          <w:i w:val="0"/>
          <w:color w:val="000000"/>
          <w:sz w:val="24"/>
        </w:rPr>
      </w:pPr>
      <w:bookmarkStart w:id="9" w:name="_Toc256001556"/>
      <w:r>
        <w:rPr>
          <w:b w:val="0"/>
          <w:i w:val="0"/>
          <w:noProof/>
          <w:color w:val="000000"/>
          <w:sz w:val="24"/>
        </w:rPr>
        <w:t>8 Информация относно оценката за държавна помощ</w:t>
      </w:r>
      <w:bookmarkEnd w:id="9"/>
    </w:p>
    <w:p w:rsidR="00080A43" w:rsidRDefault="00080A43" w:rsidP="00080A43">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080A43" w:rsidRDefault="00080A43" w:rsidP="00080A43">
      <w:pPr>
        <w:spacing w:before="20" w:after="20"/>
        <w:rPr>
          <w:color w:val="000000"/>
        </w:rPr>
      </w:pPr>
    </w:p>
    <w:p w:rsidR="00080A43" w:rsidRDefault="00080A43" w:rsidP="00080A43">
      <w:pPr>
        <w:pStyle w:val="Heading5"/>
        <w:spacing w:before="20" w:after="20"/>
        <w:rPr>
          <w:b w:val="0"/>
          <w:i w:val="0"/>
          <w:color w:val="000000"/>
          <w:sz w:val="24"/>
        </w:rPr>
      </w:pPr>
      <w:bookmarkStart w:id="10" w:name="_Toc256001557"/>
      <w:r>
        <w:rPr>
          <w:b w:val="0"/>
          <w:i w:val="0"/>
          <w:noProof/>
          <w:color w:val="000000"/>
          <w:sz w:val="24"/>
        </w:rPr>
        <w:t>9 Допълнителни въпроси/информация за вида на интервенцията</w:t>
      </w:r>
      <w:bookmarkEnd w:id="10"/>
    </w:p>
    <w:p w:rsidR="00080A43" w:rsidRDefault="00080A43" w:rsidP="00080A43">
      <w:pPr>
        <w:spacing w:before="20" w:after="20"/>
        <w:rPr>
          <w:color w:val="000000"/>
        </w:rPr>
      </w:pPr>
      <w:r>
        <w:rPr>
          <w:noProof/>
          <w:color w:val="000000"/>
        </w:rPr>
        <w:t>Какви са моделите на ангажимента(ите) в интервенцията?</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080A43" w:rsidRDefault="00080A43" w:rsidP="00080A43">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080A43" w:rsidRDefault="00080A43" w:rsidP="00080A43">
      <w:pPr>
        <w:spacing w:before="20" w:after="20"/>
        <w:rPr>
          <w:color w:val="000000"/>
        </w:rPr>
      </w:pPr>
    </w:p>
    <w:p w:rsidR="00080A43" w:rsidRDefault="00080A43" w:rsidP="00080A43">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pPr>
            <w:r>
              <w:rPr>
                <w:noProof/>
              </w:rPr>
              <w:t>В интервенцията са включени две операции, като в зависимост от това дали стадата се придружават от кучетата от порода „Българско овчарско куче“.</w:t>
            </w:r>
          </w:p>
          <w:p w:rsidR="00080A43" w:rsidRDefault="00080A43" w:rsidP="00B01EBC">
            <w:pPr>
              <w:spacing w:before="40" w:after="40"/>
            </w:pPr>
            <w:r>
              <w:rPr>
                <w:noProof/>
              </w:rPr>
              <w:t>В случай на изменения в съответните задължителни стандарти, изисквания или задължения, посочени в чл.70, параграф 3 от Регламент 2115/2021г., които поетите задължения трябва да надхвърлят, и за да се гарантира спазването разпоредбите на параграф 7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080A43" w:rsidRPr="00446269" w:rsidRDefault="00080A43" w:rsidP="00B01EBC">
            <w:pPr>
              <w:spacing w:before="40" w:after="40"/>
              <w:rPr>
                <w:lang w:val="bg-BG"/>
              </w:rPr>
            </w:pPr>
            <w:r w:rsidRPr="00AA745A">
              <w:rPr>
                <w:noProof/>
              </w:rPr>
              <w:lastRenderedPageBreak/>
              <w:t xml:space="preserve">По преценка и предписание на Дирекциите на националните и природните паркове, пашата върху дадено пасище може да бъде преустановена за определен период в зависимост от екологичното състояние на пасищата и целесъобразността на пашата. Когато въз основа на преценката на </w:t>
            </w:r>
            <w:r w:rsidRPr="00446269">
              <w:rPr>
                <w:lang w:val="bg-BG"/>
              </w:rPr>
              <w:t>парковете е преустановена пашата и не бъде издадено разреши</w:t>
            </w:r>
            <w:r w:rsidR="00170BC8">
              <w:rPr>
                <w:lang w:val="bg-BG"/>
              </w:rPr>
              <w:t>те</w:t>
            </w:r>
            <w:r w:rsidRPr="00446269">
              <w:rPr>
                <w:lang w:val="bg-BG"/>
              </w:rPr>
              <w:t xml:space="preserve">лно за паша </w:t>
            </w:r>
            <w:r w:rsidRPr="00573639">
              <w:rPr>
                <w:strike/>
                <w:color w:val="FF0000"/>
                <w:lang w:val="bg-BG"/>
              </w:rPr>
              <w:t>за следваща година</w:t>
            </w:r>
            <w:r w:rsidRPr="00446269">
              <w:rPr>
                <w:lang w:val="bg-BG"/>
              </w:rPr>
              <w:t>, ангажиментът се прекратява, без да се възстановяват получените финансови средства до момента.</w:t>
            </w:r>
          </w:p>
          <w:p w:rsidR="001D40C5" w:rsidRPr="00AA745A" w:rsidRDefault="00FA16D7" w:rsidP="00E05968">
            <w:pPr>
              <w:spacing w:before="40" w:after="40"/>
              <w:rPr>
                <w:noProof/>
                <w:color w:val="FF0000"/>
                <w:lang w:val="bg-BG"/>
              </w:rPr>
            </w:pPr>
            <w:r w:rsidRPr="00446269">
              <w:rPr>
                <w:color w:val="FF0000"/>
                <w:lang w:val="bg-BG"/>
              </w:rPr>
              <w:t>Интервенцията се осъществява на планинските пасища на териториите на Националните паркове в първата половина на периода на финансиране (2023 - 2025 г.)</w:t>
            </w:r>
            <w:r w:rsidR="00893610" w:rsidRPr="00446269">
              <w:rPr>
                <w:color w:val="FF0000"/>
                <w:lang w:val="bg-BG"/>
              </w:rPr>
              <w:t xml:space="preserve">. </w:t>
            </w:r>
            <w:r w:rsidR="00B13240" w:rsidRPr="00446269">
              <w:rPr>
                <w:color w:val="FF0000"/>
                <w:lang w:val="bg-BG"/>
              </w:rPr>
              <w:t>Държавен фонд „Земеделие“ не изисква възстановява</w:t>
            </w:r>
            <w:r w:rsidR="00AA745A" w:rsidRPr="00446269">
              <w:rPr>
                <w:color w:val="FF0000"/>
                <w:lang w:val="bg-BG"/>
              </w:rPr>
              <w:t>не</w:t>
            </w:r>
            <w:r w:rsidR="00B13240" w:rsidRPr="00446269">
              <w:rPr>
                <w:color w:val="FF0000"/>
                <w:lang w:val="bg-BG"/>
              </w:rPr>
              <w:t xml:space="preserve"> на получени</w:t>
            </w:r>
            <w:r w:rsidR="00AA745A" w:rsidRPr="00446269">
              <w:rPr>
                <w:color w:val="FF0000"/>
                <w:lang w:val="bg-BG"/>
              </w:rPr>
              <w:t>те</w:t>
            </w:r>
            <w:r w:rsidR="00B13240" w:rsidRPr="00446269">
              <w:rPr>
                <w:color w:val="FF0000"/>
                <w:lang w:val="bg-BG"/>
              </w:rPr>
              <w:t xml:space="preserve"> финансови средства от земед</w:t>
            </w:r>
            <w:r w:rsidR="00893610" w:rsidRPr="00446269">
              <w:rPr>
                <w:color w:val="FF0000"/>
                <w:lang w:val="bg-BG"/>
              </w:rPr>
              <w:t>е</w:t>
            </w:r>
            <w:r w:rsidR="00B13240" w:rsidRPr="00446269">
              <w:rPr>
                <w:color w:val="FF0000"/>
                <w:lang w:val="bg-BG"/>
              </w:rPr>
              <w:t xml:space="preserve">лски стопани, които </w:t>
            </w:r>
            <w:r w:rsidR="008659A6">
              <w:rPr>
                <w:color w:val="FF0000"/>
                <w:lang w:val="bg-BG"/>
              </w:rPr>
              <w:t>след 2025</w:t>
            </w:r>
            <w:r w:rsidR="00170BC8">
              <w:rPr>
                <w:color w:val="FF0000"/>
                <w:lang w:val="bg-BG"/>
              </w:rPr>
              <w:t xml:space="preserve"> </w:t>
            </w:r>
            <w:r w:rsidR="008659A6">
              <w:rPr>
                <w:color w:val="FF0000"/>
                <w:lang w:val="bg-BG"/>
              </w:rPr>
              <w:t xml:space="preserve">г. не </w:t>
            </w:r>
            <w:r w:rsidR="00CB547A">
              <w:rPr>
                <w:color w:val="FF0000"/>
                <w:lang w:val="bg-BG"/>
              </w:rPr>
              <w:t>са подали</w:t>
            </w:r>
            <w:r w:rsidR="008659A6">
              <w:rPr>
                <w:color w:val="FF0000"/>
                <w:lang w:val="bg-BG"/>
              </w:rPr>
              <w:t xml:space="preserve"> заявление за плащане за прилагане на интервенцията на територи</w:t>
            </w:r>
            <w:r w:rsidR="00B765E8">
              <w:rPr>
                <w:color w:val="FF0000"/>
                <w:lang w:val="bg-BG"/>
              </w:rPr>
              <w:t>и</w:t>
            </w:r>
            <w:r w:rsidR="008659A6">
              <w:rPr>
                <w:color w:val="FF0000"/>
                <w:lang w:val="bg-BG"/>
              </w:rPr>
              <w:t xml:space="preserve"> на Националните паркове и </w:t>
            </w:r>
            <w:r w:rsidR="00E05968">
              <w:rPr>
                <w:color w:val="FF0000"/>
                <w:lang w:val="bg-BG"/>
              </w:rPr>
              <w:t xml:space="preserve">заявят в Разплащателна агенция, че не могат да продължат </w:t>
            </w:r>
            <w:r w:rsidR="00893610" w:rsidRPr="00446269">
              <w:rPr>
                <w:color w:val="FF0000"/>
                <w:lang w:val="bg-BG"/>
              </w:rPr>
              <w:t xml:space="preserve">изпълнението на интервенцията в </w:t>
            </w:r>
            <w:r w:rsidR="00446269">
              <w:rPr>
                <w:color w:val="FF0000"/>
                <w:lang w:val="bg-BG"/>
              </w:rPr>
              <w:t xml:space="preserve">другите допустими територии - </w:t>
            </w:r>
            <w:r w:rsidR="00893610" w:rsidRPr="00446269">
              <w:rPr>
                <w:color w:val="FF0000"/>
                <w:lang w:val="bg-BG"/>
              </w:rPr>
              <w:t xml:space="preserve">природни паркове </w:t>
            </w:r>
            <w:r w:rsidR="00AA745A" w:rsidRPr="00446269">
              <w:rPr>
                <w:color w:val="FF0000"/>
                <w:lang w:val="bg-BG"/>
              </w:rPr>
              <w:t>и защитени зони от Натура 2000.</w:t>
            </w:r>
          </w:p>
        </w:tc>
      </w:tr>
    </w:tbl>
    <w:p w:rsidR="00080A43" w:rsidRDefault="00080A43" w:rsidP="00080A43">
      <w:pPr>
        <w:spacing w:before="20" w:after="20"/>
        <w:rPr>
          <w:color w:val="000000"/>
          <w:sz w:val="0"/>
        </w:rPr>
      </w:pPr>
    </w:p>
    <w:p w:rsidR="00080A43" w:rsidRDefault="00080A43" w:rsidP="00080A43">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853461" w:rsidP="00853461">
            <w:pPr>
              <w:spacing w:before="40" w:after="40"/>
              <w:jc w:val="both"/>
              <w:rPr>
                <w:noProof/>
                <w:lang w:val="bg-BG"/>
              </w:rPr>
            </w:pPr>
            <w:r>
              <w:rPr>
                <w:noProof/>
                <w:color w:val="FF0000"/>
                <w:lang w:val="bg-BG"/>
              </w:rPr>
              <w:t>Продължителността на п</w:t>
            </w:r>
            <w:r w:rsidR="00F41B35" w:rsidRPr="00F41B35">
              <w:rPr>
                <w:noProof/>
                <w:color w:val="FF0000"/>
                <w:lang w:val="bg-BG"/>
              </w:rPr>
              <w:t xml:space="preserve">оетите до края на 2024 г. ангажименти </w:t>
            </w:r>
            <w:r>
              <w:rPr>
                <w:noProof/>
                <w:color w:val="FF0000"/>
                <w:lang w:val="bg-BG"/>
              </w:rPr>
              <w:t xml:space="preserve">е </w:t>
            </w:r>
            <w:r w:rsidR="00F41B35" w:rsidRPr="00F41B35">
              <w:rPr>
                <w:noProof/>
                <w:color w:val="FF0000"/>
                <w:lang w:val="bg-BG"/>
              </w:rPr>
              <w:t>3 години</w:t>
            </w:r>
            <w:r w:rsidR="00F41B35">
              <w:rPr>
                <w:noProof/>
                <w:lang w:val="bg-BG"/>
              </w:rPr>
              <w:t xml:space="preserve">. </w:t>
            </w:r>
            <w:r w:rsidR="00080A43" w:rsidRPr="00F41B35">
              <w:rPr>
                <w:strike/>
                <w:noProof/>
              </w:rPr>
              <w:t xml:space="preserve">Ангажиментите </w:t>
            </w:r>
            <w:r w:rsidR="00080A43" w:rsidRPr="00391FAA">
              <w:rPr>
                <w:strike/>
                <w:noProof/>
              </w:rPr>
              <w:t>за срок от 3 години</w:t>
            </w:r>
            <w:r w:rsidR="00080A43" w:rsidRPr="00391FAA">
              <w:rPr>
                <w:noProof/>
              </w:rPr>
              <w:t>,</w:t>
            </w:r>
            <w:r w:rsidR="00080A43">
              <w:rPr>
                <w:noProof/>
              </w:rPr>
              <w:t xml:space="preserve"> като по преценка и предписание на Дирекциите на националните и природните паркове, и органите по управление на защитените зони, пашата върху дадено пасище може да бъде преустановена</w:t>
            </w:r>
            <w:r w:rsidR="000B1E3D">
              <w:rPr>
                <w:noProof/>
                <w:lang w:val="bg-BG"/>
              </w:rPr>
              <w:t>, като за териториите на Националните паркове, интервенцията се прилага до 2025 г. за терито</w:t>
            </w:r>
            <w:r w:rsidR="00080A43">
              <w:rPr>
                <w:noProof/>
              </w:rPr>
              <w:t>.</w:t>
            </w:r>
          </w:p>
          <w:p w:rsidR="00853461" w:rsidRPr="00853461" w:rsidRDefault="00853461" w:rsidP="00853461">
            <w:pPr>
              <w:spacing w:before="40" w:after="40"/>
              <w:jc w:val="both"/>
              <w:rPr>
                <w:lang w:val="bg-BG"/>
              </w:rPr>
            </w:pPr>
            <w:r w:rsidRPr="00853461">
              <w:rPr>
                <w:noProof/>
                <w:color w:val="FF0000"/>
                <w:lang w:val="bg-BG"/>
              </w:rPr>
              <w:t>Продължителността на ангажиментите от 2025 г. е 1 година.</w:t>
            </w:r>
          </w:p>
        </w:tc>
      </w:tr>
    </w:tbl>
    <w:p w:rsidR="00080A43" w:rsidRDefault="00080A43" w:rsidP="00080A43">
      <w:pPr>
        <w:spacing w:before="20" w:after="20"/>
        <w:rPr>
          <w:color w:val="000000"/>
          <w:sz w:val="0"/>
        </w:rPr>
      </w:pPr>
    </w:p>
    <w:p w:rsidR="00080A43" w:rsidRDefault="00080A43" w:rsidP="00080A43">
      <w:pPr>
        <w:spacing w:before="20" w:after="20"/>
        <w:rPr>
          <w:color w:val="000000"/>
        </w:rPr>
      </w:pPr>
    </w:p>
    <w:p w:rsidR="00080A43" w:rsidRDefault="00080A43" w:rsidP="00080A43">
      <w:pPr>
        <w:pStyle w:val="Heading5"/>
        <w:spacing w:before="20" w:after="20"/>
        <w:rPr>
          <w:b w:val="0"/>
          <w:i w:val="0"/>
          <w:color w:val="000000"/>
          <w:sz w:val="24"/>
        </w:rPr>
      </w:pPr>
      <w:bookmarkStart w:id="11" w:name="_Toc256001558"/>
      <w:r>
        <w:rPr>
          <w:b w:val="0"/>
          <w:i w:val="0"/>
          <w:noProof/>
          <w:color w:val="000000"/>
          <w:sz w:val="24"/>
        </w:rPr>
        <w:t>10 Съответствие с правилата на СТО</w:t>
      </w:r>
      <w:bookmarkEnd w:id="11"/>
    </w:p>
    <w:p w:rsidR="00080A43" w:rsidRDefault="00080A43" w:rsidP="00080A43">
      <w:pPr>
        <w:spacing w:before="20" w:after="20"/>
        <w:rPr>
          <w:color w:val="000000"/>
        </w:rPr>
      </w:pPr>
      <w:r>
        <w:rPr>
          <w:noProof/>
          <w:color w:val="000000"/>
        </w:rPr>
        <w:t xml:space="preserve"> Зелена кутия</w:t>
      </w:r>
    </w:p>
    <w:p w:rsidR="00080A43" w:rsidRDefault="00080A43" w:rsidP="00080A43">
      <w:pPr>
        <w:spacing w:before="20" w:after="20"/>
        <w:rPr>
          <w:color w:val="000000"/>
        </w:rPr>
      </w:pPr>
      <w:r>
        <w:rPr>
          <w:noProof/>
          <w:color w:val="000000"/>
        </w:rPr>
        <w:t>Параграф 12 от приложение 2 към Споразумението за СТО</w:t>
      </w:r>
    </w:p>
    <w:p w:rsidR="00080A43" w:rsidRDefault="00080A43" w:rsidP="00080A43">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4"/>
      </w:tblGrid>
      <w:tr w:rsidR="00080A43"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80A43" w:rsidRDefault="00080A43" w:rsidP="00B01EBC">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w:t>
            </w:r>
          </w:p>
        </w:tc>
      </w:tr>
    </w:tbl>
    <w:p w:rsidR="00080A43" w:rsidRDefault="00080A43" w:rsidP="00080A43">
      <w:pPr>
        <w:pStyle w:val="Heading5"/>
        <w:spacing w:before="20" w:after="20"/>
        <w:rPr>
          <w:b w:val="0"/>
          <w:i w:val="0"/>
          <w:color w:val="000000"/>
          <w:sz w:val="24"/>
        </w:rPr>
      </w:pPr>
      <w:bookmarkStart w:id="12" w:name="_Toc256001559"/>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2911"/>
        <w:gridCol w:w="1736"/>
        <w:gridCol w:w="1744"/>
        <w:gridCol w:w="1817"/>
      </w:tblGrid>
      <w:tr w:rsidR="00080A43" w:rsidTr="00B01EB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80A43" w:rsidRDefault="00080A43" w:rsidP="00B01EBC">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80A43" w:rsidRDefault="00080A43" w:rsidP="00B01EBC">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80A43" w:rsidRDefault="00080A43" w:rsidP="00B01EBC">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80A43" w:rsidRDefault="00080A43" w:rsidP="00B01EBC">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80A43" w:rsidRDefault="00080A43" w:rsidP="00B01EBC">
            <w:pPr>
              <w:spacing w:before="20" w:after="20"/>
              <w:rPr>
                <w:color w:val="000000"/>
                <w:sz w:val="20"/>
              </w:rPr>
            </w:pPr>
            <w:r>
              <w:rPr>
                <w:b/>
                <w:noProof/>
                <w:color w:val="000000"/>
                <w:sz w:val="20"/>
              </w:rPr>
              <w:t>Максимална ставка</w:t>
            </w:r>
          </w:p>
        </w:tc>
      </w:tr>
      <w:tr w:rsidR="00080A43" w:rsidTr="00B01EB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80A43" w:rsidRDefault="00080A43" w:rsidP="00B01EBC">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80A43" w:rsidRDefault="00080A43" w:rsidP="00B01EBC">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80A43" w:rsidRDefault="00080A43" w:rsidP="00B01EBC">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80A43" w:rsidRDefault="00080A43" w:rsidP="00B01EBC">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80A43" w:rsidRDefault="00080A43" w:rsidP="00B01EBC">
            <w:pPr>
              <w:spacing w:before="20" w:after="20"/>
              <w:jc w:val="right"/>
              <w:rPr>
                <w:color w:val="000000"/>
                <w:sz w:val="20"/>
              </w:rPr>
            </w:pPr>
            <w:r>
              <w:rPr>
                <w:noProof/>
                <w:color w:val="000000"/>
                <w:sz w:val="20"/>
              </w:rPr>
              <w:t>85,00%</w:t>
            </w:r>
          </w:p>
        </w:tc>
      </w:tr>
    </w:tbl>
    <w:p w:rsidR="00D9584A" w:rsidRDefault="00D9584A" w:rsidP="00080A43">
      <w:pPr>
        <w:spacing w:before="20" w:after="20"/>
        <w:rPr>
          <w:color w:val="000000"/>
        </w:rPr>
      </w:pPr>
    </w:p>
    <w:p w:rsidR="00EE3126" w:rsidRDefault="00D9584A" w:rsidP="007C6185">
      <w:r>
        <w:br w:type="page"/>
      </w:r>
    </w:p>
    <w:sectPr w:rsidR="00EE3126" w:rsidSect="006F4BFF">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A43"/>
    <w:rsid w:val="00080A43"/>
    <w:rsid w:val="000948F3"/>
    <w:rsid w:val="000B0565"/>
    <w:rsid w:val="000B1E3D"/>
    <w:rsid w:val="00170BC8"/>
    <w:rsid w:val="001D40C5"/>
    <w:rsid w:val="00223662"/>
    <w:rsid w:val="00227FF3"/>
    <w:rsid w:val="002727D9"/>
    <w:rsid w:val="00391FAA"/>
    <w:rsid w:val="003B4E2B"/>
    <w:rsid w:val="00446269"/>
    <w:rsid w:val="00556B7E"/>
    <w:rsid w:val="00573639"/>
    <w:rsid w:val="005E3979"/>
    <w:rsid w:val="00694BCD"/>
    <w:rsid w:val="006A07EC"/>
    <w:rsid w:val="006B263B"/>
    <w:rsid w:val="006F4BFF"/>
    <w:rsid w:val="007C6185"/>
    <w:rsid w:val="008219D0"/>
    <w:rsid w:val="00853461"/>
    <w:rsid w:val="008659A6"/>
    <w:rsid w:val="00893610"/>
    <w:rsid w:val="008F7B4D"/>
    <w:rsid w:val="00AA745A"/>
    <w:rsid w:val="00B13240"/>
    <w:rsid w:val="00B507CB"/>
    <w:rsid w:val="00B618AA"/>
    <w:rsid w:val="00B75CC3"/>
    <w:rsid w:val="00B765E8"/>
    <w:rsid w:val="00C4423F"/>
    <w:rsid w:val="00CB547A"/>
    <w:rsid w:val="00D9584A"/>
    <w:rsid w:val="00E05968"/>
    <w:rsid w:val="00E65179"/>
    <w:rsid w:val="00F402EB"/>
    <w:rsid w:val="00F41B35"/>
    <w:rsid w:val="00FA1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43"/>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080A43"/>
    <w:pPr>
      <w:keepNext/>
      <w:spacing w:before="240" w:after="60"/>
      <w:outlineLvl w:val="3"/>
    </w:pPr>
    <w:rPr>
      <w:b/>
      <w:bCs/>
      <w:sz w:val="28"/>
      <w:szCs w:val="28"/>
    </w:rPr>
  </w:style>
  <w:style w:type="paragraph" w:styleId="Heading5">
    <w:name w:val="heading 5"/>
    <w:basedOn w:val="Normal"/>
    <w:next w:val="Normal"/>
    <w:link w:val="Heading5Char"/>
    <w:qFormat/>
    <w:rsid w:val="00080A4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80A4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80A43"/>
    <w:rPr>
      <w:rFonts w:ascii="Times New Roman" w:eastAsia="Times New Roman" w:hAnsi="Times New Roman" w:cs="Times New Roman"/>
      <w:b/>
      <w:bCs/>
      <w:i/>
      <w:iCs/>
      <w:sz w:val="26"/>
      <w:szCs w:val="26"/>
    </w:rPr>
  </w:style>
  <w:style w:type="character" w:styleId="CommentReference">
    <w:name w:val="annotation reference"/>
    <w:basedOn w:val="DefaultParagraphFont"/>
    <w:uiPriority w:val="99"/>
    <w:semiHidden/>
    <w:unhideWhenUsed/>
    <w:rsid w:val="00080A43"/>
    <w:rPr>
      <w:sz w:val="16"/>
      <w:szCs w:val="16"/>
    </w:rPr>
  </w:style>
  <w:style w:type="paragraph" w:styleId="CommentText">
    <w:name w:val="annotation text"/>
    <w:basedOn w:val="Normal"/>
    <w:link w:val="CommentTextChar"/>
    <w:uiPriority w:val="99"/>
    <w:semiHidden/>
    <w:unhideWhenUsed/>
    <w:rsid w:val="00080A43"/>
    <w:rPr>
      <w:sz w:val="20"/>
      <w:szCs w:val="20"/>
    </w:rPr>
  </w:style>
  <w:style w:type="character" w:customStyle="1" w:styleId="CommentTextChar">
    <w:name w:val="Comment Text Char"/>
    <w:basedOn w:val="DefaultParagraphFont"/>
    <w:link w:val="CommentText"/>
    <w:uiPriority w:val="99"/>
    <w:semiHidden/>
    <w:rsid w:val="00080A4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0A43"/>
    <w:rPr>
      <w:rFonts w:ascii="Tahoma" w:hAnsi="Tahoma" w:cs="Tahoma"/>
      <w:sz w:val="16"/>
      <w:szCs w:val="16"/>
    </w:rPr>
  </w:style>
  <w:style w:type="character" w:customStyle="1" w:styleId="BalloonTextChar">
    <w:name w:val="Balloon Text Char"/>
    <w:basedOn w:val="DefaultParagraphFont"/>
    <w:link w:val="BalloonText"/>
    <w:uiPriority w:val="99"/>
    <w:semiHidden/>
    <w:rsid w:val="00080A43"/>
    <w:rPr>
      <w:rFonts w:ascii="Tahoma" w:eastAsia="Times New Roman" w:hAnsi="Tahoma" w:cs="Tahoma"/>
      <w:sz w:val="16"/>
      <w:szCs w:val="16"/>
    </w:rPr>
  </w:style>
  <w:style w:type="character" w:customStyle="1" w:styleId="search33">
    <w:name w:val="search33"/>
    <w:basedOn w:val="DefaultParagraphFont"/>
    <w:rsid w:val="00FA16D7"/>
    <w:rPr>
      <w:shd w:val="clear" w:color="auto" w:fill="EBBE51"/>
    </w:rPr>
  </w:style>
  <w:style w:type="character" w:customStyle="1" w:styleId="samedocreference1">
    <w:name w:val="samedocreference1"/>
    <w:basedOn w:val="DefaultParagraphFont"/>
    <w:rsid w:val="00FA16D7"/>
    <w:rPr>
      <w:i w:val="0"/>
      <w:iCs w:val="0"/>
      <w:color w:val="8B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43"/>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080A43"/>
    <w:pPr>
      <w:keepNext/>
      <w:spacing w:before="240" w:after="60"/>
      <w:outlineLvl w:val="3"/>
    </w:pPr>
    <w:rPr>
      <w:b/>
      <w:bCs/>
      <w:sz w:val="28"/>
      <w:szCs w:val="28"/>
    </w:rPr>
  </w:style>
  <w:style w:type="paragraph" w:styleId="Heading5">
    <w:name w:val="heading 5"/>
    <w:basedOn w:val="Normal"/>
    <w:next w:val="Normal"/>
    <w:link w:val="Heading5Char"/>
    <w:qFormat/>
    <w:rsid w:val="00080A4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80A4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80A43"/>
    <w:rPr>
      <w:rFonts w:ascii="Times New Roman" w:eastAsia="Times New Roman" w:hAnsi="Times New Roman" w:cs="Times New Roman"/>
      <w:b/>
      <w:bCs/>
      <w:i/>
      <w:iCs/>
      <w:sz w:val="26"/>
      <w:szCs w:val="26"/>
    </w:rPr>
  </w:style>
  <w:style w:type="character" w:styleId="CommentReference">
    <w:name w:val="annotation reference"/>
    <w:basedOn w:val="DefaultParagraphFont"/>
    <w:uiPriority w:val="99"/>
    <w:semiHidden/>
    <w:unhideWhenUsed/>
    <w:rsid w:val="00080A43"/>
    <w:rPr>
      <w:sz w:val="16"/>
      <w:szCs w:val="16"/>
    </w:rPr>
  </w:style>
  <w:style w:type="paragraph" w:styleId="CommentText">
    <w:name w:val="annotation text"/>
    <w:basedOn w:val="Normal"/>
    <w:link w:val="CommentTextChar"/>
    <w:uiPriority w:val="99"/>
    <w:semiHidden/>
    <w:unhideWhenUsed/>
    <w:rsid w:val="00080A43"/>
    <w:rPr>
      <w:sz w:val="20"/>
      <w:szCs w:val="20"/>
    </w:rPr>
  </w:style>
  <w:style w:type="character" w:customStyle="1" w:styleId="CommentTextChar">
    <w:name w:val="Comment Text Char"/>
    <w:basedOn w:val="DefaultParagraphFont"/>
    <w:link w:val="CommentText"/>
    <w:uiPriority w:val="99"/>
    <w:semiHidden/>
    <w:rsid w:val="00080A4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0A43"/>
    <w:rPr>
      <w:rFonts w:ascii="Tahoma" w:hAnsi="Tahoma" w:cs="Tahoma"/>
      <w:sz w:val="16"/>
      <w:szCs w:val="16"/>
    </w:rPr>
  </w:style>
  <w:style w:type="character" w:customStyle="1" w:styleId="BalloonTextChar">
    <w:name w:val="Balloon Text Char"/>
    <w:basedOn w:val="DefaultParagraphFont"/>
    <w:link w:val="BalloonText"/>
    <w:uiPriority w:val="99"/>
    <w:semiHidden/>
    <w:rsid w:val="00080A43"/>
    <w:rPr>
      <w:rFonts w:ascii="Tahoma" w:eastAsia="Times New Roman" w:hAnsi="Tahoma" w:cs="Tahoma"/>
      <w:sz w:val="16"/>
      <w:szCs w:val="16"/>
    </w:rPr>
  </w:style>
  <w:style w:type="character" w:customStyle="1" w:styleId="search33">
    <w:name w:val="search33"/>
    <w:basedOn w:val="DefaultParagraphFont"/>
    <w:rsid w:val="00FA16D7"/>
    <w:rPr>
      <w:shd w:val="clear" w:color="auto" w:fill="EBBE51"/>
    </w:rPr>
  </w:style>
  <w:style w:type="character" w:customStyle="1" w:styleId="samedocreference1">
    <w:name w:val="samedocreference1"/>
    <w:basedOn w:val="DefaultParagraphFont"/>
    <w:rsid w:val="00FA16D7"/>
    <w:rPr>
      <w:i w:val="0"/>
      <w:iCs w:val="0"/>
      <w:color w:val="8B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3287</Words>
  <Characters>18739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CAP</cp:lastModifiedBy>
  <cp:revision>2</cp:revision>
  <cp:lastPrinted>2024-08-12T10:15:00Z</cp:lastPrinted>
  <dcterms:created xsi:type="dcterms:W3CDTF">2024-08-16T07:26:00Z</dcterms:created>
  <dcterms:modified xsi:type="dcterms:W3CDTF">2024-08-16T07:26:00Z</dcterms:modified>
</cp:coreProperties>
</file>