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9A2" w:rsidRPr="008637F3" w:rsidRDefault="003669A2" w:rsidP="003669A2">
      <w:pPr>
        <w:pStyle w:val="Heading4"/>
        <w:rPr>
          <w:lang w:val="bg-BG"/>
        </w:rPr>
      </w:pPr>
      <w:bookmarkStart w:id="0" w:name="_Toc256000102"/>
      <w:r w:rsidRPr="008637F3">
        <w:rPr>
          <w:lang w:val="bg-BG"/>
        </w:rPr>
        <w:t>I.В.5 - Еко схема за екологично поддържане на трайните насаждения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I.В.5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Еко схема за екологично поддържане на трайните насаждения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proofErr w:type="spellStart"/>
            <w:r w:rsidRPr="008637F3">
              <w:rPr>
                <w:color w:val="000000"/>
                <w:sz w:val="20"/>
                <w:lang w:val="bg-BG"/>
              </w:rPr>
              <w:t>Eco-scheme</w:t>
            </w:r>
            <w:proofErr w:type="spellEnd"/>
            <w:r w:rsidRPr="008637F3">
              <w:rPr>
                <w:color w:val="000000"/>
                <w:sz w:val="20"/>
                <w:lang w:val="bg-BG"/>
              </w:rPr>
              <w:t>(31) - Схеми за климата, околната среда и хуманното отношение към животните / Член 31, параграф 7, буква б) — Компенсаторно плащане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 xml:space="preserve">O.8. Брой хектари или животински единици, за които се ползват </w:t>
            </w:r>
            <w:proofErr w:type="spellStart"/>
            <w:r w:rsidRPr="008637F3">
              <w:rPr>
                <w:color w:val="000000"/>
                <w:sz w:val="20"/>
                <w:lang w:val="bg-BG"/>
              </w:rPr>
              <w:t>екосхеми</w:t>
            </w:r>
            <w:proofErr w:type="spellEnd"/>
          </w:p>
        </w:tc>
      </w:tr>
    </w:tbl>
    <w:p w:rsidR="003669A2" w:rsidRPr="008637F3" w:rsidRDefault="003669A2" w:rsidP="003669A2">
      <w:pPr>
        <w:pStyle w:val="Heading5"/>
        <w:rPr>
          <w:b w:val="0"/>
          <w:color w:val="000000"/>
          <w:sz w:val="24"/>
          <w:lang w:val="bg-BG"/>
        </w:rPr>
      </w:pPr>
      <w:bookmarkStart w:id="1" w:name="_Toc256000103"/>
      <w:r w:rsidRPr="008637F3">
        <w:rPr>
          <w:b w:val="0"/>
          <w:color w:val="000000"/>
          <w:sz w:val="24"/>
          <w:lang w:val="bg-BG"/>
        </w:rPr>
        <w:t>1 Териториално приложение и ако е уместно, регионално измерение</w:t>
      </w:r>
      <w:bookmarkEnd w:id="1"/>
    </w:p>
    <w:p w:rsidR="003669A2" w:rsidRPr="008637F3" w:rsidRDefault="003669A2" w:rsidP="003669A2">
      <w:pPr>
        <w:rPr>
          <w:color w:val="000000"/>
          <w:sz w:val="0"/>
          <w:lang w:val="bg-BG"/>
        </w:rPr>
      </w:pPr>
      <w:r w:rsidRPr="008637F3">
        <w:rPr>
          <w:color w:val="000000"/>
          <w:lang w:val="bg-BG"/>
        </w:rPr>
        <w:t xml:space="preserve">Териториално приложение: </w:t>
      </w:r>
      <w:r w:rsidRPr="008637F3">
        <w:rPr>
          <w:b/>
          <w:color w:val="000000"/>
          <w:lang w:val="bg-BG"/>
        </w:rPr>
        <w:t>Национално равнище</w:t>
      </w:r>
    </w:p>
    <w:p w:rsidR="003669A2" w:rsidRPr="008637F3" w:rsidRDefault="003669A2" w:rsidP="003669A2">
      <w:pPr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3669A2" w:rsidRPr="008637F3" w:rsidTr="004F2313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 xml:space="preserve">България </w:t>
            </w:r>
          </w:p>
        </w:tc>
      </w:tr>
    </w:tbl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40" w:after="40"/>
              <w:rPr>
                <w:lang w:val="bg-BG"/>
              </w:rPr>
            </w:pPr>
            <w:r w:rsidRPr="008637F3">
              <w:rPr>
                <w:lang w:val="bg-BG"/>
              </w:rPr>
              <w:t>Национален обхват. Интервенцията се прилага на територията на цялата страна.</w:t>
            </w:r>
          </w:p>
        </w:tc>
      </w:tr>
    </w:tbl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2" w:name="_Toc256000104"/>
      <w:r w:rsidRPr="008637F3">
        <w:rPr>
          <w:b w:val="0"/>
          <w:i w:val="0"/>
          <w:color w:val="000000"/>
          <w:sz w:val="24"/>
          <w:lang w:val="bg-BG"/>
        </w:rPr>
        <w:t xml:space="preserve">2 Свързани специфични цели, </w:t>
      </w:r>
      <w:proofErr w:type="spellStart"/>
      <w:r w:rsidRPr="008637F3">
        <w:rPr>
          <w:b w:val="0"/>
          <w:i w:val="0"/>
          <w:color w:val="000000"/>
          <w:sz w:val="24"/>
          <w:lang w:val="bg-BG"/>
        </w:rPr>
        <w:t>междусекторна</w:t>
      </w:r>
      <w:proofErr w:type="spellEnd"/>
      <w:r w:rsidRPr="008637F3">
        <w:rPr>
          <w:b w:val="0"/>
          <w:i w:val="0"/>
          <w:color w:val="000000"/>
          <w:sz w:val="24"/>
          <w:lang w:val="bg-BG"/>
        </w:rPr>
        <w:t xml:space="preserve"> цел и уместни секторни цели</w:t>
      </w:r>
      <w:bookmarkEnd w:id="2"/>
    </w:p>
    <w:p w:rsidR="003669A2" w:rsidRPr="008637F3" w:rsidRDefault="003669A2" w:rsidP="003669A2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Код на СПЕЦИФИЧНАТА ЦЕЛ НА ОСП + описание</w:t>
            </w:r>
            <w:r w:rsidRPr="008637F3">
              <w:rPr>
                <w:color w:val="000000"/>
                <w:sz w:val="20"/>
                <w:lang w:val="bg-BG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SO4 Допринасяне за смекчаване на изменението на климата и за адаптиране към него, включително чрез намаляване на емисиите на парникови газове и подобряване на улавянето на въглерод, както и популяризиране на устойчива енергия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SO5 Насърчаване на устойчиво развитие и ефикасно управление на природните ресурси, като вода, почва и въздух, включително чрез намаляване на зависимостта от химически вещества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 xml:space="preserve">SO6 Допринасяне за забавянето и възстановяването на намаляването на биоразнообразието, подобряване на </w:t>
            </w:r>
            <w:proofErr w:type="spellStart"/>
            <w:r w:rsidRPr="008637F3">
              <w:rPr>
                <w:color w:val="000000"/>
                <w:sz w:val="20"/>
                <w:lang w:val="bg-BG"/>
              </w:rPr>
              <w:t>екосистемните</w:t>
            </w:r>
            <w:proofErr w:type="spellEnd"/>
            <w:r w:rsidRPr="008637F3">
              <w:rPr>
                <w:color w:val="000000"/>
                <w:sz w:val="20"/>
                <w:lang w:val="bg-BG"/>
              </w:rPr>
              <w:t xml:space="preserve"> услуги и съхраняване на местообитанията и ландшафтите</w:t>
            </w:r>
          </w:p>
        </w:tc>
      </w:tr>
    </w:tbl>
    <w:p w:rsidR="003669A2" w:rsidRPr="008637F3" w:rsidRDefault="003669A2" w:rsidP="003669A2">
      <w:pPr>
        <w:spacing w:before="20" w:after="20"/>
        <w:rPr>
          <w:color w:val="000000"/>
          <w:sz w:val="0"/>
          <w:lang w:val="bg-BG"/>
        </w:rPr>
      </w:pPr>
    </w:p>
    <w:p w:rsidR="003669A2" w:rsidRPr="008637F3" w:rsidRDefault="003669A2" w:rsidP="003669A2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 xml:space="preserve">ОБЛАСТИ НА ДЕЙСТВИЕ ПО ОСП Код + Описание 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AOA-A смекчаване на изменението на климата, включително намаляване на емисиите на парникови газове от селскостопанските практики, както и запазване на съществуващите места за съхранение на въглероден диоксид и подобряване на улавянето на въглерод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AOA-B адаптиране към изменението на климата, включително действия за повишаване на устойчивостта на системите за производство на храни и подобряване на животинското и растителното разнообразие с цел по-голяма устойчивост по отношение на болестите и изменението на климата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AOA-C опазване или подобряване на качеството на водите и намаляване на натиска върху водните ресурси</w:t>
            </w:r>
          </w:p>
        </w:tc>
      </w:tr>
      <w:tr w:rsidR="003669A2" w:rsidRPr="008637F3" w:rsidTr="004F2313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 xml:space="preserve">AOA-D предотвратяване на деградацията на почвите, възстановяване на почвите, подобряване на почвеното плодородие и на управлението на хранителните вещества [и на почвената </w:t>
            </w:r>
            <w:proofErr w:type="spellStart"/>
            <w:r w:rsidRPr="008637F3">
              <w:rPr>
                <w:color w:val="000000"/>
                <w:sz w:val="20"/>
                <w:lang w:val="bg-BG"/>
              </w:rPr>
              <w:t>биота</w:t>
            </w:r>
            <w:proofErr w:type="spellEnd"/>
            <w:r w:rsidRPr="008637F3">
              <w:rPr>
                <w:color w:val="000000"/>
                <w:sz w:val="20"/>
                <w:lang w:val="bg-BG"/>
              </w:rPr>
              <w:t xml:space="preserve">] </w:t>
            </w:r>
          </w:p>
        </w:tc>
      </w:tr>
    </w:tbl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3" w:name="_Toc256000105"/>
      <w:r w:rsidRPr="008637F3">
        <w:rPr>
          <w:b w:val="0"/>
          <w:i w:val="0"/>
          <w:color w:val="000000"/>
          <w:sz w:val="24"/>
          <w:lang w:val="bg-BG"/>
        </w:rPr>
        <w:t>3 Потребности, обхванати от интервенцията</w:t>
      </w:r>
      <w:bookmarkEnd w:id="3"/>
    </w:p>
    <w:p w:rsidR="003669A2" w:rsidRPr="008637F3" w:rsidRDefault="003669A2" w:rsidP="003669A2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Разгледана в стратегически план по ОСП</w:t>
            </w:r>
          </w:p>
        </w:tc>
      </w:tr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П.4.2.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П.4.2.Увеличаване на органичния въглерод в почвата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П.5.2.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Подобряване качеството на почвите чрез ограничаване на процесите на водна и ветрова ерозия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Да</w:t>
            </w:r>
          </w:p>
        </w:tc>
      </w:tr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П.5.4.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Продължаване на поддържането на нисък азотен и фосфорен отпечатък в почвите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Среден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Да</w:t>
            </w:r>
          </w:p>
        </w:tc>
      </w:tr>
    </w:tbl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4" w:name="_Toc256000106"/>
      <w:r w:rsidRPr="008637F3">
        <w:rPr>
          <w:b w:val="0"/>
          <w:i w:val="0"/>
          <w:color w:val="000000"/>
          <w:sz w:val="24"/>
          <w:lang w:val="bg-BG"/>
        </w:rPr>
        <w:t>4 Показател(и) за резултатите</w:t>
      </w:r>
      <w:bookmarkEnd w:id="4"/>
    </w:p>
    <w:p w:rsidR="003669A2" w:rsidRPr="008637F3" w:rsidRDefault="003669A2" w:rsidP="003669A2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Код на ПОКАЗАТЕЛИТЕ ЗА РЕЗУЛТАТИТЕ + описание</w:t>
            </w:r>
            <w:r w:rsidRPr="008637F3">
              <w:rPr>
                <w:color w:val="000000"/>
                <w:sz w:val="20"/>
                <w:lang w:val="bg-BG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lastRenderedPageBreak/>
              <w:t xml:space="preserve">R.19 Дял на използваната земеделска площ (ИЗП), обхваната от подпомагани ангажименти, допринасящи за управлението на почвите с цел подобряване на качеството на почвата и на </w:t>
            </w:r>
            <w:proofErr w:type="spellStart"/>
            <w:r w:rsidRPr="008637F3">
              <w:rPr>
                <w:color w:val="000000"/>
                <w:sz w:val="20"/>
                <w:lang w:val="bg-BG"/>
              </w:rPr>
              <w:t>биотата</w:t>
            </w:r>
            <w:proofErr w:type="spellEnd"/>
            <w:r w:rsidRPr="008637F3">
              <w:rPr>
                <w:color w:val="000000"/>
                <w:sz w:val="20"/>
                <w:lang w:val="bg-BG"/>
              </w:rPr>
              <w:t xml:space="preserve"> (като например намаляване на обработката, почвена покривка с култури, </w:t>
            </w:r>
            <w:proofErr w:type="spellStart"/>
            <w:r w:rsidRPr="008637F3">
              <w:rPr>
                <w:color w:val="000000"/>
                <w:sz w:val="20"/>
                <w:lang w:val="bg-BG"/>
              </w:rPr>
              <w:t>сеитбооборот</w:t>
            </w:r>
            <w:proofErr w:type="spellEnd"/>
            <w:r w:rsidRPr="008637F3">
              <w:rPr>
                <w:color w:val="000000"/>
                <w:sz w:val="20"/>
                <w:lang w:val="bg-BG"/>
              </w:rPr>
              <w:t>, включително бобови култури)</w:t>
            </w:r>
          </w:p>
        </w:tc>
      </w:tr>
    </w:tbl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5" w:name="_Toc256000107"/>
      <w:r w:rsidRPr="008637F3">
        <w:rPr>
          <w:b w:val="0"/>
          <w:i w:val="0"/>
          <w:color w:val="000000"/>
          <w:sz w:val="24"/>
          <w:lang w:val="bg-BG"/>
        </w:rPr>
        <w:t>5 Конкретен план, изисквания и условия за допустимост на интервенцията</w:t>
      </w:r>
      <w:bookmarkEnd w:id="5"/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color w:val="000000"/>
                <w:lang w:val="bg-BG"/>
              </w:rPr>
              <w:t xml:space="preserve">С поддържането на </w:t>
            </w:r>
            <w:proofErr w:type="spellStart"/>
            <w:r w:rsidRPr="008637F3">
              <w:rPr>
                <w:color w:val="000000"/>
                <w:lang w:val="bg-BG"/>
              </w:rPr>
              <w:t>азотфиксиращи</w:t>
            </w:r>
            <w:proofErr w:type="spellEnd"/>
            <w:r w:rsidRPr="008637F3">
              <w:rPr>
                <w:color w:val="000000"/>
                <w:lang w:val="bg-BG"/>
              </w:rPr>
              <w:t xml:space="preserve"> култури се постига подобряване на хранителния баланс и директно се намалява количеството на влаганите хранителни елементи с торенето. </w:t>
            </w:r>
          </w:p>
          <w:p w:rsidR="003669A2" w:rsidRPr="008637F3" w:rsidRDefault="003669A2" w:rsidP="004F231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color w:val="000000"/>
                <w:lang w:val="bg-BG"/>
              </w:rPr>
              <w:t>Поддържането на ивици с естествена растителност по краищата на трайните насаждения без прилагане на продукти за растителна защита (ПРЗ) създава естествена преграда от изтичане на остатъци от ПРЗ извън парцела на трайните насаждения.</w:t>
            </w:r>
          </w:p>
          <w:p w:rsidR="003669A2" w:rsidRPr="008637F3" w:rsidRDefault="003669A2" w:rsidP="004F2313">
            <w:pPr>
              <w:spacing w:before="40" w:after="40"/>
              <w:rPr>
                <w:lang w:val="bg-BG"/>
              </w:rPr>
            </w:pPr>
            <w:r w:rsidRPr="008637F3">
              <w:rPr>
                <w:color w:val="000000"/>
                <w:lang w:val="bg-BG"/>
              </w:rPr>
              <w:t xml:space="preserve">Изброените практики в интервенцията се прилагат върху частите от парцели с трайни насаждения като площите, с които участва по интервенцията са по избор на земеделския стопанин. </w:t>
            </w:r>
          </w:p>
        </w:tc>
      </w:tr>
    </w:tbl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 xml:space="preserve">Описание на ангажиментите за </w:t>
      </w:r>
      <w:proofErr w:type="spellStart"/>
      <w:r w:rsidRPr="008637F3">
        <w:rPr>
          <w:color w:val="000000"/>
          <w:lang w:val="bg-BG"/>
        </w:rPr>
        <w:t>екосхемата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lang w:val="bg-BG"/>
              </w:rPr>
              <w:t>Земеделските стопани прилагат земеделски практики от изброените по-долу:</w:t>
            </w:r>
          </w:p>
          <w:p w:rsidR="003669A2" w:rsidRPr="008637F3" w:rsidRDefault="003669A2" w:rsidP="004F231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color w:val="000000"/>
                <w:lang w:val="bg-BG"/>
              </w:rPr>
              <w:t xml:space="preserve">Поддържане на междуредията с </w:t>
            </w:r>
            <w:proofErr w:type="spellStart"/>
            <w:r w:rsidRPr="008637F3">
              <w:rPr>
                <w:color w:val="000000"/>
                <w:lang w:val="bg-BG"/>
              </w:rPr>
              <w:t>азотфиксиращи</w:t>
            </w:r>
            <w:proofErr w:type="spellEnd"/>
            <w:r w:rsidRPr="008637F3">
              <w:rPr>
                <w:color w:val="000000"/>
                <w:lang w:val="bg-BG"/>
              </w:rPr>
              <w:t xml:space="preserve"> култури с подходяща и </w:t>
            </w:r>
            <w:proofErr w:type="spellStart"/>
            <w:r w:rsidRPr="008637F3">
              <w:rPr>
                <w:color w:val="000000"/>
                <w:lang w:val="bg-BG"/>
              </w:rPr>
              <w:t>неконкурираща</w:t>
            </w:r>
            <w:proofErr w:type="spellEnd"/>
            <w:r w:rsidRPr="008637F3">
              <w:rPr>
                <w:color w:val="000000"/>
                <w:lang w:val="bg-BG"/>
              </w:rPr>
              <w:t xml:space="preserve"> биология самостоятелно или в смес с житни или тревни видове. Междуредията се поддържат без прилагане на продукти за растителна защита и изкуствени торове. В междуредията се извършва косене и при необходимост </w:t>
            </w:r>
            <w:proofErr w:type="spellStart"/>
            <w:r w:rsidRPr="008637F3">
              <w:rPr>
                <w:color w:val="000000"/>
                <w:lang w:val="bg-BG"/>
              </w:rPr>
              <w:t>мулчиране</w:t>
            </w:r>
            <w:proofErr w:type="spellEnd"/>
            <w:r w:rsidRPr="008637F3">
              <w:rPr>
                <w:color w:val="000000"/>
                <w:lang w:val="bg-BG"/>
              </w:rPr>
              <w:t xml:space="preserve"> извън периода на гнездене на птиците</w:t>
            </w:r>
            <w:r w:rsidRPr="008637F3">
              <w:rPr>
                <w:strike/>
                <w:color w:val="000000"/>
                <w:lang w:val="bg-BG"/>
              </w:rPr>
              <w:t>.</w:t>
            </w:r>
            <w:r w:rsidRPr="008637F3">
              <w:rPr>
                <w:color w:val="000000"/>
                <w:lang w:val="bg-BG"/>
              </w:rPr>
              <w:t xml:space="preserve"> и/или</w:t>
            </w:r>
            <w:r w:rsidR="00042E01" w:rsidRPr="008637F3">
              <w:rPr>
                <w:color w:val="000000"/>
                <w:lang w:val="bg-BG"/>
              </w:rPr>
              <w:t xml:space="preserve"> </w:t>
            </w:r>
            <w:proofErr w:type="spellStart"/>
            <w:r w:rsidRPr="008637F3">
              <w:rPr>
                <w:strike/>
                <w:color w:val="000000"/>
                <w:lang w:val="bg-BG"/>
              </w:rPr>
              <w:t>М</w:t>
            </w:r>
            <w:r w:rsidR="00025807" w:rsidRPr="008637F3">
              <w:rPr>
                <w:color w:val="000000"/>
                <w:lang w:val="bg-BG"/>
              </w:rPr>
              <w:t>м</w:t>
            </w:r>
            <w:r w:rsidRPr="008637F3">
              <w:rPr>
                <w:color w:val="000000"/>
                <w:lang w:val="bg-BG"/>
              </w:rPr>
              <w:t>улчиране</w:t>
            </w:r>
            <w:proofErr w:type="spellEnd"/>
            <w:r w:rsidRPr="008637F3">
              <w:rPr>
                <w:color w:val="000000"/>
                <w:lang w:val="bg-BG"/>
              </w:rPr>
              <w:t xml:space="preserve"> в междуредията на трайните насаждения</w:t>
            </w:r>
            <w:r w:rsidRPr="008637F3">
              <w:rPr>
                <w:strike/>
                <w:color w:val="000000"/>
                <w:lang w:val="bg-BG"/>
              </w:rPr>
              <w:t>.</w:t>
            </w:r>
            <w:r w:rsidR="00042E01" w:rsidRPr="008637F3">
              <w:rPr>
                <w:color w:val="000000"/>
                <w:lang w:val="bg-BG"/>
              </w:rPr>
              <w:t xml:space="preserve"> </w:t>
            </w:r>
            <w:r w:rsidRPr="008637F3">
              <w:rPr>
                <w:color w:val="000000"/>
                <w:lang w:val="bg-BG"/>
              </w:rPr>
              <w:t xml:space="preserve">и/или </w:t>
            </w:r>
            <w:proofErr w:type="spellStart"/>
            <w:r w:rsidRPr="008637F3">
              <w:rPr>
                <w:strike/>
                <w:color w:val="000000"/>
                <w:lang w:val="bg-BG"/>
              </w:rPr>
              <w:t>П</w:t>
            </w:r>
            <w:r w:rsidR="00025807" w:rsidRPr="008637F3">
              <w:rPr>
                <w:color w:val="000000"/>
                <w:lang w:val="bg-BG"/>
              </w:rPr>
              <w:t>п</w:t>
            </w:r>
            <w:r w:rsidRPr="008637F3">
              <w:rPr>
                <w:color w:val="000000"/>
                <w:lang w:val="bg-BG"/>
              </w:rPr>
              <w:t>оддържане</w:t>
            </w:r>
            <w:proofErr w:type="spellEnd"/>
            <w:r w:rsidRPr="008637F3">
              <w:rPr>
                <w:color w:val="000000"/>
                <w:lang w:val="bg-BG"/>
              </w:rPr>
              <w:t xml:space="preserve"> на междуредията с естествена растителност, която се коси извън периода на гнездене на птиците и при необходимост се извършва </w:t>
            </w:r>
            <w:proofErr w:type="spellStart"/>
            <w:r w:rsidRPr="008637F3">
              <w:rPr>
                <w:color w:val="000000"/>
                <w:lang w:val="bg-BG"/>
              </w:rPr>
              <w:t>мулчиране</w:t>
            </w:r>
            <w:proofErr w:type="spellEnd"/>
            <w:r w:rsidRPr="008637F3">
              <w:rPr>
                <w:color w:val="000000"/>
                <w:lang w:val="bg-BG"/>
              </w:rPr>
              <w:t>, не се използват продукти за растителна защита и изкуствени торове върху растителността в междуредията.</w:t>
            </w:r>
          </w:p>
          <w:p w:rsidR="003669A2" w:rsidRPr="008637F3" w:rsidRDefault="003669A2" w:rsidP="003669A2">
            <w:pPr>
              <w:spacing w:before="40" w:after="40"/>
              <w:jc w:val="both"/>
              <w:rPr>
                <w:strike/>
                <w:lang w:val="bg-BG"/>
              </w:rPr>
            </w:pPr>
            <w:r w:rsidRPr="008637F3">
              <w:rPr>
                <w:strike/>
                <w:lang w:val="bg-BG"/>
              </w:rPr>
              <w:t>и/или</w:t>
            </w:r>
          </w:p>
          <w:p w:rsidR="003669A2" w:rsidRPr="008637F3" w:rsidRDefault="003669A2" w:rsidP="003669A2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strike/>
                <w:lang w:val="bg-BG"/>
              </w:rPr>
              <w:t>Поддържане на ивици, заети с естествена растителност по краищата на парцелите с трайни насаждения, върху които не се прилагат продукти за растителна защита (ПРЗ). Размерът на ивиците е с минимална ширина от 1 м. и максимална ширина до 20 м.</w:t>
            </w:r>
          </w:p>
        </w:tc>
      </w:tr>
    </w:tbl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 xml:space="preserve">Определете </w:t>
      </w:r>
      <w:proofErr w:type="spellStart"/>
      <w:r w:rsidRPr="008637F3">
        <w:rPr>
          <w:color w:val="000000"/>
          <w:lang w:val="bg-BG"/>
        </w:rPr>
        <w:t>бенефициерите</w:t>
      </w:r>
      <w:proofErr w:type="spellEnd"/>
      <w:r w:rsidRPr="008637F3">
        <w:rPr>
          <w:color w:val="000000"/>
          <w:lang w:val="bg-BG"/>
        </w:rPr>
        <w:t xml:space="preserve">, отговарящи на критериите, както и специфичните критерии за допустимост, когато е уместно, за </w:t>
      </w:r>
      <w:proofErr w:type="spellStart"/>
      <w:r w:rsidRPr="008637F3">
        <w:rPr>
          <w:color w:val="000000"/>
          <w:lang w:val="bg-BG"/>
        </w:rPr>
        <w:t>бенефициерите</w:t>
      </w:r>
      <w:proofErr w:type="spellEnd"/>
      <w:r w:rsidRPr="008637F3">
        <w:rPr>
          <w:color w:val="000000"/>
          <w:lang w:val="bg-BG"/>
        </w:rPr>
        <w:t xml:space="preserve">, за площта и когато е приложимо, за другите съответни задължения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lang w:val="bg-BG"/>
              </w:rPr>
              <w:t>Земеделски стопани, които отговарят на изискванията за „активни земеделски стопани“.</w:t>
            </w:r>
          </w:p>
          <w:p w:rsidR="003669A2" w:rsidRPr="008637F3" w:rsidRDefault="003669A2" w:rsidP="004F2313">
            <w:pPr>
              <w:spacing w:before="40" w:after="40"/>
              <w:rPr>
                <w:lang w:val="bg-BG"/>
              </w:rPr>
            </w:pPr>
            <w:r w:rsidRPr="008637F3">
              <w:rPr>
                <w:lang w:val="bg-BG"/>
              </w:rPr>
              <w:t>Земеделските площи трябва да отговарят на изискванията за допустимост за директни плащания.</w:t>
            </w:r>
          </w:p>
        </w:tc>
      </w:tr>
    </w:tbl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6" w:name="_Toc256000108"/>
      <w:r w:rsidRPr="008637F3">
        <w:rPr>
          <w:b w:val="0"/>
          <w:i w:val="0"/>
          <w:color w:val="000000"/>
          <w:sz w:val="24"/>
          <w:lang w:val="bg-BG"/>
        </w:rPr>
        <w:t>6 Определяне на уместни базови характеристики</w:t>
      </w:r>
      <w:bookmarkEnd w:id="6"/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 xml:space="preserve"> 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ангажиментът надхвърля задължителните изисквания (както е посочено в член 28, параграф 5, член 70, параграф 3 и член 72, параграф 5)</w:t>
      </w:r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>Списък на приложимите стандарти за ДЗЕС и ЗИУ</w:t>
      </w:r>
    </w:p>
    <w:p w:rsidR="003669A2" w:rsidRPr="008637F3" w:rsidRDefault="003669A2" w:rsidP="003669A2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Описание</w:t>
            </w:r>
          </w:p>
        </w:tc>
      </w:tr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GAEC04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Изграждане на буферни ивици по продължението на водните басейни</w:t>
            </w:r>
          </w:p>
        </w:tc>
      </w:tr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GAEC05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Управление на обработката на почвата с цел намаляване на опасността от деградация и ерозия на почвата, включително предвид ъгъла на наклона</w:t>
            </w:r>
          </w:p>
        </w:tc>
      </w:tr>
      <w:tr w:rsidR="003669A2" w:rsidRPr="008637F3" w:rsidTr="004F2313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GAEC06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Минимално покриване на почвата с цел избягване на голи почви в най-чувствителните периоди</w:t>
            </w:r>
          </w:p>
        </w:tc>
      </w:tr>
    </w:tbl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>Списък на приложимите задължителни национални стандарти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40" w:after="40"/>
              <w:rPr>
                <w:lang w:val="bg-BG"/>
              </w:rPr>
            </w:pPr>
            <w:r w:rsidRPr="008637F3">
              <w:rPr>
                <w:lang w:val="bg-BG"/>
              </w:rPr>
              <w:t>N/a</w:t>
            </w:r>
          </w:p>
        </w:tc>
      </w:tr>
    </w:tbl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 xml:space="preserve">Връзка на стандартите за ДЗЕС, ЗИУ и националните стандарти с </w:t>
      </w:r>
      <w:proofErr w:type="spellStart"/>
      <w:r w:rsidRPr="008637F3">
        <w:rPr>
          <w:color w:val="000000"/>
          <w:lang w:val="bg-BG"/>
        </w:rPr>
        <w:t>екосхемата</w:t>
      </w:r>
      <w:proofErr w:type="spellEnd"/>
      <w:r w:rsidRPr="008637F3">
        <w:rPr>
          <w:color w:val="000000"/>
          <w:lang w:val="bg-BG"/>
        </w:rPr>
        <w:t xml:space="preserve"> (обяснете как </w:t>
      </w:r>
      <w:proofErr w:type="spellStart"/>
      <w:r w:rsidRPr="008637F3">
        <w:rPr>
          <w:color w:val="000000"/>
          <w:lang w:val="bg-BG"/>
        </w:rPr>
        <w:t>екосхемата</w:t>
      </w:r>
      <w:proofErr w:type="spellEnd"/>
      <w:r w:rsidRPr="008637F3">
        <w:rPr>
          <w:color w:val="000000"/>
          <w:lang w:val="bg-BG"/>
        </w:rPr>
        <w:t xml:space="preserve"> надхвърля базовите параметри, особено по отношение на ЗИУ и националните стандарти)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042E01">
            <w:pPr>
              <w:spacing w:before="40" w:after="40"/>
              <w:jc w:val="both"/>
              <w:rPr>
                <w:strike/>
                <w:lang w:val="bg-BG"/>
              </w:rPr>
            </w:pPr>
            <w:r w:rsidRPr="008637F3">
              <w:rPr>
                <w:strike/>
                <w:color w:val="000000"/>
                <w:lang w:val="bg-BG"/>
              </w:rPr>
              <w:lastRenderedPageBreak/>
              <w:t>По принцип целта на еко схемата е да насърчи отделянето на буферни ивици в краищата на всички площи с трайни насаждения независимо дали те са разположени в близост до водни обекти. В общия случай буферните ивици в еко схемата не съвпадат с буферните ивици в ДЗЕС 4 (поради факта, че не са в близост до водни басейни) и са различни териториално като по този начин надграждат общите изисквания. В случай, че трайните насаждения са разположени в близост до водни обекти и подлежат на изискването за ивици по ДЗЕС 4 – площите в еко схемата започват да се броят след отчитането на минималните площи по ДЗЕС 4 и ги надхвърлят териториално.</w:t>
            </w:r>
          </w:p>
          <w:p w:rsidR="003669A2" w:rsidRPr="008637F3" w:rsidRDefault="003669A2" w:rsidP="00042E01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lang w:val="bg-BG"/>
              </w:rPr>
              <w:t xml:space="preserve">Еко схемата надгражда условността (ДЗЕС 5) като изисква поддържането на междуредията на трайните насаждения да бъде с практиката за поддържане на </w:t>
            </w:r>
            <w:proofErr w:type="spellStart"/>
            <w:r w:rsidRPr="008637F3">
              <w:rPr>
                <w:lang w:val="bg-BG"/>
              </w:rPr>
              <w:t>азотфиксиращи</w:t>
            </w:r>
            <w:proofErr w:type="spellEnd"/>
            <w:r w:rsidRPr="008637F3">
              <w:rPr>
                <w:lang w:val="bg-BG"/>
              </w:rPr>
              <w:t xml:space="preserve"> култури или техни смески, което се очаква да има положителен принос върху плодородието на почвата и да намали рисковете от ерозия.</w:t>
            </w:r>
          </w:p>
          <w:p w:rsidR="003669A2" w:rsidRPr="008637F3" w:rsidRDefault="003669A2" w:rsidP="008637F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lang w:val="bg-BG"/>
              </w:rPr>
              <w:t xml:space="preserve">Практиките в еко схемата надграждат ДЗЕС 6 като предвиждат в рамките на междуредията на трайните насаждения да има растителна покривка от </w:t>
            </w:r>
            <w:proofErr w:type="spellStart"/>
            <w:r w:rsidRPr="008637F3">
              <w:rPr>
                <w:lang w:val="bg-BG"/>
              </w:rPr>
              <w:t>азотфиксиращи</w:t>
            </w:r>
            <w:proofErr w:type="spellEnd"/>
            <w:r w:rsidRPr="008637F3">
              <w:rPr>
                <w:lang w:val="bg-BG"/>
              </w:rPr>
              <w:t xml:space="preserve"> култури самостоятелно или в смес с житни или тревни видове. Наличието на такива култури планира основно да намали потребностите от внасяне на изкуствени торове, но в същото време те ще служат и за намаляване и предотвратяване на процесите на ветрова или водна ерозия. Практиката </w:t>
            </w:r>
            <w:r w:rsidR="008637F3" w:rsidRPr="008637F3">
              <w:rPr>
                <w:color w:val="FF0000"/>
                <w:lang w:val="bg-BG"/>
              </w:rPr>
              <w:t>за</w:t>
            </w:r>
            <w:r w:rsidR="008637F3" w:rsidRPr="008637F3">
              <w:rPr>
                <w:lang w:val="bg-BG"/>
              </w:rPr>
              <w:t xml:space="preserve"> </w:t>
            </w:r>
            <w:r w:rsidR="008637F3" w:rsidRPr="008637F3">
              <w:rPr>
                <w:color w:val="FF0000"/>
                <w:lang w:val="bg-BG"/>
              </w:rPr>
              <w:t xml:space="preserve">поддържане на естествената растителност в междуредията на трайните насаждения </w:t>
            </w:r>
            <w:r w:rsidRPr="008637F3">
              <w:rPr>
                <w:strike/>
                <w:lang w:val="bg-BG"/>
              </w:rPr>
              <w:t>приложена в краищата на парцела ще осигури наличието на естествена растителна покривка и ще намали стимулите за обработка на тази площ и също</w:t>
            </w:r>
            <w:r w:rsidRPr="008637F3">
              <w:rPr>
                <w:lang w:val="bg-BG"/>
              </w:rPr>
              <w:t xml:space="preserve"> ще се отрази благоприятно върху</w:t>
            </w:r>
            <w:r w:rsidR="008637F3" w:rsidRPr="008637F3">
              <w:rPr>
                <w:color w:val="FF0000"/>
                <w:lang w:val="bg-BG"/>
              </w:rPr>
              <w:t xml:space="preserve"> намаляване на </w:t>
            </w:r>
            <w:r w:rsidRPr="008637F3">
              <w:rPr>
                <w:lang w:val="bg-BG"/>
              </w:rPr>
              <w:t>рисковете от ерозия</w:t>
            </w:r>
            <w:bookmarkStart w:id="7" w:name="_GoBack"/>
            <w:bookmarkEnd w:id="7"/>
            <w:r w:rsidRPr="008637F3">
              <w:rPr>
                <w:lang w:val="bg-BG"/>
              </w:rPr>
              <w:t>.</w:t>
            </w:r>
          </w:p>
        </w:tc>
      </w:tr>
    </w:tbl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8" w:name="_Toc256000109"/>
      <w:r w:rsidRPr="008637F3">
        <w:rPr>
          <w:b w:val="0"/>
          <w:i w:val="0"/>
          <w:color w:val="000000"/>
          <w:sz w:val="24"/>
          <w:lang w:val="bg-BG"/>
        </w:rPr>
        <w:t>7 Обхват и суми на подпомагането</w:t>
      </w:r>
      <w:bookmarkEnd w:id="8"/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color w:val="000000" w:themeColor="text1"/>
                <w:shd w:val="clear" w:color="auto" w:fill="FFFFFF"/>
                <w:lang w:val="bg-BG"/>
              </w:rPr>
              <w:t>За всички интервенции в еко схемите е определено финансиране от 25% от годишния финансов пакет за директни плащания. Плащането е на хектар допустима земеделска земя, обхваната от задълженията по интервенцията. Ставката е съгласно чл. 31(7)(б) от Регламент (ЕС) 2021/2115.</w:t>
            </w:r>
            <w:r w:rsidRPr="008637F3">
              <w:rPr>
                <w:color w:val="000000" w:themeColor="text1"/>
                <w:lang w:val="bg-BG"/>
              </w:rPr>
              <w:t xml:space="preserve"> Вариация в ставката може да има според нивото на площите, обхванати от задълженията в еко схемите с цел да се постигне пълно оползотворяване на финансовия ресурс, определен за амбициозните екологични цели.</w:t>
            </w:r>
          </w:p>
        </w:tc>
      </w:tr>
    </w:tbl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9" w:name="_Toc256000110"/>
      <w:r w:rsidRPr="008637F3">
        <w:rPr>
          <w:b w:val="0"/>
          <w:i w:val="0"/>
          <w:color w:val="000000"/>
          <w:sz w:val="24"/>
          <w:lang w:val="bg-BG"/>
        </w:rPr>
        <w:t>8 Допълнителни въпроси/информация за вида на интервенцията</w:t>
      </w:r>
      <w:bookmarkEnd w:id="9"/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>Неприложимо</w:t>
      </w:r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</w:p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10" w:name="_Toc256000111"/>
      <w:r w:rsidRPr="008637F3">
        <w:rPr>
          <w:b w:val="0"/>
          <w:i w:val="0"/>
          <w:color w:val="000000"/>
          <w:sz w:val="24"/>
          <w:lang w:val="bg-BG"/>
        </w:rPr>
        <w:t>9 Съответствие с правилата на СТО</w:t>
      </w:r>
      <w:bookmarkEnd w:id="10"/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 xml:space="preserve"> Зелена кутия</w:t>
      </w:r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>Параграф 12 от приложение 2 към Споразумението за СТО</w:t>
      </w:r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color w:val="000000"/>
                <w:lang w:val="bg-BG"/>
              </w:rPr>
              <w:t xml:space="preserve">Плащането е в съответствие с разпоредбата на член 31, параграф 7, първа алинея, буква б) от Регламент (ЕС) 2021/2115, което поставя интервенцията в обхвата на параграф 12 от приложение 2 към Споразумението за селското стопанство на СТО („зелена кутия“). Интервенцията е насочена към подобряване на екологичния статус в трайните насаждения и граничните площи и не въздейства изкривяващо върху производството и търговията. </w:t>
            </w:r>
          </w:p>
        </w:tc>
      </w:tr>
    </w:tbl>
    <w:p w:rsidR="003669A2" w:rsidRPr="008637F3" w:rsidRDefault="003669A2" w:rsidP="003669A2">
      <w:pPr>
        <w:spacing w:before="20" w:after="20"/>
        <w:rPr>
          <w:color w:val="000000"/>
          <w:lang w:val="bg-BG"/>
        </w:rPr>
        <w:sectPr w:rsidR="003669A2" w:rsidRPr="008637F3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11" w:name="_Toc256000112"/>
      <w:r w:rsidRPr="008637F3">
        <w:rPr>
          <w:b w:val="0"/>
          <w:i w:val="0"/>
          <w:color w:val="000000"/>
          <w:sz w:val="24"/>
          <w:lang w:val="bg-BG"/>
        </w:rPr>
        <w:lastRenderedPageBreak/>
        <w:t>11 Планирани единични суми — определение</w:t>
      </w:r>
      <w:bookmarkEnd w:id="11"/>
    </w:p>
    <w:p w:rsidR="003669A2" w:rsidRPr="008637F3" w:rsidRDefault="003669A2" w:rsidP="003669A2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1"/>
        <w:gridCol w:w="3005"/>
        <w:gridCol w:w="921"/>
        <w:gridCol w:w="2429"/>
      </w:tblGrid>
      <w:tr w:rsidR="003669A2" w:rsidRPr="008637F3" w:rsidTr="004F2313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Показател(и) за резултатите</w:t>
            </w:r>
          </w:p>
        </w:tc>
      </w:tr>
      <w:tr w:rsidR="003669A2" w:rsidRPr="008637F3" w:rsidTr="004F2313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 xml:space="preserve">I.B.5_Еко-05_01 - Еко схема 05_Екологични трайни </w:t>
            </w:r>
            <w:proofErr w:type="spellStart"/>
            <w:r w:rsidRPr="008637F3">
              <w:rPr>
                <w:color w:val="000000"/>
                <w:sz w:val="20"/>
                <w:lang w:val="bg-BG"/>
              </w:rPr>
              <w:t>насаждения_Междуредия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R.19</w:t>
            </w:r>
          </w:p>
        </w:tc>
      </w:tr>
      <w:tr w:rsidR="003669A2" w:rsidRPr="008637F3" w:rsidTr="004F2313">
        <w:trPr>
          <w:trHeight w:val="16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 xml:space="preserve">I.B.5_Еко-05_02 - Еко схема 05_Екологични трайни </w:t>
            </w:r>
            <w:proofErr w:type="spellStart"/>
            <w:r w:rsidRPr="008637F3">
              <w:rPr>
                <w:color w:val="000000"/>
                <w:sz w:val="20"/>
                <w:lang w:val="bg-BG"/>
              </w:rPr>
              <w:t>насаждения_Ивици</w:t>
            </w:r>
            <w:proofErr w:type="spellEnd"/>
            <w:r w:rsidRPr="008637F3">
              <w:rPr>
                <w:color w:val="000000"/>
                <w:sz w:val="20"/>
                <w:lang w:val="bg-BG"/>
              </w:rPr>
              <w:t xml:space="preserve"> по краищата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Хомогенен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R.19</w:t>
            </w:r>
          </w:p>
        </w:tc>
      </w:tr>
    </w:tbl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>Разяснение и обосновка (включително гъвкавост)</w:t>
      </w:r>
    </w:p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 xml:space="preserve">I.B.5_Еко-05_01 - Еко схема 05_Екологични трайни </w:t>
      </w:r>
      <w:proofErr w:type="spellStart"/>
      <w:r w:rsidRPr="008637F3">
        <w:rPr>
          <w:color w:val="000000"/>
          <w:lang w:val="bg-BG"/>
        </w:rPr>
        <w:t>насаждения_Междуредия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6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lang w:val="bg-BG"/>
              </w:rPr>
              <w:t>Плащането е на хектар допустима земеделска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</w:p>
        </w:tc>
      </w:tr>
    </w:tbl>
    <w:p w:rsidR="003669A2" w:rsidRPr="008637F3" w:rsidRDefault="003669A2" w:rsidP="003669A2">
      <w:pPr>
        <w:spacing w:before="20" w:after="20"/>
        <w:rPr>
          <w:color w:val="000000"/>
          <w:lang w:val="bg-BG"/>
        </w:rPr>
      </w:pPr>
      <w:r w:rsidRPr="008637F3">
        <w:rPr>
          <w:color w:val="000000"/>
          <w:lang w:val="bg-BG"/>
        </w:rPr>
        <w:t xml:space="preserve">I.B.5_Еко-05_02 - Еко схема 05_Екологични трайни </w:t>
      </w:r>
      <w:proofErr w:type="spellStart"/>
      <w:r w:rsidRPr="008637F3">
        <w:rPr>
          <w:color w:val="000000"/>
          <w:lang w:val="bg-BG"/>
        </w:rPr>
        <w:t>насаждения_Ивици</w:t>
      </w:r>
      <w:proofErr w:type="spellEnd"/>
      <w:r w:rsidRPr="008637F3">
        <w:rPr>
          <w:color w:val="000000"/>
          <w:lang w:val="bg-BG"/>
        </w:rPr>
        <w:t xml:space="preserve"> по краищата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6"/>
      </w:tblGrid>
      <w:tr w:rsidR="003669A2" w:rsidRPr="008637F3" w:rsidTr="004F2313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40" w:after="40"/>
              <w:jc w:val="both"/>
              <w:rPr>
                <w:lang w:val="bg-BG"/>
              </w:rPr>
            </w:pPr>
            <w:r w:rsidRPr="008637F3">
              <w:rPr>
                <w:lang w:val="bg-BG"/>
              </w:rPr>
              <w:t>Плащането е на хектар допустима земеделска земя, обхваната от задълженията по интервенцията. Ставката е съгласно чл. 31(7)(б) от Регламент (ЕС) 2021/2115. Предвидена е опция за вариация съгласно разпоредбата на чл. 102(2) от Регламент (ЕС) 2021/2115, която дава възможност за интервенциите в директните плащания да се определят максимални или минимални планирани единични суми.</w:t>
            </w:r>
          </w:p>
        </w:tc>
      </w:tr>
    </w:tbl>
    <w:p w:rsidR="003669A2" w:rsidRPr="008637F3" w:rsidRDefault="003669A2" w:rsidP="003669A2">
      <w:pPr>
        <w:pStyle w:val="Heading5"/>
        <w:spacing w:before="20" w:after="20"/>
        <w:rPr>
          <w:b w:val="0"/>
          <w:i w:val="0"/>
          <w:color w:val="000000"/>
          <w:sz w:val="24"/>
          <w:lang w:val="bg-BG"/>
        </w:rPr>
      </w:pPr>
      <w:bookmarkStart w:id="12" w:name="_Toc256000113"/>
      <w:r w:rsidRPr="008637F3">
        <w:rPr>
          <w:b w:val="0"/>
          <w:i w:val="0"/>
          <w:color w:val="000000"/>
          <w:sz w:val="24"/>
          <w:lang w:val="bg-BG"/>
        </w:rPr>
        <w:t>12 Планирани единични суми — финансова таблица с крайни продукти</w:t>
      </w:r>
      <w:bookmarkEnd w:id="12"/>
    </w:p>
    <w:p w:rsidR="003669A2" w:rsidRPr="008637F3" w:rsidRDefault="003669A2" w:rsidP="003669A2">
      <w:pPr>
        <w:spacing w:before="20" w:after="20"/>
        <w:rPr>
          <w:color w:val="000000"/>
          <w:sz w:val="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  <w:gridCol w:w="2598"/>
        <w:gridCol w:w="1300"/>
        <w:gridCol w:w="1300"/>
        <w:gridCol w:w="1300"/>
        <w:gridCol w:w="1300"/>
        <w:gridCol w:w="1300"/>
        <w:gridCol w:w="1300"/>
      </w:tblGrid>
      <w:tr w:rsidR="003669A2" w:rsidRPr="008637F3" w:rsidTr="004F2313">
        <w:trPr>
          <w:trHeight w:val="160"/>
          <w:tblHeader/>
        </w:trPr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Финансова година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Общо за периода 2024—2028 г.</w:t>
            </w:r>
          </w:p>
        </w:tc>
      </w:tr>
      <w:tr w:rsidR="003669A2" w:rsidRPr="008637F3" w:rsidTr="004F2313">
        <w:trPr>
          <w:trHeight w:val="160"/>
          <w:tblHeader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Календарна година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2027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>Общо за периода 2023—2027 г.</w:t>
            </w: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 xml:space="preserve">I.B.5_Еко-05_01 - Еко схема 05_Екологични трайни </w:t>
            </w:r>
            <w:proofErr w:type="spellStart"/>
            <w:r w:rsidRPr="008637F3">
              <w:rPr>
                <w:color w:val="000000"/>
                <w:sz w:val="20"/>
                <w:lang w:val="bg-BG"/>
              </w:rPr>
              <w:t>насаждения_Междуредия</w:t>
            </w:r>
            <w:proofErr w:type="spellEnd"/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114,53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168,93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168,93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168,93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168,93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Минимална сума за планираната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91,62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Максимална сума за планираната единична сума (евро)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115,25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168,93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168,93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168,93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168,93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O.8 (единица: Хектари)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60 000,00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19 970,00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19 970,00</w:t>
            </w:r>
          </w:p>
          <w:p w:rsidR="00D112A5" w:rsidRPr="008637F3" w:rsidRDefault="00D112A5" w:rsidP="00025807">
            <w:pPr>
              <w:spacing w:before="20" w:after="20"/>
              <w:jc w:val="right"/>
              <w:rPr>
                <w:color w:val="FF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21</w:t>
            </w:r>
            <w:r w:rsidR="00025807" w:rsidRPr="008637F3">
              <w:rPr>
                <w:color w:val="FF0000"/>
                <w:sz w:val="20"/>
                <w:lang w:val="bg-BG"/>
              </w:rPr>
              <w:t> </w:t>
            </w:r>
            <w:r w:rsidRPr="008637F3">
              <w:rPr>
                <w:color w:val="FF0000"/>
                <w:sz w:val="20"/>
                <w:lang w:val="bg-BG"/>
              </w:rPr>
              <w:t>147,76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19 970,00</w:t>
            </w:r>
          </w:p>
          <w:p w:rsidR="00D112A5" w:rsidRPr="008637F3" w:rsidRDefault="00D112A5" w:rsidP="00025807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21</w:t>
            </w:r>
            <w:r w:rsidR="00025807" w:rsidRPr="008637F3">
              <w:rPr>
                <w:color w:val="FF0000"/>
                <w:sz w:val="20"/>
                <w:lang w:val="bg-BG"/>
              </w:rPr>
              <w:t> </w:t>
            </w:r>
            <w:r w:rsidRPr="008637F3">
              <w:rPr>
                <w:color w:val="FF0000"/>
                <w:sz w:val="20"/>
                <w:lang w:val="bg-BG"/>
              </w:rPr>
              <w:t>147,76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19 970,00</w:t>
            </w:r>
          </w:p>
          <w:p w:rsidR="00D112A5" w:rsidRPr="008637F3" w:rsidRDefault="00D112A5" w:rsidP="00025807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21</w:t>
            </w:r>
            <w:r w:rsidR="00025807" w:rsidRPr="008637F3">
              <w:rPr>
                <w:color w:val="FF0000"/>
                <w:sz w:val="20"/>
                <w:lang w:val="bg-BG"/>
              </w:rPr>
              <w:t> </w:t>
            </w:r>
            <w:r w:rsidRPr="008637F3">
              <w:rPr>
                <w:color w:val="FF0000"/>
                <w:sz w:val="20"/>
                <w:lang w:val="bg-BG"/>
              </w:rPr>
              <w:t>147,76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Планиран краен продукт * Планирана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6 871 800,00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3 373 532,10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3 373 532,10</w:t>
            </w:r>
          </w:p>
          <w:p w:rsidR="006A60BB" w:rsidRPr="008637F3" w:rsidRDefault="006A60BB" w:rsidP="006A60BB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3 572 491,49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3 373 532,10</w:t>
            </w:r>
          </w:p>
          <w:p w:rsidR="006A60BB" w:rsidRPr="008637F3" w:rsidRDefault="006A60BB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3 572 491,49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3 373 532,10</w:t>
            </w:r>
          </w:p>
          <w:p w:rsidR="006A60BB" w:rsidRPr="008637F3" w:rsidRDefault="006A60BB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3 572 491,49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20 365 928,40</w:t>
            </w:r>
          </w:p>
          <w:p w:rsidR="00025807" w:rsidRPr="008637F3" w:rsidRDefault="00025807" w:rsidP="00025807">
            <w:pPr>
              <w:spacing w:before="20" w:after="20"/>
              <w:jc w:val="right"/>
              <w:rPr>
                <w:color w:val="FF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20 962 806,57</w:t>
            </w:r>
          </w:p>
          <w:p w:rsidR="00025807" w:rsidRPr="008637F3" w:rsidRDefault="00025807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 xml:space="preserve">I.B.5_Еко-05_02 - Еко схема 05_Екологични трайни </w:t>
            </w:r>
            <w:proofErr w:type="spellStart"/>
            <w:r w:rsidRPr="008637F3">
              <w:rPr>
                <w:color w:val="000000"/>
                <w:sz w:val="20"/>
                <w:lang w:val="bg-BG"/>
              </w:rPr>
              <w:t>насаждения_Ивици</w:t>
            </w:r>
            <w:proofErr w:type="spellEnd"/>
            <w:r w:rsidRPr="008637F3">
              <w:rPr>
                <w:color w:val="000000"/>
                <w:sz w:val="20"/>
                <w:lang w:val="bg-BG"/>
              </w:rPr>
              <w:t xml:space="preserve"> по краищата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Планирана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61,20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66,32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66,32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66,32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66,32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Минимална сума за планираната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48,96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Максимална сума за планираната единична сума (евро)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66,32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66,32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66,32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66,32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66,32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O.8 (единица: Хектари)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3 000,00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4101E4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 xml:space="preserve">0 </w:t>
            </w:r>
            <w:r w:rsidR="003669A2" w:rsidRPr="008637F3">
              <w:rPr>
                <w:strike/>
                <w:color w:val="000000"/>
                <w:sz w:val="20"/>
                <w:lang w:val="bg-BG"/>
              </w:rPr>
              <w:t>3 000,00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4101E4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 xml:space="preserve">0 </w:t>
            </w:r>
            <w:r w:rsidR="003669A2" w:rsidRPr="008637F3">
              <w:rPr>
                <w:strike/>
                <w:color w:val="000000"/>
                <w:sz w:val="20"/>
                <w:lang w:val="bg-BG"/>
              </w:rPr>
              <w:t>3 000,00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4101E4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 xml:space="preserve">0 </w:t>
            </w:r>
            <w:r w:rsidR="003669A2" w:rsidRPr="008637F3">
              <w:rPr>
                <w:strike/>
                <w:color w:val="000000"/>
                <w:sz w:val="20"/>
                <w:lang w:val="bg-BG"/>
              </w:rPr>
              <w:t>3 000,00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Планиран краен продукт * Планирана единична сума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612 000,00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198 960,00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4101E4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 xml:space="preserve">0 </w:t>
            </w:r>
            <w:r w:rsidR="003669A2" w:rsidRPr="008637F3">
              <w:rPr>
                <w:strike/>
                <w:color w:val="000000"/>
                <w:sz w:val="20"/>
                <w:lang w:val="bg-BG"/>
              </w:rPr>
              <w:t>198 960,00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4101E4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 xml:space="preserve">0 </w:t>
            </w:r>
            <w:r w:rsidR="003669A2" w:rsidRPr="008637F3">
              <w:rPr>
                <w:strike/>
                <w:color w:val="000000"/>
                <w:sz w:val="20"/>
                <w:lang w:val="bg-BG"/>
              </w:rPr>
              <w:t>198 960,00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4101E4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0</w:t>
            </w:r>
            <w:r w:rsidRPr="008637F3">
              <w:rPr>
                <w:color w:val="000000"/>
                <w:sz w:val="20"/>
                <w:lang w:val="bg-BG"/>
              </w:rPr>
              <w:t xml:space="preserve"> </w:t>
            </w:r>
            <w:r w:rsidR="003669A2" w:rsidRPr="008637F3">
              <w:rPr>
                <w:strike/>
                <w:color w:val="000000"/>
                <w:sz w:val="20"/>
                <w:lang w:val="bg-BG"/>
              </w:rPr>
              <w:t>198 960,00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4101E4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810 960</w:t>
            </w:r>
            <w:r w:rsidRPr="008637F3">
              <w:rPr>
                <w:strike/>
                <w:color w:val="FF0000"/>
                <w:sz w:val="20"/>
                <w:lang w:val="bg-BG"/>
              </w:rPr>
              <w:t xml:space="preserve"> </w:t>
            </w:r>
            <w:r w:rsidR="003669A2" w:rsidRPr="008637F3">
              <w:rPr>
                <w:strike/>
                <w:color w:val="000000"/>
                <w:sz w:val="20"/>
                <w:lang w:val="bg-BG"/>
              </w:rPr>
              <w:t>1 407 840,00</w:t>
            </w: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O.8 (единица: Хектари)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70 000,00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22 970,00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22 970,00</w:t>
            </w:r>
          </w:p>
          <w:p w:rsidR="00D112A5" w:rsidRPr="008637F3" w:rsidRDefault="00D112A5" w:rsidP="00025807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21</w:t>
            </w:r>
            <w:r w:rsidR="00025807" w:rsidRPr="008637F3">
              <w:rPr>
                <w:color w:val="FF0000"/>
                <w:sz w:val="20"/>
                <w:lang w:val="bg-BG"/>
              </w:rPr>
              <w:t> </w:t>
            </w:r>
            <w:r w:rsidRPr="008637F3">
              <w:rPr>
                <w:color w:val="FF0000"/>
                <w:sz w:val="20"/>
                <w:lang w:val="bg-BG"/>
              </w:rPr>
              <w:t>147,76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22 970,00</w:t>
            </w:r>
          </w:p>
          <w:p w:rsidR="006A60BB" w:rsidRPr="008637F3" w:rsidRDefault="00025807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21 </w:t>
            </w:r>
            <w:r w:rsidR="006A60BB" w:rsidRPr="008637F3">
              <w:rPr>
                <w:color w:val="FF0000"/>
                <w:sz w:val="20"/>
                <w:lang w:val="bg-BG"/>
              </w:rPr>
              <w:t>147,76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22 970,00</w:t>
            </w:r>
          </w:p>
          <w:p w:rsidR="006A60BB" w:rsidRPr="008637F3" w:rsidRDefault="006A60BB" w:rsidP="00025807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21</w:t>
            </w:r>
            <w:r w:rsidR="00025807" w:rsidRPr="008637F3">
              <w:rPr>
                <w:color w:val="FF0000"/>
                <w:sz w:val="20"/>
                <w:lang w:val="bg-BG"/>
              </w:rPr>
              <w:t> </w:t>
            </w:r>
            <w:r w:rsidRPr="008637F3">
              <w:rPr>
                <w:color w:val="FF0000"/>
                <w:sz w:val="20"/>
                <w:lang w:val="bg-BG"/>
              </w:rPr>
              <w:t>147,76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 xml:space="preserve">Сума: </w:t>
            </w:r>
          </w:p>
          <w:p w:rsidR="004101E4" w:rsidRPr="008637F3" w:rsidRDefault="004101E4" w:rsidP="004101E4">
            <w:pPr>
              <w:spacing w:before="20" w:after="20"/>
              <w:jc w:val="right"/>
              <w:rPr>
                <w:color w:val="FF0000"/>
                <w:sz w:val="20"/>
                <w:lang w:val="bg-BG"/>
              </w:rPr>
            </w:pPr>
            <w:r w:rsidRPr="008637F3">
              <w:rPr>
                <w:color w:val="FF0000"/>
                <w:sz w:val="20"/>
                <w:lang w:val="bg-BG"/>
              </w:rPr>
              <w:t>156 413.28</w:t>
            </w:r>
          </w:p>
          <w:p w:rsidR="003669A2" w:rsidRPr="008637F3" w:rsidRDefault="003669A2" w:rsidP="004F2313">
            <w:pPr>
              <w:spacing w:before="20" w:after="20"/>
              <w:jc w:val="right"/>
              <w:rPr>
                <w:strike/>
                <w:color w:val="000000"/>
                <w:sz w:val="20"/>
                <w:lang w:val="bg-BG"/>
              </w:rPr>
            </w:pPr>
            <w:r w:rsidRPr="008637F3">
              <w:rPr>
                <w:strike/>
                <w:color w:val="000000"/>
                <w:sz w:val="20"/>
                <w:lang w:val="bg-BG"/>
              </w:rPr>
              <w:t>161 880,00</w:t>
            </w:r>
          </w:p>
          <w:p w:rsidR="003669A2" w:rsidRPr="008637F3" w:rsidRDefault="003669A2" w:rsidP="004F2313">
            <w:pPr>
              <w:spacing w:before="20" w:after="20"/>
              <w:rPr>
                <w:b/>
                <w:color w:val="000000"/>
                <w:sz w:val="20"/>
                <w:lang w:val="bg-BG"/>
              </w:rPr>
            </w:pPr>
            <w:r w:rsidRPr="008637F3">
              <w:rPr>
                <w:b/>
                <w:color w:val="000000"/>
                <w:sz w:val="20"/>
                <w:lang w:val="bg-BG"/>
              </w:rPr>
              <w:t xml:space="preserve">Макс.: </w:t>
            </w:r>
          </w:p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70 000,00</w:t>
            </w: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Годишно ориентировъчно разпределение на финансови средства (принос на Съюза в евро)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7 483 800,00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3 572 492,10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3 572 492,10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3 572 492,10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3 572 492,10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21 773 768,40</w:t>
            </w:r>
          </w:p>
        </w:tc>
      </w:tr>
      <w:tr w:rsidR="003669A2" w:rsidRPr="008637F3" w:rsidTr="004F2313">
        <w:trPr>
          <w:trHeight w:val="160"/>
        </w:trPr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rPr>
                <w:color w:val="000000"/>
                <w:sz w:val="20"/>
                <w:lang w:val="bg-BG"/>
              </w:rPr>
            </w:pPr>
            <w:r w:rsidRPr="008637F3">
              <w:rPr>
                <w:color w:val="000000"/>
                <w:sz w:val="20"/>
                <w:lang w:val="bg-BG"/>
              </w:rPr>
              <w:t>От които необходими за достигане на минималното изискване за обособяване на средства (приложение XII) (само съгласно член 30) (принос на Съюза)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69A2" w:rsidRPr="008637F3" w:rsidRDefault="003669A2" w:rsidP="004F2313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</w:p>
        </w:tc>
      </w:tr>
    </w:tbl>
    <w:p w:rsidR="008E349B" w:rsidRPr="008637F3" w:rsidRDefault="008E349B" w:rsidP="003669A2">
      <w:pPr>
        <w:rPr>
          <w:lang w:val="bg-BG"/>
        </w:rPr>
      </w:pPr>
    </w:p>
    <w:sectPr w:rsidR="008E349B" w:rsidRPr="008637F3" w:rsidSect="003669A2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B37"/>
    <w:rsid w:val="00025807"/>
    <w:rsid w:val="00042E01"/>
    <w:rsid w:val="00324B37"/>
    <w:rsid w:val="003669A2"/>
    <w:rsid w:val="004101E4"/>
    <w:rsid w:val="006208F3"/>
    <w:rsid w:val="006A60BB"/>
    <w:rsid w:val="008637F3"/>
    <w:rsid w:val="008E349B"/>
    <w:rsid w:val="008E78B5"/>
    <w:rsid w:val="00D1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53155"/>
  <w15:chartTrackingRefBased/>
  <w15:docId w15:val="{9BDDA326-EFD8-41E4-B472-6DD760C4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669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669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669A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3669A2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Jordanova</dc:creator>
  <cp:keywords/>
  <dc:description/>
  <cp:lastModifiedBy>Kristina Jordanova</cp:lastModifiedBy>
  <cp:revision>3</cp:revision>
  <dcterms:created xsi:type="dcterms:W3CDTF">2024-08-26T13:17:00Z</dcterms:created>
  <dcterms:modified xsi:type="dcterms:W3CDTF">2024-08-26T13:30:00Z</dcterms:modified>
</cp:coreProperties>
</file>