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6FA" w:rsidRDefault="00BE1001" w:rsidP="00BE1001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r w:rsidRPr="00BE1001">
        <w:rPr>
          <w:rFonts w:ascii="Times New Roman" w:hAnsi="Times New Roman" w:cs="Times New Roman"/>
          <w:sz w:val="24"/>
          <w:szCs w:val="24"/>
          <w:lang w:val="bg-BG"/>
        </w:rPr>
        <w:t>ритерии за избор на стратегии за В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одено от общностите местно развитие </w:t>
      </w:r>
      <w:r w:rsidRPr="00BE1001">
        <w:rPr>
          <w:rFonts w:ascii="Times New Roman" w:hAnsi="Times New Roman" w:cs="Times New Roman"/>
          <w:sz w:val="24"/>
          <w:szCs w:val="24"/>
          <w:lang w:val="bg-BG"/>
        </w:rPr>
        <w:t>по интервенция II.Ж.5 - Изпълнението на операции, включително дейности за сътрудничество и тяхната подготовка, избрани в рамките на стратегията за местно развитие</w:t>
      </w:r>
    </w:p>
    <w:tbl>
      <w:tblPr>
        <w:tblW w:w="1073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801"/>
        <w:gridCol w:w="236"/>
        <w:gridCol w:w="909"/>
        <w:gridCol w:w="708"/>
        <w:gridCol w:w="142"/>
        <w:gridCol w:w="851"/>
        <w:gridCol w:w="86"/>
      </w:tblGrid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КРИТЕРИИ ЗА ОЦЕНКА НА СТРАТЕГИИТЕ ЗА ВОМР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 w:eastAsia="en-GB"/>
              </w:rPr>
              <w:t>132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I. КАЧЕСТВО НА ПАРТНЬОРСТВОТО                                             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 w:eastAsia="en-GB"/>
              </w:rPr>
              <w:t>41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1. Обхват на МИГ (сумират се т. 1.1 и 1.2)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1.1. Брой обхванати общини (отчита се една от възможностите)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20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1.1.1. МИГ включва територията на две общини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6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1.1.2. МИГ включва територията на три общини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8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1.1.3. МИГ включва повече от три общини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10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1.2. Брой на обхванатото население (отчита се една от възможностите)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10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От 15 001 до 20 000 жители (включително)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4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1.2.1. От 20 001 до 30 000 жители (включително)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6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1.2.2. От 30 001 до 40 000 жители (включително)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8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1.2.3. Над 40 000 жители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10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2. Представителност на местната общност в Колективния върховен орган на МИГ (сумират се т. 2.1, 2.2 и 2.3)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2.1. Представеност в КВО на идентифицираните в анализа групи заинтересовани лица от територията (отчита се една от възможностите)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12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2.1.1. Представени са от 51% до 75% вкл. от идентифицираните в анализа групи заинтересовани лица от територията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2.1.2. Представени са над 75% от идентифицираните в анализа групи заинтересовани лица от територията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2.2. В колективния върховен орган на МИГ са включени представители на повече от 50% от населените места на територията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4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2.3. Брой членове на КВО на МИГ (отчита се една от възможностите)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6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2.3.1. Броят на членовете на колективния върховен орган включва над 30 лица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4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2.3.2. Броят на членовете на колективния върховен орган включва над 50 лица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6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3. Устойчивост на МИГ (сумират се т. 3.1 и 3.2)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3.1. Реализирана стратегия на територията на кандидата (отчита се една от възможностите)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9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3.1.1. На територията на МИГ е реализирана стратегия за местно развитие в периода 2007 - 2013 г. или е в процес на реализация стратегия за ВОМР в периода 2014 - 2020 г.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38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lastRenderedPageBreak/>
              <w:t xml:space="preserve">3.1.2. На територията на МИГ е реализирана стратегия за </w:t>
            </w:r>
            <w:r w:rsidRPr="00385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местно раз</w:t>
            </w:r>
            <w:r w:rsidR="003855D0" w:rsidRPr="00385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в</w:t>
            </w:r>
            <w:r w:rsidRPr="00385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и</w:t>
            </w:r>
            <w:r w:rsidR="003855D0" w:rsidRPr="00385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тие</w:t>
            </w:r>
            <w:r w:rsidRPr="00385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 за програмен</w:t>
            </w: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 период 2007 - 2013 г. и е в процес на реализация стратегия за ВОМР за програмен период  2014 - 2020 г.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3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3.2. МИГ разширява територията си на действие спрямо програмния период 2014 - 2020 г. (отчита се една от възможностите)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6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3.2.1. С територия с население до 3 000 жители включително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3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3.2.1. С територия с население </w:t>
            </w:r>
            <w:r w:rsidR="00277C9A" w:rsidRPr="00277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от 3 001 до 4 000 жители включително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4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3.2.1. С територия с население </w:t>
            </w:r>
            <w:r w:rsidR="00277C9A" w:rsidRPr="00277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от 4 001 до 5 000 жители включително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5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1D" w:rsidRPr="0064001D" w:rsidRDefault="0064001D" w:rsidP="00277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3.2.1. С територия с население над </w:t>
            </w:r>
            <w:r w:rsidR="00277C9A" w:rsidRPr="00277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5 001 жители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6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 II. КАПАЦИТЕТ НА МИГ ЗА ИЗПЪЛНЕНИЕ НА СТРАТЕГИЯТА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 w:eastAsia="en-GB"/>
              </w:rPr>
              <w:t>25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4. Опит на МИГ (сумират се т. 4.1, 4.2 и 4.3) </w:t>
            </w:r>
          </w:p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*Забележка: </w:t>
            </w:r>
            <w:r w:rsidRPr="0064001D"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  <w:t>Всяка една община, която участва или е участвала в състава на МИГ, изпълняваща стратегия за ЛИДЕР/ВОМР носи опита на цялата местна група</w:t>
            </w:r>
            <w:r w:rsidRPr="0064001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bg-BG" w:eastAsia="en-GB"/>
              </w:rPr>
              <w:t xml:space="preserve"> 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4.1. МИГ има опит в изпълнението на проект за подготвителни дейности по подхода ЛИДЕР/ВОМР или опит в изпълнението на малък пилотен проект в периода 2014 – 2020 г.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7</w:t>
            </w:r>
          </w:p>
        </w:tc>
      </w:tr>
      <w:tr w:rsidR="0064001D" w:rsidRPr="0064001D" w:rsidTr="001C65C6">
        <w:trPr>
          <w:gridAfter w:val="1"/>
          <w:wAfter w:w="86" w:type="dxa"/>
          <w:trHeight w:val="762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4.2. МИГ има опит в изпълнението на проект/проекти за вътрешнотериториално или транснационално сътрудничество </w:t>
            </w:r>
            <w:r w:rsidRPr="0064001D"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  <w:t>или на проект/проекти, финансирани със средства от други европейски фондове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4.3. Опит в изпълнението на стратегия за ЛИДЕР/ВОМР (отчита се една от възможностите)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5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4.3.1. МИГ има опит в изпълнението на еднофондова стратегия за ЛИДЕР/ВОМР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1C65C6">
        <w:trPr>
          <w:gridAfter w:val="1"/>
          <w:wAfter w:w="86" w:type="dxa"/>
          <w:trHeight w:val="832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  <w:t xml:space="preserve">4.3.2. МИГ има опит в изпълнението на многофондова стратегия за ВОМР, финансирана от две програми, с изключение на случаите, в които от стратегията са оттеглени повече от 50% от средствата по някоя от програмите </w:t>
            </w:r>
            <w:bookmarkStart w:id="0" w:name="_GoBack"/>
            <w:bookmarkEnd w:id="0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3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1C65C6">
        <w:trPr>
          <w:gridAfter w:val="1"/>
          <w:wAfter w:w="86" w:type="dxa"/>
          <w:trHeight w:val="830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  <w:t xml:space="preserve">4.3.3. МИГ има опит в изпълнението на многофондова стратегия за ВОМР, финансирана от три програми, с изключение на случаите, в които от стратегията са оттеглени повече от 50% от средствата по някоя от програмите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4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1C65C6">
        <w:trPr>
          <w:gridAfter w:val="1"/>
          <w:wAfter w:w="86" w:type="dxa"/>
          <w:trHeight w:val="842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  <w:t xml:space="preserve">4.3.4. МИГ има опит в изпълнението на многофондова стратегия за ВОМР, финансирана от повече от три програми, с изключение на случаите, в които от стратегията са оттеглени повече от 50% от средствата по някоя от програмите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5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5. Опит на Колективния управителен орган (сумират се т. 5.1 и 5.2) </w:t>
            </w:r>
          </w:p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*Забележка: отчита се само в момента на кандидатстване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5.1. В Колективния управителен орган са включени повече от един членове, участвали в изпълнение на стратегията по ЛИДЕР в периода 2007 – 2013 г.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3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5.2. В Колективния управителен орган са включени повече от един членове, участвали в изпълнение на стратегията за ВОМР в периода 2014 – 2020 г.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6. Опит на Изпълнителния директор на МИГ (сумират се т. 6.1, 6.2 и 6.3)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6.1. Управленски опит (отчита се една от възможностите)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9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6.1.1. Наличие на управленски опит за период от 3 до 5 години включително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6.1.2. Наличие на управленски опит за период над 5 години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6.2. Специфичен опит по ЛИДЕР/ВОМР (отчита се една от възможностите)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4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276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lastRenderedPageBreak/>
              <w:t xml:space="preserve">6.2.1. Наличие на опит като изпълнителен директор на МИГ, изпълнявала стратегия по подхода ЛИДЕР/ВОМР, или като лице, взимало участие в прилагането на подхода ВОМР в УО, участващи в прилагането на подхода, или Разплащателна агенция на ЕЗФРСР до 2 години включително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6.2.2. Наличие на опит като изпълнителен директор на МИГ, изпълнявала стратегия по подхода ЛИДЕР/ВОМР, или като лице, взимало участие в прилагането на подхода ВОМР в УО, участващи в прилагането на подхода, или Разплащателна агенция на ЕЗФРСР от 2 до 5 години включително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3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6.2.3. Наличие на опит като изпълнителен директор на МИГ, изпълнявала стратегия по подхода ЛИДЕР/ВОМР, или като лице, взимало участие в прилагането на подхода ВОМР в УО, участващи в прилагането на подхода, или Разплащателна агенция на ЕЗФРСР над 5 години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4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6.3. Опит в изпълнението на проекти (отчита се една от възможностите)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3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  <w:t>6.3.1. Наличие на опит в изпълнението, наблюдението, контрола или отчитането на проекти по ПРСР/Програми, финансирани от други европейски фондове до 2 години включително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  <w:t>6.3.2. Наличие на опит в изпълнението наблюдението, контрола или отчитането на проекти по ПРСР/Програми, финансирани от други европейски фондове от 2 до 5 години включително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  <w:t xml:space="preserve">6.3.3. Наличие на опит в изпълнението наблюдението, контрола или отчитането на проекти по ПРСР/Програми, финансирани от други европейски фондове над 5 години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3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7. Опит на Експерт по прилагане на СВОМР (отчита се една от възможностите)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  <w:t>7.1. Наличие на опит в изпълнението, наблюдението, контрола или отчитането на проекти по ПРСР/Програми, финансирани от други европейски фондове до 2 години включително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3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  <w:t>7.2. Наличие на опит в изпълнението, наблюдението, контрола или отчитането на проекти по ПРСР/Програми, финансирани от други европейски фондове от 2 до 5 години включително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  <w:t xml:space="preserve">7.3. Наличие на опит в изпълнението, наблюдението, контрола или отчитането на проекти по ПРСР/Програми, финансирани от други европейски фондове над 5 години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3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8. Финансов капацитет на МИГ (отчита се една от възможностите)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8.1. Наличие на осигурен финансов ресурс в размер до 5% от сумата на финансовия ресурс за дейностите, свързани с управление, мониторинг и оценка на стратегията и нейното популяризиране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3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8.2. Наличие на осигурен финансов ресурс в размер над 5% от сумата на финансовия ресурс за дейностите, свързани с управление, мониторинг и оценка на стратегията и нейното популяризиране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3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III. КАЧЕСТВО НА СТРАТЕГИЯТА ЗА ВОМР               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 w:eastAsia="en-GB"/>
              </w:rPr>
              <w:t>66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9. Оценка на качеството на проучванията и анализите (анализи и проучвания на територията и SWOT анализ) (сумират се т. 9.1, 9.2, 9.3 и 9.4)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9.1.       Проучванията съдържат подробна информация относно географския район, природните и климатични дадености, състоянието на инфраструктурата, условията за живот и околната среда, социално-икономическите, културно-историческите и др. характеристики, както и потребностите на населението на територията, обхваната от стратегията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9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9.2.       Проучванията съдържат информация за тенденциите в развитието на територията и потребностите на населението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9.3.       Анализите се базират на информацията, получена от  проучванията и съдържат изводи и препоръки за развитие на територията и потребностите на населението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3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9.4.       SWOT анализът отразява точно силните и слабите страни, възможностите и заплахите на територията съобразно представените проучвания и анализи на територията и потребностите на населението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10. Оценка на участието на местната общност в процеса на разработване и съгласуване на стратегията (сумират се т. 10.1 и 10.2)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10.1. В стратегията е описан ясно процесът на нейното разработване от който става ясно, че са спазени следните основни принципи (сумират се т. 10.1.1, 10.1.2 и 10.1.3)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10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10.1.1. прозрачност на процеса (проведена широка информационна кампания сред населението)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lastRenderedPageBreak/>
              <w:t xml:space="preserve">10.1.2. принцип „отдолу – нагоре“ (в стратегията са включени предложения от местната общност)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  <w:t xml:space="preserve">10.1.3. Хоризонталните принципи съгласно чл. 9 на Регламент (ЕС) 2021/1060  – равенство между половете, утвърждаване на принципа на равните възможности, липса на дискриминация и др.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10.2. В процеса на разработване и съгласуване на стратегията са включени представители на всички групи заинтересовани лица, идентифицирани в проучванията и анализите, в т. ч.  уязвимите групи и млади хора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4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11. Съответствие на избраните цели на стратегията с потенциала за развитие на територията и идентифицираните потребности (сумират се т. 11.1 и 11.2)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11.1. Формулираните цели са ясни и реалистични в периода на изпълнение на стратегията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4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11.2. Съответствие на целите на стратегията с потребностите и потенциала на територията (отчита се една от възможностите)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11.2.1. Налице е съответствие на част от избраните в СВОМР цели с потребностите и потенциала на територията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11.2.2. Налице е съответствие на всички избрани в СВОМР цели с потенциала и потребностите на територията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12. Съответствие на избраните интервенции с целите на стратегията и потребностите и потенциала на територията съгласно SWOT анализа (сумират се т. 12.1, 12.2, 12.3, 12.4 и 12.5)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12.1. Предвидените интервенции водят до постигане на целите на стратегията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19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12.2. Предвидените интервенции са в съответствие с потребностите на територията, определени в анализите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3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12.3. Предвидените интервенции са съобразени със специфичните характеристики и потенциала на територията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5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12.4. С предвидените интервенции по стратегията се подкрепя въвеждането на иновации на територията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3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12.5. С предвидените интервенции по стратегията се подкрепят дейности, свързани с развитието на интелигентни селища на територията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5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13. Съответствие на финансовия план на стратегията с целите и интервенциите спрямо идентифицираните потребности и потенциала на територията (сумират се т. 13.1, 13.2, 13.3 и 13.4)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13.1. Налице е съответствие между финансовия план на стратегията с всички избрани в СВОМР  цели и интервенции, определени на база потребностите и потенциала на територията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8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13.2. В стратегията е представена обосновка за предвидения финансовия ресурс за всяка предвидена интервенция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13.3. Разпределението на средствата във финансовия план ще доведе до постигане на очакваните резултати от изпълнение на интервенциите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 xml:space="preserve">13.4. Разпределението на средствата във финансовия план е в съответствие с индикаторите за мониторинг и оценка на стратегията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14. Оценка на уредбата за управление, мониторинг и оценка на стратегията (сумират се т. 14.1, 14.2 и 14.3)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  <w:t>14.1. С разписаната уредба за управление на стратегията се гарантира, че вземането на решения от органите на МИГ е прозрачно и в съответствие с принципите на подхода ВОМР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8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  <w:t xml:space="preserve">14.2. Описаният в стратегията механизъм за мониторинг и оценка е ясен, логичен и позволява проследяването на изпълнението на всички основни параметри на стратегията – постигане на целите, приоритетите и индикаторите за резултат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  <w:t>14.3. В разписаната уредба за мониторинг, оценка и контрол са предвидени дейности за оценка (отчита се една от възможностите)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sz w:val="20"/>
                <w:szCs w:val="20"/>
                <w:lang w:val="bg-BG" w:eastAsia="en-GB"/>
              </w:rPr>
              <w:t>4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14.3.1. Най-малко два пъти за периода на изпълнение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lastRenderedPageBreak/>
              <w:t>14.3.2. Най-малко три пъти за периода на изпълнение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14.3.3. Веднъж годишно в периода на изпълнение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4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15.  Оценка на изходните индикатори и индикаторите за резултат, включени в стратегията (сумират се т. 15.1, 15.2, 15.3 и 15.4)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15.1. Предложените изходни индикатори са измерими, реалистични и са в съответствие с целите, интервенциите и заложените в стратегията резултати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EFE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8</w:t>
            </w: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15.2. Предложените индикатори за резултат са логически свързани с целите на стратегията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15.3. Предложените индикатори за резултат са в съответствие интервенционната логика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gridAfter w:val="1"/>
          <w:wAfter w:w="86" w:type="dxa"/>
          <w:trHeight w:val="567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15.4. Предложените индикаторите за резултат отразяват очакваните резултати от изпълнението на стратегията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190E54" w:rsidRPr="0064001D" w:rsidTr="0093365E">
        <w:trPr>
          <w:trHeight w:val="315"/>
        </w:trPr>
        <w:tc>
          <w:tcPr>
            <w:tcW w:w="107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E54" w:rsidRPr="0064001D" w:rsidRDefault="00190E54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  <w:r w:rsidRPr="00190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en-GB"/>
              </w:rPr>
              <w:t>Срещу всеки един от описаните критерии е представено съответното количество точки</w:t>
            </w:r>
          </w:p>
        </w:tc>
      </w:tr>
      <w:tr w:rsidR="0064001D" w:rsidRPr="0064001D" w:rsidTr="0064001D">
        <w:trPr>
          <w:trHeight w:val="315"/>
        </w:trPr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en-GB"/>
              </w:rPr>
              <w:t>Минимален праг за качество на стратегия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en-GB"/>
              </w:rPr>
            </w:pP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en-GB"/>
              </w:rPr>
              <w:t>30</w:t>
            </w:r>
            <w:r w:rsidR="009D1F50" w:rsidRPr="00190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en-GB"/>
              </w:rPr>
              <w:t xml:space="preserve"> т.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  <w:tr w:rsidR="0064001D" w:rsidRPr="0064001D" w:rsidTr="0064001D">
        <w:trPr>
          <w:trHeight w:val="315"/>
        </w:trPr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en-GB"/>
              </w:rPr>
              <w:t>Минимален праг за обща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en-GB"/>
              </w:rPr>
            </w:pP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001D" w:rsidRPr="0064001D" w:rsidRDefault="0064001D" w:rsidP="0064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en-GB"/>
              </w:rPr>
            </w:pPr>
            <w:r w:rsidRPr="00640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en-GB"/>
              </w:rPr>
              <w:t>50</w:t>
            </w:r>
            <w:r w:rsidR="009D1F50" w:rsidRPr="00190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en-GB"/>
              </w:rPr>
              <w:t xml:space="preserve"> т.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01D" w:rsidRPr="0064001D" w:rsidRDefault="0064001D" w:rsidP="0064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en-GB"/>
              </w:rPr>
            </w:pPr>
          </w:p>
        </w:tc>
      </w:tr>
    </w:tbl>
    <w:p w:rsidR="00644DB5" w:rsidRPr="00644DB5" w:rsidRDefault="00644DB5" w:rsidP="00BE100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44DB5" w:rsidRPr="00644DB5" w:rsidSect="001606FA">
      <w:pgSz w:w="11906" w:h="16838"/>
      <w:pgMar w:top="851" w:right="424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CD2"/>
    <w:rsid w:val="001606FA"/>
    <w:rsid w:val="00190E54"/>
    <w:rsid w:val="001C65C6"/>
    <w:rsid w:val="00277C9A"/>
    <w:rsid w:val="003855D0"/>
    <w:rsid w:val="003F01C8"/>
    <w:rsid w:val="0045292A"/>
    <w:rsid w:val="00585C02"/>
    <w:rsid w:val="005E6CD2"/>
    <w:rsid w:val="0064001D"/>
    <w:rsid w:val="00644DB5"/>
    <w:rsid w:val="00717CD3"/>
    <w:rsid w:val="00864EC4"/>
    <w:rsid w:val="009D1F50"/>
    <w:rsid w:val="00BE1001"/>
    <w:rsid w:val="00C57711"/>
    <w:rsid w:val="00F6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E469C6-37A4-4E7F-AEB9-E78CD7730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1904</Words>
  <Characters>10855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Spasov</dc:creator>
  <cp:lastModifiedBy>Ralitsa Vasileva</cp:lastModifiedBy>
  <cp:revision>6</cp:revision>
  <dcterms:created xsi:type="dcterms:W3CDTF">2023-06-30T07:23:00Z</dcterms:created>
  <dcterms:modified xsi:type="dcterms:W3CDTF">2023-07-19T13:27:00Z</dcterms:modified>
</cp:coreProperties>
</file>