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830" w:rsidRDefault="00972830" w:rsidP="00972830">
      <w:pPr>
        <w:pStyle w:val="Heading4"/>
      </w:pPr>
      <w:bookmarkStart w:id="0" w:name="_Toc256001370"/>
      <w:r>
        <w:rPr>
          <w:noProof/>
        </w:rPr>
        <w:t>II.Г.6 - Инвестиции в основни услуги и дребни по мащаби инфраструктура в селските райони</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972830"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II.Г.6</w:t>
            </w:r>
          </w:p>
        </w:tc>
      </w:tr>
      <w:tr w:rsidR="00972830"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Инвестиции в основни услуги и дребни по мащаби инфраструктура в селските райони</w:t>
            </w:r>
          </w:p>
        </w:tc>
      </w:tr>
      <w:tr w:rsidR="00972830"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INVEST(73-74) - Инвестиции, включително инвестиции за напояване</w:t>
            </w:r>
          </w:p>
        </w:tc>
      </w:tr>
      <w:tr w:rsidR="00972830"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O.22. Брой на подпомаганите операции или единици за инвестиции в инфраструктури</w:t>
            </w:r>
          </w:p>
        </w:tc>
      </w:tr>
      <w:tr w:rsidR="00972830"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Приемственост между поколенията: Не</w:t>
            </w:r>
          </w:p>
          <w:p w:rsidR="00972830" w:rsidRDefault="00972830" w:rsidP="00234D14">
            <w:pPr>
              <w:rPr>
                <w:color w:val="000000"/>
                <w:sz w:val="20"/>
              </w:rPr>
            </w:pPr>
            <w:r>
              <w:rPr>
                <w:noProof/>
                <w:color w:val="000000"/>
                <w:sz w:val="20"/>
              </w:rPr>
              <w:t>Околна среда: Не</w:t>
            </w:r>
          </w:p>
          <w:p w:rsidR="00972830" w:rsidRDefault="00972830" w:rsidP="00234D14">
            <w:pPr>
              <w:rPr>
                <w:color w:val="000000"/>
                <w:sz w:val="20"/>
              </w:rPr>
            </w:pPr>
            <w:r>
              <w:rPr>
                <w:noProof/>
                <w:color w:val="000000"/>
                <w:sz w:val="20"/>
              </w:rPr>
              <w:t xml:space="preserve">Система за облекчения за екосхеми: </w:t>
            </w:r>
          </w:p>
          <w:p w:rsidR="00972830" w:rsidRDefault="00972830" w:rsidP="00234D14">
            <w:pPr>
              <w:rPr>
                <w:color w:val="000000"/>
                <w:sz w:val="20"/>
              </w:rPr>
            </w:pPr>
            <w:r>
              <w:rPr>
                <w:noProof/>
                <w:color w:val="000000"/>
                <w:sz w:val="20"/>
              </w:rPr>
              <w:t>Подход LEADER: Не</w:t>
            </w:r>
          </w:p>
        </w:tc>
      </w:tr>
    </w:tbl>
    <w:p w:rsidR="00972830" w:rsidRDefault="00972830" w:rsidP="00972830">
      <w:pPr>
        <w:pStyle w:val="Heading5"/>
        <w:rPr>
          <w:b w:val="0"/>
          <w:color w:val="000000"/>
          <w:sz w:val="24"/>
        </w:rPr>
      </w:pPr>
      <w:bookmarkStart w:id="1" w:name="_Toc256001371"/>
      <w:r>
        <w:rPr>
          <w:b w:val="0"/>
          <w:noProof/>
          <w:color w:val="000000"/>
          <w:sz w:val="24"/>
        </w:rPr>
        <w:t>1 Териториално приложение и ако е уместно, регионално измерение</w:t>
      </w:r>
      <w:bookmarkEnd w:id="1"/>
    </w:p>
    <w:p w:rsidR="00972830" w:rsidRDefault="00972830" w:rsidP="00972830">
      <w:pPr>
        <w:rPr>
          <w:color w:val="000000"/>
          <w:sz w:val="0"/>
        </w:rPr>
      </w:pPr>
      <w:r>
        <w:rPr>
          <w:noProof/>
          <w:color w:val="000000"/>
        </w:rPr>
        <w:t xml:space="preserve">Териториално приложение: </w:t>
      </w:r>
      <w:r>
        <w:rPr>
          <w:b/>
          <w:noProof/>
          <w:color w:val="000000"/>
        </w:rPr>
        <w:t>Национално равнище</w:t>
      </w:r>
    </w:p>
    <w:p w:rsidR="00972830" w:rsidRDefault="00972830" w:rsidP="00972830">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972830" w:rsidTr="00234D14">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972830" w:rsidRDefault="00972830" w:rsidP="00234D14">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972830" w:rsidRDefault="00972830" w:rsidP="00234D14">
            <w:pPr>
              <w:rPr>
                <w:color w:val="000000"/>
                <w:sz w:val="20"/>
              </w:rPr>
            </w:pPr>
            <w:r>
              <w:rPr>
                <w:b/>
                <w:noProof/>
                <w:color w:val="000000"/>
                <w:sz w:val="20"/>
              </w:rPr>
              <w:t>Описание</w:t>
            </w:r>
          </w:p>
        </w:tc>
      </w:tr>
      <w:tr w:rsidR="00972830" w:rsidTr="00234D14">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72830" w:rsidRDefault="00972830" w:rsidP="00234D14">
            <w:pPr>
              <w:rPr>
                <w:color w:val="000000"/>
                <w:sz w:val="20"/>
              </w:rPr>
            </w:pPr>
            <w:r>
              <w:rPr>
                <w:noProof/>
                <w:color w:val="000000"/>
                <w:sz w:val="20"/>
              </w:rPr>
              <w:t xml:space="preserve">България </w:t>
            </w:r>
          </w:p>
        </w:tc>
      </w:tr>
    </w:tbl>
    <w:p w:rsidR="00972830" w:rsidRDefault="00972830" w:rsidP="00972830">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Default="00972830" w:rsidP="00234D14">
            <w:pPr>
              <w:spacing w:before="40" w:after="40"/>
            </w:pPr>
            <w:r>
              <w:rPr>
                <w:noProof/>
              </w:rPr>
              <w:t>Интервенцията се прилагане на територията на селските райони на Република България</w:t>
            </w:r>
          </w:p>
        </w:tc>
      </w:tr>
    </w:tbl>
    <w:p w:rsidR="00972830" w:rsidRDefault="00972830" w:rsidP="00972830">
      <w:pPr>
        <w:pStyle w:val="Heading5"/>
        <w:spacing w:before="20" w:after="20"/>
        <w:rPr>
          <w:b w:val="0"/>
          <w:i w:val="0"/>
          <w:color w:val="000000"/>
          <w:sz w:val="24"/>
        </w:rPr>
      </w:pPr>
      <w:bookmarkStart w:id="2" w:name="_Toc256001372"/>
      <w:r>
        <w:rPr>
          <w:b w:val="0"/>
          <w:i w:val="0"/>
          <w:noProof/>
          <w:color w:val="000000"/>
          <w:sz w:val="24"/>
        </w:rPr>
        <w:t>2 Свързани специфични цели, междусекторна цел и уместни секторни цели</w:t>
      </w:r>
      <w:bookmarkEnd w:id="2"/>
    </w:p>
    <w:p w:rsidR="00972830" w:rsidRDefault="00972830" w:rsidP="0097283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972830" w:rsidTr="00234D14">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72830" w:rsidRDefault="00972830" w:rsidP="00234D14">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972830" w:rsidTr="00234D14">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tc>
      </w:tr>
    </w:tbl>
    <w:p w:rsidR="00972830" w:rsidRDefault="00972830" w:rsidP="00972830">
      <w:pPr>
        <w:spacing w:before="20" w:after="20"/>
        <w:rPr>
          <w:color w:val="000000"/>
          <w:sz w:val="0"/>
        </w:rPr>
      </w:pPr>
    </w:p>
    <w:p w:rsidR="00972830" w:rsidRDefault="00972830" w:rsidP="00972830">
      <w:pPr>
        <w:pStyle w:val="Heading5"/>
        <w:spacing w:before="20" w:after="20"/>
        <w:rPr>
          <w:b w:val="0"/>
          <w:i w:val="0"/>
          <w:color w:val="000000"/>
          <w:sz w:val="24"/>
        </w:rPr>
      </w:pPr>
      <w:bookmarkStart w:id="3" w:name="_Toc256001373"/>
      <w:r>
        <w:rPr>
          <w:b w:val="0"/>
          <w:i w:val="0"/>
          <w:noProof/>
          <w:color w:val="000000"/>
          <w:sz w:val="24"/>
        </w:rPr>
        <w:t>3 Потребности, обхванати от интервенцията</w:t>
      </w:r>
      <w:bookmarkEnd w:id="3"/>
    </w:p>
    <w:p w:rsidR="00972830" w:rsidRDefault="00972830" w:rsidP="0097283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972830"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72830" w:rsidRDefault="00972830" w:rsidP="00234D14">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72830" w:rsidRDefault="00972830" w:rsidP="00234D14">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72830" w:rsidRDefault="00972830" w:rsidP="00234D14">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72830" w:rsidRDefault="00972830" w:rsidP="00234D14">
            <w:pPr>
              <w:spacing w:before="20" w:after="20"/>
              <w:rPr>
                <w:color w:val="000000"/>
                <w:sz w:val="20"/>
              </w:rPr>
            </w:pPr>
            <w:r>
              <w:rPr>
                <w:b/>
                <w:noProof/>
                <w:color w:val="000000"/>
                <w:sz w:val="20"/>
              </w:rPr>
              <w:t>Разгледана в стратегически план по ОСП</w:t>
            </w:r>
          </w:p>
        </w:tc>
      </w:tr>
      <w:tr w:rsidR="00972830"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П.8.3.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Подобряване на публична инфраструктурата и технико-комуникационните системи в селските райони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Да</w:t>
            </w:r>
          </w:p>
        </w:tc>
      </w:tr>
      <w:tr w:rsidR="00972830"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П.8.4.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 xml:space="preserve">Подобряване на обектите за развитие на традициите и на културно-историческите обекти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Да</w:t>
            </w:r>
          </w:p>
        </w:tc>
      </w:tr>
      <w:tr w:rsidR="00972830"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П.8.5.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 xml:space="preserve">Подобряване на състоянието на образователната инфраструктура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Да</w:t>
            </w:r>
          </w:p>
        </w:tc>
      </w:tr>
    </w:tbl>
    <w:p w:rsidR="00972830" w:rsidRDefault="00972830" w:rsidP="00972830">
      <w:pPr>
        <w:pStyle w:val="Heading5"/>
        <w:spacing w:before="20" w:after="20"/>
        <w:rPr>
          <w:b w:val="0"/>
          <w:i w:val="0"/>
          <w:color w:val="000000"/>
          <w:sz w:val="24"/>
        </w:rPr>
      </w:pPr>
      <w:bookmarkStart w:id="4" w:name="_Toc256001374"/>
      <w:r>
        <w:rPr>
          <w:b w:val="0"/>
          <w:i w:val="0"/>
          <w:noProof/>
          <w:color w:val="000000"/>
          <w:sz w:val="24"/>
        </w:rPr>
        <w:t>4 Показател(и) за резултатите</w:t>
      </w:r>
      <w:bookmarkEnd w:id="4"/>
    </w:p>
    <w:p w:rsidR="00972830" w:rsidRDefault="00972830" w:rsidP="0097283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972830"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72830" w:rsidRDefault="00972830" w:rsidP="00234D14">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972830" w:rsidTr="00234D14">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72830" w:rsidRDefault="00972830" w:rsidP="00234D14">
            <w:pPr>
              <w:spacing w:before="20" w:after="20"/>
              <w:rPr>
                <w:color w:val="000000"/>
                <w:sz w:val="20"/>
              </w:rPr>
            </w:pPr>
            <w:r>
              <w:rPr>
                <w:noProof/>
                <w:color w:val="000000"/>
                <w:sz w:val="20"/>
              </w:rPr>
              <w:t>R.41 Дял на населението в селските райони, ползващо се от подобрен достъп до услуги и инфраструктура чрез подпомагане по ОСП</w:t>
            </w:r>
          </w:p>
        </w:tc>
      </w:tr>
    </w:tbl>
    <w:p w:rsidR="00972830" w:rsidRDefault="00972830" w:rsidP="00972830">
      <w:pPr>
        <w:pStyle w:val="Heading5"/>
        <w:spacing w:before="20" w:after="20"/>
        <w:rPr>
          <w:b w:val="0"/>
          <w:i w:val="0"/>
          <w:color w:val="000000"/>
          <w:sz w:val="24"/>
        </w:rPr>
      </w:pPr>
      <w:bookmarkStart w:id="5" w:name="_Toc256001375"/>
      <w:r>
        <w:rPr>
          <w:b w:val="0"/>
          <w:i w:val="0"/>
          <w:noProof/>
          <w:color w:val="000000"/>
          <w:sz w:val="24"/>
        </w:rPr>
        <w:t>5 Конкретен план, изисквания и условия за допустимост на интервенцията</w:t>
      </w:r>
      <w:bookmarkEnd w:id="5"/>
    </w:p>
    <w:p w:rsidR="00972830" w:rsidRDefault="00972830" w:rsidP="00972830">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Pr="00700B3B" w:rsidRDefault="00972830" w:rsidP="00234D14">
            <w:pPr>
              <w:spacing w:before="40" w:after="40"/>
              <w:jc w:val="both"/>
            </w:pPr>
            <w:r w:rsidRPr="00700B3B">
              <w:rPr>
                <w:noProof/>
                <w:color w:val="000000"/>
              </w:rPr>
              <w:t xml:space="preserve">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w:t>
            </w:r>
            <w:r w:rsidRPr="00700B3B">
              <w:rPr>
                <w:noProof/>
                <w:color w:val="000000"/>
              </w:rPr>
              <w:lastRenderedPageBreak/>
              <w:t>райони. Недостигът на средства за инвестиции за обновяване на съществуващата инфраструктура и недотам доброто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страната. Освен това е основна пречка за създаването на равни възможности в социално-икономическото развитие на селските райони. Тези фактори допринасят до влошаване на качеството на живот в селските райони и застрашават способността им да задържат населението и да привличат инвестиции, което ги поставя в социално-икономически спад.</w:t>
            </w:r>
          </w:p>
          <w:p w:rsidR="00972830" w:rsidRPr="00700B3B" w:rsidRDefault="00972830" w:rsidP="00234D14">
            <w:pPr>
              <w:spacing w:before="40" w:after="40"/>
              <w:jc w:val="both"/>
            </w:pPr>
            <w:r w:rsidRPr="00700B3B">
              <w:rPr>
                <w:noProof/>
                <w:color w:val="000000"/>
              </w:rPr>
              <w:t>Населените места в селските райони в страната ще станат по-привлекателни за бизнеса и за живеене чрез поддържането и стимулирането на тяхното икономическо, социално и културно развитие, чрез изграждането на липсваща или рехабилитация на съществуващата техническа инфраструктура, транспортни и комуникационни връзки.</w:t>
            </w:r>
          </w:p>
          <w:p w:rsidR="00972830" w:rsidRPr="00700B3B" w:rsidRDefault="00972830" w:rsidP="00234D14">
            <w:pPr>
              <w:spacing w:before="40" w:after="40"/>
              <w:jc w:val="both"/>
            </w:pPr>
            <w:r w:rsidRPr="00700B3B">
              <w:rPr>
                <w:noProof/>
                <w:color w:val="000000"/>
              </w:rPr>
              <w:t>Създаването и обновяването на публичната и техническата инфраструктура е основата за създаване на оптимална жизнена среда в селските райони, създаването на достъпност и развитие на икономиката. Текущия анализ на ситуация в България показва необходимостта от развитието на техническа и социална инфраструктура в селските райони. Въпреки че през програмните периоди на прилагане на Програмата за развитие на селските райони - 2007 - 2013 г. и 2014 – 2020 г., създаването и обновяването на публичната и техническата инфраструктура (пътища, водоснабдяване, канализация, улици с прилежащата им инфраструктура, паркове, градини, спортна, общинска, социална инфраструктура и др.) в селските райони беше подпомагано чрез финансиране от ЕЗФРСР, тя е все още в незадоволително или в лошо състояние, което възпрепятства социално-икономическото развитие на селските райони, в това число:</w:t>
            </w:r>
          </w:p>
          <w:p w:rsidR="00972830" w:rsidRPr="00700B3B" w:rsidRDefault="00972830" w:rsidP="00234D14">
            <w:pPr>
              <w:spacing w:before="40" w:after="40"/>
              <w:jc w:val="both"/>
            </w:pPr>
            <w:r w:rsidRPr="00700B3B">
              <w:rPr>
                <w:noProof/>
                <w:color w:val="000000"/>
              </w:rPr>
              <w:t xml:space="preserve">•       Състоянието на голяма част от водопроводната мрежа в селските райони, все още е в много лошо състояние. Водопроводите в страната са изградени основно от етернитови тръби, които представляват - 64,2% от довеждащите и 70% от разпределителните водопроводи. Същите са много остарели и респективно силно амортизирани, което води до много чести аварии и течове на вода. Важно е да се отбележи, че това е и една от основните причини за големите загуби на вода. Едва 8,9% от водопроводната мрежа е изградена от по-надежни полиетиленови тръби, които осигуряват качество на питейната вода. По данни на НСИ, водоснабдителната мрежа е с обща дължина от 75 000 км., като в сравнителен анализ на ВиК сектора в република България за 2018 г., от КЕВР посочват като обща дължина на рехабилитираната водопроводна мрежа 453 км., което представлява едва 0,65 % от цялата мрежа. В малките населени места, предимно села, е нарушено водоснабдяването, което поставя населението в чести режими на водата - общо 1 181 населени места са с нарушено водоснабдяване. </w:t>
            </w:r>
          </w:p>
          <w:p w:rsidR="00972830" w:rsidRPr="00700B3B" w:rsidRDefault="00972830" w:rsidP="00234D14">
            <w:pPr>
              <w:spacing w:before="40" w:after="40"/>
              <w:jc w:val="both"/>
            </w:pPr>
            <w:r w:rsidRPr="00700B3B">
              <w:rPr>
                <w:noProof/>
                <w:color w:val="000000"/>
              </w:rPr>
              <w:t>Лошото състояние на тръбната инфраструктура също така води и до влошаване на качеството на водата, което крие сериозен здравен риск за местното население. Повредите по водопроводните тръби и нарушената им херметичност, води до пропускане на вещества с неясен произход в питейната вода, което пряко рефлектира върху консумацията и. Населените места, в които е налице отклонение на качеството на водата са 353 бр.</w:t>
            </w:r>
          </w:p>
          <w:p w:rsidR="00972830" w:rsidRPr="00700B3B" w:rsidRDefault="00972830" w:rsidP="00234D14">
            <w:pPr>
              <w:spacing w:before="40" w:after="40"/>
              <w:jc w:val="both"/>
            </w:pPr>
            <w:r w:rsidRPr="00700B3B">
              <w:rPr>
                <w:noProof/>
                <w:color w:val="000000"/>
              </w:rPr>
              <w:t xml:space="preserve">В населените места в селските райони с цел намаляване на авариите е необходимо остарелите и компрометираните тръби да бъдат подменени с полиетиленови такива, които са по-надеждни по отношение на качеството на водата. Бъдещите инвестиции следва да се насочат към ремонт и подмяна на остарели тръби, с което значително ще бъдат намалени авариите, загубите на вода, разходите за експлоатация и поддръжка на водопроводната система и ще се подобри надеждността на водоснабдителната мрежа. </w:t>
            </w:r>
          </w:p>
          <w:p w:rsidR="00972830" w:rsidRPr="00700B3B" w:rsidRDefault="00972830" w:rsidP="00234D14">
            <w:pPr>
              <w:spacing w:before="40" w:after="40"/>
              <w:jc w:val="both"/>
            </w:pPr>
            <w:r w:rsidRPr="00700B3B">
              <w:rPr>
                <w:noProof/>
                <w:color w:val="000000"/>
              </w:rPr>
              <w:t xml:space="preserve">•          Канализационна мрежа в голяма част от населените места с до 2 000 е.ж. не е изградена, а в други е в лошо състояние. Подобряването на канализационната мрежа в селските райони попада в агломерациите, които са в обхвата на регионалните инвестиционни планове. В плановете, на основата на подробни данни, измервания, са посочени водоснабдителните мрежи, тяхното състояние, което ще е определящо за интервенции в конкретни агломерации, в които попадат и територии на селските райони. Дейностите, свързани с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 трябва да се основават на предварително картиране на нуждите на национално и регионално ниво, изготвено от държавните институции и агенции, отговорни за тези политики, и надлежно отразени и включени в интегрираните </w:t>
            </w:r>
            <w:r w:rsidRPr="00700B3B">
              <w:rPr>
                <w:noProof/>
                <w:color w:val="000000"/>
              </w:rPr>
              <w:lastRenderedPageBreak/>
              <w:t>териториални стратегии за развитие от регионите от ниво NUTS 2.</w:t>
            </w:r>
          </w:p>
          <w:p w:rsidR="00972830" w:rsidRPr="00700B3B" w:rsidRDefault="00972830" w:rsidP="00234D14">
            <w:pPr>
              <w:spacing w:before="40" w:after="40"/>
              <w:jc w:val="both"/>
            </w:pPr>
            <w:r w:rsidRPr="00700B3B">
              <w:rPr>
                <w:noProof/>
                <w:color w:val="000000"/>
              </w:rPr>
              <w:t xml:space="preserve">•          Транспортната свързаност е в основата за развитието на икономиката, както и за създаването на оптимална жизнена среда в селските райони. Текущата ситуация в страната все още показва необходимост от подобряване на транспортната свързаност и достъпност както между населените места на териториите на селските райони, така и между селата и градовете. Въпреки, че през програмните периоди 2007 - 2013 г. и 2014 – 2020 г. обновяването на публичната и техническата инфраструктура (вкл. пътища, улици и прилежащата им инфраструктура) в селските райони беше финансирано от ЕЗФРСР, много голяма част от транспортнатаинфраструктура е все още в незадоволително състояние и забавя социално-икономическото развитие на селските райони. Влошената транспортна достъпност на средно отдалечени и по-отдалечени/периферни населени места от градските райони, оказва негативно влияние на икономиката и в частност на бизнеса във всичките му сфери (туризъм, производство, промишленост, услуги, занаяти и др.). </w:t>
            </w:r>
          </w:p>
          <w:p w:rsidR="00972830" w:rsidRPr="00700B3B" w:rsidRDefault="00972830" w:rsidP="00234D14">
            <w:pPr>
              <w:spacing w:before="40" w:after="40"/>
              <w:jc w:val="both"/>
            </w:pPr>
            <w:r w:rsidRPr="00700B3B">
              <w:rPr>
                <w:noProof/>
                <w:color w:val="000000"/>
              </w:rPr>
              <w:t>Общата дължина на пътната мрежа в селските райони е 15 256.36 км., като покриването на нуждите за обновяване на цялата пътна инфраструктура, значително надвишава определените бюджети по програмата. Състоянието на тази пътна инфраструктура по данни към края на 2019 г. е както следва:</w:t>
            </w:r>
          </w:p>
          <w:p w:rsidR="00972830" w:rsidRPr="00700B3B" w:rsidRDefault="00972830" w:rsidP="00234D14">
            <w:pPr>
              <w:spacing w:before="40" w:after="40"/>
              <w:jc w:val="both"/>
            </w:pPr>
            <w:r w:rsidRPr="00700B3B">
              <w:rPr>
                <w:noProof/>
                <w:color w:val="000000"/>
              </w:rPr>
              <w:t>-          Отлично – 5%;</w:t>
            </w:r>
          </w:p>
          <w:p w:rsidR="00972830" w:rsidRPr="00700B3B" w:rsidRDefault="00972830" w:rsidP="00234D14">
            <w:pPr>
              <w:spacing w:before="40" w:after="40"/>
              <w:jc w:val="both"/>
            </w:pPr>
            <w:r w:rsidRPr="00700B3B">
              <w:rPr>
                <w:noProof/>
                <w:color w:val="000000"/>
              </w:rPr>
              <w:t>-          Добро – 20 %;</w:t>
            </w:r>
          </w:p>
          <w:p w:rsidR="00972830" w:rsidRPr="00700B3B" w:rsidRDefault="00972830" w:rsidP="00234D14">
            <w:pPr>
              <w:spacing w:before="40" w:after="40"/>
              <w:jc w:val="both"/>
            </w:pPr>
            <w:r w:rsidRPr="00700B3B">
              <w:rPr>
                <w:noProof/>
                <w:color w:val="000000"/>
              </w:rPr>
              <w:t>-          Задоволително 25%;</w:t>
            </w:r>
          </w:p>
          <w:p w:rsidR="00972830" w:rsidRPr="00700B3B" w:rsidRDefault="00972830" w:rsidP="00234D14">
            <w:pPr>
              <w:spacing w:before="40" w:after="40"/>
              <w:jc w:val="both"/>
            </w:pPr>
            <w:r w:rsidRPr="00700B3B">
              <w:rPr>
                <w:noProof/>
                <w:color w:val="000000"/>
              </w:rPr>
              <w:t>-          Незадоволително – 21 %;</w:t>
            </w:r>
          </w:p>
          <w:p w:rsidR="00972830" w:rsidRPr="00700B3B" w:rsidRDefault="00972830" w:rsidP="00234D14">
            <w:pPr>
              <w:spacing w:before="40" w:after="40"/>
              <w:jc w:val="both"/>
            </w:pPr>
            <w:r w:rsidRPr="00700B3B">
              <w:rPr>
                <w:noProof/>
                <w:color w:val="000000"/>
              </w:rPr>
              <w:t>-          Лошо – 29 %.</w:t>
            </w:r>
          </w:p>
          <w:p w:rsidR="00972830" w:rsidRPr="00700B3B" w:rsidRDefault="00972830" w:rsidP="00234D14">
            <w:pPr>
              <w:spacing w:before="40" w:after="40"/>
              <w:jc w:val="both"/>
            </w:pPr>
            <w:r w:rsidRPr="00700B3B">
              <w:rPr>
                <w:noProof/>
                <w:color w:val="000000"/>
              </w:rPr>
              <w:t>*По данни на Агенция Пътна Инфраструктура (АПИ) и постъпила информация от сдружението на общините в България и са актуални за края на 2019 година.</w:t>
            </w:r>
          </w:p>
          <w:p w:rsidR="00972830" w:rsidRPr="00700B3B" w:rsidRDefault="00972830" w:rsidP="00234D14">
            <w:pPr>
              <w:spacing w:before="40" w:after="40"/>
              <w:jc w:val="both"/>
            </w:pPr>
            <w:r w:rsidRPr="00700B3B">
              <w:rPr>
                <w:noProof/>
                <w:color w:val="000000"/>
              </w:rPr>
              <w:t>Анализът показва, че пътната мрежа в селските райони е относително добре развита. Извършените до сега инвестициите в пътна инфраструктура са подобрили свързаността в общините, но все още има пътища в лошо състояние, които се нуждаят от цялостен или частичен ремонт.</w:t>
            </w:r>
          </w:p>
          <w:p w:rsidR="00972830" w:rsidRPr="00700B3B" w:rsidRDefault="00972830" w:rsidP="00234D14">
            <w:pPr>
              <w:spacing w:before="40" w:after="40"/>
              <w:jc w:val="both"/>
            </w:pPr>
            <w:r w:rsidRPr="00700B3B">
              <w:rPr>
                <w:noProof/>
                <w:color w:val="000000"/>
              </w:rPr>
              <w:t>Въпреки, че уличната мрежа се разпростира на ниво населено място, тя е неделима част от общата транспортна свързаност и играе важна роля както за създаването на оптимална жизнена среда в селските райони, така и при свързаността на жилищни и промишлени зони с пътната артерия.</w:t>
            </w:r>
          </w:p>
          <w:p w:rsidR="00972830" w:rsidRPr="00700B3B" w:rsidRDefault="00972830" w:rsidP="00234D14">
            <w:pPr>
              <w:spacing w:before="40" w:after="40"/>
              <w:jc w:val="both"/>
            </w:pPr>
            <w:r w:rsidRPr="00700B3B">
              <w:rPr>
                <w:noProof/>
                <w:color w:val="000000"/>
              </w:rPr>
              <w:t>Чрез интервенцията се цели подобрение на пътната и уличната инфраструктура в селските райони, което от своя страна би довело до подобрение на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rsidR="00972830" w:rsidRPr="00700B3B" w:rsidRDefault="00972830" w:rsidP="00234D14">
            <w:pPr>
              <w:spacing w:before="40" w:after="40"/>
              <w:jc w:val="both"/>
            </w:pPr>
            <w:r w:rsidRPr="00700B3B">
              <w:rPr>
                <w:noProof/>
                <w:color w:val="000000"/>
              </w:rPr>
              <w:t xml:space="preserve">•          Политиката за устойчиво развитие на страната има за цел да повиши енергийната ефективност, чрез използване на система от дейности и мерки за повишаването ѝ при производството, преноса и разпределението, както и при крайното потребление на енергия. Разработването на Национална дългосрочна програма за насърчаване на инвестиции за изпълнение на мерки за подобряване на енергийните характеристики на сградите от обществения и частния национален жилищен и търговски сграден фонд е регламентирано в Закона за енергийната ефективност и съответно разработен в Национален план за действие по енергийна ефективност. Националният план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w:t>
            </w:r>
          </w:p>
          <w:p w:rsidR="00972830" w:rsidRPr="00700B3B" w:rsidRDefault="00972830" w:rsidP="00234D14">
            <w:pPr>
              <w:spacing w:before="40" w:after="40"/>
              <w:jc w:val="both"/>
            </w:pPr>
            <w:r w:rsidRPr="00700B3B">
              <w:rPr>
                <w:noProof/>
                <w:color w:val="000000"/>
              </w:rPr>
              <w:t>В Закона за енергията от възобновяеми източници (ЗЕВИ) е транспонирано европейското законодателство, свързано с насърчаване използването на енергия от възобновяеми източници и са уредени обществените отношения, свързани с производството и потреблението на електрическа енергия, топлинна енергия и енергия за охлаждане от възобновяеми източници; газ от възобновяеми източници; биогорива и енергия от възобновяеми източници в транспорта. Въвеждането на чисти и възобновяеми енергийни източници за собствени нужди, които да заместят старите способи за потребление на енергия и да направят тези сгради до голяма степен енергийно независими, ще спомогнат за намаляване на екологичния отпечатък от дейността.</w:t>
            </w:r>
          </w:p>
          <w:p w:rsidR="00972830" w:rsidRPr="00700B3B" w:rsidRDefault="00972830" w:rsidP="00234D14">
            <w:pPr>
              <w:spacing w:before="40" w:after="40"/>
              <w:jc w:val="both"/>
            </w:pPr>
            <w:r w:rsidRPr="00700B3B">
              <w:rPr>
                <w:noProof/>
                <w:color w:val="000000"/>
              </w:rPr>
              <w:t xml:space="preserve">През периода на ПРСР 2014-2020 г. в изпълнение на националния план и политики в сферата на </w:t>
            </w:r>
            <w:r w:rsidRPr="00700B3B">
              <w:rPr>
                <w:noProof/>
                <w:color w:val="000000"/>
              </w:rPr>
              <w:lastRenderedPageBreak/>
              <w:t xml:space="preserve">енергийната ефективност, беше предоставено финансиране за реконструкция, ремонт, оборудване и обзавеждане на общински сгради, в които се предоставят обществени услуги. Определеният бюджет беше насочен към 39 от общо 232 общини на територията на селските райони в страната. </w:t>
            </w:r>
          </w:p>
          <w:p w:rsidR="00972830" w:rsidRPr="00700B3B" w:rsidRDefault="00972830" w:rsidP="00234D14">
            <w:pPr>
              <w:spacing w:before="40" w:after="40"/>
              <w:jc w:val="both"/>
            </w:pPr>
            <w:r w:rsidRPr="00700B3B">
              <w:rPr>
                <w:noProof/>
                <w:color w:val="000000"/>
              </w:rPr>
              <w:t xml:space="preserve">Мерките с цел подобряване на енергийната ефективност на общински сгради, в които се предоставят обществени услуги, ще продължат да се прилагат за всички общини, които не отговарят на минималните изисквания за енергийна ефективност на сгради за обществено обслужване съгласно националното законодателство. </w:t>
            </w:r>
          </w:p>
          <w:p w:rsidR="00972830" w:rsidRPr="00700B3B" w:rsidRDefault="00972830" w:rsidP="00234D14">
            <w:pPr>
              <w:spacing w:before="40" w:after="40"/>
              <w:jc w:val="both"/>
            </w:pPr>
            <w:r w:rsidRPr="00700B3B">
              <w:rPr>
                <w:noProof/>
                <w:color w:val="000000"/>
              </w:rPr>
              <w:t xml:space="preserve">•          Човешкият капитал се отъждествява с качествата на хората и в голяма степен зависи от нивото на образование. В съвременните динамични условия човешкият капитал е съществен за въвеждането на технологични иновации и за развитието на икономиката. В страната образователното равнище на населението значително се подобрява през годините, следвайки ясно изразена тенденция на увеличаване на броя и дела на населението с висше и средно образование и същевременно намаляване на броя на лицата с основно и по-ниско образование. </w:t>
            </w:r>
          </w:p>
          <w:p w:rsidR="00972830" w:rsidRPr="00700B3B" w:rsidRDefault="00972830" w:rsidP="00234D14">
            <w:pPr>
              <w:spacing w:before="40" w:after="40"/>
              <w:jc w:val="both"/>
            </w:pPr>
            <w:r w:rsidRPr="00700B3B">
              <w:rPr>
                <w:noProof/>
                <w:color w:val="000000"/>
              </w:rPr>
              <w:t xml:space="preserve">Степента на завършено образование е необходимо условие за осигуряване за заетост на жителите, за получаване на по-високи доходи, за постигане на по-добро качество и стандарт на живота на населението, а в териториален аспект и за намаляване на риска от бедност и социална изолация. </w:t>
            </w:r>
          </w:p>
          <w:p w:rsidR="00972830" w:rsidRPr="00700B3B" w:rsidRDefault="00972830" w:rsidP="00234D14">
            <w:pPr>
              <w:spacing w:before="40" w:after="40"/>
              <w:jc w:val="both"/>
            </w:pPr>
            <w:r w:rsidRPr="00700B3B">
              <w:rPr>
                <w:noProof/>
                <w:color w:val="000000"/>
              </w:rPr>
              <w:t xml:space="preserve">Между селските и градските райони отново се очертава диспропорция по отношение на образователното равнище. Необходимо е да се обърне внимание на населението в предучилищна и училищна възраст в селските райони като условие за постигането на баланс в образованието. </w:t>
            </w:r>
          </w:p>
          <w:p w:rsidR="00972830" w:rsidRPr="00700B3B" w:rsidRDefault="00972830" w:rsidP="00234D14">
            <w:pPr>
              <w:spacing w:before="40" w:after="40"/>
              <w:jc w:val="both"/>
            </w:pPr>
            <w:r w:rsidRPr="00700B3B">
              <w:rPr>
                <w:noProof/>
                <w:color w:val="000000"/>
              </w:rPr>
              <w:t>Затова отново като идентифицирана нужда в селските райони излиза необходимостта от инвестиции в общинска образователна инфраструктура (детски градини и училища). Отново инвестициите ще бъдат насочени към общинска образователна инфраструктура и общински професионални гимназии по земеделие, горско стопанство и дървообработване. Новите технологии и оборудване изискват подготвени специалисти за работа с тях и затова е необходими организирането на обучение и квалификация в областта на селското и горско стопанство. Възможност е и стимулирането на сътрудничество между фермери и образователни структури за насърчаване на включването на ученици и студенти и натрупване на практически опит.</w:t>
            </w:r>
          </w:p>
          <w:p w:rsidR="00972830" w:rsidRPr="00700B3B" w:rsidRDefault="00972830" w:rsidP="00234D14">
            <w:pPr>
              <w:spacing w:before="40" w:after="40"/>
              <w:jc w:val="both"/>
            </w:pPr>
            <w:r w:rsidRPr="00700B3B">
              <w:rPr>
                <w:noProof/>
                <w:color w:val="000000"/>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972830" w:rsidRPr="00700B3B" w:rsidRDefault="00972830" w:rsidP="00234D14">
            <w:pPr>
              <w:spacing w:before="40" w:after="40"/>
              <w:jc w:val="both"/>
            </w:pPr>
            <w:r w:rsidRPr="00700B3B">
              <w:rPr>
                <w:noProof/>
                <w:color w:val="000000"/>
              </w:rPr>
              <w:t>•          Недостига на инвестиции за създаване или обновяване на съществуваща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Подобряването и облагородяване на публичните пространства чрез: изграждане или обновяване на паркове, градинки, улично озеленяване, детски площадки и спортни съоръжения, са от съществено значение и осигуряват добра социална среда в селските общини в страната. Включването на комплекс от мерки, респективно и мерки по облагородяване на публични пространства за малките населени места, ще е предпоставка за развитие на селските райони и способността им да задържат населението и да привличат инвестиции в тези райони.</w:t>
            </w:r>
          </w:p>
          <w:p w:rsidR="00972830" w:rsidRPr="00700B3B" w:rsidRDefault="00972830" w:rsidP="00234D14">
            <w:pPr>
              <w:spacing w:before="40" w:after="40"/>
              <w:jc w:val="both"/>
            </w:pPr>
            <w:r w:rsidRPr="00700B3B">
              <w:rPr>
                <w:noProof/>
                <w:color w:val="000000"/>
              </w:rPr>
              <w:t>Мерките с цел създаване или обновяване на публични пространства чрез: изграждане, реконструкция, ремонт, оборудване и/или обзавеждане на спортна инфраструктура и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ще продължат да се прилагат за селските общини в страната.</w:t>
            </w:r>
          </w:p>
          <w:p w:rsidR="00972830" w:rsidRPr="00700B3B" w:rsidRDefault="00972830" w:rsidP="00234D14">
            <w:pPr>
              <w:spacing w:before="40" w:after="40"/>
              <w:jc w:val="both"/>
            </w:pPr>
            <w:r w:rsidRPr="00700B3B">
              <w:rPr>
                <w:noProof/>
                <w:color w:val="000000"/>
              </w:rPr>
              <w:t xml:space="preserve">•          Културата и духовното развитие в селските райони са фактор за подобряване качеството на живота, намаляване на миграцията на младите хора, за опазване на културното наследство и традиции. България е страна с богато културно, историческо и духовно наследство. В населените места средища на култура и духовност са библиотеките, читалищата и музеите. В по-големите градове – областните центрове предлагат повече възможности за културни развлечени като театри, кина и др. Характерно за културата в България е нейното многообразие, проявяващо се в </w:t>
            </w:r>
            <w:r w:rsidRPr="00700B3B">
              <w:rPr>
                <w:noProof/>
                <w:color w:val="000000"/>
              </w:rPr>
              <w:lastRenderedPageBreak/>
              <w:t>недвижимите и движимите културни ценности и продукти на творчески индустрии. Народните читалище, най-вече в селските райони все още поддържат културния облик и традиции, характерни както за страната, така и специфични за съответните територии.</w:t>
            </w:r>
          </w:p>
          <w:p w:rsidR="00972830" w:rsidRPr="00700B3B" w:rsidRDefault="00972830" w:rsidP="00234D14">
            <w:pPr>
              <w:spacing w:before="40" w:after="40"/>
              <w:jc w:val="both"/>
            </w:pPr>
            <w:r w:rsidRPr="00700B3B">
              <w:rPr>
                <w:noProof/>
                <w:color w:val="000000"/>
              </w:rPr>
              <w:t>Чрез подкрепата за развитието на обекти, свързани с културния живот ще се реализира в максимална степен местния икономически потенциал на селските райони, в които поради липса на производствени дейности или други стабилни източници на доход и заетост, са с по-ниски темпове на развитие, като в същото време ще доведе и до опазване и популяризира културното и историческото наследство и ще има благоприятно устойчиво въздействие по отношение на опазване на околната среда.</w:t>
            </w:r>
          </w:p>
          <w:p w:rsidR="00972830" w:rsidRPr="00700B3B" w:rsidRDefault="00972830" w:rsidP="00234D14">
            <w:pPr>
              <w:spacing w:before="40" w:after="40"/>
              <w:jc w:val="both"/>
            </w:pPr>
            <w:r w:rsidRPr="00700B3B">
              <w:rPr>
                <w:noProof/>
                <w:color w:val="000000"/>
              </w:rPr>
              <w:t>С оглед ефективното насочване на средства за инвестиции в публична инфраструктура, могат да бъдат определяни максимални размери на допустимите разходи за едно проектно предложение в зависимост от вида на подпомаганите дейности в обхвата на настоящата интервенция.</w:t>
            </w:r>
          </w:p>
          <w:p w:rsidR="00972830" w:rsidRPr="00700B3B" w:rsidRDefault="00972830" w:rsidP="00234D14">
            <w:pPr>
              <w:spacing w:before="40" w:after="40"/>
              <w:jc w:val="both"/>
            </w:pPr>
            <w:r w:rsidRPr="00700B3B">
              <w:rPr>
                <w:noProof/>
                <w:color w:val="000000"/>
              </w:rPr>
              <w:t xml:space="preserve">Определените максимални стойности на допустимите разходи ще са в диапазона от левовата равностойност на 50 000 Евро до левовата равностойност на 3 000 000 Евро споредвида и мащаба на подпомаганите дейности. Определянето на максимално допустимите разходи за едно проектно предложение, ще се базира както от размера и мащаба на подпомаганата дейност в обхвата на интервенцията, така и от натрупания опит от прилагането на предходните програмни периода за подобни и/или аналогични дейности. </w:t>
            </w:r>
          </w:p>
          <w:p w:rsidR="00972830" w:rsidRPr="00700B3B" w:rsidRDefault="00972830" w:rsidP="00234D14">
            <w:pPr>
              <w:spacing w:before="40" w:after="40"/>
              <w:jc w:val="both"/>
            </w:pPr>
            <w:r w:rsidRPr="00700B3B">
              <w:rPr>
                <w:noProof/>
                <w:color w:val="000000"/>
              </w:rPr>
              <w:t xml:space="preserve">Анализът за прилагането на инвестиции за публичния сектор през предходните програмни периоди, показа че наред с множеството ползи за социално икономическото развитие на селските райони, настоящия подход за прилагане на мерките за инвестиции в основни услуги за населението има и някои недостатъци. Настоящия подход поставяше отделни общински територии пред конкурентен подбор за достъп до финансови средства. Конкурентния подбор се извършваше по единен пакет от критерии за оценка, като в същото време всяка общинска територия има специфични нужди и приоритети за финансиране, които трудно се вписват в определените унифицирани критерии, прилагани за всички общини на територията на селските райони. </w:t>
            </w:r>
          </w:p>
          <w:p w:rsidR="00972830" w:rsidRPr="00700B3B" w:rsidRDefault="00972830" w:rsidP="00234D14">
            <w:pPr>
              <w:spacing w:before="40" w:after="40"/>
              <w:jc w:val="both"/>
            </w:pPr>
            <w:r w:rsidRPr="00700B3B">
              <w:rPr>
                <w:noProof/>
                <w:color w:val="000000"/>
              </w:rPr>
              <w:t>В следствие на това, насочването на средства в интервенции в селските райони е отдалечено от местните нужди за развитие и не винаги успява да насочи финансови средства към специфичните/приоритетни за всяка територия нужди.</w:t>
            </w:r>
          </w:p>
          <w:p w:rsidR="00972830" w:rsidRPr="00700B3B" w:rsidRDefault="00972830" w:rsidP="00234D14">
            <w:pPr>
              <w:spacing w:before="40" w:after="40"/>
              <w:jc w:val="both"/>
            </w:pPr>
            <w:r w:rsidRPr="00700B3B">
              <w:rPr>
                <w:noProof/>
                <w:color w:val="000000"/>
              </w:rPr>
              <w:t>С оглед на отразяване на този научен урок от прилагането, и съгласно разпоредбата на чл. 79, параграф 1, предложение трето от Регламент (ЕС) 2021/2115, УО ще прилага подход за насочване на инвестиции в малки по мащаби инфраструктура, който се състои в предварително определяне на разполагаем бюджет за съответната общинска територия съобразно обективни и недискриминационни критерии.</w:t>
            </w:r>
          </w:p>
          <w:p w:rsidR="00972830" w:rsidRPr="00700B3B" w:rsidRDefault="00972830" w:rsidP="00234D14">
            <w:pPr>
              <w:spacing w:before="40" w:after="40"/>
              <w:jc w:val="both"/>
            </w:pPr>
            <w:r w:rsidRPr="00700B3B">
              <w:rPr>
                <w:noProof/>
                <w:color w:val="000000"/>
              </w:rPr>
              <w:t xml:space="preserve">Този подход ще позволи подготовка и финансиране на проектни предложения, които отговарят на специфичните нужди на местно ниво. Без да противопоставят една нуждаеща се от развитие общинска територия спрямо друга такава. Това ще позволи насочването </w:t>
            </w:r>
          </w:p>
          <w:p w:rsidR="00972830" w:rsidRPr="00700B3B" w:rsidRDefault="00972830" w:rsidP="00234D14">
            <w:pPr>
              <w:spacing w:before="40" w:after="40"/>
              <w:jc w:val="both"/>
            </w:pPr>
            <w:r w:rsidRPr="00700B3B">
              <w:rPr>
                <w:noProof/>
                <w:color w:val="000000"/>
              </w:rPr>
              <w:t>на средства към проектни предложения за съответната територия, които най-пълно отговарят на специфичната цел на ОСП за насърчаване на заетостта, растежа, социалното приобщаване и местното развитие в селските райони.</w:t>
            </w:r>
          </w:p>
          <w:p w:rsidR="00972830" w:rsidRPr="00700B3B" w:rsidRDefault="00972830" w:rsidP="00234D14">
            <w:pPr>
              <w:spacing w:before="40" w:after="40"/>
              <w:jc w:val="both"/>
            </w:pPr>
            <w:r w:rsidRPr="00700B3B">
              <w:rPr>
                <w:noProof/>
                <w:color w:val="000000"/>
              </w:rPr>
              <w:t>При определяне на разполагаемите средства, които да бъдат насочвани към всяка общинска територия, ще бъдат прилагани следните принципи на подбор за насочване на средства:</w:t>
            </w:r>
          </w:p>
          <w:p w:rsidR="00972830" w:rsidRPr="00700B3B" w:rsidRDefault="00972830" w:rsidP="00234D14">
            <w:pPr>
              <w:spacing w:before="40" w:after="40"/>
              <w:jc w:val="both"/>
            </w:pPr>
            <w:r w:rsidRPr="00700B3B">
              <w:rPr>
                <w:noProof/>
                <w:color w:val="000000"/>
              </w:rPr>
              <w:t>•          Брой жители, които населяват територията на съответната община, и които ще се възползват от допустимите дейности;</w:t>
            </w:r>
          </w:p>
          <w:p w:rsidR="00972830" w:rsidRPr="00700B3B" w:rsidRDefault="00972830" w:rsidP="00234D14">
            <w:pPr>
              <w:spacing w:before="40" w:after="40"/>
              <w:jc w:val="both"/>
            </w:pPr>
            <w:r w:rsidRPr="00700B3B">
              <w:rPr>
                <w:noProof/>
                <w:color w:val="000000"/>
              </w:rPr>
              <w:t>•          Равнище на безработица в страната по общини;</w:t>
            </w:r>
          </w:p>
          <w:p w:rsidR="00972830" w:rsidRPr="00700B3B" w:rsidRDefault="00972830" w:rsidP="00234D14">
            <w:pPr>
              <w:spacing w:before="40" w:after="40"/>
              <w:jc w:val="both"/>
            </w:pPr>
            <w:r w:rsidRPr="00700B3B">
              <w:rPr>
                <w:noProof/>
                <w:color w:val="000000"/>
              </w:rPr>
              <w:t>•          Ниво на бедност;</w:t>
            </w:r>
          </w:p>
          <w:p w:rsidR="00972830" w:rsidRPr="00700B3B" w:rsidRDefault="00972830" w:rsidP="00234D14">
            <w:pPr>
              <w:spacing w:before="40" w:after="40"/>
              <w:jc w:val="both"/>
            </w:pPr>
            <w:r w:rsidRPr="00700B3B">
              <w:rPr>
                <w:noProof/>
                <w:color w:val="000000"/>
              </w:rPr>
              <w:t>•          Дял на населението в работоспособна възраст.</w:t>
            </w:r>
          </w:p>
          <w:p w:rsidR="00972830" w:rsidRPr="00700B3B" w:rsidRDefault="00972830" w:rsidP="00234D14">
            <w:pPr>
              <w:spacing w:before="40" w:after="40"/>
              <w:jc w:val="both"/>
            </w:pPr>
            <w:r w:rsidRPr="00700B3B">
              <w:rPr>
                <w:noProof/>
                <w:color w:val="000000"/>
              </w:rPr>
              <w:t>Управляващият орган ще разработи въз основа на принципите за подбор „Методика за определяна на гарантирани бюджети за общините в обхвата на дефиницията за селски райони“, след консултации с мониторинговият комитет съгласно разпоредбата на чл. 79, параграф 1, предложение трето от Регламент (ЕС) 2021/2115.</w:t>
            </w:r>
          </w:p>
          <w:p w:rsidR="00972830" w:rsidRPr="00700B3B" w:rsidRDefault="00972830" w:rsidP="00234D14">
            <w:pPr>
              <w:spacing w:before="40" w:after="40"/>
              <w:jc w:val="both"/>
            </w:pPr>
          </w:p>
          <w:p w:rsidR="00972830" w:rsidRPr="00700B3B" w:rsidRDefault="00972830" w:rsidP="00234D14">
            <w:pPr>
              <w:spacing w:before="40" w:after="40"/>
              <w:jc w:val="both"/>
            </w:pPr>
            <w:r w:rsidRPr="00700B3B">
              <w:rPr>
                <w:noProof/>
                <w:color w:val="000000"/>
              </w:rPr>
              <w:lastRenderedPageBreak/>
              <w:t>С насочването на средства към всяка общинска територия чрез посочените принципи на подбор, ще се цели отключване на икономическия потенциал на съответната територия, подобрена свързаност на откъснати селски територии и създаване на по-благоприятни условия за живот и работа, които в резултат, да допринесат за смекчаване на обезлюдяването на селските райони.</w:t>
            </w:r>
          </w:p>
          <w:p w:rsidR="00972830" w:rsidRPr="00700B3B" w:rsidRDefault="00972830" w:rsidP="00234D14">
            <w:pPr>
              <w:spacing w:before="40" w:after="40"/>
              <w:jc w:val="both"/>
            </w:pPr>
          </w:p>
          <w:p w:rsidR="00972830" w:rsidRPr="00700B3B" w:rsidRDefault="00972830" w:rsidP="00234D14">
            <w:pPr>
              <w:spacing w:before="40" w:after="40"/>
              <w:jc w:val="both"/>
            </w:pPr>
            <w:r w:rsidRPr="00700B3B">
              <w:rPr>
                <w:b/>
                <w:bCs/>
                <w:noProof/>
                <w:color w:val="000000"/>
              </w:rPr>
              <w:t>Условия за допустимост:</w:t>
            </w:r>
          </w:p>
          <w:p w:rsidR="00972830" w:rsidRPr="00700B3B" w:rsidRDefault="00972830" w:rsidP="00234D14">
            <w:pPr>
              <w:spacing w:before="40" w:after="40"/>
              <w:jc w:val="both"/>
            </w:pPr>
            <w:r w:rsidRPr="00700B3B">
              <w:rPr>
                <w:noProof/>
                <w:color w:val="000000"/>
              </w:rPr>
              <w:t>Допустими за подпомагане са общини на територията на селските райони в страната; Дейностите трябва да се изпълняват на територията на селските райони на Република България; да отговарят на дефиницията за дребна по мащаби инфраструктура; предвидените по тях дейности да се изпълняват в съответствие с плана за интегрирано развитие на съответната община, а ако съществува стратегия за местно развитие да са съгласувани и с нея; да нямат отрицателно въздействие върху околната среда по ЗOOС; да отговарят на изискванията на заповедите за определянето на местата по Натура 2000 и плановете за тяхното управление, а когато няма издадени заповеди дейността да е съгласувана с МОСВ, ЗЗТ, ЗБР и съответните им подзаконови нормативни актове за тяхното прилагане; да се изпълняват съгласно с препоръките от извършените оценки, както и условията и мерките в съответния административен акт на компетентния орган съгласно ЗООС, ЗЗТ и ЗБР и съответните им подзаконови нормативни актове за тяхното прилагане (когато е приложимо); ако дейностите се извършват на терени, които подлежат на рекултивация съгласно чл. 11 ал 1 от ЗОЗЗ да се представи проект за рекултивация на нарушени терени или залесяване на териториите с подходящи растителни видове, когато националното законодателство изисква да се приложат тези мерки;</w:t>
            </w:r>
          </w:p>
          <w:p w:rsidR="00972830" w:rsidRPr="00700B3B" w:rsidRDefault="00972830" w:rsidP="00234D14">
            <w:pPr>
              <w:spacing w:before="40" w:after="40"/>
              <w:jc w:val="both"/>
            </w:pPr>
            <w:r w:rsidRPr="00700B3B">
              <w:rPr>
                <w:noProof/>
                <w:color w:val="000000"/>
              </w:rPr>
              <w:t>Не се подпомагат определени дейности, попадащи в обхвата на ОПРР. Дейности за строителство, реконструкция и/или рехабилитация на нови и съществуващи общински пътища, улици, тротоари и съоръжения, и принадлежностите към тях са допустими, ако са изградени или реконструирани ВиК системите или не се предвижда да се изграждат или реконструират ВиК системи за период от седем години от датата на кандидатстване. Дейностите за реконструкция и/или рехабилитация на съществуващи общински пътища, и съоръженията, и принадлежностите към тях са допустими за подпомагане ако са от указаните общински пътища в Решение № 236/13.04.2007 г. на МС за утвърждаване списък на общинските пътища.</w:t>
            </w:r>
          </w:p>
          <w:p w:rsidR="00972830" w:rsidRPr="00700B3B" w:rsidRDefault="00972830" w:rsidP="00234D14">
            <w:pPr>
              <w:spacing w:before="40" w:after="40"/>
              <w:jc w:val="both"/>
            </w:pPr>
            <w:r w:rsidRPr="00700B3B">
              <w:rPr>
                <w:noProof/>
                <w:color w:val="000000"/>
              </w:rPr>
              <w:t>Дейностите за изграждане, реконструкция и/или рехабилитация на водоснабдителни системи и съоръжения (ВСС) в агломерации с под 2 000 е.ж. в селските райони и дейности за доизграждане, без ново строителство на канализационни мрежи (КМ) в агломерации с под 2 000 е.ж. в селските райони са допустими ако съответстват на Плановете за управление на речните басейни. Дейностите за изграждане и/или реконструкция на ВСС са допустими само на територията на общини с консолидирани ВиК оператори. Проектни предложения и инвестиционния проект, подадени от общини и включващи дейности за изграждане и/или реконструкция на ВСС следва да са съгласувани със съответния консолидиран ВиК оператор. Общините трябва да включват ВиК оператор във всеки важен етап от строителството. ВиК оператора ще извършва мониторинг на проектите, по които бенефициент са общините.</w:t>
            </w:r>
          </w:p>
          <w:p w:rsidR="00972830" w:rsidRPr="00700B3B" w:rsidRDefault="00972830" w:rsidP="00234D14">
            <w:pPr>
              <w:spacing w:before="40" w:after="40"/>
            </w:pPr>
            <w:r w:rsidRPr="00700B3B">
              <w:rPr>
                <w:noProof/>
                <w:color w:val="000000"/>
              </w:rPr>
              <w:t>Дейностите за доизграждане без ново строителство на КМ (в т.ч. и съоръжения за пречистване на отпадъчни води) в агломерации с под 2 000 е.ж. в селските райони са допустими след като бъдат определени конкретните нужди в регионалните ПИП и ако е налице висока степен на изграденост на КМ (между 90% и 100%) и/или отпадъчните води се заустват във водно тяло, определено за питейно-битово водоснабдяване или санитарно-охранителна зона или е осигурено пречистване на отпадъчните води; имат необходимите разрешителни по ЗВ и/или за ползване на водния обект за заустване на отпадъчните води и се постигат целите, поставени в разрешението за заустване. Дейностите за доизграждане на КМ са допустими ако е предвидено след доизграждането и тя да бъде свързана към съществуващата КМ.</w:t>
            </w:r>
          </w:p>
          <w:p w:rsidR="00972830" w:rsidRPr="00700B3B" w:rsidRDefault="00972830" w:rsidP="00234D14">
            <w:pPr>
              <w:spacing w:before="40" w:after="40"/>
            </w:pPr>
          </w:p>
          <w:p w:rsidR="00972830" w:rsidRPr="00700B3B" w:rsidRDefault="00972830" w:rsidP="00234D14">
            <w:pPr>
              <w:spacing w:before="40" w:after="40"/>
            </w:pPr>
            <w:r w:rsidRPr="00700B3B">
              <w:rPr>
                <w:b/>
                <w:bCs/>
                <w:noProof/>
              </w:rPr>
              <w:t>Принципи при определяне на критериите за подбор:</w:t>
            </w:r>
          </w:p>
          <w:p w:rsidR="00972830" w:rsidRPr="00700B3B" w:rsidRDefault="00972830" w:rsidP="00234D14">
            <w:pPr>
              <w:spacing w:before="40" w:after="40"/>
            </w:pPr>
            <w:r w:rsidRPr="00700B3B">
              <w:rPr>
                <w:b/>
                <w:bCs/>
                <w:noProof/>
              </w:rPr>
              <w:t>За отпускането на тази помощ ще се използват принципи за подбор на операции, сред които (неизчерпателен списък):</w:t>
            </w:r>
          </w:p>
          <w:p w:rsidR="00972830" w:rsidRPr="00700B3B" w:rsidRDefault="00972830" w:rsidP="00234D14">
            <w:pPr>
              <w:spacing w:before="40" w:after="40"/>
            </w:pPr>
          </w:p>
          <w:p w:rsidR="00972830" w:rsidRPr="00700B3B" w:rsidRDefault="00972830" w:rsidP="00234D14">
            <w:pPr>
              <w:spacing w:before="40" w:after="40"/>
            </w:pPr>
            <w:r w:rsidRPr="00700B3B">
              <w:rPr>
                <w:noProof/>
              </w:rPr>
              <w:lastRenderedPageBreak/>
              <w:t>• Брой население, което ще се възползва от допустимите дейности;</w:t>
            </w:r>
          </w:p>
          <w:p w:rsidR="00972830" w:rsidRPr="00700B3B" w:rsidRDefault="00972830" w:rsidP="00234D14">
            <w:pPr>
              <w:spacing w:before="40" w:after="40"/>
            </w:pPr>
            <w:r w:rsidRPr="00700B3B">
              <w:rPr>
                <w:noProof/>
              </w:rPr>
              <w:t>•  Брой населени места, обхванати от инвестицията;</w:t>
            </w:r>
          </w:p>
          <w:p w:rsidR="00972830" w:rsidRPr="00700B3B" w:rsidRDefault="00972830" w:rsidP="00234D14">
            <w:pPr>
              <w:spacing w:before="40" w:after="40"/>
            </w:pPr>
            <w:r w:rsidRPr="00700B3B">
              <w:rPr>
                <w:noProof/>
              </w:rPr>
              <w:t>• Допълняемост на инвестициите, водещи до по-голяма завършеност на инфраструктурата;</w:t>
            </w:r>
          </w:p>
          <w:p w:rsidR="00972830" w:rsidRPr="00700B3B" w:rsidRDefault="00972830" w:rsidP="00234D14">
            <w:pPr>
              <w:spacing w:before="40" w:after="40"/>
            </w:pPr>
            <w:r w:rsidRPr="00700B3B">
              <w:rPr>
                <w:noProof/>
              </w:rPr>
              <w:t>• Проекти с включени инвестиции за достъпна среда.</w:t>
            </w:r>
          </w:p>
          <w:p w:rsidR="00972830" w:rsidRPr="00700B3B" w:rsidRDefault="00972830" w:rsidP="00700B3B">
            <w:pPr>
              <w:shd w:val="clear" w:color="auto" w:fill="FFFFFF" w:themeFill="background1"/>
              <w:spacing w:before="40" w:after="40"/>
            </w:pPr>
            <w:r w:rsidRPr="00700B3B">
              <w:rPr>
                <w:noProof/>
              </w:rPr>
              <w:t xml:space="preserve">• </w:t>
            </w:r>
            <w:r w:rsidRPr="00700B3B">
              <w:rPr>
                <w:strike/>
                <w:noProof/>
              </w:rPr>
              <w:t>Степен на приоритетност на проекта, съгласно плана за развитие на съответната община, в низходящ ред</w:t>
            </w:r>
            <w:r w:rsidR="00700B3B" w:rsidRPr="00700B3B">
              <w:rPr>
                <w:noProof/>
                <w:lang w:val="bg-BG"/>
              </w:rPr>
              <w:t xml:space="preserve"> </w:t>
            </w:r>
            <w:r w:rsidR="00F21761" w:rsidRPr="00700B3B">
              <w:rPr>
                <w:noProof/>
                <w:color w:val="FF0000"/>
                <w:lang w:val="bg-BG"/>
              </w:rPr>
              <w:t>Съответствие на проекта и неговата цел с целите/приоритетите заложени в плана за развитие на съответната община</w:t>
            </w:r>
            <w:r w:rsidRPr="00700B3B">
              <w:rPr>
                <w:noProof/>
              </w:rPr>
              <w:t>.</w:t>
            </w:r>
          </w:p>
          <w:p w:rsidR="00972830" w:rsidRDefault="00972830" w:rsidP="00234D14">
            <w:pPr>
              <w:spacing w:before="40" w:after="40"/>
            </w:pPr>
            <w:r w:rsidRPr="00700B3B">
              <w:rPr>
                <w:noProof/>
              </w:rPr>
              <w:t>Финансова подкрепа ще получават само проектни предложения, които при оценката получават минимален брой точки съгласно решение на КН въз основа на принципите за подбор.</w:t>
            </w:r>
          </w:p>
        </w:tc>
      </w:tr>
    </w:tbl>
    <w:p w:rsidR="00972830" w:rsidRDefault="00972830" w:rsidP="00972830">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Default="00972830" w:rsidP="00234D14">
            <w:pPr>
              <w:spacing w:before="40" w:after="40"/>
              <w:jc w:val="both"/>
            </w:pPr>
            <w:r>
              <w:rPr>
                <w:noProof/>
                <w:color w:val="000000"/>
              </w:rPr>
              <w:t>По настоящата интервенция допустими кандидати са само общини от селските райони на Република България, съгласно приетата дефиниция.</w:t>
            </w:r>
          </w:p>
          <w:p w:rsidR="00972830" w:rsidRDefault="00972830" w:rsidP="00234D14">
            <w:pPr>
              <w:spacing w:before="40" w:after="40"/>
            </w:pPr>
            <w:r>
              <w:rPr>
                <w:noProof/>
                <w:color w:val="000000"/>
              </w:rPr>
              <w:t>Допустими за подпомагане са инвестиции в основни услуги за населението свързани със създаването, подобряването или разширяването на малка по мащаби инфраструктура.</w:t>
            </w:r>
          </w:p>
        </w:tc>
      </w:tr>
    </w:tbl>
    <w:p w:rsidR="00972830" w:rsidRDefault="00972830" w:rsidP="00972830">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Default="00972830" w:rsidP="00234D14">
            <w:pPr>
              <w:spacing w:before="40" w:after="40"/>
            </w:pPr>
            <w:r>
              <w:rPr>
                <w:noProof/>
                <w:color w:val="000000"/>
              </w:rPr>
              <w:t>Тип подкрепа: Безвъзмездни средства</w:t>
            </w:r>
          </w:p>
          <w:p w:rsidR="00972830" w:rsidRDefault="00972830" w:rsidP="00234D14">
            <w:pPr>
              <w:spacing w:before="40" w:after="40"/>
            </w:pPr>
            <w:r>
              <w:rPr>
                <w:noProof/>
                <w:color w:val="000000"/>
              </w:rPr>
              <w:t>I. Предоставя се безвъзмездна финансова помощ за следните допустими за подпомагане дейности по интервенцията:</w:t>
            </w:r>
          </w:p>
          <w:p w:rsidR="00972830" w:rsidRDefault="00972830" w:rsidP="00234D14">
            <w:pPr>
              <w:spacing w:before="40" w:after="40"/>
            </w:pPr>
            <w:r>
              <w:rPr>
                <w:noProof/>
                <w:color w:val="000000"/>
              </w:rPr>
              <w:t>1.      Строителство, реконструкция и/или рехабилитация на нови и съществуващи улици и тротоари и съоръженията и принадлежностите към тях;</w:t>
            </w:r>
          </w:p>
          <w:p w:rsidR="00972830" w:rsidRDefault="00972830" w:rsidP="00234D14">
            <w:pPr>
              <w:spacing w:before="40" w:after="40"/>
            </w:pPr>
            <w:r>
              <w:rPr>
                <w:noProof/>
                <w:color w:val="000000"/>
              </w:rPr>
              <w:t>2.        Строителство, реконструкция и/или рехабилитация на нови и съществуващи общински пътища и съоръженията и принадлежностите към тях;</w:t>
            </w:r>
          </w:p>
          <w:p w:rsidR="00972830" w:rsidRDefault="00972830" w:rsidP="00234D14">
            <w:pPr>
              <w:spacing w:before="40" w:after="40"/>
            </w:pPr>
            <w:r>
              <w:rPr>
                <w:noProof/>
                <w:color w:val="000000"/>
              </w:rPr>
              <w:t>3.        Изграждане, реконструкция и/или рехабилитация на водоснабдителни системи и съоръжения в агломерации с под 2000 е.ж. в селските райони;</w:t>
            </w:r>
          </w:p>
          <w:p w:rsidR="00972830" w:rsidRDefault="00972830" w:rsidP="00234D14">
            <w:pPr>
              <w:spacing w:before="40" w:after="40"/>
            </w:pPr>
            <w:r>
              <w:rPr>
                <w:noProof/>
                <w:color w:val="000000"/>
              </w:rPr>
              <w:t>4.        Реконструкция, ремонт, оборудване и/или обзавеждане на общинска образователна инфраструктура с местно значение в селските райони;</w:t>
            </w:r>
          </w:p>
          <w:p w:rsidR="00972830" w:rsidRDefault="00972830" w:rsidP="00234D14">
            <w:pPr>
              <w:spacing w:before="40" w:after="40"/>
            </w:pPr>
            <w:r>
              <w:rPr>
                <w:noProof/>
                <w:color w:val="000000"/>
              </w:rPr>
              <w:t>5.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p>
          <w:p w:rsidR="00972830" w:rsidRDefault="00972830" w:rsidP="00234D14">
            <w:pPr>
              <w:spacing w:before="40" w:after="40"/>
            </w:pPr>
            <w:r>
              <w:rPr>
                <w:noProof/>
                <w:color w:val="000000"/>
              </w:rPr>
              <w:t>6.        Рехабилитация и доизграждане на канализационни системи и съоръжения;</w:t>
            </w:r>
          </w:p>
          <w:p w:rsidR="00972830" w:rsidRDefault="00972830" w:rsidP="00234D14">
            <w:pPr>
              <w:spacing w:before="40" w:after="40"/>
            </w:pPr>
            <w:r>
              <w:rPr>
                <w:noProof/>
                <w:color w:val="000000"/>
              </w:rPr>
              <w:t>7.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972830" w:rsidRDefault="00972830" w:rsidP="00234D14">
            <w:pPr>
              <w:spacing w:before="40" w:after="40"/>
            </w:pPr>
            <w:r>
              <w:rPr>
                <w:noProof/>
                <w:color w:val="000000"/>
              </w:rPr>
              <w:t>8.        Изграждане, реконструкция, ремонт, оборудване и/или обзавеждане на спортна инфраструктура.</w:t>
            </w:r>
          </w:p>
          <w:p w:rsidR="00972830" w:rsidRDefault="00972830" w:rsidP="00234D14">
            <w:pPr>
              <w:spacing w:before="40" w:after="40"/>
            </w:pPr>
            <w:r>
              <w:rPr>
                <w:noProof/>
                <w:color w:val="000000"/>
              </w:rPr>
              <w:t>9.        Реконструкция, ремонт, реставрация, закупуване на оборудване и/или обзавеждане на обекти, свързани с културния живот.</w:t>
            </w:r>
          </w:p>
          <w:p w:rsidR="00B7479A" w:rsidRPr="00FC3AE7" w:rsidRDefault="00972830" w:rsidP="00234D14">
            <w:pPr>
              <w:spacing w:before="40" w:after="40"/>
              <w:rPr>
                <w:noProof/>
                <w:color w:val="FF0000"/>
              </w:rPr>
            </w:pPr>
            <w:r>
              <w:rPr>
                <w:noProof/>
                <w:color w:val="000000"/>
              </w:rPr>
              <w:t>10. Допустими са общи разходи свързани с проекта, извършени както в процеса на подготовка на проекта, така и по време на неговото изпълнение</w:t>
            </w:r>
            <w:r w:rsidR="00B7479A">
              <w:rPr>
                <w:noProof/>
                <w:color w:val="000000"/>
                <w:lang w:val="bg-BG"/>
              </w:rPr>
              <w:t xml:space="preserve">, </w:t>
            </w:r>
            <w:r w:rsidR="00B7479A" w:rsidRPr="00FC3AE7">
              <w:rPr>
                <w:noProof/>
                <w:color w:val="FF0000"/>
                <w:lang w:val="bg-BG"/>
              </w:rPr>
              <w:t>например хонорари на архитекти, инженери, консултанти и др</w:t>
            </w:r>
            <w:r w:rsidRPr="00FC3AE7">
              <w:rPr>
                <w:noProof/>
                <w:color w:val="FF0000"/>
              </w:rPr>
              <w:t>.</w:t>
            </w:r>
          </w:p>
          <w:p w:rsidR="00B7479A" w:rsidRPr="00FC3AE7" w:rsidRDefault="00B7479A" w:rsidP="00234D14">
            <w:pPr>
              <w:spacing w:before="40" w:after="40"/>
              <w:rPr>
                <w:noProof/>
                <w:color w:val="FF0000"/>
                <w:lang w:val="bg-BG"/>
              </w:rPr>
            </w:pPr>
            <w:r w:rsidRPr="00FC3AE7">
              <w:rPr>
                <w:noProof/>
                <w:color w:val="FF0000"/>
                <w:lang w:val="bg-BG"/>
              </w:rPr>
              <w:t>Разходите по т. 10 не трябва да надхвърлят 12 на сто от сумата на инвестиционните разходи по проекта.</w:t>
            </w:r>
          </w:p>
          <w:p w:rsidR="00B7479A" w:rsidRDefault="00B7479A" w:rsidP="00234D14">
            <w:pPr>
              <w:spacing w:before="40" w:after="40"/>
            </w:pPr>
          </w:p>
          <w:p w:rsidR="00972830" w:rsidRDefault="00972830" w:rsidP="00234D14">
            <w:pPr>
              <w:spacing w:before="40" w:after="40"/>
            </w:pPr>
            <w:r>
              <w:rPr>
                <w:noProof/>
                <w:color w:val="000000"/>
              </w:rPr>
              <w:t>II. Допустимите дейности трябва да отговарят на следните изисквания:</w:t>
            </w:r>
          </w:p>
          <w:p w:rsidR="00972830" w:rsidRDefault="00972830" w:rsidP="00234D14">
            <w:pPr>
              <w:spacing w:before="40" w:after="40"/>
            </w:pPr>
            <w:r>
              <w:rPr>
                <w:noProof/>
                <w:color w:val="000000"/>
              </w:rPr>
              <w:t>1.        Да се изпълняват на територията на селските райони на РБ, посочени в националното законодателство за прилагане на Стратегическия план;</w:t>
            </w:r>
          </w:p>
          <w:p w:rsidR="00972830" w:rsidRDefault="00972830" w:rsidP="00234D14">
            <w:pPr>
              <w:spacing w:before="40" w:after="40"/>
            </w:pPr>
            <w:r>
              <w:rPr>
                <w:noProof/>
                <w:color w:val="000000"/>
              </w:rPr>
              <w:t>2.        Да отговарят на дефиницията за дребна по мащаби инфраструктура*;</w:t>
            </w:r>
          </w:p>
          <w:p w:rsidR="00972830" w:rsidRDefault="00972830" w:rsidP="00234D14">
            <w:pPr>
              <w:spacing w:before="40" w:after="40"/>
            </w:pPr>
            <w:r>
              <w:rPr>
                <w:noProof/>
                <w:color w:val="000000"/>
              </w:rPr>
              <w:t>3.        Да се изпълняват в съответствие с плана за интегрирано развитие на съответната община, а ако съществува стратегия за местно развитие да са съгласувани и с нея;</w:t>
            </w:r>
          </w:p>
          <w:p w:rsidR="00972830" w:rsidRDefault="00972830" w:rsidP="00234D14">
            <w:pPr>
              <w:spacing w:before="40" w:after="40"/>
            </w:pPr>
            <w:r>
              <w:rPr>
                <w:noProof/>
                <w:color w:val="000000"/>
              </w:rPr>
              <w:lastRenderedPageBreak/>
              <w:t>4.        Да не оказват отрицателно въздействие върху околната среда съгласно разпоредбите на ЗOOС;</w:t>
            </w:r>
          </w:p>
          <w:p w:rsidR="00972830" w:rsidRDefault="00972830" w:rsidP="00234D14">
            <w:pPr>
              <w:spacing w:before="40" w:after="40"/>
            </w:pPr>
            <w:r>
              <w:rPr>
                <w:noProof/>
                <w:color w:val="000000"/>
              </w:rPr>
              <w:t>5.        </w:t>
            </w:r>
            <w:r>
              <w:rPr>
                <w:noProof/>
              </w:rPr>
              <w:t>Да се одобряват след произнасяне с акт на компетентните органи по околна среда по реда и условията на глава шеста от ЗООС и/или чл. 31 на ЗБР и при съобразяване с условията и мерките в съответния акт</w:t>
            </w:r>
            <w:r>
              <w:rPr>
                <w:noProof/>
                <w:color w:val="000000"/>
              </w:rPr>
              <w:t>;</w:t>
            </w:r>
          </w:p>
          <w:p w:rsidR="00972830" w:rsidRDefault="00972830" w:rsidP="00234D14">
            <w:pPr>
              <w:spacing w:before="40" w:after="40"/>
            </w:pPr>
            <w:r>
              <w:rPr>
                <w:noProof/>
                <w:color w:val="000000"/>
              </w:rPr>
              <w:t>6.        Да се изпълняват съгласно препоръките от извършените оценки, както и условията и мерките в съответния административен акт на компетентния орган съгласно ЗООС, ЗЗТ и ЗБР и съответните им подзаконови нормативни актове за тяхното прилагане (когато е приложимо);</w:t>
            </w:r>
          </w:p>
          <w:p w:rsidR="00972830" w:rsidRDefault="00972830" w:rsidP="00234D14">
            <w:pPr>
              <w:spacing w:before="40" w:after="40"/>
            </w:pPr>
            <w:r>
              <w:rPr>
                <w:noProof/>
                <w:color w:val="000000"/>
              </w:rPr>
              <w:t>7.        Дейностите свързани със строително-монтажни работи, следва да бъдат в съответствие с приложимото национално законодателство в сферата на устройството на територията, инвестиционното проектиране и строителството в Република България;</w:t>
            </w:r>
          </w:p>
          <w:p w:rsidR="00972830" w:rsidRDefault="00972830" w:rsidP="00234D14">
            <w:pPr>
              <w:spacing w:before="40" w:after="40"/>
            </w:pPr>
            <w:r>
              <w:rPr>
                <w:noProof/>
                <w:color w:val="000000"/>
              </w:rPr>
              <w:t>8.        Ако дейностите се извършват на терени, които подлежат на рекултивация съгласно чл. 11, ал 1 от ЗОЗЗ да се представи проект за рекултивация на нарушени терени или залесяване на териториите с подходящи растителни видове, когато националното законодателство изисква да се приложат тези мерки;</w:t>
            </w:r>
          </w:p>
          <w:p w:rsidR="00972830" w:rsidRDefault="00972830" w:rsidP="00234D14">
            <w:pPr>
              <w:spacing w:before="40" w:after="40"/>
            </w:pPr>
            <w:r>
              <w:rPr>
                <w:noProof/>
                <w:color w:val="000000"/>
              </w:rPr>
              <w:t>9.        Реконструкция и/или рехабилитация на съществуващи общински пътища, и съоръженията, и принадлежностите към тях са допустими за подпомагане ако са от указаните общински пътища в Решение № 236/13.04.2007 г. на МС за утвърждаване списък на общинските пътища; В допълнение, допустимите инвестиции в пътна инфраструктура задължително следва да се съчетават с мерки за пътна безопасност;</w:t>
            </w:r>
          </w:p>
          <w:p w:rsidR="00972830" w:rsidRDefault="00972830" w:rsidP="00234D14">
            <w:pPr>
              <w:spacing w:before="40" w:after="40"/>
            </w:pPr>
            <w:r>
              <w:rPr>
                <w:noProof/>
                <w:color w:val="000000"/>
              </w:rPr>
              <w:t>10.      Изграждане, реконструкция и/или рехабилитация на водоснабдителни системи и съоръжения (ВСС) в агломерации с под 2 000 е.ж. в селските райони и дейности за рехабилитация и доизграждане, без ново строителство на канализационната мрежа (КМ) в агломерации с под 2 000 е.ж. в селските райони са допустими ако съответстват на Плановете за управление на речните басейни;</w:t>
            </w:r>
          </w:p>
          <w:p w:rsidR="00972830" w:rsidRDefault="00972830" w:rsidP="00234D14">
            <w:pPr>
              <w:spacing w:before="40" w:after="40"/>
            </w:pPr>
            <w:r>
              <w:rPr>
                <w:noProof/>
                <w:color w:val="000000"/>
              </w:rPr>
              <w:t>11.      Дейностите, свързани с инвестиции за рехабилитация и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 трябва да се основават на предварително картиране на нуждите на национално и регионално ниво, изготвено от държавните институции и агенции, отговорни за тези политики, и надлежно отразени и включени в интегрираните териториални стратегии за развитие от регионите от ниво NUTS 2.</w:t>
            </w:r>
          </w:p>
          <w:p w:rsidR="00972830" w:rsidRDefault="00972830" w:rsidP="00234D14">
            <w:pPr>
              <w:spacing w:before="40" w:after="40"/>
            </w:pPr>
            <w:r>
              <w:rPr>
                <w:noProof/>
                <w:color w:val="000000"/>
              </w:rPr>
              <w:t>12.      В рамките на дейност „Изграждане, реконструкция, ремонт, оборудване и/или обзавеждане на спортна инфраструктура“ кандидатите имат възможност да извършват допустимите инвестиции и в общинска образователна инфраструктура, която включва детска градина, основно или средно училище, и в паркове.</w:t>
            </w:r>
          </w:p>
          <w:p w:rsidR="00972830" w:rsidRDefault="00972830" w:rsidP="00234D14">
            <w:pPr>
              <w:spacing w:before="40" w:after="40"/>
            </w:pPr>
            <w:r>
              <w:rPr>
                <w:noProof/>
                <w:color w:val="000000"/>
              </w:rPr>
              <w:t> </w:t>
            </w:r>
          </w:p>
          <w:p w:rsidR="00972830" w:rsidRDefault="00972830" w:rsidP="00234D14">
            <w:pPr>
              <w:spacing w:before="40" w:after="40"/>
              <w:jc w:val="both"/>
            </w:pPr>
            <w:r>
              <w:rPr>
                <w:noProof/>
                <w:color w:val="000000"/>
              </w:rPr>
              <w:t>*</w:t>
            </w:r>
            <w:r>
              <w:rPr>
                <w:noProof/>
              </w:rPr>
              <w:t> </w:t>
            </w:r>
            <w:r>
              <w:rPr>
                <w:noProof/>
                <w:color w:val="000000"/>
              </w:rPr>
              <w:t>Дребна по размер инфраструктура е инвестиция, която се осъществява чрез дейности, подпомагани по интервенцията, при която максималната стойност на допустимите разходи за един обект не надвишава по размер левовата равностойност на 3 млн. евро.</w:t>
            </w:r>
          </w:p>
        </w:tc>
      </w:tr>
    </w:tbl>
    <w:p w:rsidR="00972830" w:rsidRDefault="00972830" w:rsidP="00972830">
      <w:pPr>
        <w:pStyle w:val="Heading5"/>
        <w:spacing w:before="20" w:after="20"/>
        <w:rPr>
          <w:b w:val="0"/>
          <w:i w:val="0"/>
          <w:color w:val="000000"/>
          <w:sz w:val="24"/>
        </w:rPr>
      </w:pPr>
      <w:bookmarkStart w:id="6" w:name="_Toc256001376"/>
      <w:r>
        <w:rPr>
          <w:b w:val="0"/>
          <w:i w:val="0"/>
          <w:noProof/>
          <w:color w:val="000000"/>
          <w:sz w:val="24"/>
        </w:rPr>
        <w:lastRenderedPageBreak/>
        <w:t>6 Определяне на уместни базови характеристики</w:t>
      </w:r>
      <w:bookmarkEnd w:id="6"/>
    </w:p>
    <w:p w:rsidR="00972830" w:rsidRDefault="00972830" w:rsidP="00972830">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972830" w:rsidRDefault="00972830" w:rsidP="00972830">
      <w:pPr>
        <w:spacing w:before="20" w:after="20"/>
        <w:rPr>
          <w:color w:val="000000"/>
        </w:rPr>
      </w:pPr>
      <w:r>
        <w:rPr>
          <w:noProof/>
          <w:color w:val="000000"/>
        </w:rPr>
        <w:t>Неприложимо</w:t>
      </w:r>
    </w:p>
    <w:p w:rsidR="00972830" w:rsidRDefault="00972830" w:rsidP="00972830">
      <w:pPr>
        <w:pStyle w:val="Heading5"/>
        <w:spacing w:before="20" w:after="20"/>
        <w:rPr>
          <w:b w:val="0"/>
          <w:i w:val="0"/>
          <w:color w:val="000000"/>
          <w:sz w:val="24"/>
        </w:rPr>
      </w:pPr>
      <w:bookmarkStart w:id="7" w:name="_Toc256001377"/>
      <w:r>
        <w:rPr>
          <w:b w:val="0"/>
          <w:i w:val="0"/>
          <w:noProof/>
          <w:color w:val="000000"/>
          <w:sz w:val="24"/>
        </w:rPr>
        <w:t>7 Форма и ставка на подпомагане/суми/методи за изчисляване</w:t>
      </w:r>
      <w:bookmarkEnd w:id="7"/>
    </w:p>
    <w:p w:rsidR="00972830" w:rsidRDefault="00972830" w:rsidP="00972830">
      <w:pPr>
        <w:spacing w:before="20" w:after="20"/>
        <w:rPr>
          <w:color w:val="000000"/>
        </w:rPr>
      </w:pPr>
      <w:r>
        <w:rPr>
          <w:noProof/>
          <w:color w:val="000000"/>
        </w:rPr>
        <w:t>Форма на подкрепа</w:t>
      </w:r>
    </w:p>
    <w:p w:rsidR="00972830" w:rsidRDefault="00972830" w:rsidP="00972830">
      <w:pPr>
        <w:spacing w:before="20" w:after="20"/>
        <w:rPr>
          <w:b/>
          <w:color w:val="000000"/>
        </w:rPr>
      </w:pPr>
      <w:r>
        <w:rPr>
          <w:rFonts w:ascii="Wingdings" w:eastAsia="Wingdings" w:hAnsi="Wingdings" w:cs="Wingdings"/>
          <w:b/>
          <w:noProof/>
          <w:color w:val="000000"/>
        </w:rPr>
        <w:t></w:t>
      </w:r>
      <w:r>
        <w:rPr>
          <w:b/>
          <w:noProof/>
          <w:color w:val="000000"/>
        </w:rPr>
        <w:t xml:space="preserve"> Безвъзмездни средства</w:t>
      </w:r>
    </w:p>
    <w:p w:rsidR="00972830" w:rsidRDefault="00972830" w:rsidP="00972830">
      <w:pPr>
        <w:spacing w:before="20" w:after="20"/>
        <w:rPr>
          <w:b/>
          <w:color w:val="000000"/>
        </w:rPr>
      </w:pPr>
      <w:r>
        <w:rPr>
          <w:rFonts w:ascii="Wingdings" w:eastAsia="Wingdings" w:hAnsi="Wingdings" w:cs="Wingdings"/>
          <w:b/>
          <w:noProof/>
          <w:color w:val="000000"/>
        </w:rPr>
        <w:t></w:t>
      </w:r>
      <w:r>
        <w:rPr>
          <w:b/>
          <w:noProof/>
          <w:color w:val="000000"/>
        </w:rPr>
        <w:t xml:space="preserve"> Финансов инструмент</w:t>
      </w:r>
    </w:p>
    <w:p w:rsidR="00972830" w:rsidRDefault="00972830" w:rsidP="00972830">
      <w:pPr>
        <w:spacing w:before="20" w:after="20"/>
        <w:rPr>
          <w:color w:val="000000"/>
          <w:sz w:val="12"/>
        </w:rPr>
      </w:pPr>
    </w:p>
    <w:p w:rsidR="00972830" w:rsidRDefault="00972830" w:rsidP="00972830">
      <w:pPr>
        <w:spacing w:before="20" w:after="20"/>
        <w:rPr>
          <w:color w:val="000000"/>
        </w:rPr>
      </w:pPr>
      <w:r>
        <w:rPr>
          <w:noProof/>
          <w:color w:val="000000"/>
        </w:rPr>
        <w:t>Вид на плащането</w:t>
      </w:r>
    </w:p>
    <w:p w:rsidR="00972830" w:rsidRDefault="00972830" w:rsidP="00972830">
      <w:pPr>
        <w:spacing w:before="20" w:after="20"/>
        <w:rPr>
          <w:color w:val="000000"/>
        </w:rPr>
      </w:pPr>
      <w:r>
        <w:rPr>
          <w:rFonts w:ascii="Wingdings" w:eastAsia="Wingdings" w:hAnsi="Wingdings" w:cs="Wingdings"/>
          <w:noProof/>
          <w:color w:val="000000"/>
        </w:rPr>
        <w:t></w:t>
      </w:r>
      <w:r>
        <w:rPr>
          <w:noProof/>
          <w:color w:val="000000"/>
        </w:rPr>
        <w:t xml:space="preserve"> възстановяване на действително направени от бенефициера допустими разходи</w:t>
      </w:r>
    </w:p>
    <w:p w:rsidR="00972830" w:rsidRDefault="00972830" w:rsidP="00972830">
      <w:pPr>
        <w:spacing w:before="20" w:after="20"/>
        <w:rPr>
          <w:color w:val="000000"/>
        </w:rPr>
      </w:pPr>
      <w:r>
        <w:rPr>
          <w:rFonts w:ascii="Wingdings" w:eastAsia="Wingdings" w:hAnsi="Wingdings" w:cs="Wingdings"/>
          <w:noProof/>
          <w:color w:val="000000"/>
        </w:rPr>
        <w:lastRenderedPageBreak/>
        <w:t></w:t>
      </w:r>
      <w:r>
        <w:rPr>
          <w:noProof/>
          <w:color w:val="000000"/>
        </w:rPr>
        <w:t xml:space="preserve"> единични разходи</w:t>
      </w:r>
    </w:p>
    <w:p w:rsidR="00972830" w:rsidRDefault="00972830" w:rsidP="00972830">
      <w:pPr>
        <w:spacing w:before="20" w:after="20"/>
        <w:rPr>
          <w:color w:val="000000"/>
        </w:rPr>
      </w:pPr>
      <w:r>
        <w:rPr>
          <w:rFonts w:ascii="Wingdings" w:eastAsia="Wingdings" w:hAnsi="Wingdings" w:cs="Wingdings"/>
          <w:noProof/>
          <w:color w:val="000000"/>
        </w:rPr>
        <w:t></w:t>
      </w:r>
      <w:r>
        <w:rPr>
          <w:noProof/>
          <w:color w:val="000000"/>
        </w:rPr>
        <w:t xml:space="preserve"> еднократни суми</w:t>
      </w:r>
    </w:p>
    <w:p w:rsidR="00972830" w:rsidRDefault="00972830" w:rsidP="00972830">
      <w:pPr>
        <w:spacing w:before="20" w:after="20"/>
        <w:rPr>
          <w:color w:val="000000"/>
        </w:rPr>
      </w:pPr>
      <w:r>
        <w:rPr>
          <w:rFonts w:ascii="Wingdings" w:eastAsia="Wingdings" w:hAnsi="Wingdings" w:cs="Wingdings"/>
          <w:noProof/>
          <w:color w:val="000000"/>
        </w:rPr>
        <w:t></w:t>
      </w:r>
      <w:r>
        <w:rPr>
          <w:noProof/>
          <w:color w:val="000000"/>
        </w:rPr>
        <w:t xml:space="preserve"> финансиране с единна ставка</w:t>
      </w:r>
    </w:p>
    <w:p w:rsidR="00972830" w:rsidRDefault="00972830" w:rsidP="00972830">
      <w:pPr>
        <w:spacing w:before="20" w:after="20"/>
        <w:rPr>
          <w:color w:val="000000"/>
          <w:sz w:val="12"/>
        </w:rPr>
      </w:pPr>
    </w:p>
    <w:p w:rsidR="00972830" w:rsidRDefault="00972830" w:rsidP="00972830">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Default="00972830" w:rsidP="00234D14">
            <w:pPr>
              <w:spacing w:before="40" w:after="40"/>
            </w:pPr>
            <w:r>
              <w:rPr>
                <w:noProof/>
                <w:color w:val="000000"/>
              </w:rPr>
              <w:t>Селските райони в България се характеризират с изостаналост в икономически, социален и културен аспект, застаряващо население, нисък жизнен стандарт на живот, влошена инфраструктура и произтичащите от това негативи. Това е резултат от обективно протекли процеси, но също така и от пренебрежението и подценяването на последиците от това неблагоприятно развитие. В същото време тези райони разполагат със значителен природен, човешки, икономически и културен потенциал, чието развитие и пълноценно използване е задължително. Данните от предходните програмни периоди, както и направените анализи показват, че нуждите от инвестиции за покриване на базовите потребности в селските райони, значително надвишаватвъзможностите, с които общините разполагат. В тази връзка и определянето на прагове за финансиране на публични разходи под 100 %, би поставил кандидатите общини в голямо затруднение или в невъзможност за реализирането на инвестиции в обхвата на интервенцията.</w:t>
            </w:r>
          </w:p>
        </w:tc>
      </w:tr>
    </w:tbl>
    <w:p w:rsidR="00972830" w:rsidRDefault="00972830" w:rsidP="00972830">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Default="00972830" w:rsidP="00234D14">
            <w:pPr>
              <w:spacing w:before="40" w:after="40"/>
              <w:jc w:val="both"/>
            </w:pPr>
            <w:r>
              <w:rPr>
                <w:noProof/>
              </w:rPr>
              <w:t>В рамките на интервенцията е допустимо предоставянето на авансово плащане</w:t>
            </w:r>
          </w:p>
        </w:tc>
      </w:tr>
    </w:tbl>
    <w:p w:rsidR="00972830" w:rsidRDefault="00972830" w:rsidP="00972830">
      <w:pPr>
        <w:pStyle w:val="Heading5"/>
        <w:spacing w:before="20" w:after="20"/>
        <w:rPr>
          <w:b w:val="0"/>
          <w:i w:val="0"/>
          <w:color w:val="000000"/>
          <w:sz w:val="24"/>
        </w:rPr>
      </w:pPr>
      <w:bookmarkStart w:id="8" w:name="_Toc256001378"/>
      <w:r>
        <w:rPr>
          <w:b w:val="0"/>
          <w:i w:val="0"/>
          <w:noProof/>
          <w:color w:val="000000"/>
          <w:sz w:val="24"/>
        </w:rPr>
        <w:t>8 Информация относно оценката за държавна помощ</w:t>
      </w:r>
      <w:bookmarkEnd w:id="8"/>
    </w:p>
    <w:p w:rsidR="00972830" w:rsidRDefault="00972830" w:rsidP="00972830">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972830" w:rsidRDefault="00972830" w:rsidP="00972830">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972830" w:rsidRDefault="00972830" w:rsidP="00972830">
      <w:pPr>
        <w:spacing w:before="20" w:after="20"/>
        <w:rPr>
          <w:color w:val="000000"/>
        </w:rPr>
      </w:pPr>
    </w:p>
    <w:p w:rsidR="00972830" w:rsidRDefault="00972830" w:rsidP="00972830">
      <w:pPr>
        <w:pStyle w:val="Heading5"/>
        <w:spacing w:before="20" w:after="20"/>
        <w:rPr>
          <w:b w:val="0"/>
          <w:i w:val="0"/>
          <w:color w:val="000000"/>
          <w:sz w:val="24"/>
        </w:rPr>
      </w:pPr>
      <w:bookmarkStart w:id="9" w:name="_Toc256001379"/>
      <w:r>
        <w:rPr>
          <w:b w:val="0"/>
          <w:i w:val="0"/>
          <w:noProof/>
          <w:color w:val="000000"/>
          <w:sz w:val="24"/>
        </w:rPr>
        <w:t>9 Допълнителни въпроси/информация за вида на интервенцията</w:t>
      </w:r>
      <w:bookmarkEnd w:id="9"/>
    </w:p>
    <w:p w:rsidR="00972830" w:rsidRDefault="00972830" w:rsidP="00972830">
      <w:pPr>
        <w:spacing w:before="20" w:after="20"/>
        <w:rPr>
          <w:color w:val="000000"/>
        </w:rPr>
      </w:pPr>
      <w:r>
        <w:rPr>
          <w:noProof/>
          <w:color w:val="000000"/>
        </w:rPr>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Default="00972830" w:rsidP="00234D14">
            <w:pPr>
              <w:spacing w:before="40" w:after="40"/>
            </w:pPr>
            <w:r>
              <w:rPr>
                <w:noProof/>
              </w:rPr>
              <w:t>В съответствие с чл. 73, параграф 3 от Регламент (ЕС) 2021/2115 на Европейския парламент и на Съвета от 2 декември 2021 година, не са допустимите за подпомагане инвестиции и категориите разходи, които включват:</w:t>
            </w:r>
          </w:p>
          <w:p w:rsidR="00972830" w:rsidRDefault="00972830" w:rsidP="00234D14">
            <w:pPr>
              <w:spacing w:before="40" w:after="40"/>
            </w:pPr>
            <w:r>
              <w:rPr>
                <w:noProof/>
              </w:rPr>
              <w:t>1.     Закупуване или наем на земя и сгради;</w:t>
            </w:r>
          </w:p>
          <w:p w:rsidR="00972830" w:rsidRDefault="00972830" w:rsidP="00234D14">
            <w:pPr>
              <w:spacing w:before="40" w:after="40"/>
            </w:pPr>
            <w:r>
              <w:rPr>
                <w:noProof/>
              </w:rPr>
              <w:t>2.     Инвестиции, за които се установят изкуствено създадени условия за получаване на помощта с цел осъществяване на предимство в противоречие с целите на интервенцията;</w:t>
            </w:r>
          </w:p>
          <w:p w:rsidR="00972830" w:rsidRDefault="00972830" w:rsidP="00234D14">
            <w:pPr>
              <w:spacing w:before="40" w:after="40"/>
            </w:pPr>
            <w:r>
              <w:rPr>
                <w:noProof/>
              </w:rPr>
              <w:t>3.     Инвестиции, за които се установи, че ще имат отрицателно въздействие върху околната среда;</w:t>
            </w:r>
          </w:p>
          <w:p w:rsidR="00972830" w:rsidRDefault="00972830" w:rsidP="00234D14">
            <w:pPr>
              <w:spacing w:before="40" w:after="40"/>
            </w:pPr>
            <w:r>
              <w:rPr>
                <w:noProof/>
              </w:rPr>
              <w:t>4.     Неустойки за неизпълнение по договорите с избраните доставчици/изпълнители;</w:t>
            </w:r>
          </w:p>
          <w:p w:rsidR="00972830" w:rsidRDefault="00972830" w:rsidP="00234D14">
            <w:pPr>
              <w:spacing w:before="40" w:after="40"/>
            </w:pPr>
            <w:r>
              <w:rPr>
                <w:noProof/>
              </w:rPr>
              <w:t>5.     Натрупани лихви върху изплатени авансови плащания;</w:t>
            </w:r>
          </w:p>
          <w:p w:rsidR="00972830" w:rsidRDefault="00972830" w:rsidP="00234D14">
            <w:pPr>
              <w:spacing w:before="40" w:after="40"/>
            </w:pPr>
            <w:r>
              <w:rPr>
                <w:noProof/>
              </w:rPr>
              <w:t>6.     Инвестиции, за които е установено двойно финансиране.</w:t>
            </w:r>
          </w:p>
          <w:p w:rsidR="00972830" w:rsidRDefault="00972830" w:rsidP="00234D14">
            <w:pPr>
              <w:spacing w:before="40" w:after="40"/>
            </w:pPr>
            <w:r>
              <w:rPr>
                <w:noProof/>
              </w:rPr>
              <w:t>7.     Разходи по които дейностите включени в проектите, са били физически започнати и/или извършени преди подаване на проектното предложение за подпомагане, независимо дали всички свързани плащания са извършени (с изключение на разходи свързани с подготовката на проектното предложение извършени преди подаването му);</w:t>
            </w:r>
          </w:p>
          <w:p w:rsidR="00972830" w:rsidRDefault="00972830" w:rsidP="00234D14">
            <w:pPr>
              <w:spacing w:before="40" w:after="40"/>
            </w:pPr>
            <w:r>
              <w:rPr>
                <w:noProof/>
              </w:rPr>
              <w:t>8.     Дейност, които след изпълнението им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Закона за устройство на територията и подзаконовите актове за неговото прилагане;</w:t>
            </w:r>
          </w:p>
          <w:p w:rsidR="00972830" w:rsidRDefault="00972830" w:rsidP="00234D14">
            <w:pPr>
              <w:spacing w:before="40" w:after="40"/>
            </w:pPr>
            <w:r>
              <w:rPr>
                <w:noProof/>
              </w:rPr>
              <w:t>9.     Инвестиции за улици, които са част от местен или републикански път;</w:t>
            </w:r>
          </w:p>
          <w:p w:rsidR="00972830" w:rsidRDefault="00972830" w:rsidP="00234D14">
            <w:pPr>
              <w:spacing w:before="40" w:after="40"/>
            </w:pPr>
            <w:r>
              <w:rPr>
                <w:noProof/>
              </w:rPr>
              <w:t>10.   Едногодишни растения и тяхното засаждане;</w:t>
            </w:r>
          </w:p>
        </w:tc>
      </w:tr>
    </w:tbl>
    <w:p w:rsidR="00972830" w:rsidRDefault="00972830" w:rsidP="00972830">
      <w:pPr>
        <w:spacing w:before="20" w:after="20"/>
        <w:rPr>
          <w:color w:val="000000"/>
          <w:sz w:val="0"/>
        </w:rPr>
      </w:pPr>
    </w:p>
    <w:p w:rsidR="00972830" w:rsidRDefault="00972830" w:rsidP="00972830">
      <w:pPr>
        <w:spacing w:before="20" w:after="20"/>
        <w:rPr>
          <w:color w:val="000000"/>
        </w:rPr>
      </w:pPr>
      <w:r>
        <w:rPr>
          <w:noProof/>
          <w:color w:val="000000"/>
        </w:rPr>
        <w:t>Съдържа ли инвестицията напояване?</w:t>
      </w:r>
    </w:p>
    <w:p w:rsidR="00972830" w:rsidRDefault="00972830" w:rsidP="00972830">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p>
    <w:p w:rsidR="00972830" w:rsidRDefault="00972830" w:rsidP="00972830">
      <w:pPr>
        <w:spacing w:before="20" w:after="20"/>
        <w:rPr>
          <w:color w:val="000000"/>
          <w:sz w:val="0"/>
        </w:rPr>
      </w:pPr>
    </w:p>
    <w:p w:rsidR="00972830" w:rsidRDefault="00972830" w:rsidP="00972830">
      <w:pPr>
        <w:spacing w:before="20" w:after="20"/>
        <w:rPr>
          <w:color w:val="000000"/>
        </w:rPr>
      </w:pPr>
      <w:r>
        <w:rPr>
          <w:noProof/>
          <w:color w:val="000000"/>
        </w:rPr>
        <w:t>за инвестициите в подобряване на съществуващи напоителни инсталации — каква потенциална икономия на вода се изисква (изразена в проценти)</w:t>
      </w:r>
    </w:p>
    <w:p w:rsidR="00972830" w:rsidRDefault="00972830" w:rsidP="00972830">
      <w:pPr>
        <w:spacing w:before="20" w:after="20"/>
        <w:rPr>
          <w:color w:val="000000"/>
        </w:rPr>
      </w:pPr>
      <w:r>
        <w:rPr>
          <w:noProof/>
          <w:color w:val="000000"/>
        </w:rPr>
        <w:t>Неприложимо</w:t>
      </w:r>
    </w:p>
    <w:p w:rsidR="00972830" w:rsidRDefault="00972830" w:rsidP="00972830">
      <w:pPr>
        <w:spacing w:before="20" w:after="20"/>
        <w:rPr>
          <w:color w:val="000000"/>
          <w:sz w:val="0"/>
        </w:rPr>
      </w:pPr>
    </w:p>
    <w:p w:rsidR="00972830" w:rsidRDefault="00972830" w:rsidP="00972830">
      <w:pPr>
        <w:spacing w:before="20" w:after="20"/>
        <w:rPr>
          <w:color w:val="000000"/>
        </w:rPr>
      </w:pPr>
      <w:r>
        <w:rPr>
          <w:noProof/>
          <w:color w:val="000000"/>
        </w:rPr>
        <w:lastRenderedPageBreak/>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Default="00972830" w:rsidP="00234D14">
            <w:pPr>
              <w:spacing w:before="20" w:after="20"/>
              <w:rPr>
                <w:color w:val="000000"/>
              </w:rPr>
            </w:pPr>
          </w:p>
        </w:tc>
      </w:tr>
    </w:tbl>
    <w:p w:rsidR="00972830" w:rsidRDefault="00972830" w:rsidP="00972830">
      <w:pPr>
        <w:spacing w:before="20" w:after="20"/>
        <w:rPr>
          <w:color w:val="000000"/>
          <w:sz w:val="0"/>
        </w:rPr>
      </w:pPr>
    </w:p>
    <w:p w:rsidR="00972830" w:rsidRDefault="00972830" w:rsidP="00972830">
      <w:pPr>
        <w:spacing w:before="20" w:after="20"/>
        <w:rPr>
          <w:color w:val="000000"/>
        </w:rPr>
      </w:pPr>
      <w:r>
        <w:rPr>
          <w:noProof/>
          <w:color w:val="000000"/>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rsidR="00972830" w:rsidRDefault="00972830" w:rsidP="00972830">
      <w:pPr>
        <w:spacing w:before="20" w:after="20"/>
        <w:rPr>
          <w:color w:val="000000"/>
        </w:rPr>
      </w:pPr>
      <w:r>
        <w:rPr>
          <w:noProof/>
          <w:color w:val="000000"/>
        </w:rPr>
        <w:t>Неприложимо</w:t>
      </w:r>
    </w:p>
    <w:p w:rsidR="00972830" w:rsidRDefault="00972830" w:rsidP="00972830">
      <w:pPr>
        <w:spacing w:before="20" w:after="20"/>
        <w:rPr>
          <w:color w:val="000000"/>
          <w:sz w:val="0"/>
        </w:rPr>
      </w:pPr>
    </w:p>
    <w:p w:rsidR="00972830" w:rsidRDefault="00972830" w:rsidP="00972830">
      <w:pPr>
        <w:spacing w:before="20" w:after="20"/>
        <w:rPr>
          <w:color w:val="000000"/>
        </w:rPr>
      </w:pPr>
      <w:r>
        <w:rPr>
          <w:noProof/>
          <w:color w:val="000000"/>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Default="00972830" w:rsidP="00234D14">
            <w:pPr>
              <w:spacing w:before="20" w:after="20"/>
              <w:rPr>
                <w:color w:val="000000"/>
              </w:rPr>
            </w:pPr>
          </w:p>
        </w:tc>
      </w:tr>
    </w:tbl>
    <w:p w:rsidR="00972830" w:rsidRDefault="00972830" w:rsidP="00972830">
      <w:pPr>
        <w:spacing w:before="20" w:after="20"/>
        <w:rPr>
          <w:color w:val="000000"/>
        </w:rPr>
      </w:pPr>
    </w:p>
    <w:p w:rsidR="00972830" w:rsidRDefault="00972830" w:rsidP="00972830">
      <w:pPr>
        <w:pStyle w:val="Heading5"/>
        <w:spacing w:before="20" w:after="20"/>
        <w:rPr>
          <w:b w:val="0"/>
          <w:i w:val="0"/>
          <w:color w:val="000000"/>
          <w:sz w:val="24"/>
        </w:rPr>
      </w:pPr>
      <w:bookmarkStart w:id="10" w:name="_Toc256001380"/>
      <w:r>
        <w:rPr>
          <w:b w:val="0"/>
          <w:i w:val="0"/>
          <w:noProof/>
          <w:color w:val="000000"/>
          <w:sz w:val="24"/>
        </w:rPr>
        <w:t>10 Съответствие с правилата на СТО</w:t>
      </w:r>
      <w:bookmarkEnd w:id="10"/>
    </w:p>
    <w:p w:rsidR="00972830" w:rsidRDefault="00972830" w:rsidP="00972830">
      <w:pPr>
        <w:spacing w:before="20" w:after="20"/>
        <w:rPr>
          <w:color w:val="000000"/>
        </w:rPr>
      </w:pPr>
      <w:r>
        <w:rPr>
          <w:noProof/>
          <w:color w:val="000000"/>
        </w:rPr>
        <w:t xml:space="preserve"> Зелена кутия</w:t>
      </w:r>
    </w:p>
    <w:p w:rsidR="00972830" w:rsidRDefault="00972830" w:rsidP="00972830">
      <w:pPr>
        <w:spacing w:before="20" w:after="20"/>
        <w:rPr>
          <w:color w:val="000000"/>
        </w:rPr>
      </w:pPr>
      <w:r>
        <w:rPr>
          <w:noProof/>
          <w:color w:val="000000"/>
        </w:rPr>
        <w:t>Параграф 11 от приложение 2 към Споразумението за СТО</w:t>
      </w:r>
    </w:p>
    <w:p w:rsidR="00972830" w:rsidRDefault="00972830" w:rsidP="00972830">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972830" w:rsidTr="00234D14">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72830" w:rsidRDefault="00972830" w:rsidP="00234D14">
            <w:pPr>
              <w:spacing w:before="40" w:after="40"/>
              <w:jc w:val="both"/>
            </w:pPr>
            <w:r>
              <w:rPr>
                <w:noProof/>
              </w:rPr>
              <w:t>Интервенцията е включена в приложение II на Регламент (ЕС) 2021/2115 на Европейския парламент и на Съвета от 2 декември 2021 година и е в съответствие с параграф 11 (2) от приложение 2 към Споразумението за селското стопанство на СТО („зелена кутия“) .Интервенцията е с насоченост за развитието на селските райони и е изброена в Приложение II. Както е посочено и в Инструмента за аспектите на СТО – X.1 изготвен от службите на Комисията, „Интервенциите за развитие на селските райони (с изключение на инсталирането на млади фермери и създаване на селски бизнес и програми за управление на риска) трябва да останат съвместими със Зелената кутия“.</w:t>
            </w:r>
          </w:p>
        </w:tc>
      </w:tr>
    </w:tbl>
    <w:p w:rsidR="00972830" w:rsidRDefault="00972830" w:rsidP="00972830">
      <w:pPr>
        <w:pStyle w:val="Heading5"/>
        <w:spacing w:before="20" w:after="20"/>
        <w:rPr>
          <w:b w:val="0"/>
          <w:i w:val="0"/>
          <w:color w:val="000000"/>
          <w:sz w:val="24"/>
        </w:rPr>
      </w:pPr>
      <w:bookmarkStart w:id="11" w:name="_Toc256001381"/>
      <w:r>
        <w:rPr>
          <w:b w:val="0"/>
          <w:i w:val="0"/>
          <w:noProof/>
          <w:color w:val="000000"/>
          <w:sz w:val="24"/>
        </w:rPr>
        <w:t>11 Процентно участие, приложимо за тази интервенция</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3249"/>
        <w:gridCol w:w="1872"/>
        <w:gridCol w:w="1881"/>
        <w:gridCol w:w="1957"/>
      </w:tblGrid>
      <w:tr w:rsidR="00972830" w:rsidTr="00234D14">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72830" w:rsidRDefault="00972830" w:rsidP="00234D14">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72830" w:rsidRDefault="00972830" w:rsidP="00234D14">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72830" w:rsidRDefault="00972830" w:rsidP="00234D14">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72830" w:rsidRDefault="00972830" w:rsidP="00234D14">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72830" w:rsidRDefault="00972830" w:rsidP="00234D14">
            <w:pPr>
              <w:spacing w:before="20" w:after="20"/>
              <w:rPr>
                <w:color w:val="000000"/>
                <w:sz w:val="20"/>
              </w:rPr>
            </w:pPr>
            <w:r>
              <w:rPr>
                <w:b/>
                <w:noProof/>
                <w:color w:val="000000"/>
                <w:sz w:val="20"/>
              </w:rPr>
              <w:t>Максимална ставка</w:t>
            </w:r>
          </w:p>
        </w:tc>
      </w:tr>
      <w:tr w:rsidR="00972830" w:rsidTr="00234D14">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72830" w:rsidRDefault="00972830" w:rsidP="00234D14">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72830" w:rsidRDefault="00972830" w:rsidP="00234D14">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72830" w:rsidRDefault="00972830" w:rsidP="00234D14">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72830" w:rsidRDefault="00972830" w:rsidP="00234D14">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72830" w:rsidRDefault="00972830" w:rsidP="00234D14">
            <w:pPr>
              <w:spacing w:before="20" w:after="20"/>
              <w:jc w:val="right"/>
              <w:rPr>
                <w:color w:val="000000"/>
                <w:sz w:val="20"/>
              </w:rPr>
            </w:pPr>
            <w:r>
              <w:rPr>
                <w:noProof/>
                <w:color w:val="000000"/>
                <w:sz w:val="20"/>
              </w:rPr>
              <w:t>85,00%</w:t>
            </w:r>
          </w:p>
        </w:tc>
      </w:tr>
    </w:tbl>
    <w:p w:rsidR="00972830" w:rsidRPr="00FC3AE7" w:rsidRDefault="00972830" w:rsidP="00972830">
      <w:pPr>
        <w:spacing w:before="20" w:after="20"/>
        <w:rPr>
          <w:color w:val="000000"/>
          <w:lang w:val="bg-BG"/>
        </w:rPr>
        <w:sectPr w:rsidR="00972830" w:rsidRPr="00FC3AE7">
          <w:pgSz w:w="11906" w:h="16838"/>
          <w:pgMar w:top="720" w:right="720" w:bottom="864" w:left="936" w:header="288" w:footer="72" w:gutter="0"/>
          <w:cols w:space="720"/>
          <w:noEndnote/>
          <w:docGrid w:linePitch="360"/>
        </w:sectPr>
      </w:pPr>
      <w:bookmarkStart w:id="12" w:name="_GoBack"/>
      <w:bookmarkEnd w:id="12"/>
    </w:p>
    <w:p w:rsidR="00D74966" w:rsidRPr="00FC3AE7" w:rsidRDefault="00D74966" w:rsidP="00972830">
      <w:pPr>
        <w:rPr>
          <w:lang w:val="bg-BG"/>
        </w:rPr>
      </w:pPr>
    </w:p>
    <w:sectPr w:rsidR="00D74966" w:rsidRPr="00FC3A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vetoslav Tsekov">
    <w15:presenceInfo w15:providerId="AD" w15:userId="S-1-5-21-3673932534-3318588094-701912851-72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E5B"/>
    <w:rsid w:val="00305922"/>
    <w:rsid w:val="00700B3B"/>
    <w:rsid w:val="00972830"/>
    <w:rsid w:val="009B0E5B"/>
    <w:rsid w:val="00AF3ECB"/>
    <w:rsid w:val="00B7479A"/>
    <w:rsid w:val="00C40A2E"/>
    <w:rsid w:val="00D74966"/>
    <w:rsid w:val="00E82B19"/>
    <w:rsid w:val="00F21761"/>
    <w:rsid w:val="00FC3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830"/>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972830"/>
    <w:pPr>
      <w:keepNext/>
      <w:spacing w:before="240" w:after="60"/>
      <w:outlineLvl w:val="3"/>
    </w:pPr>
    <w:rPr>
      <w:b/>
      <w:bCs/>
      <w:sz w:val="28"/>
      <w:szCs w:val="28"/>
    </w:rPr>
  </w:style>
  <w:style w:type="paragraph" w:styleId="Heading5">
    <w:name w:val="heading 5"/>
    <w:basedOn w:val="Normal"/>
    <w:next w:val="Normal"/>
    <w:link w:val="Heading5Char"/>
    <w:qFormat/>
    <w:rsid w:val="0097283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7283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72830"/>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B747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79A"/>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830"/>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972830"/>
    <w:pPr>
      <w:keepNext/>
      <w:spacing w:before="240" w:after="60"/>
      <w:outlineLvl w:val="3"/>
    </w:pPr>
    <w:rPr>
      <w:b/>
      <w:bCs/>
      <w:sz w:val="28"/>
      <w:szCs w:val="28"/>
    </w:rPr>
  </w:style>
  <w:style w:type="paragraph" w:styleId="Heading5">
    <w:name w:val="heading 5"/>
    <w:basedOn w:val="Normal"/>
    <w:next w:val="Normal"/>
    <w:link w:val="Heading5Char"/>
    <w:qFormat/>
    <w:rsid w:val="0097283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7283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72830"/>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B747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79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52FBA-6B05-4523-B716-D720F83B0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11</Pages>
  <Words>5379</Words>
  <Characters>30665</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Hristo Todorov</dc:creator>
  <cp:keywords/>
  <dc:description/>
  <cp:lastModifiedBy>Elena A. Ivanova</cp:lastModifiedBy>
  <cp:revision>8</cp:revision>
  <dcterms:created xsi:type="dcterms:W3CDTF">2024-07-30T08:36:00Z</dcterms:created>
  <dcterms:modified xsi:type="dcterms:W3CDTF">2024-08-27T09:41:00Z</dcterms:modified>
</cp:coreProperties>
</file>