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8A0" w:rsidRPr="004C53F4" w:rsidRDefault="001A78A0" w:rsidP="004C53F4">
      <w:pPr>
        <w:spacing w:after="0" w:line="240" w:lineRule="auto"/>
        <w:jc w:val="center"/>
        <w:rPr>
          <w:rFonts w:ascii="Times New Roman" w:eastAsia="SimSun" w:hAnsi="Times New Roman" w:cs="Times New Roman"/>
          <w:b/>
          <w:sz w:val="28"/>
          <w:szCs w:val="28"/>
          <w:lang w:eastAsia="zh-CN"/>
        </w:rPr>
      </w:pPr>
      <w:r w:rsidRPr="004C53F4">
        <w:rPr>
          <w:rFonts w:ascii="Times New Roman" w:eastAsia="SimSun" w:hAnsi="Times New Roman" w:cs="Times New Roman"/>
          <w:b/>
          <w:sz w:val="28"/>
          <w:szCs w:val="28"/>
          <w:lang w:eastAsia="zh-CN"/>
        </w:rPr>
        <w:t xml:space="preserve">Методология за определяне на подпомагането по </w:t>
      </w:r>
      <w:proofErr w:type="spellStart"/>
      <w:r w:rsidRPr="004C53F4">
        <w:rPr>
          <w:rFonts w:ascii="Times New Roman" w:eastAsia="SimSun" w:hAnsi="Times New Roman" w:cs="Times New Roman"/>
          <w:b/>
          <w:sz w:val="28"/>
          <w:szCs w:val="28"/>
          <w:lang w:eastAsia="zh-CN"/>
        </w:rPr>
        <w:t>Екосхема</w:t>
      </w:r>
      <w:proofErr w:type="spellEnd"/>
      <w:r w:rsidRPr="004C53F4">
        <w:rPr>
          <w:rFonts w:ascii="Times New Roman" w:eastAsia="SimSun" w:hAnsi="Times New Roman" w:cs="Times New Roman"/>
          <w:b/>
          <w:sz w:val="28"/>
          <w:szCs w:val="28"/>
          <w:lang w:eastAsia="zh-CN"/>
        </w:rPr>
        <w:t xml:space="preserve"> за поддържане и подобряване на биологичното разнообрази</w:t>
      </w:r>
      <w:r w:rsidR="004260BB">
        <w:rPr>
          <w:rFonts w:ascii="Times New Roman" w:eastAsia="SimSun" w:hAnsi="Times New Roman" w:cs="Times New Roman"/>
          <w:b/>
          <w:sz w:val="28"/>
          <w:szCs w:val="28"/>
          <w:lang w:eastAsia="zh-CN"/>
        </w:rPr>
        <w:t>е и екологичната инфраструктура</w:t>
      </w:r>
    </w:p>
    <w:p w:rsidR="001A78A0" w:rsidRDefault="001A78A0" w:rsidP="001A78A0">
      <w:pPr>
        <w:jc w:val="both"/>
        <w:rPr>
          <w:rFonts w:ascii="Times New Roman" w:hAnsi="Times New Roman"/>
          <w:sz w:val="24"/>
          <w:szCs w:val="24"/>
        </w:rPr>
      </w:pPr>
    </w:p>
    <w:p w:rsidR="004335AE" w:rsidRDefault="001A78A0" w:rsidP="004C53F4">
      <w:pPr>
        <w:ind w:firstLine="708"/>
        <w:jc w:val="both"/>
        <w:rPr>
          <w:rFonts w:ascii="Times New Roman" w:hAnsi="Times New Roman" w:cs="Times New Roman"/>
          <w:sz w:val="24"/>
          <w:szCs w:val="24"/>
        </w:rPr>
      </w:pPr>
      <w:r w:rsidRPr="003B39A0">
        <w:rPr>
          <w:rFonts w:ascii="Times New Roman" w:hAnsi="Times New Roman"/>
          <w:sz w:val="24"/>
          <w:szCs w:val="24"/>
        </w:rPr>
        <w:t xml:space="preserve">За изчисление на конкретните нива на подпомагане в България е използван модел, оценяващ пропуснатите ползи и направените допълнителни разходи за всяко отделно </w:t>
      </w:r>
      <w:r w:rsidRPr="004335AE">
        <w:rPr>
          <w:rFonts w:ascii="Times New Roman" w:hAnsi="Times New Roman" w:cs="Times New Roman"/>
          <w:sz w:val="24"/>
          <w:szCs w:val="24"/>
        </w:rPr>
        <w:t>направление на мярката и конкретните, допустими и изискуеми дейности. Методологията за изчисляване е в съответствие с Регламент(ЕС) 2021/2115</w:t>
      </w:r>
      <w:r w:rsidR="004335AE" w:rsidRPr="004335AE">
        <w:rPr>
          <w:rFonts w:ascii="Times New Roman" w:hAnsi="Times New Roman" w:cs="Times New Roman"/>
          <w:sz w:val="24"/>
          <w:szCs w:val="24"/>
        </w:rPr>
        <w:t xml:space="preserve"> и се допълва </w:t>
      </w:r>
      <w:r w:rsidR="00E66774">
        <w:rPr>
          <w:rFonts w:ascii="Times New Roman" w:hAnsi="Times New Roman" w:cs="Times New Roman"/>
          <w:sz w:val="24"/>
          <w:szCs w:val="24"/>
        </w:rPr>
        <w:t>с</w:t>
      </w:r>
      <w:r w:rsidR="004335AE" w:rsidRPr="004335AE">
        <w:rPr>
          <w:rFonts w:ascii="Times New Roman" w:hAnsi="Times New Roman" w:cs="Times New Roman"/>
          <w:sz w:val="24"/>
          <w:szCs w:val="24"/>
        </w:rPr>
        <w:t xml:space="preserve"> остойностяване на две нови допустими дейности и елементи разписани от МЗХ и съобразени от </w:t>
      </w:r>
      <w:r w:rsidR="004335AE" w:rsidRPr="004335AE">
        <w:rPr>
          <w:rFonts w:ascii="Times New Roman" w:hAnsi="Times New Roman" w:cs="Times New Roman"/>
          <w:color w:val="000000" w:themeColor="text1"/>
          <w:sz w:val="24"/>
          <w:szCs w:val="24"/>
        </w:rPr>
        <w:t xml:space="preserve">разпоредбата на чл. 31, </w:t>
      </w:r>
      <w:proofErr w:type="spellStart"/>
      <w:r w:rsidR="004335AE" w:rsidRPr="004335AE">
        <w:rPr>
          <w:rFonts w:ascii="Times New Roman" w:hAnsi="Times New Roman" w:cs="Times New Roman"/>
          <w:color w:val="000000" w:themeColor="text1"/>
          <w:sz w:val="24"/>
          <w:szCs w:val="24"/>
        </w:rPr>
        <w:t>пар</w:t>
      </w:r>
      <w:proofErr w:type="spellEnd"/>
      <w:r w:rsidR="004335AE" w:rsidRPr="004335AE">
        <w:rPr>
          <w:rFonts w:ascii="Times New Roman" w:hAnsi="Times New Roman" w:cs="Times New Roman"/>
          <w:color w:val="000000" w:themeColor="text1"/>
          <w:sz w:val="24"/>
          <w:szCs w:val="24"/>
        </w:rPr>
        <w:t>. 1а от Регламент(ЕС) 2021/2115 на Европейския парламент и на Съвета от 2 декември 2021 година, въведена с изменението посредством Регламент (ЕС) 2024/1468 на Европейския парламент и на Съвета от 14 май 2024 година</w:t>
      </w:r>
      <w:r w:rsidR="004335AE">
        <w:rPr>
          <w:rFonts w:ascii="Times New Roman" w:hAnsi="Times New Roman" w:cs="Times New Roman"/>
          <w:sz w:val="24"/>
          <w:szCs w:val="24"/>
        </w:rPr>
        <w:t>.</w:t>
      </w:r>
    </w:p>
    <w:p w:rsidR="009F3BE7" w:rsidRDefault="009F3BE7" w:rsidP="009F3BE7">
      <w:pPr>
        <w:spacing w:line="240" w:lineRule="auto"/>
        <w:ind w:firstLine="708"/>
        <w:jc w:val="both"/>
        <w:rPr>
          <w:rFonts w:ascii="Times New Roman" w:hAnsi="Times New Roman"/>
          <w:sz w:val="24"/>
          <w:szCs w:val="24"/>
        </w:rPr>
      </w:pPr>
      <w:r>
        <w:rPr>
          <w:rFonts w:ascii="Times New Roman" w:hAnsi="Times New Roman"/>
          <w:sz w:val="24"/>
          <w:szCs w:val="24"/>
        </w:rPr>
        <w:t>Основните принципи при разработване на методологията за изчисляване на плащанията е идентифициране и остойностяване на</w:t>
      </w:r>
      <w:r w:rsidRPr="00065057">
        <w:rPr>
          <w:rFonts w:ascii="Times New Roman" w:hAnsi="Times New Roman"/>
          <w:sz w:val="24"/>
          <w:szCs w:val="24"/>
        </w:rPr>
        <w:t xml:space="preserve"> допълнително направени разходи и пропуснатите </w:t>
      </w:r>
      <w:r>
        <w:rPr>
          <w:rFonts w:ascii="Times New Roman" w:hAnsi="Times New Roman"/>
          <w:sz w:val="24"/>
          <w:szCs w:val="24"/>
        </w:rPr>
        <w:t>ползи</w:t>
      </w:r>
      <w:r w:rsidRPr="00065057">
        <w:rPr>
          <w:rFonts w:ascii="Times New Roman" w:hAnsi="Times New Roman"/>
          <w:sz w:val="24"/>
          <w:szCs w:val="24"/>
        </w:rPr>
        <w:t>, произтичащи от поетите задължения, като се вземат предвид определените целеви стойности.</w:t>
      </w:r>
      <w:r w:rsidR="004335AE">
        <w:rPr>
          <w:rFonts w:ascii="Times New Roman" w:hAnsi="Times New Roman"/>
          <w:sz w:val="24"/>
          <w:szCs w:val="24"/>
        </w:rPr>
        <w:t xml:space="preserve"> </w:t>
      </w:r>
      <w:r w:rsidRPr="00324369">
        <w:rPr>
          <w:rFonts w:ascii="Times New Roman" w:hAnsi="Times New Roman"/>
          <w:sz w:val="24"/>
          <w:szCs w:val="24"/>
        </w:rPr>
        <w:t xml:space="preserve">Тези плащания се отпускат годишно </w:t>
      </w:r>
      <w:r>
        <w:rPr>
          <w:rFonts w:ascii="Times New Roman" w:hAnsi="Times New Roman"/>
          <w:sz w:val="24"/>
          <w:szCs w:val="24"/>
        </w:rPr>
        <w:t>за да покриват разходите за поддържане на екологична, зелена инфраструктура, както и за алтернативни приходи  от пропуснати производствени ползи за земеделския производител.</w:t>
      </w:r>
    </w:p>
    <w:p w:rsidR="009F3BE7" w:rsidRDefault="009F3BE7" w:rsidP="009F3BE7">
      <w:pPr>
        <w:spacing w:line="240" w:lineRule="auto"/>
        <w:ind w:firstLine="708"/>
        <w:jc w:val="both"/>
        <w:rPr>
          <w:rFonts w:ascii="Times New Roman" w:hAnsi="Times New Roman"/>
          <w:sz w:val="24"/>
          <w:szCs w:val="24"/>
        </w:rPr>
      </w:pPr>
      <w:r w:rsidRPr="00324369">
        <w:rPr>
          <w:rFonts w:ascii="Times New Roman" w:hAnsi="Times New Roman"/>
          <w:sz w:val="24"/>
          <w:szCs w:val="24"/>
        </w:rPr>
        <w:t>Подходът за изчисляване на плащанията включва два от предвидените способа за тяхното калкулиране, указано в чл.31 параграф 7, като плащания, които допълват основното подпомагане на доходите или като плащания за обезщетяване на активни земеделски стопани или групи от активни земеделски стопани за съвкупността или за част от направените допълнителни разходи и пропуснатите приходи в резултат на поетите задължения.</w:t>
      </w:r>
    </w:p>
    <w:p w:rsidR="004335AE" w:rsidRPr="004335AE" w:rsidRDefault="004335AE" w:rsidP="004335AE">
      <w:pPr>
        <w:spacing w:line="240" w:lineRule="auto"/>
        <w:ind w:firstLine="708"/>
        <w:jc w:val="both"/>
        <w:rPr>
          <w:rFonts w:ascii="Times New Roman" w:hAnsi="Times New Roman" w:cs="Times New Roman"/>
          <w:sz w:val="24"/>
          <w:szCs w:val="24"/>
        </w:rPr>
      </w:pPr>
      <w:r>
        <w:rPr>
          <w:rFonts w:ascii="Times New Roman" w:hAnsi="Times New Roman"/>
          <w:sz w:val="24"/>
          <w:szCs w:val="24"/>
        </w:rPr>
        <w:t xml:space="preserve">В настоящата методология </w:t>
      </w:r>
      <w:r w:rsidR="00E66774">
        <w:rPr>
          <w:rFonts w:ascii="Times New Roman" w:hAnsi="Times New Roman"/>
          <w:sz w:val="24"/>
          <w:szCs w:val="24"/>
        </w:rPr>
        <w:t>с</w:t>
      </w:r>
      <w:r>
        <w:rPr>
          <w:rFonts w:ascii="Times New Roman" w:hAnsi="Times New Roman"/>
          <w:sz w:val="24"/>
          <w:szCs w:val="24"/>
        </w:rPr>
        <w:t xml:space="preserve"> направени изчисления са включени формиращите елементи на </w:t>
      </w:r>
      <w:r w:rsidRPr="00CE37B0">
        <w:rPr>
          <w:rFonts w:ascii="Times New Roman" w:hAnsi="Times New Roman" w:cs="Times New Roman"/>
          <w:sz w:val="24"/>
          <w:szCs w:val="24"/>
        </w:rPr>
        <w:t xml:space="preserve">компенсаторното плащане </w:t>
      </w:r>
      <w:r w:rsidRPr="00F96322">
        <w:rPr>
          <w:rFonts w:ascii="Times New Roman" w:hAnsi="Times New Roman"/>
          <w:sz w:val="24"/>
          <w:szCs w:val="24"/>
        </w:rPr>
        <w:t>предложено за: въвеждане на нов елемент в обхвата на екологичната инфраструктура и непроизводствени площи</w:t>
      </w:r>
      <w:r w:rsidRPr="00CE37B0">
        <w:rPr>
          <w:rFonts w:ascii="Times New Roman" w:hAnsi="Times New Roman" w:cs="Times New Roman"/>
          <w:sz w:val="24"/>
          <w:szCs w:val="24"/>
        </w:rPr>
        <w:t xml:space="preserve"> – елемент 10 – „Земя оставена под угар върху обработваема земя” и въвеждане на допълнителна екологична практика – екологична практика 2 – „създаване на буферни ивици в обработваеми земи”</w:t>
      </w:r>
      <w:r w:rsidR="00CE37B0" w:rsidRPr="00CE37B0">
        <w:rPr>
          <w:rFonts w:ascii="Times New Roman" w:hAnsi="Times New Roman" w:cs="Times New Roman"/>
          <w:sz w:val="24"/>
          <w:szCs w:val="24"/>
        </w:rPr>
        <w:t xml:space="preserve"> и</w:t>
      </w:r>
      <w:r w:rsidR="00E66774">
        <w:rPr>
          <w:rFonts w:ascii="Times New Roman" w:hAnsi="Times New Roman" w:cs="Times New Roman"/>
          <w:sz w:val="24"/>
          <w:szCs w:val="24"/>
        </w:rPr>
        <w:t xml:space="preserve"> </w:t>
      </w:r>
      <w:r w:rsidR="00F96322">
        <w:rPr>
          <w:rFonts w:ascii="Times New Roman" w:hAnsi="Times New Roman" w:cs="Times New Roman"/>
          <w:sz w:val="24"/>
          <w:szCs w:val="24"/>
        </w:rPr>
        <w:t>екологичен елемент</w:t>
      </w:r>
      <w:r w:rsidR="00CE37B0" w:rsidRPr="00CE37B0">
        <w:rPr>
          <w:rFonts w:ascii="Times New Roman" w:hAnsi="Times New Roman" w:cs="Times New Roman"/>
          <w:sz w:val="24"/>
          <w:szCs w:val="24"/>
        </w:rPr>
        <w:t xml:space="preserve"> за „</w:t>
      </w:r>
      <w:r w:rsidR="00CE37B0" w:rsidRPr="00CE37B0">
        <w:rPr>
          <w:rFonts w:ascii="Times New Roman" w:hAnsi="Times New Roman" w:cs="Times New Roman"/>
          <w:bCs/>
          <w:color w:val="000000"/>
          <w:sz w:val="24"/>
          <w:szCs w:val="24"/>
        </w:rPr>
        <w:t>опазване на определени типове природни местообитания и местообитания на видове от значение на Общността</w:t>
      </w:r>
      <w:r w:rsidR="00CE37B0">
        <w:rPr>
          <w:rFonts w:ascii="Times New Roman" w:hAnsi="Times New Roman" w:cs="Times New Roman"/>
          <w:bCs/>
          <w:color w:val="000000"/>
          <w:sz w:val="24"/>
          <w:szCs w:val="24"/>
        </w:rPr>
        <w:t>”</w:t>
      </w:r>
      <w:r w:rsidRPr="004335AE">
        <w:rPr>
          <w:rFonts w:ascii="Times New Roman" w:hAnsi="Times New Roman" w:cs="Times New Roman"/>
          <w:sz w:val="24"/>
          <w:szCs w:val="24"/>
        </w:rPr>
        <w:t>.</w:t>
      </w:r>
    </w:p>
    <w:p w:rsidR="009F3BE7" w:rsidRDefault="009F3BE7" w:rsidP="009F3BE7">
      <w:pPr>
        <w:spacing w:line="240" w:lineRule="auto"/>
        <w:ind w:firstLine="708"/>
        <w:jc w:val="both"/>
        <w:rPr>
          <w:rFonts w:ascii="Times New Roman" w:hAnsi="Times New Roman"/>
          <w:sz w:val="24"/>
          <w:szCs w:val="24"/>
        </w:rPr>
      </w:pPr>
      <w:r w:rsidRPr="00324369">
        <w:rPr>
          <w:rFonts w:ascii="Times New Roman" w:hAnsi="Times New Roman"/>
          <w:sz w:val="24"/>
          <w:szCs w:val="24"/>
        </w:rPr>
        <w:t xml:space="preserve">За </w:t>
      </w:r>
      <w:r>
        <w:rPr>
          <w:rFonts w:ascii="Times New Roman" w:hAnsi="Times New Roman"/>
          <w:sz w:val="24"/>
          <w:szCs w:val="24"/>
        </w:rPr>
        <w:t xml:space="preserve">определяне на ставките </w:t>
      </w:r>
      <w:r w:rsidRPr="00324369">
        <w:rPr>
          <w:rFonts w:ascii="Times New Roman" w:hAnsi="Times New Roman"/>
          <w:sz w:val="24"/>
          <w:szCs w:val="24"/>
        </w:rPr>
        <w:t>са използвани официални статистически източници на МЗ</w:t>
      </w:r>
      <w:r w:rsidR="004335AE">
        <w:rPr>
          <w:rFonts w:ascii="Times New Roman" w:hAnsi="Times New Roman"/>
          <w:sz w:val="24"/>
          <w:szCs w:val="24"/>
        </w:rPr>
        <w:t>Х</w:t>
      </w:r>
      <w:r w:rsidRPr="00324369">
        <w:rPr>
          <w:rFonts w:ascii="Times New Roman" w:hAnsi="Times New Roman"/>
          <w:sz w:val="24"/>
          <w:szCs w:val="24"/>
        </w:rPr>
        <w:t xml:space="preserve"> и НСИ, отнасящи се до производствени и икономически показатели, включени в  методологията на изчисляване. </w:t>
      </w:r>
      <w:r w:rsidR="004335AE">
        <w:rPr>
          <w:rFonts w:ascii="Times New Roman" w:hAnsi="Times New Roman"/>
          <w:sz w:val="24"/>
          <w:szCs w:val="24"/>
        </w:rPr>
        <w:t xml:space="preserve">Всички формиращи елементи на изчисленията са направени по данни използвани и за останалите дейности по тази Еко-схема, като по този начин се запазва изчислителните равнища между </w:t>
      </w:r>
      <w:r w:rsidR="00E37053">
        <w:rPr>
          <w:rFonts w:ascii="Times New Roman" w:hAnsi="Times New Roman"/>
          <w:sz w:val="24"/>
          <w:szCs w:val="24"/>
        </w:rPr>
        <w:t>съществуващите екологични инфраструктурни елементи и прибавените нови такива</w:t>
      </w:r>
      <w:r w:rsidRPr="00324369">
        <w:rPr>
          <w:rFonts w:ascii="Times New Roman" w:hAnsi="Times New Roman"/>
          <w:sz w:val="24"/>
          <w:szCs w:val="24"/>
        </w:rPr>
        <w:t>. Ползвана е и базата данни о</w:t>
      </w:r>
      <w:r>
        <w:rPr>
          <w:rFonts w:ascii="Times New Roman" w:hAnsi="Times New Roman"/>
          <w:sz w:val="24"/>
          <w:szCs w:val="24"/>
        </w:rPr>
        <w:t xml:space="preserve">т резултати от проекти </w:t>
      </w:r>
      <w:r w:rsidRPr="00324369">
        <w:rPr>
          <w:rFonts w:ascii="Times New Roman" w:hAnsi="Times New Roman"/>
          <w:sz w:val="24"/>
          <w:szCs w:val="24"/>
        </w:rPr>
        <w:t xml:space="preserve">събрана от Центъра за икономически изследвания в селското стопанство - САРА и от </w:t>
      </w:r>
      <w:r w:rsidR="00E37053">
        <w:rPr>
          <w:rFonts w:ascii="Times New Roman" w:hAnsi="Times New Roman"/>
          <w:sz w:val="24"/>
          <w:szCs w:val="24"/>
        </w:rPr>
        <w:t xml:space="preserve">технологичните карти на </w:t>
      </w:r>
      <w:r w:rsidRPr="00324369">
        <w:rPr>
          <w:rFonts w:ascii="Times New Roman" w:hAnsi="Times New Roman"/>
          <w:sz w:val="24"/>
          <w:szCs w:val="24"/>
        </w:rPr>
        <w:t xml:space="preserve">Институт по аграрна икономика. </w:t>
      </w:r>
    </w:p>
    <w:p w:rsidR="00E37053" w:rsidRDefault="00E37053" w:rsidP="009F3BE7">
      <w:pPr>
        <w:spacing w:line="240" w:lineRule="auto"/>
        <w:ind w:firstLine="708"/>
        <w:jc w:val="both"/>
        <w:rPr>
          <w:rFonts w:ascii="Times New Roman" w:hAnsi="Times New Roman"/>
          <w:sz w:val="24"/>
          <w:szCs w:val="24"/>
        </w:rPr>
      </w:pPr>
      <w:r>
        <w:rPr>
          <w:rFonts w:ascii="Times New Roman" w:hAnsi="Times New Roman" w:cs="Times New Roman"/>
          <w:sz w:val="24"/>
          <w:szCs w:val="24"/>
        </w:rPr>
        <w:t>Съгласно разписаните указания за з</w:t>
      </w:r>
      <w:r w:rsidRPr="00E37053">
        <w:rPr>
          <w:rFonts w:ascii="Times New Roman" w:hAnsi="Times New Roman"/>
          <w:sz w:val="24"/>
          <w:szCs w:val="24"/>
        </w:rPr>
        <w:t>емя</w:t>
      </w:r>
      <w:r>
        <w:rPr>
          <w:rFonts w:ascii="Times New Roman" w:hAnsi="Times New Roman"/>
          <w:sz w:val="24"/>
          <w:szCs w:val="24"/>
        </w:rPr>
        <w:t xml:space="preserve"> </w:t>
      </w:r>
      <w:r w:rsidRPr="00E37053">
        <w:rPr>
          <w:rFonts w:ascii="Times New Roman" w:hAnsi="Times New Roman"/>
          <w:sz w:val="24"/>
          <w:szCs w:val="24"/>
        </w:rPr>
        <w:t xml:space="preserve">оставена под угар върху обработваема земя </w:t>
      </w:r>
      <w:r>
        <w:rPr>
          <w:rFonts w:ascii="Times New Roman" w:hAnsi="Times New Roman"/>
          <w:sz w:val="24"/>
          <w:szCs w:val="24"/>
        </w:rPr>
        <w:t xml:space="preserve">са </w:t>
      </w:r>
      <w:r w:rsidRPr="00E37053">
        <w:rPr>
          <w:rFonts w:ascii="Times New Roman" w:hAnsi="Times New Roman"/>
          <w:sz w:val="24"/>
          <w:szCs w:val="24"/>
        </w:rPr>
        <w:t>допустими по интервенцията могат да бъдат до 7% от обработваемите земи в стопанството, заети с площи оставени под угар.</w:t>
      </w:r>
      <w:r>
        <w:rPr>
          <w:rFonts w:ascii="Times New Roman" w:hAnsi="Times New Roman"/>
          <w:sz w:val="24"/>
          <w:szCs w:val="24"/>
        </w:rPr>
        <w:t xml:space="preserve"> </w:t>
      </w:r>
      <w:r w:rsidRPr="00E37053">
        <w:rPr>
          <w:rFonts w:ascii="Times New Roman" w:hAnsi="Times New Roman"/>
          <w:sz w:val="24"/>
          <w:szCs w:val="24"/>
        </w:rPr>
        <w:t xml:space="preserve">Земя, оставена под угар – земеделска площ, върху която е извършена най-малко една от следните почвени обработки: изораване, </w:t>
      </w:r>
      <w:proofErr w:type="spellStart"/>
      <w:r w:rsidRPr="00E37053">
        <w:rPr>
          <w:rFonts w:ascii="Times New Roman" w:hAnsi="Times New Roman"/>
          <w:sz w:val="24"/>
          <w:szCs w:val="24"/>
        </w:rPr>
        <w:t>дисковане</w:t>
      </w:r>
      <w:proofErr w:type="spellEnd"/>
      <w:r w:rsidRPr="00E37053">
        <w:rPr>
          <w:rFonts w:ascii="Times New Roman" w:hAnsi="Times New Roman"/>
          <w:sz w:val="24"/>
          <w:szCs w:val="24"/>
        </w:rPr>
        <w:t xml:space="preserve">, </w:t>
      </w:r>
      <w:proofErr w:type="spellStart"/>
      <w:r w:rsidRPr="00E37053">
        <w:rPr>
          <w:rFonts w:ascii="Times New Roman" w:hAnsi="Times New Roman"/>
          <w:sz w:val="24"/>
          <w:szCs w:val="24"/>
        </w:rPr>
        <w:t>листеруване</w:t>
      </w:r>
      <w:proofErr w:type="spellEnd"/>
      <w:r w:rsidRPr="00E37053">
        <w:rPr>
          <w:rFonts w:ascii="Times New Roman" w:hAnsi="Times New Roman"/>
          <w:sz w:val="24"/>
          <w:szCs w:val="24"/>
        </w:rPr>
        <w:t xml:space="preserve"> (</w:t>
      </w:r>
      <w:proofErr w:type="spellStart"/>
      <w:r w:rsidRPr="00E37053">
        <w:rPr>
          <w:rFonts w:ascii="Times New Roman" w:hAnsi="Times New Roman"/>
          <w:sz w:val="24"/>
          <w:szCs w:val="24"/>
        </w:rPr>
        <w:t>плоскорезна</w:t>
      </w:r>
      <w:proofErr w:type="spellEnd"/>
      <w:r w:rsidRPr="00E37053">
        <w:rPr>
          <w:rFonts w:ascii="Times New Roman" w:hAnsi="Times New Roman"/>
          <w:sz w:val="24"/>
          <w:szCs w:val="24"/>
        </w:rPr>
        <w:t xml:space="preserve"> обработка), култивиране, </w:t>
      </w:r>
      <w:proofErr w:type="spellStart"/>
      <w:r w:rsidRPr="00E37053">
        <w:rPr>
          <w:rFonts w:ascii="Times New Roman" w:hAnsi="Times New Roman"/>
          <w:sz w:val="24"/>
          <w:szCs w:val="24"/>
        </w:rPr>
        <w:t>ивични</w:t>
      </w:r>
      <w:proofErr w:type="spellEnd"/>
      <w:r w:rsidRPr="00E37053">
        <w:rPr>
          <w:rFonts w:ascii="Times New Roman" w:hAnsi="Times New Roman"/>
          <w:sz w:val="24"/>
          <w:szCs w:val="24"/>
        </w:rPr>
        <w:t xml:space="preserve"> обработки, </w:t>
      </w:r>
      <w:proofErr w:type="spellStart"/>
      <w:r w:rsidRPr="00E37053">
        <w:rPr>
          <w:rFonts w:ascii="Times New Roman" w:hAnsi="Times New Roman"/>
          <w:sz w:val="24"/>
          <w:szCs w:val="24"/>
        </w:rPr>
        <w:t>мулчиране</w:t>
      </w:r>
      <w:proofErr w:type="spellEnd"/>
      <w:r w:rsidRPr="00E37053">
        <w:rPr>
          <w:rFonts w:ascii="Times New Roman" w:hAnsi="Times New Roman"/>
          <w:sz w:val="24"/>
          <w:szCs w:val="24"/>
        </w:rPr>
        <w:t xml:space="preserve"> с остатъците от предходната култура и върху която не се </w:t>
      </w:r>
      <w:r w:rsidRPr="00E37053">
        <w:rPr>
          <w:rFonts w:ascii="Times New Roman" w:hAnsi="Times New Roman"/>
          <w:sz w:val="24"/>
          <w:szCs w:val="24"/>
        </w:rPr>
        <w:lastRenderedPageBreak/>
        <w:t>произвежда земеделска продукция в периода от 1 януари до 15 юли на година на кандидатстване.</w:t>
      </w:r>
    </w:p>
    <w:p w:rsidR="00E37053" w:rsidRDefault="00E37053" w:rsidP="009F3BE7">
      <w:pPr>
        <w:spacing w:line="240" w:lineRule="auto"/>
        <w:ind w:firstLine="708"/>
        <w:jc w:val="both"/>
        <w:rPr>
          <w:rFonts w:ascii="Times New Roman" w:hAnsi="Times New Roman" w:cs="Times New Roman"/>
          <w:sz w:val="24"/>
          <w:szCs w:val="24"/>
        </w:rPr>
      </w:pPr>
      <w:r>
        <w:rPr>
          <w:rFonts w:ascii="Times New Roman" w:hAnsi="Times New Roman"/>
          <w:sz w:val="24"/>
          <w:szCs w:val="24"/>
        </w:rPr>
        <w:t xml:space="preserve">За дейността по създаване на буферни ивици в обработваеми земи е дефинирано, че това са </w:t>
      </w:r>
      <w:r w:rsidRPr="00E37053">
        <w:rPr>
          <w:rFonts w:ascii="Times New Roman" w:hAnsi="Times New Roman" w:cs="Times New Roman"/>
          <w:sz w:val="24"/>
          <w:szCs w:val="24"/>
        </w:rPr>
        <w:t>буферните ивици – ширина от 1 м. до 20 м. За изчисляване на допустимата площ се използва тегловен коефициент 1.5 и коефициент на преобразуване – 6. Буферните ивици могат да включват различни варианти за покритие – естествена растителност, черна угар, специфична растителност (включително цъфтящи растения).</w:t>
      </w:r>
    </w:p>
    <w:p w:rsidR="00CE37B0" w:rsidRPr="00CE37B0" w:rsidRDefault="00CE37B0" w:rsidP="009F3BE7">
      <w:pPr>
        <w:spacing w:line="240" w:lineRule="auto"/>
        <w:ind w:firstLine="708"/>
        <w:jc w:val="both"/>
        <w:rPr>
          <w:rFonts w:ascii="Times New Roman" w:hAnsi="Times New Roman" w:cs="Times New Roman"/>
          <w:sz w:val="24"/>
          <w:szCs w:val="24"/>
        </w:rPr>
      </w:pPr>
      <w:r w:rsidRPr="00F96322">
        <w:rPr>
          <w:rFonts w:ascii="Times New Roman" w:hAnsi="Times New Roman" w:cs="Times New Roman"/>
          <w:sz w:val="24"/>
          <w:szCs w:val="24"/>
        </w:rPr>
        <w:t xml:space="preserve">При дейността </w:t>
      </w:r>
      <w:r w:rsidRPr="00F96322">
        <w:rPr>
          <w:rFonts w:ascii="Times New Roman" w:hAnsi="Times New Roman" w:cs="Times New Roman"/>
          <w:bCs/>
          <w:color w:val="000000"/>
          <w:sz w:val="24"/>
          <w:szCs w:val="24"/>
        </w:rPr>
        <w:t>за опазване на определени типове природни местообитания и местообитания на видове от значение на Общността се забранява осъществяването на всички видове земеделска дейност и проверката и при за двойно финансиране се стига до извода, че тези площи не следва да получават други компенсаторни плащания по други схеми при които се компенсират пропуснати ползи или ако получават такива, които са по-високи изчисленото компенсаторно плащане трябва да бъде приспаднато.</w:t>
      </w:r>
    </w:p>
    <w:p w:rsidR="009F3BE7" w:rsidRDefault="009F3BE7" w:rsidP="009F3BE7">
      <w:pPr>
        <w:spacing w:line="240" w:lineRule="auto"/>
        <w:ind w:firstLine="708"/>
        <w:jc w:val="both"/>
        <w:rPr>
          <w:rFonts w:ascii="Times New Roman" w:hAnsi="Times New Roman" w:cs="Times New Roman"/>
          <w:sz w:val="24"/>
          <w:szCs w:val="24"/>
        </w:rPr>
      </w:pPr>
      <w:r w:rsidRPr="00455FFD">
        <w:rPr>
          <w:rFonts w:ascii="Times New Roman" w:hAnsi="Times New Roman" w:cs="Times New Roman"/>
          <w:sz w:val="24"/>
          <w:szCs w:val="24"/>
        </w:rPr>
        <w:t xml:space="preserve">Плащането е на хектар </w:t>
      </w:r>
      <w:r>
        <w:rPr>
          <w:rFonts w:ascii="Times New Roman" w:hAnsi="Times New Roman" w:cs="Times New Roman"/>
          <w:sz w:val="24"/>
          <w:szCs w:val="24"/>
        </w:rPr>
        <w:t>площ</w:t>
      </w:r>
      <w:r w:rsidRPr="00455FFD">
        <w:rPr>
          <w:rFonts w:ascii="Times New Roman" w:hAnsi="Times New Roman" w:cs="Times New Roman"/>
          <w:sz w:val="24"/>
          <w:szCs w:val="24"/>
        </w:rPr>
        <w:t xml:space="preserve">, </w:t>
      </w:r>
      <w:r>
        <w:rPr>
          <w:rFonts w:ascii="Times New Roman" w:hAnsi="Times New Roman" w:cs="Times New Roman"/>
          <w:sz w:val="24"/>
          <w:szCs w:val="24"/>
        </w:rPr>
        <w:t xml:space="preserve">на която е изградена </w:t>
      </w:r>
      <w:r w:rsidRPr="00455FFD">
        <w:rPr>
          <w:rFonts w:ascii="Times New Roman" w:hAnsi="Times New Roman" w:cs="Times New Roman"/>
          <w:sz w:val="24"/>
          <w:szCs w:val="24"/>
        </w:rPr>
        <w:t>екологична инфраструктура</w:t>
      </w:r>
      <w:r>
        <w:rPr>
          <w:rFonts w:ascii="Times New Roman" w:hAnsi="Times New Roman" w:cs="Times New Roman"/>
          <w:sz w:val="24"/>
          <w:szCs w:val="24"/>
        </w:rPr>
        <w:t xml:space="preserve">,  </w:t>
      </w:r>
      <w:r w:rsidRPr="00455FFD">
        <w:rPr>
          <w:rFonts w:ascii="Times New Roman" w:hAnsi="Times New Roman" w:cs="Times New Roman"/>
          <w:sz w:val="24"/>
          <w:szCs w:val="24"/>
        </w:rPr>
        <w:t>ставката е компенсаторна съгласно чл. 31,параграф</w:t>
      </w:r>
      <w:r>
        <w:rPr>
          <w:rFonts w:ascii="Times New Roman" w:hAnsi="Times New Roman" w:cs="Times New Roman"/>
          <w:sz w:val="24"/>
          <w:szCs w:val="24"/>
        </w:rPr>
        <w:t>7</w:t>
      </w:r>
      <w:r w:rsidRPr="00455FFD">
        <w:rPr>
          <w:rFonts w:ascii="Times New Roman" w:hAnsi="Times New Roman" w:cs="Times New Roman"/>
          <w:sz w:val="24"/>
          <w:szCs w:val="24"/>
        </w:rPr>
        <w:t xml:space="preserve"> (</w:t>
      </w:r>
      <w:r>
        <w:rPr>
          <w:rFonts w:ascii="Times New Roman" w:hAnsi="Times New Roman" w:cs="Times New Roman"/>
          <w:sz w:val="24"/>
          <w:szCs w:val="24"/>
        </w:rPr>
        <w:t>б</w:t>
      </w:r>
      <w:r w:rsidRPr="00455FFD">
        <w:rPr>
          <w:rFonts w:ascii="Times New Roman" w:hAnsi="Times New Roman" w:cs="Times New Roman"/>
          <w:sz w:val="24"/>
          <w:szCs w:val="24"/>
        </w:rPr>
        <w:t>) от Регламент(ЕС) 2021/2115 за подготовка на Стратегическите планове.</w:t>
      </w:r>
    </w:p>
    <w:p w:rsidR="009F3BE7" w:rsidRPr="00E0358D" w:rsidRDefault="009F3BE7" w:rsidP="009F3BE7">
      <w:pPr>
        <w:spacing w:line="240" w:lineRule="auto"/>
        <w:ind w:firstLine="708"/>
        <w:jc w:val="both"/>
        <w:rPr>
          <w:rFonts w:ascii="Times New Roman" w:hAnsi="Times New Roman" w:cs="Times New Roman"/>
          <w:sz w:val="24"/>
          <w:szCs w:val="24"/>
        </w:rPr>
      </w:pPr>
      <w:r w:rsidRPr="00E0358D">
        <w:rPr>
          <w:rFonts w:ascii="Times New Roman" w:hAnsi="Times New Roman" w:cs="Times New Roman"/>
          <w:sz w:val="24"/>
          <w:szCs w:val="24"/>
        </w:rPr>
        <w:t>В методологията изчисленията са направени на основата на следните показатели:</w:t>
      </w:r>
    </w:p>
    <w:p w:rsidR="009F3BE7" w:rsidRPr="0028016F" w:rsidRDefault="00B45A7C" w:rsidP="00B45A7C">
      <w:pPr>
        <w:spacing w:line="240" w:lineRule="auto"/>
        <w:ind w:firstLine="708"/>
        <w:jc w:val="both"/>
        <w:rPr>
          <w:rFonts w:ascii="Times New Roman" w:hAnsi="Times New Roman" w:cs="Times New Roman"/>
          <w:sz w:val="24"/>
          <w:szCs w:val="24"/>
        </w:rPr>
      </w:pPr>
      <w:r w:rsidRPr="00B45A7C">
        <w:rPr>
          <w:rFonts w:ascii="Times New Roman" w:hAnsi="Times New Roman" w:cs="Times New Roman"/>
          <w:b/>
          <w:sz w:val="24"/>
          <w:szCs w:val="24"/>
        </w:rPr>
        <w:t xml:space="preserve">Пропуснати приходи от запазване на </w:t>
      </w:r>
      <w:proofErr w:type="spellStart"/>
      <w:r w:rsidRPr="00B45A7C">
        <w:rPr>
          <w:rFonts w:ascii="Times New Roman" w:hAnsi="Times New Roman" w:cs="Times New Roman"/>
          <w:b/>
          <w:sz w:val="24"/>
          <w:szCs w:val="24"/>
        </w:rPr>
        <w:t>ландшафтни</w:t>
      </w:r>
      <w:proofErr w:type="spellEnd"/>
      <w:r w:rsidRPr="00B45A7C">
        <w:rPr>
          <w:rFonts w:ascii="Times New Roman" w:hAnsi="Times New Roman" w:cs="Times New Roman"/>
          <w:b/>
          <w:sz w:val="24"/>
          <w:szCs w:val="24"/>
        </w:rPr>
        <w:t xml:space="preserve"> елементи</w:t>
      </w:r>
      <w:r w:rsidRPr="00B45A7C">
        <w:rPr>
          <w:rFonts w:ascii="Times New Roman" w:hAnsi="Times New Roman" w:cs="Times New Roman"/>
          <w:sz w:val="24"/>
          <w:szCs w:val="24"/>
        </w:rPr>
        <w:t xml:space="preserve"> при обработваеми земи</w:t>
      </w:r>
      <w:r>
        <w:rPr>
          <w:rFonts w:ascii="Times New Roman" w:hAnsi="Times New Roman" w:cs="Times New Roman"/>
          <w:sz w:val="24"/>
          <w:szCs w:val="24"/>
        </w:rPr>
        <w:t xml:space="preserve"> </w:t>
      </w:r>
      <w:r w:rsidR="00D50E7E">
        <w:rPr>
          <w:rFonts w:ascii="Times New Roman" w:hAnsi="Times New Roman" w:cs="Times New Roman"/>
          <w:sz w:val="24"/>
          <w:szCs w:val="24"/>
        </w:rPr>
        <w:t xml:space="preserve">са </w:t>
      </w:r>
      <w:r w:rsidRPr="00B45A7C">
        <w:rPr>
          <w:rFonts w:ascii="Times New Roman" w:hAnsi="Times New Roman" w:cs="Times New Roman"/>
          <w:sz w:val="24"/>
          <w:szCs w:val="24"/>
        </w:rPr>
        <w:t xml:space="preserve">пропуснатите приходи </w:t>
      </w:r>
      <w:r>
        <w:rPr>
          <w:rFonts w:ascii="Times New Roman" w:hAnsi="Times New Roman" w:cs="Times New Roman"/>
          <w:sz w:val="24"/>
          <w:szCs w:val="24"/>
        </w:rPr>
        <w:t>за земеделския производител</w:t>
      </w:r>
      <w:r w:rsidR="0034258F">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B45A7C">
        <w:rPr>
          <w:rFonts w:ascii="Times New Roman" w:hAnsi="Times New Roman" w:cs="Times New Roman"/>
          <w:sz w:val="24"/>
          <w:szCs w:val="24"/>
        </w:rPr>
        <w:t>резултат на поетите задължени</w:t>
      </w:r>
      <w:r>
        <w:rPr>
          <w:rFonts w:ascii="Times New Roman" w:hAnsi="Times New Roman" w:cs="Times New Roman"/>
          <w:sz w:val="24"/>
          <w:szCs w:val="24"/>
        </w:rPr>
        <w:t>я за з</w:t>
      </w:r>
      <w:r w:rsidRPr="00B45A7C">
        <w:rPr>
          <w:rFonts w:ascii="Times New Roman" w:hAnsi="Times New Roman" w:cs="Times New Roman"/>
          <w:sz w:val="24"/>
          <w:szCs w:val="24"/>
        </w:rPr>
        <w:t xml:space="preserve">апазване на </w:t>
      </w:r>
      <w:proofErr w:type="spellStart"/>
      <w:r w:rsidRPr="00B45A7C">
        <w:rPr>
          <w:rFonts w:ascii="Times New Roman" w:hAnsi="Times New Roman" w:cs="Times New Roman"/>
          <w:sz w:val="24"/>
          <w:szCs w:val="24"/>
        </w:rPr>
        <w:t>ландшафтните</w:t>
      </w:r>
      <w:proofErr w:type="spellEnd"/>
      <w:r w:rsidRPr="00B45A7C">
        <w:rPr>
          <w:rFonts w:ascii="Times New Roman" w:hAnsi="Times New Roman" w:cs="Times New Roman"/>
          <w:sz w:val="24"/>
          <w:szCs w:val="24"/>
        </w:rPr>
        <w:t xml:space="preserve"> елементи</w:t>
      </w:r>
      <w:r w:rsidR="00D50E7E">
        <w:rPr>
          <w:rFonts w:ascii="Times New Roman" w:hAnsi="Times New Roman" w:cs="Times New Roman"/>
          <w:sz w:val="24"/>
          <w:szCs w:val="24"/>
        </w:rPr>
        <w:t xml:space="preserve"> получени </w:t>
      </w:r>
      <w:r w:rsidR="008D0EF7">
        <w:rPr>
          <w:rFonts w:ascii="Times New Roman" w:hAnsi="Times New Roman" w:cs="Times New Roman"/>
          <w:sz w:val="24"/>
          <w:szCs w:val="24"/>
        </w:rPr>
        <w:t>чрез</w:t>
      </w:r>
      <w:r w:rsidR="00E37053">
        <w:rPr>
          <w:rFonts w:ascii="Times New Roman" w:hAnsi="Times New Roman" w:cs="Times New Roman"/>
          <w:sz w:val="24"/>
          <w:szCs w:val="24"/>
        </w:rPr>
        <w:t xml:space="preserve"> осредн</w:t>
      </w:r>
      <w:r w:rsidR="008D0EF7">
        <w:rPr>
          <w:rFonts w:ascii="Times New Roman" w:hAnsi="Times New Roman" w:cs="Times New Roman"/>
          <w:sz w:val="24"/>
          <w:szCs w:val="24"/>
        </w:rPr>
        <w:t>яване на</w:t>
      </w:r>
      <w:r w:rsidR="00E37053">
        <w:rPr>
          <w:rFonts w:ascii="Times New Roman" w:hAnsi="Times New Roman" w:cs="Times New Roman"/>
          <w:sz w:val="24"/>
          <w:szCs w:val="24"/>
        </w:rPr>
        <w:t xml:space="preserve"> брутни </w:t>
      </w:r>
      <w:proofErr w:type="spellStart"/>
      <w:r w:rsidR="00E37053">
        <w:rPr>
          <w:rFonts w:ascii="Times New Roman" w:hAnsi="Times New Roman" w:cs="Times New Roman"/>
          <w:sz w:val="24"/>
          <w:szCs w:val="24"/>
        </w:rPr>
        <w:t>маржини</w:t>
      </w:r>
      <w:proofErr w:type="spellEnd"/>
      <w:r w:rsidR="00E37053">
        <w:rPr>
          <w:rFonts w:ascii="Times New Roman" w:hAnsi="Times New Roman" w:cs="Times New Roman"/>
          <w:sz w:val="24"/>
          <w:szCs w:val="24"/>
        </w:rPr>
        <w:t xml:space="preserve"> </w:t>
      </w:r>
      <w:r w:rsidR="008D0EF7">
        <w:rPr>
          <w:rFonts w:ascii="Times New Roman" w:hAnsi="Times New Roman" w:cs="Times New Roman"/>
          <w:sz w:val="24"/>
          <w:szCs w:val="24"/>
        </w:rPr>
        <w:t xml:space="preserve">при пшеница при трите типологични райони </w:t>
      </w:r>
      <w:r w:rsidR="0028016F" w:rsidRPr="0028016F">
        <w:rPr>
          <w:rFonts w:ascii="Times New Roman" w:hAnsi="Times New Roman" w:cs="Times New Roman"/>
          <w:sz w:val="24"/>
          <w:szCs w:val="24"/>
        </w:rPr>
        <w:t>(</w:t>
      </w:r>
      <w:r w:rsidR="0028016F">
        <w:rPr>
          <w:rFonts w:ascii="Times New Roman" w:hAnsi="Times New Roman" w:cs="Times New Roman"/>
          <w:sz w:val="24"/>
          <w:szCs w:val="24"/>
        </w:rPr>
        <w:t>с или без природни и климатични ограничения</w:t>
      </w:r>
      <w:r w:rsidR="0028016F" w:rsidRPr="0028016F">
        <w:rPr>
          <w:rFonts w:ascii="Times New Roman" w:hAnsi="Times New Roman" w:cs="Times New Roman"/>
          <w:sz w:val="24"/>
          <w:szCs w:val="24"/>
        </w:rPr>
        <w:t>)</w:t>
      </w:r>
      <w:r w:rsidR="0028016F">
        <w:rPr>
          <w:rFonts w:ascii="Times New Roman" w:hAnsi="Times New Roman" w:cs="Times New Roman"/>
          <w:sz w:val="24"/>
          <w:szCs w:val="24"/>
        </w:rPr>
        <w:t xml:space="preserve"> и коефициент за намалена продуктивност при избора за площи </w:t>
      </w:r>
      <w:r w:rsidR="00D50E7E">
        <w:rPr>
          <w:rFonts w:ascii="Times New Roman" w:hAnsi="Times New Roman" w:cs="Times New Roman"/>
          <w:sz w:val="24"/>
          <w:szCs w:val="24"/>
        </w:rPr>
        <w:t>н</w:t>
      </w:r>
      <w:r w:rsidR="0028016F">
        <w:rPr>
          <w:rFonts w:ascii="Times New Roman" w:hAnsi="Times New Roman" w:cs="Times New Roman"/>
          <w:sz w:val="24"/>
          <w:szCs w:val="24"/>
        </w:rPr>
        <w:t>а буферни ивици и угари.</w:t>
      </w:r>
    </w:p>
    <w:p w:rsidR="00B45A7C" w:rsidRDefault="0034258F" w:rsidP="009144E1">
      <w:pPr>
        <w:spacing w:line="240" w:lineRule="auto"/>
        <w:ind w:firstLine="708"/>
        <w:jc w:val="both"/>
        <w:rPr>
          <w:rFonts w:ascii="Times New Roman" w:hAnsi="Times New Roman" w:cs="Times New Roman"/>
          <w:sz w:val="24"/>
          <w:szCs w:val="24"/>
        </w:rPr>
      </w:pPr>
      <w:r w:rsidRPr="0034258F">
        <w:rPr>
          <w:rFonts w:ascii="Times New Roman" w:hAnsi="Times New Roman" w:cs="Times New Roman"/>
          <w:b/>
          <w:sz w:val="24"/>
          <w:szCs w:val="24"/>
        </w:rPr>
        <w:t xml:space="preserve">Допълнителни разходи за поддържане на </w:t>
      </w:r>
      <w:proofErr w:type="spellStart"/>
      <w:r w:rsidRPr="0034258F">
        <w:rPr>
          <w:rFonts w:ascii="Times New Roman" w:hAnsi="Times New Roman" w:cs="Times New Roman"/>
          <w:b/>
          <w:sz w:val="24"/>
          <w:szCs w:val="24"/>
        </w:rPr>
        <w:t>ландшафтни</w:t>
      </w:r>
      <w:proofErr w:type="spellEnd"/>
      <w:r w:rsidRPr="0034258F">
        <w:rPr>
          <w:rFonts w:ascii="Times New Roman" w:hAnsi="Times New Roman" w:cs="Times New Roman"/>
          <w:b/>
          <w:sz w:val="24"/>
          <w:szCs w:val="24"/>
        </w:rPr>
        <w:t xml:space="preserve"> елементи</w:t>
      </w:r>
      <w:r>
        <w:rPr>
          <w:rFonts w:ascii="Times New Roman" w:hAnsi="Times New Roman" w:cs="Times New Roman"/>
          <w:b/>
          <w:sz w:val="24"/>
          <w:szCs w:val="24"/>
        </w:rPr>
        <w:t xml:space="preserve"> – </w:t>
      </w:r>
      <w:r w:rsidRPr="0034258F">
        <w:rPr>
          <w:rFonts w:ascii="Times New Roman" w:hAnsi="Times New Roman" w:cs="Times New Roman"/>
          <w:sz w:val="24"/>
          <w:szCs w:val="24"/>
        </w:rPr>
        <w:t>разходи за</w:t>
      </w:r>
      <w:r w:rsidR="0028016F">
        <w:rPr>
          <w:rFonts w:ascii="Times New Roman" w:hAnsi="Times New Roman" w:cs="Times New Roman"/>
          <w:sz w:val="24"/>
          <w:szCs w:val="24"/>
        </w:rPr>
        <w:t xml:space="preserve"> </w:t>
      </w:r>
      <w:r w:rsidR="009144E1" w:rsidRPr="009144E1">
        <w:rPr>
          <w:rFonts w:ascii="Times New Roman" w:hAnsi="Times New Roman" w:cs="Times New Roman"/>
          <w:sz w:val="24"/>
          <w:szCs w:val="24"/>
        </w:rPr>
        <w:t xml:space="preserve">дейности за поддържане на </w:t>
      </w:r>
      <w:r w:rsidR="00D50E7E">
        <w:rPr>
          <w:rFonts w:ascii="Times New Roman" w:hAnsi="Times New Roman" w:cs="Times New Roman"/>
          <w:sz w:val="24"/>
          <w:szCs w:val="24"/>
        </w:rPr>
        <w:t>покривката на</w:t>
      </w:r>
      <w:r w:rsidR="009144E1" w:rsidRPr="009144E1">
        <w:rPr>
          <w:rFonts w:ascii="Times New Roman" w:hAnsi="Times New Roman" w:cs="Times New Roman"/>
          <w:sz w:val="24"/>
          <w:szCs w:val="24"/>
        </w:rPr>
        <w:t xml:space="preserve"> </w:t>
      </w:r>
      <w:r w:rsidR="0028016F">
        <w:rPr>
          <w:rFonts w:ascii="Times New Roman" w:hAnsi="Times New Roman" w:cs="Times New Roman"/>
          <w:sz w:val="24"/>
          <w:szCs w:val="24"/>
        </w:rPr>
        <w:t>буферните ивици при тяхното затревяване, което е заложено да се прави един или два пъти годишно.</w:t>
      </w:r>
      <w:r w:rsidR="009144E1" w:rsidRPr="009144E1">
        <w:rPr>
          <w:rFonts w:ascii="Times New Roman" w:hAnsi="Times New Roman" w:cs="Times New Roman"/>
          <w:sz w:val="24"/>
          <w:szCs w:val="24"/>
        </w:rPr>
        <w:t>.</w:t>
      </w:r>
    </w:p>
    <w:p w:rsidR="00CE37B0" w:rsidRPr="009144E1" w:rsidRDefault="00CE37B0" w:rsidP="009144E1">
      <w:pPr>
        <w:spacing w:line="240" w:lineRule="auto"/>
        <w:ind w:firstLine="708"/>
        <w:jc w:val="both"/>
        <w:rPr>
          <w:rFonts w:ascii="Times New Roman" w:hAnsi="Times New Roman" w:cs="Times New Roman"/>
          <w:b/>
          <w:sz w:val="24"/>
          <w:szCs w:val="24"/>
        </w:rPr>
      </w:pPr>
      <w:r w:rsidRPr="00CE37B0">
        <w:rPr>
          <w:rFonts w:ascii="Times New Roman" w:hAnsi="Times New Roman" w:cs="Times New Roman"/>
          <w:b/>
          <w:sz w:val="24"/>
          <w:szCs w:val="24"/>
        </w:rPr>
        <w:t xml:space="preserve">Брутни </w:t>
      </w:r>
      <w:proofErr w:type="spellStart"/>
      <w:r w:rsidRPr="00CE37B0">
        <w:rPr>
          <w:rFonts w:ascii="Times New Roman" w:hAnsi="Times New Roman" w:cs="Times New Roman"/>
          <w:b/>
          <w:sz w:val="24"/>
          <w:szCs w:val="24"/>
        </w:rPr>
        <w:t>маржини</w:t>
      </w:r>
      <w:proofErr w:type="spellEnd"/>
      <w:r w:rsidRPr="00CE37B0">
        <w:rPr>
          <w:rFonts w:ascii="Times New Roman" w:hAnsi="Times New Roman" w:cs="Times New Roman"/>
          <w:b/>
          <w:sz w:val="24"/>
          <w:szCs w:val="24"/>
        </w:rPr>
        <w:t xml:space="preserve"> за ливади и обработваеми земи</w:t>
      </w:r>
      <w:r>
        <w:rPr>
          <w:rFonts w:ascii="Times New Roman" w:hAnsi="Times New Roman" w:cs="Times New Roman"/>
          <w:sz w:val="24"/>
          <w:szCs w:val="24"/>
        </w:rPr>
        <w:t xml:space="preserve"> – включват се приходите от производствената дейност от които се приспадат единствено преките производствени разходи за единица площ.</w:t>
      </w:r>
    </w:p>
    <w:p w:rsidR="004E19FB" w:rsidRDefault="009144E1" w:rsidP="00201204">
      <w:pPr>
        <w:spacing w:line="240" w:lineRule="auto"/>
        <w:ind w:firstLine="708"/>
        <w:jc w:val="both"/>
        <w:rPr>
          <w:rFonts w:ascii="Times New Roman" w:hAnsi="Times New Roman"/>
          <w:b/>
          <w:sz w:val="24"/>
          <w:szCs w:val="24"/>
        </w:rPr>
      </w:pPr>
      <w:r w:rsidRPr="009144E1">
        <w:rPr>
          <w:rFonts w:ascii="Times New Roman" w:hAnsi="Times New Roman"/>
          <w:sz w:val="24"/>
          <w:szCs w:val="24"/>
        </w:rPr>
        <w:t>Алгоритъмът за изчисляване на компенсаторното подпомагане е представен в</w:t>
      </w:r>
      <w:r w:rsidR="00CE37B0">
        <w:rPr>
          <w:rFonts w:ascii="Times New Roman" w:hAnsi="Times New Roman"/>
          <w:sz w:val="24"/>
          <w:szCs w:val="24"/>
        </w:rPr>
        <w:t xml:space="preserve"> </w:t>
      </w:r>
      <w:r w:rsidR="004E19FB" w:rsidRPr="004E19FB">
        <w:rPr>
          <w:rFonts w:ascii="Times New Roman" w:hAnsi="Times New Roman"/>
          <w:sz w:val="24"/>
          <w:szCs w:val="24"/>
        </w:rPr>
        <w:t>Таблица 1.</w:t>
      </w:r>
    </w:p>
    <w:p w:rsidR="004E19FB" w:rsidRDefault="004E19FB" w:rsidP="00201204">
      <w:pPr>
        <w:spacing w:line="240" w:lineRule="auto"/>
        <w:ind w:firstLine="708"/>
        <w:jc w:val="both"/>
        <w:rPr>
          <w:rFonts w:ascii="Times New Roman" w:hAnsi="Times New Roman"/>
          <w:b/>
          <w:sz w:val="24"/>
          <w:szCs w:val="24"/>
        </w:rPr>
      </w:pPr>
    </w:p>
    <w:p w:rsidR="00E66774" w:rsidRDefault="00E66774" w:rsidP="00201204">
      <w:pPr>
        <w:spacing w:line="240" w:lineRule="auto"/>
        <w:ind w:firstLine="708"/>
        <w:jc w:val="both"/>
        <w:rPr>
          <w:rFonts w:ascii="Times New Roman" w:hAnsi="Times New Roman"/>
          <w:b/>
          <w:sz w:val="24"/>
          <w:szCs w:val="24"/>
        </w:rPr>
      </w:pPr>
    </w:p>
    <w:p w:rsidR="009144E1" w:rsidRDefault="009144E1" w:rsidP="00201204">
      <w:pPr>
        <w:spacing w:line="240" w:lineRule="auto"/>
        <w:ind w:firstLine="708"/>
        <w:jc w:val="both"/>
        <w:rPr>
          <w:rFonts w:ascii="Times New Roman" w:hAnsi="Times New Roman" w:cs="Times New Roman"/>
          <w:b/>
          <w:bCs/>
          <w:sz w:val="24"/>
          <w:szCs w:val="24"/>
        </w:rPr>
      </w:pPr>
      <w:r w:rsidRPr="009144E1">
        <w:rPr>
          <w:rFonts w:ascii="Times New Roman" w:hAnsi="Times New Roman"/>
          <w:b/>
          <w:sz w:val="24"/>
          <w:szCs w:val="24"/>
        </w:rPr>
        <w:t>Таблица 1.</w:t>
      </w:r>
      <w:r w:rsidRPr="009144E1">
        <w:rPr>
          <w:rFonts w:ascii="Times New Roman" w:hAnsi="Times New Roman"/>
          <w:sz w:val="24"/>
          <w:szCs w:val="24"/>
        </w:rPr>
        <w:t xml:space="preserve"> Алгоритъм за определяне на компенсаторно подпомагане по направление „</w:t>
      </w:r>
      <w:r w:rsidRPr="009144E1">
        <w:rPr>
          <w:rFonts w:ascii="Times New Roman" w:hAnsi="Times New Roman"/>
          <w:bCs/>
          <w:sz w:val="24"/>
          <w:szCs w:val="24"/>
        </w:rPr>
        <w:t>Схеми за климата, околната среда и хуманното отношение към животните (Еко</w:t>
      </w:r>
      <w:r w:rsidR="00E66774">
        <w:rPr>
          <w:rFonts w:ascii="Times New Roman" w:hAnsi="Times New Roman"/>
          <w:bCs/>
          <w:sz w:val="24"/>
          <w:szCs w:val="24"/>
        </w:rPr>
        <w:t xml:space="preserve"> </w:t>
      </w:r>
      <w:r w:rsidRPr="009144E1">
        <w:rPr>
          <w:rFonts w:ascii="Times New Roman" w:hAnsi="Times New Roman"/>
          <w:bCs/>
          <w:sz w:val="24"/>
          <w:szCs w:val="24"/>
        </w:rPr>
        <w:t>схеми)</w:t>
      </w:r>
      <w:r w:rsidRPr="009144E1">
        <w:rPr>
          <w:rFonts w:ascii="Times New Roman" w:hAnsi="Times New Roman"/>
          <w:sz w:val="24"/>
          <w:szCs w:val="24"/>
        </w:rPr>
        <w:t>”, „</w:t>
      </w:r>
      <w:r w:rsidRPr="009144E1">
        <w:rPr>
          <w:rFonts w:ascii="Times New Roman" w:hAnsi="Times New Roman"/>
          <w:bCs/>
          <w:sz w:val="24"/>
          <w:szCs w:val="24"/>
        </w:rPr>
        <w:t>Еко</w:t>
      </w:r>
      <w:r w:rsidR="00E66774">
        <w:rPr>
          <w:rFonts w:ascii="Times New Roman" w:hAnsi="Times New Roman"/>
          <w:bCs/>
          <w:sz w:val="24"/>
          <w:szCs w:val="24"/>
        </w:rPr>
        <w:t xml:space="preserve"> </w:t>
      </w:r>
      <w:r w:rsidRPr="009144E1">
        <w:rPr>
          <w:rFonts w:ascii="Times New Roman" w:hAnsi="Times New Roman"/>
          <w:bCs/>
          <w:sz w:val="24"/>
          <w:szCs w:val="24"/>
        </w:rPr>
        <w:t>схема</w:t>
      </w:r>
      <w:r w:rsidR="00E66774">
        <w:rPr>
          <w:rFonts w:ascii="Times New Roman" w:hAnsi="Times New Roman"/>
          <w:bCs/>
          <w:sz w:val="24"/>
          <w:szCs w:val="24"/>
        </w:rPr>
        <w:t xml:space="preserve"> </w:t>
      </w:r>
      <w:r w:rsidR="00201204" w:rsidRPr="004E19FB">
        <w:rPr>
          <w:rFonts w:ascii="Times New Roman" w:hAnsi="Times New Roman"/>
          <w:sz w:val="24"/>
          <w:szCs w:val="24"/>
        </w:rPr>
        <w:t>за поддържане и подобряване на биологичното разнообразие и екологичната инфраструктура</w:t>
      </w:r>
      <w:r w:rsidRPr="004E19FB">
        <w:rPr>
          <w:rFonts w:ascii="Times New Roman" w:hAnsi="Times New Roman" w:cs="Times New Roman"/>
          <w:bCs/>
          <w:sz w:val="24"/>
          <w:szCs w:val="24"/>
        </w:rPr>
        <w:t>“</w:t>
      </w:r>
    </w:p>
    <w:p w:rsidR="00201204" w:rsidRDefault="00201204" w:rsidP="00201204">
      <w:pPr>
        <w:spacing w:line="240" w:lineRule="auto"/>
        <w:ind w:firstLine="708"/>
        <w:jc w:val="both"/>
        <w:rPr>
          <w:rFonts w:ascii="Times New Roman" w:hAnsi="Times New Roman" w:cs="Times New Roman"/>
          <w:b/>
          <w:bCs/>
          <w:sz w:val="24"/>
          <w:szCs w:val="24"/>
        </w:rPr>
      </w:pPr>
    </w:p>
    <w:p w:rsidR="0031232D" w:rsidRDefault="0031232D" w:rsidP="00201204">
      <w:pPr>
        <w:spacing w:line="240" w:lineRule="auto"/>
        <w:ind w:firstLine="708"/>
        <w:jc w:val="both"/>
        <w:rPr>
          <w:rFonts w:ascii="Times New Roman" w:hAnsi="Times New Roman" w:cs="Times New Roman"/>
          <w:b/>
          <w:bCs/>
          <w:sz w:val="24"/>
          <w:szCs w:val="24"/>
        </w:rPr>
      </w:pPr>
    </w:p>
    <w:p w:rsidR="0031232D" w:rsidRDefault="0031232D" w:rsidP="00201204">
      <w:pPr>
        <w:spacing w:line="240" w:lineRule="auto"/>
        <w:ind w:firstLine="708"/>
        <w:jc w:val="both"/>
        <w:rPr>
          <w:rFonts w:ascii="Times New Roman" w:hAnsi="Times New Roman" w:cs="Times New Roman"/>
          <w:b/>
          <w:bCs/>
          <w:sz w:val="24"/>
          <w:szCs w:val="24"/>
        </w:rPr>
      </w:pPr>
    </w:p>
    <w:p w:rsidR="0031232D" w:rsidRPr="009144E1" w:rsidRDefault="0031232D" w:rsidP="00201204">
      <w:pPr>
        <w:spacing w:line="240" w:lineRule="auto"/>
        <w:ind w:firstLine="708"/>
        <w:jc w:val="both"/>
        <w:rPr>
          <w:rFonts w:ascii="Times New Roman" w:hAnsi="Times New Roman" w:cs="Times New Roman"/>
          <w:b/>
          <w:bCs/>
          <w:sz w:val="24"/>
          <w:szCs w:val="24"/>
        </w:rPr>
      </w:pPr>
      <w:bookmarkStart w:id="0" w:name="_GoBack"/>
      <w:bookmarkEnd w:id="0"/>
    </w:p>
    <w:tbl>
      <w:tblPr>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1730"/>
        <w:gridCol w:w="1418"/>
        <w:gridCol w:w="1061"/>
      </w:tblGrid>
      <w:tr w:rsidR="009144E1" w:rsidRPr="009521EF" w:rsidTr="008D0EF7">
        <w:trPr>
          <w:trHeight w:val="316"/>
        </w:trPr>
        <w:tc>
          <w:tcPr>
            <w:tcW w:w="8853" w:type="dxa"/>
            <w:gridSpan w:val="4"/>
            <w:shd w:val="clear" w:color="auto" w:fill="D9D9D9"/>
          </w:tcPr>
          <w:p w:rsidR="009144E1" w:rsidRPr="0028016F" w:rsidRDefault="0028016F" w:rsidP="0028016F">
            <w:pPr>
              <w:jc w:val="center"/>
              <w:rPr>
                <w:rFonts w:ascii="Calibri" w:hAnsi="Calibri"/>
                <w:b/>
                <w:bCs/>
                <w:color w:val="000000"/>
              </w:rPr>
            </w:pPr>
            <w:r w:rsidRPr="0028016F">
              <w:rPr>
                <w:rFonts w:ascii="Times New Roman" w:hAnsi="Times New Roman" w:cs="Times New Roman"/>
                <w:b/>
                <w:bCs/>
                <w:color w:val="000000"/>
                <w:sz w:val="24"/>
                <w:szCs w:val="24"/>
              </w:rPr>
              <w:lastRenderedPageBreak/>
              <w:t>Създаване на буферни ивици в обработваеми земи</w:t>
            </w:r>
          </w:p>
        </w:tc>
      </w:tr>
      <w:tr w:rsidR="009144E1" w:rsidRPr="009521EF" w:rsidTr="00544C56">
        <w:trPr>
          <w:trHeight w:val="391"/>
        </w:trPr>
        <w:tc>
          <w:tcPr>
            <w:tcW w:w="4644" w:type="dxa"/>
            <w:vAlign w:val="center"/>
          </w:tcPr>
          <w:p w:rsidR="009144E1" w:rsidRPr="009521EF" w:rsidRDefault="009144E1" w:rsidP="009144E1">
            <w:pPr>
              <w:spacing w:after="0" w:line="240" w:lineRule="auto"/>
              <w:rPr>
                <w:rFonts w:ascii="Times New Roman" w:hAnsi="Times New Roman" w:cs="Times New Roman"/>
                <w:b/>
                <w:bCs/>
                <w:color w:val="000000"/>
                <w:sz w:val="24"/>
                <w:szCs w:val="24"/>
              </w:rPr>
            </w:pPr>
            <w:r w:rsidRPr="009521EF">
              <w:rPr>
                <w:rFonts w:ascii="Times New Roman" w:hAnsi="Times New Roman" w:cs="Times New Roman"/>
                <w:b/>
                <w:sz w:val="24"/>
                <w:szCs w:val="24"/>
              </w:rPr>
              <w:t xml:space="preserve">Пропуснати приходи и увеличени разходи </w:t>
            </w:r>
          </w:p>
        </w:tc>
        <w:tc>
          <w:tcPr>
            <w:tcW w:w="1730" w:type="dxa"/>
            <w:vAlign w:val="center"/>
          </w:tcPr>
          <w:p w:rsidR="009144E1" w:rsidRPr="009521EF" w:rsidRDefault="009144E1" w:rsidP="009144E1">
            <w:pPr>
              <w:spacing w:after="0" w:line="240" w:lineRule="auto"/>
              <w:jc w:val="center"/>
              <w:rPr>
                <w:rFonts w:ascii="Times New Roman" w:hAnsi="Times New Roman" w:cs="Times New Roman"/>
                <w:sz w:val="24"/>
                <w:szCs w:val="24"/>
              </w:rPr>
            </w:pPr>
          </w:p>
        </w:tc>
        <w:tc>
          <w:tcPr>
            <w:tcW w:w="1418" w:type="dxa"/>
            <w:noWrap/>
            <w:vAlign w:val="center"/>
          </w:tcPr>
          <w:p w:rsidR="009144E1" w:rsidRPr="009521EF" w:rsidRDefault="009144E1" w:rsidP="009144E1">
            <w:pPr>
              <w:spacing w:after="0"/>
              <w:jc w:val="center"/>
              <w:rPr>
                <w:rFonts w:ascii="Times New Roman" w:hAnsi="Times New Roman" w:cs="Times New Roman"/>
                <w:sz w:val="24"/>
                <w:szCs w:val="24"/>
              </w:rPr>
            </w:pPr>
          </w:p>
        </w:tc>
        <w:tc>
          <w:tcPr>
            <w:tcW w:w="1061" w:type="dxa"/>
            <w:noWrap/>
            <w:vAlign w:val="center"/>
          </w:tcPr>
          <w:p w:rsidR="009144E1" w:rsidRPr="009521EF" w:rsidRDefault="009144E1" w:rsidP="009144E1">
            <w:pPr>
              <w:spacing w:after="0"/>
              <w:jc w:val="right"/>
              <w:rPr>
                <w:rFonts w:ascii="Times New Roman" w:hAnsi="Times New Roman" w:cs="Times New Roman"/>
                <w:sz w:val="24"/>
                <w:szCs w:val="24"/>
              </w:rPr>
            </w:pPr>
          </w:p>
        </w:tc>
      </w:tr>
      <w:tr w:rsidR="0028016F" w:rsidRPr="009521EF" w:rsidTr="0028016F">
        <w:trPr>
          <w:trHeight w:val="520"/>
        </w:trPr>
        <w:tc>
          <w:tcPr>
            <w:tcW w:w="4644" w:type="dxa"/>
            <w:vAlign w:val="bottom"/>
          </w:tcPr>
          <w:p w:rsidR="0028016F" w:rsidRPr="0028016F" w:rsidRDefault="0028016F">
            <w:pPr>
              <w:rPr>
                <w:rFonts w:ascii="Times New Roman" w:hAnsi="Times New Roman" w:cs="Times New Roman"/>
                <w:color w:val="000000"/>
                <w:sz w:val="24"/>
                <w:szCs w:val="24"/>
              </w:rPr>
            </w:pPr>
            <w:r w:rsidRPr="0028016F">
              <w:rPr>
                <w:rFonts w:ascii="Times New Roman" w:hAnsi="Times New Roman" w:cs="Times New Roman"/>
                <w:color w:val="000000"/>
                <w:sz w:val="24"/>
                <w:szCs w:val="24"/>
              </w:rPr>
              <w:t>Пропуснати приходи от буферната ивица от обработваеми култури</w:t>
            </w:r>
          </w:p>
        </w:tc>
        <w:tc>
          <w:tcPr>
            <w:tcW w:w="1730" w:type="dxa"/>
            <w:vAlign w:val="center"/>
          </w:tcPr>
          <w:p w:rsidR="0028016F" w:rsidRPr="009521EF" w:rsidRDefault="0028016F" w:rsidP="00FD74DC">
            <w:pPr>
              <w:spacing w:after="0" w:line="240" w:lineRule="auto"/>
              <w:jc w:val="center"/>
              <w:rPr>
                <w:rFonts w:ascii="Times New Roman" w:hAnsi="Times New Roman" w:cs="Times New Roman"/>
                <w:sz w:val="24"/>
                <w:szCs w:val="24"/>
              </w:rPr>
            </w:pPr>
            <w:r w:rsidRPr="009521EF">
              <w:rPr>
                <w:rFonts w:ascii="Times New Roman" w:hAnsi="Times New Roman" w:cs="Times New Roman"/>
                <w:sz w:val="24"/>
                <w:szCs w:val="24"/>
              </w:rPr>
              <w:t>1</w:t>
            </w:r>
          </w:p>
        </w:tc>
        <w:tc>
          <w:tcPr>
            <w:tcW w:w="1418" w:type="dxa"/>
            <w:noWrap/>
            <w:vAlign w:val="center"/>
          </w:tcPr>
          <w:p w:rsidR="0028016F" w:rsidRPr="009521EF" w:rsidRDefault="0028016F" w:rsidP="00480891">
            <w:pPr>
              <w:spacing w:line="240" w:lineRule="auto"/>
              <w:jc w:val="center"/>
              <w:rPr>
                <w:rFonts w:ascii="Times New Roman" w:hAnsi="Times New Roman" w:cs="Times New Roman"/>
                <w:sz w:val="24"/>
                <w:szCs w:val="24"/>
              </w:rPr>
            </w:pPr>
            <w:proofErr w:type="spellStart"/>
            <w:r w:rsidRPr="009521EF">
              <w:rPr>
                <w:rFonts w:ascii="Times New Roman" w:hAnsi="Times New Roman" w:cs="Times New Roman"/>
                <w:sz w:val="24"/>
                <w:szCs w:val="24"/>
              </w:rPr>
              <w:t>лв</w:t>
            </w:r>
            <w:proofErr w:type="spellEnd"/>
            <w:r w:rsidRPr="009521EF">
              <w:rPr>
                <w:rFonts w:ascii="Times New Roman" w:hAnsi="Times New Roman" w:cs="Times New Roman"/>
                <w:sz w:val="24"/>
                <w:szCs w:val="24"/>
              </w:rPr>
              <w:t>/ха</w:t>
            </w:r>
          </w:p>
        </w:tc>
        <w:tc>
          <w:tcPr>
            <w:tcW w:w="1061" w:type="dxa"/>
            <w:noWrap/>
            <w:vAlign w:val="center"/>
          </w:tcPr>
          <w:p w:rsidR="0028016F" w:rsidRPr="0028016F" w:rsidRDefault="00EC32F1" w:rsidP="00EC32F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693</w:t>
            </w:r>
            <w:r w:rsidR="0028016F" w:rsidRPr="0028016F">
              <w:rPr>
                <w:rFonts w:ascii="Times New Roman" w:hAnsi="Times New Roman" w:cs="Times New Roman"/>
                <w:sz w:val="24"/>
                <w:szCs w:val="24"/>
              </w:rPr>
              <w:t>,</w:t>
            </w:r>
            <w:r>
              <w:rPr>
                <w:rFonts w:ascii="Times New Roman" w:hAnsi="Times New Roman" w:cs="Times New Roman"/>
                <w:sz w:val="24"/>
                <w:szCs w:val="24"/>
              </w:rPr>
              <w:t>05</w:t>
            </w:r>
          </w:p>
        </w:tc>
      </w:tr>
      <w:tr w:rsidR="0028016F" w:rsidRPr="009521EF" w:rsidTr="0028016F">
        <w:trPr>
          <w:trHeight w:val="360"/>
        </w:trPr>
        <w:tc>
          <w:tcPr>
            <w:tcW w:w="4644" w:type="dxa"/>
            <w:vAlign w:val="bottom"/>
          </w:tcPr>
          <w:p w:rsidR="0028016F" w:rsidRPr="0028016F" w:rsidRDefault="0028016F">
            <w:pPr>
              <w:rPr>
                <w:rFonts w:ascii="Times New Roman" w:hAnsi="Times New Roman" w:cs="Times New Roman"/>
                <w:color w:val="000000"/>
                <w:sz w:val="24"/>
                <w:szCs w:val="24"/>
              </w:rPr>
            </w:pPr>
            <w:r w:rsidRPr="0028016F">
              <w:rPr>
                <w:rFonts w:ascii="Times New Roman" w:hAnsi="Times New Roman" w:cs="Times New Roman"/>
                <w:color w:val="000000"/>
                <w:sz w:val="24"/>
                <w:szCs w:val="24"/>
              </w:rPr>
              <w:t>Разходи за поддържане на буферните ивици</w:t>
            </w:r>
          </w:p>
        </w:tc>
        <w:tc>
          <w:tcPr>
            <w:tcW w:w="1730" w:type="dxa"/>
            <w:vAlign w:val="center"/>
          </w:tcPr>
          <w:p w:rsidR="0028016F" w:rsidRPr="009521EF" w:rsidRDefault="0028016F" w:rsidP="00FD74DC">
            <w:pPr>
              <w:spacing w:after="0" w:line="240" w:lineRule="auto"/>
              <w:jc w:val="center"/>
              <w:rPr>
                <w:rFonts w:ascii="Times New Roman" w:hAnsi="Times New Roman" w:cs="Times New Roman"/>
                <w:sz w:val="24"/>
                <w:szCs w:val="24"/>
              </w:rPr>
            </w:pPr>
            <w:r w:rsidRPr="009521EF">
              <w:rPr>
                <w:rFonts w:ascii="Times New Roman" w:hAnsi="Times New Roman" w:cs="Times New Roman"/>
                <w:sz w:val="24"/>
                <w:szCs w:val="24"/>
              </w:rPr>
              <w:t>2</w:t>
            </w:r>
          </w:p>
        </w:tc>
        <w:tc>
          <w:tcPr>
            <w:tcW w:w="1418" w:type="dxa"/>
            <w:noWrap/>
            <w:vAlign w:val="center"/>
          </w:tcPr>
          <w:p w:rsidR="0028016F" w:rsidRPr="009521EF" w:rsidRDefault="0028016F" w:rsidP="002E2FF9">
            <w:pPr>
              <w:jc w:val="center"/>
              <w:rPr>
                <w:rFonts w:ascii="Times New Roman" w:hAnsi="Times New Roman" w:cs="Times New Roman"/>
                <w:sz w:val="24"/>
                <w:szCs w:val="24"/>
              </w:rPr>
            </w:pPr>
            <w:proofErr w:type="spellStart"/>
            <w:r w:rsidRPr="009521EF">
              <w:rPr>
                <w:rFonts w:ascii="Times New Roman" w:hAnsi="Times New Roman" w:cs="Times New Roman"/>
                <w:sz w:val="24"/>
                <w:szCs w:val="24"/>
              </w:rPr>
              <w:t>лв</w:t>
            </w:r>
            <w:proofErr w:type="spellEnd"/>
            <w:r w:rsidRPr="009521EF">
              <w:rPr>
                <w:rFonts w:ascii="Times New Roman" w:hAnsi="Times New Roman" w:cs="Times New Roman"/>
                <w:sz w:val="24"/>
                <w:szCs w:val="24"/>
              </w:rPr>
              <w:t>/</w:t>
            </w:r>
            <w:r w:rsidR="002E2FF9">
              <w:rPr>
                <w:rFonts w:ascii="Times New Roman" w:hAnsi="Times New Roman" w:cs="Times New Roman"/>
                <w:sz w:val="24"/>
                <w:szCs w:val="24"/>
              </w:rPr>
              <w:t>ха</w:t>
            </w:r>
          </w:p>
        </w:tc>
        <w:tc>
          <w:tcPr>
            <w:tcW w:w="1061" w:type="dxa"/>
            <w:noWrap/>
            <w:vAlign w:val="center"/>
          </w:tcPr>
          <w:p w:rsidR="0028016F" w:rsidRPr="0028016F" w:rsidRDefault="0028016F" w:rsidP="0028016F">
            <w:pPr>
              <w:spacing w:after="0" w:line="240" w:lineRule="auto"/>
              <w:jc w:val="right"/>
              <w:rPr>
                <w:rFonts w:ascii="Times New Roman" w:hAnsi="Times New Roman" w:cs="Times New Roman"/>
                <w:sz w:val="24"/>
                <w:szCs w:val="24"/>
              </w:rPr>
            </w:pPr>
            <w:r w:rsidRPr="0028016F">
              <w:rPr>
                <w:rFonts w:ascii="Times New Roman" w:hAnsi="Times New Roman" w:cs="Times New Roman"/>
                <w:sz w:val="24"/>
                <w:szCs w:val="24"/>
              </w:rPr>
              <w:t>190,00</w:t>
            </w:r>
          </w:p>
        </w:tc>
      </w:tr>
      <w:tr w:rsidR="0028016F" w:rsidRPr="009521EF" w:rsidTr="0028016F">
        <w:trPr>
          <w:trHeight w:val="595"/>
        </w:trPr>
        <w:tc>
          <w:tcPr>
            <w:tcW w:w="4644" w:type="dxa"/>
            <w:vMerge w:val="restart"/>
            <w:shd w:val="clear" w:color="auto" w:fill="F2F2F2"/>
            <w:vAlign w:val="center"/>
          </w:tcPr>
          <w:p w:rsidR="0028016F" w:rsidRPr="002E2FF9" w:rsidRDefault="0028016F" w:rsidP="002E2FF9">
            <w:pPr>
              <w:rPr>
                <w:rFonts w:ascii="Times New Roman" w:hAnsi="Times New Roman" w:cs="Times New Roman"/>
                <w:b/>
                <w:bCs/>
                <w:color w:val="000000"/>
                <w:sz w:val="24"/>
                <w:szCs w:val="24"/>
              </w:rPr>
            </w:pPr>
            <w:r w:rsidRPr="002E2FF9">
              <w:rPr>
                <w:rFonts w:ascii="Times New Roman" w:hAnsi="Times New Roman" w:cs="Times New Roman"/>
                <w:b/>
                <w:bCs/>
                <w:color w:val="000000"/>
                <w:sz w:val="24"/>
                <w:szCs w:val="24"/>
              </w:rPr>
              <w:t>Компенсаторно плащане на хектар за създаване на буферни ивици в обработваеми зем</w:t>
            </w:r>
            <w:r w:rsidR="002E2FF9" w:rsidRPr="002E2FF9">
              <w:rPr>
                <w:rFonts w:ascii="Times New Roman" w:hAnsi="Times New Roman" w:cs="Times New Roman"/>
                <w:b/>
                <w:bCs/>
                <w:color w:val="000000"/>
                <w:sz w:val="24"/>
                <w:szCs w:val="24"/>
              </w:rPr>
              <w:t>и</w:t>
            </w:r>
          </w:p>
        </w:tc>
        <w:tc>
          <w:tcPr>
            <w:tcW w:w="1730" w:type="dxa"/>
            <w:shd w:val="clear" w:color="auto" w:fill="F2F2F2"/>
            <w:vAlign w:val="center"/>
          </w:tcPr>
          <w:p w:rsidR="0028016F" w:rsidRPr="009521EF" w:rsidRDefault="0028016F" w:rsidP="0028016F">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3=1+2</w:t>
            </w:r>
            <w:r w:rsidRPr="009521EF">
              <w:rPr>
                <w:rFonts w:ascii="Times New Roman" w:hAnsi="Times New Roman" w:cs="Times New Roman"/>
                <w:b/>
                <w:bCs/>
                <w:color w:val="000000" w:themeColor="text1"/>
                <w:sz w:val="24"/>
                <w:szCs w:val="24"/>
              </w:rPr>
              <w:t xml:space="preserve"> </w:t>
            </w:r>
          </w:p>
        </w:tc>
        <w:tc>
          <w:tcPr>
            <w:tcW w:w="1418" w:type="dxa"/>
            <w:shd w:val="clear" w:color="auto" w:fill="F2F2F2"/>
            <w:noWrap/>
            <w:vAlign w:val="center"/>
          </w:tcPr>
          <w:p w:rsidR="0028016F" w:rsidRPr="009521EF" w:rsidRDefault="0028016F" w:rsidP="00480891">
            <w:pPr>
              <w:spacing w:after="0"/>
              <w:jc w:val="center"/>
              <w:rPr>
                <w:rFonts w:ascii="Times New Roman" w:hAnsi="Times New Roman" w:cs="Times New Roman"/>
                <w:sz w:val="24"/>
                <w:szCs w:val="24"/>
              </w:rPr>
            </w:pPr>
            <w:proofErr w:type="spellStart"/>
            <w:r w:rsidRPr="009521EF">
              <w:rPr>
                <w:rFonts w:ascii="Times New Roman" w:hAnsi="Times New Roman" w:cs="Times New Roman"/>
                <w:sz w:val="24"/>
                <w:szCs w:val="24"/>
              </w:rPr>
              <w:t>лв</w:t>
            </w:r>
            <w:proofErr w:type="spellEnd"/>
            <w:r w:rsidRPr="009521EF">
              <w:rPr>
                <w:rFonts w:ascii="Times New Roman" w:hAnsi="Times New Roman" w:cs="Times New Roman"/>
                <w:sz w:val="24"/>
                <w:szCs w:val="24"/>
              </w:rPr>
              <w:t>/ха</w:t>
            </w:r>
          </w:p>
        </w:tc>
        <w:tc>
          <w:tcPr>
            <w:tcW w:w="1061" w:type="dxa"/>
            <w:shd w:val="clear" w:color="auto" w:fill="F2F2F2"/>
            <w:noWrap/>
            <w:vAlign w:val="center"/>
          </w:tcPr>
          <w:p w:rsidR="0028016F" w:rsidRPr="0028016F" w:rsidRDefault="00EC32F1" w:rsidP="00EC32F1">
            <w:pPr>
              <w:spacing w:after="0"/>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883</w:t>
            </w:r>
            <w:r w:rsidR="0028016F" w:rsidRPr="0028016F">
              <w:rPr>
                <w:rFonts w:ascii="Times New Roman" w:hAnsi="Times New Roman" w:cs="Times New Roman"/>
                <w:b/>
                <w:bCs/>
                <w:color w:val="000000"/>
                <w:sz w:val="24"/>
                <w:szCs w:val="24"/>
              </w:rPr>
              <w:t>,</w:t>
            </w:r>
            <w:r>
              <w:rPr>
                <w:rFonts w:ascii="Times New Roman" w:hAnsi="Times New Roman" w:cs="Times New Roman"/>
                <w:b/>
                <w:bCs/>
                <w:color w:val="000000"/>
                <w:sz w:val="24"/>
                <w:szCs w:val="24"/>
              </w:rPr>
              <w:t>05</w:t>
            </w:r>
          </w:p>
        </w:tc>
      </w:tr>
      <w:tr w:rsidR="009521EF" w:rsidRPr="009521EF" w:rsidTr="006964AA">
        <w:trPr>
          <w:trHeight w:val="595"/>
        </w:trPr>
        <w:tc>
          <w:tcPr>
            <w:tcW w:w="4644" w:type="dxa"/>
            <w:vMerge/>
            <w:tcBorders>
              <w:bottom w:val="single" w:sz="4" w:space="0" w:color="auto"/>
            </w:tcBorders>
            <w:shd w:val="clear" w:color="auto" w:fill="F2F2F2"/>
            <w:vAlign w:val="center"/>
          </w:tcPr>
          <w:p w:rsidR="009521EF" w:rsidRPr="009521EF" w:rsidRDefault="009521EF" w:rsidP="009521EF">
            <w:pPr>
              <w:spacing w:after="0" w:line="240" w:lineRule="auto"/>
              <w:rPr>
                <w:rFonts w:ascii="Times New Roman" w:hAnsi="Times New Roman" w:cs="Times New Roman"/>
                <w:b/>
                <w:bCs/>
                <w:sz w:val="24"/>
                <w:szCs w:val="24"/>
              </w:rPr>
            </w:pPr>
          </w:p>
        </w:tc>
        <w:tc>
          <w:tcPr>
            <w:tcW w:w="1730" w:type="dxa"/>
            <w:tcBorders>
              <w:bottom w:val="single" w:sz="4" w:space="0" w:color="auto"/>
            </w:tcBorders>
            <w:shd w:val="clear" w:color="auto" w:fill="F2F2F2"/>
            <w:vAlign w:val="center"/>
          </w:tcPr>
          <w:p w:rsidR="009521EF" w:rsidRPr="009521EF" w:rsidRDefault="0028016F" w:rsidP="0028016F">
            <w:pPr>
              <w:spacing w:after="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sz w:val="24"/>
                <w:szCs w:val="24"/>
              </w:rPr>
              <w:t>4</w:t>
            </w:r>
            <w:r w:rsidR="009521EF" w:rsidRPr="009521EF">
              <w:rPr>
                <w:rFonts w:ascii="Times New Roman" w:hAnsi="Times New Roman" w:cs="Times New Roman"/>
                <w:b/>
                <w:sz w:val="24"/>
                <w:szCs w:val="24"/>
              </w:rPr>
              <w:t>=</w:t>
            </w:r>
            <w:r>
              <w:rPr>
                <w:rFonts w:ascii="Times New Roman" w:hAnsi="Times New Roman" w:cs="Times New Roman"/>
                <w:b/>
                <w:sz w:val="24"/>
                <w:szCs w:val="24"/>
              </w:rPr>
              <w:t>3</w:t>
            </w:r>
            <w:r w:rsidR="009521EF" w:rsidRPr="009521EF">
              <w:rPr>
                <w:rFonts w:ascii="Times New Roman" w:hAnsi="Times New Roman" w:cs="Times New Roman"/>
                <w:b/>
                <w:sz w:val="24"/>
                <w:szCs w:val="24"/>
              </w:rPr>
              <w:t>/1,9558</w:t>
            </w:r>
          </w:p>
        </w:tc>
        <w:tc>
          <w:tcPr>
            <w:tcW w:w="1418" w:type="dxa"/>
            <w:tcBorders>
              <w:bottom w:val="single" w:sz="4" w:space="0" w:color="auto"/>
            </w:tcBorders>
            <w:shd w:val="clear" w:color="auto" w:fill="F2F2F2"/>
            <w:noWrap/>
            <w:vAlign w:val="center"/>
          </w:tcPr>
          <w:p w:rsidR="009521EF" w:rsidRPr="009521EF" w:rsidRDefault="009521EF" w:rsidP="00480891">
            <w:pPr>
              <w:spacing w:after="0"/>
              <w:jc w:val="center"/>
              <w:rPr>
                <w:rFonts w:ascii="Times New Roman" w:hAnsi="Times New Roman" w:cs="Times New Roman"/>
                <w:sz w:val="24"/>
                <w:szCs w:val="24"/>
              </w:rPr>
            </w:pPr>
            <w:r w:rsidRPr="009521EF">
              <w:rPr>
                <w:rFonts w:ascii="Times New Roman" w:hAnsi="Times New Roman" w:cs="Times New Roman"/>
                <w:sz w:val="24"/>
                <w:szCs w:val="24"/>
              </w:rPr>
              <w:t>евро/ха</w:t>
            </w:r>
          </w:p>
        </w:tc>
        <w:tc>
          <w:tcPr>
            <w:tcW w:w="1061" w:type="dxa"/>
            <w:tcBorders>
              <w:bottom w:val="single" w:sz="4" w:space="0" w:color="auto"/>
            </w:tcBorders>
            <w:shd w:val="clear" w:color="auto" w:fill="F2F2F2"/>
            <w:noWrap/>
            <w:vAlign w:val="center"/>
          </w:tcPr>
          <w:p w:rsidR="009521EF" w:rsidRPr="0028016F" w:rsidRDefault="00EC32F1" w:rsidP="00EC32F1">
            <w:pPr>
              <w:spacing w:after="0"/>
              <w:jc w:val="right"/>
              <w:rPr>
                <w:rFonts w:ascii="Times New Roman" w:hAnsi="Times New Roman" w:cs="Times New Roman"/>
                <w:b/>
                <w:color w:val="000000"/>
                <w:sz w:val="24"/>
                <w:szCs w:val="24"/>
              </w:rPr>
            </w:pPr>
            <w:r>
              <w:rPr>
                <w:rFonts w:ascii="Times New Roman" w:hAnsi="Times New Roman" w:cs="Times New Roman"/>
                <w:b/>
                <w:color w:val="000000"/>
                <w:sz w:val="24"/>
                <w:szCs w:val="24"/>
              </w:rPr>
              <w:t>451</w:t>
            </w:r>
            <w:r w:rsidR="00627E5E" w:rsidRPr="0028016F">
              <w:rPr>
                <w:rFonts w:ascii="Times New Roman" w:hAnsi="Times New Roman" w:cs="Times New Roman"/>
                <w:b/>
                <w:color w:val="000000"/>
                <w:sz w:val="24"/>
                <w:szCs w:val="24"/>
              </w:rPr>
              <w:t>,</w:t>
            </w:r>
            <w:r>
              <w:rPr>
                <w:rFonts w:ascii="Times New Roman" w:hAnsi="Times New Roman" w:cs="Times New Roman"/>
                <w:b/>
                <w:color w:val="000000"/>
                <w:sz w:val="24"/>
                <w:szCs w:val="24"/>
              </w:rPr>
              <w:t>50</w:t>
            </w:r>
          </w:p>
        </w:tc>
      </w:tr>
      <w:tr w:rsidR="00D1418C" w:rsidRPr="009521EF" w:rsidTr="006964AA">
        <w:trPr>
          <w:trHeight w:val="595"/>
        </w:trPr>
        <w:tc>
          <w:tcPr>
            <w:tcW w:w="8853" w:type="dxa"/>
            <w:gridSpan w:val="4"/>
            <w:shd w:val="clear" w:color="auto" w:fill="D9D9D9"/>
          </w:tcPr>
          <w:p w:rsidR="00D1418C" w:rsidRPr="002E2FF9" w:rsidRDefault="00D1418C" w:rsidP="00D1418C">
            <w:pPr>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З</w:t>
            </w:r>
            <w:r w:rsidRPr="002E2FF9">
              <w:rPr>
                <w:rFonts w:ascii="Times New Roman" w:hAnsi="Times New Roman" w:cs="Times New Roman"/>
                <w:b/>
                <w:bCs/>
                <w:color w:val="000000"/>
                <w:sz w:val="24"/>
                <w:szCs w:val="24"/>
              </w:rPr>
              <w:t>емя оставена под угар върху обработваема земя</w:t>
            </w:r>
          </w:p>
        </w:tc>
      </w:tr>
      <w:tr w:rsidR="002E2FF9" w:rsidRPr="009521EF" w:rsidTr="00D1418C">
        <w:trPr>
          <w:trHeight w:val="595"/>
        </w:trPr>
        <w:tc>
          <w:tcPr>
            <w:tcW w:w="4644" w:type="dxa"/>
            <w:shd w:val="clear" w:color="auto" w:fill="auto"/>
          </w:tcPr>
          <w:p w:rsidR="002E2FF9" w:rsidRPr="002E2FF9" w:rsidRDefault="002E2FF9" w:rsidP="007B525E">
            <w:pPr>
              <w:rPr>
                <w:rFonts w:ascii="Times New Roman" w:hAnsi="Times New Roman" w:cs="Times New Roman"/>
                <w:color w:val="000000"/>
                <w:sz w:val="24"/>
                <w:szCs w:val="24"/>
              </w:rPr>
            </w:pPr>
            <w:r w:rsidRPr="002E2FF9">
              <w:rPr>
                <w:rFonts w:ascii="Times New Roman" w:hAnsi="Times New Roman" w:cs="Times New Roman"/>
                <w:color w:val="000000"/>
                <w:sz w:val="24"/>
                <w:szCs w:val="24"/>
              </w:rPr>
              <w:t>Пропуснати приходи от земя под угар в обработваеми земи</w:t>
            </w:r>
          </w:p>
        </w:tc>
        <w:tc>
          <w:tcPr>
            <w:tcW w:w="1730" w:type="dxa"/>
            <w:shd w:val="clear" w:color="auto" w:fill="auto"/>
            <w:vAlign w:val="center"/>
          </w:tcPr>
          <w:p w:rsidR="002E2FF9" w:rsidRPr="00D1418C" w:rsidRDefault="002E2FF9" w:rsidP="00D1418C">
            <w:pPr>
              <w:spacing w:after="0" w:line="240" w:lineRule="auto"/>
              <w:jc w:val="center"/>
              <w:rPr>
                <w:rFonts w:ascii="Times New Roman" w:hAnsi="Times New Roman" w:cs="Times New Roman"/>
                <w:bCs/>
                <w:color w:val="000000" w:themeColor="text1"/>
                <w:sz w:val="24"/>
                <w:szCs w:val="24"/>
              </w:rPr>
            </w:pPr>
            <w:r w:rsidRPr="00D1418C">
              <w:rPr>
                <w:rFonts w:ascii="Times New Roman" w:hAnsi="Times New Roman" w:cs="Times New Roman"/>
                <w:bCs/>
                <w:color w:val="000000" w:themeColor="text1"/>
                <w:sz w:val="24"/>
                <w:szCs w:val="24"/>
              </w:rPr>
              <w:t>5</w:t>
            </w:r>
          </w:p>
        </w:tc>
        <w:tc>
          <w:tcPr>
            <w:tcW w:w="1418" w:type="dxa"/>
            <w:shd w:val="clear" w:color="auto" w:fill="auto"/>
            <w:noWrap/>
            <w:vAlign w:val="center"/>
          </w:tcPr>
          <w:p w:rsidR="002E2FF9" w:rsidRPr="002E2FF9" w:rsidRDefault="002E2FF9" w:rsidP="00D1418C">
            <w:pPr>
              <w:spacing w:line="240" w:lineRule="auto"/>
              <w:jc w:val="center"/>
              <w:rPr>
                <w:rFonts w:ascii="Times New Roman" w:hAnsi="Times New Roman" w:cs="Times New Roman"/>
                <w:sz w:val="24"/>
                <w:szCs w:val="24"/>
              </w:rPr>
            </w:pPr>
            <w:proofErr w:type="spellStart"/>
            <w:r w:rsidRPr="002E2FF9">
              <w:rPr>
                <w:rFonts w:ascii="Times New Roman" w:hAnsi="Times New Roman" w:cs="Times New Roman"/>
                <w:sz w:val="24"/>
                <w:szCs w:val="24"/>
              </w:rPr>
              <w:t>лв</w:t>
            </w:r>
            <w:proofErr w:type="spellEnd"/>
            <w:r w:rsidRPr="002E2FF9">
              <w:rPr>
                <w:rFonts w:ascii="Times New Roman" w:hAnsi="Times New Roman" w:cs="Times New Roman"/>
                <w:sz w:val="24"/>
                <w:szCs w:val="24"/>
              </w:rPr>
              <w:t>/ха</w:t>
            </w:r>
          </w:p>
        </w:tc>
        <w:tc>
          <w:tcPr>
            <w:tcW w:w="1061" w:type="dxa"/>
            <w:shd w:val="clear" w:color="auto" w:fill="auto"/>
            <w:noWrap/>
            <w:vAlign w:val="center"/>
          </w:tcPr>
          <w:p w:rsidR="002E2FF9" w:rsidRPr="002E2FF9" w:rsidRDefault="00EC32F1" w:rsidP="00EC32F1">
            <w:pPr>
              <w:jc w:val="right"/>
              <w:rPr>
                <w:rFonts w:ascii="Times New Roman" w:hAnsi="Times New Roman" w:cs="Times New Roman"/>
                <w:color w:val="000000"/>
                <w:sz w:val="24"/>
                <w:szCs w:val="24"/>
              </w:rPr>
            </w:pPr>
            <w:r>
              <w:rPr>
                <w:rFonts w:ascii="Times New Roman" w:hAnsi="Times New Roman" w:cs="Times New Roman"/>
                <w:color w:val="000000"/>
                <w:sz w:val="24"/>
                <w:szCs w:val="24"/>
              </w:rPr>
              <w:t>595</w:t>
            </w:r>
            <w:r w:rsidR="002E2FF9" w:rsidRPr="002E2FF9">
              <w:rPr>
                <w:rFonts w:ascii="Times New Roman" w:hAnsi="Times New Roman" w:cs="Times New Roman"/>
                <w:color w:val="000000"/>
                <w:sz w:val="24"/>
                <w:szCs w:val="24"/>
              </w:rPr>
              <w:t>,</w:t>
            </w:r>
            <w:r>
              <w:rPr>
                <w:rFonts w:ascii="Times New Roman" w:hAnsi="Times New Roman" w:cs="Times New Roman"/>
                <w:color w:val="000000"/>
                <w:sz w:val="24"/>
                <w:szCs w:val="24"/>
              </w:rPr>
              <w:t>2</w:t>
            </w:r>
            <w:r w:rsidR="00D1418C">
              <w:rPr>
                <w:rFonts w:ascii="Times New Roman" w:hAnsi="Times New Roman" w:cs="Times New Roman"/>
                <w:color w:val="000000"/>
                <w:sz w:val="24"/>
                <w:szCs w:val="24"/>
              </w:rPr>
              <w:t>0</w:t>
            </w:r>
          </w:p>
        </w:tc>
      </w:tr>
      <w:tr w:rsidR="002E2FF9" w:rsidRPr="009521EF" w:rsidTr="00D1418C">
        <w:trPr>
          <w:trHeight w:val="595"/>
        </w:trPr>
        <w:tc>
          <w:tcPr>
            <w:tcW w:w="4644" w:type="dxa"/>
            <w:vMerge w:val="restart"/>
            <w:shd w:val="clear" w:color="auto" w:fill="E7E6E6" w:themeFill="background2"/>
          </w:tcPr>
          <w:p w:rsidR="002E2FF9" w:rsidRPr="002E2FF9" w:rsidRDefault="002E2FF9" w:rsidP="00201204">
            <w:pPr>
              <w:rPr>
                <w:rFonts w:ascii="Times New Roman" w:hAnsi="Times New Roman" w:cs="Times New Roman"/>
                <w:b/>
                <w:bCs/>
                <w:color w:val="000000"/>
                <w:sz w:val="24"/>
                <w:szCs w:val="24"/>
              </w:rPr>
            </w:pPr>
            <w:r w:rsidRPr="002E2FF9">
              <w:rPr>
                <w:rFonts w:ascii="Times New Roman" w:hAnsi="Times New Roman" w:cs="Times New Roman"/>
                <w:b/>
                <w:bCs/>
                <w:color w:val="000000"/>
                <w:sz w:val="24"/>
                <w:szCs w:val="24"/>
              </w:rPr>
              <w:t>Компенсаторно плащане на хектар за земя оставена под угар върху обработваема земя</w:t>
            </w:r>
          </w:p>
        </w:tc>
        <w:tc>
          <w:tcPr>
            <w:tcW w:w="1730" w:type="dxa"/>
            <w:shd w:val="clear" w:color="auto" w:fill="E7E6E6" w:themeFill="background2"/>
            <w:vAlign w:val="center"/>
          </w:tcPr>
          <w:p w:rsidR="002E2FF9" w:rsidRPr="002E2FF9" w:rsidRDefault="002E2FF9" w:rsidP="00D1418C">
            <w:pPr>
              <w:spacing w:after="0" w:line="240" w:lineRule="auto"/>
              <w:jc w:val="center"/>
              <w:rPr>
                <w:rFonts w:ascii="Times New Roman" w:hAnsi="Times New Roman" w:cs="Times New Roman"/>
                <w:b/>
                <w:bCs/>
                <w:color w:val="000000" w:themeColor="text1"/>
                <w:sz w:val="24"/>
                <w:szCs w:val="24"/>
              </w:rPr>
            </w:pPr>
          </w:p>
          <w:p w:rsidR="002E2FF9" w:rsidRPr="002E2FF9" w:rsidRDefault="002E2FF9" w:rsidP="00D1418C">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6</w:t>
            </w:r>
            <w:r w:rsidRPr="002E2FF9">
              <w:rPr>
                <w:rFonts w:ascii="Times New Roman" w:hAnsi="Times New Roman" w:cs="Times New Roman"/>
                <w:b/>
                <w:bCs/>
                <w:color w:val="000000" w:themeColor="text1"/>
                <w:sz w:val="24"/>
                <w:szCs w:val="24"/>
              </w:rPr>
              <w:t>=</w:t>
            </w:r>
            <w:r>
              <w:rPr>
                <w:rFonts w:ascii="Times New Roman" w:hAnsi="Times New Roman" w:cs="Times New Roman"/>
                <w:b/>
                <w:bCs/>
                <w:color w:val="000000" w:themeColor="text1"/>
                <w:sz w:val="24"/>
                <w:szCs w:val="24"/>
              </w:rPr>
              <w:t>5</w:t>
            </w:r>
          </w:p>
          <w:p w:rsidR="002E2FF9" w:rsidRPr="002E2FF9" w:rsidRDefault="002E2FF9" w:rsidP="00D1418C">
            <w:pPr>
              <w:spacing w:after="0" w:line="240" w:lineRule="auto"/>
              <w:jc w:val="center"/>
              <w:rPr>
                <w:rFonts w:ascii="Times New Roman" w:hAnsi="Times New Roman" w:cs="Times New Roman"/>
                <w:b/>
                <w:bCs/>
                <w:color w:val="000000" w:themeColor="text1"/>
                <w:sz w:val="24"/>
                <w:szCs w:val="24"/>
              </w:rPr>
            </w:pPr>
          </w:p>
        </w:tc>
        <w:tc>
          <w:tcPr>
            <w:tcW w:w="1418" w:type="dxa"/>
            <w:shd w:val="clear" w:color="auto" w:fill="E7E6E6" w:themeFill="background2"/>
            <w:noWrap/>
            <w:vAlign w:val="center"/>
          </w:tcPr>
          <w:p w:rsidR="002E2FF9" w:rsidRPr="002E2FF9" w:rsidRDefault="002E2FF9" w:rsidP="00D1418C">
            <w:pPr>
              <w:spacing w:after="0" w:line="240" w:lineRule="auto"/>
              <w:jc w:val="center"/>
              <w:rPr>
                <w:rFonts w:ascii="Times New Roman" w:hAnsi="Times New Roman" w:cs="Times New Roman"/>
                <w:bCs/>
                <w:color w:val="000000" w:themeColor="text1"/>
                <w:sz w:val="24"/>
                <w:szCs w:val="24"/>
              </w:rPr>
            </w:pPr>
            <w:proofErr w:type="spellStart"/>
            <w:r w:rsidRPr="002E2FF9">
              <w:rPr>
                <w:rFonts w:ascii="Times New Roman" w:hAnsi="Times New Roman" w:cs="Times New Roman"/>
                <w:bCs/>
                <w:color w:val="000000" w:themeColor="text1"/>
                <w:sz w:val="24"/>
                <w:szCs w:val="24"/>
              </w:rPr>
              <w:t>лв</w:t>
            </w:r>
            <w:proofErr w:type="spellEnd"/>
            <w:r w:rsidRPr="002E2FF9">
              <w:rPr>
                <w:rFonts w:ascii="Times New Roman" w:hAnsi="Times New Roman" w:cs="Times New Roman"/>
                <w:bCs/>
                <w:color w:val="000000" w:themeColor="text1"/>
                <w:sz w:val="24"/>
                <w:szCs w:val="24"/>
              </w:rPr>
              <w:t>/ха</w:t>
            </w:r>
          </w:p>
          <w:p w:rsidR="002E2FF9" w:rsidRPr="002E2FF9" w:rsidRDefault="002E2FF9" w:rsidP="00D1418C">
            <w:pPr>
              <w:spacing w:after="0" w:line="240" w:lineRule="auto"/>
              <w:jc w:val="center"/>
              <w:rPr>
                <w:rFonts w:ascii="Times New Roman" w:hAnsi="Times New Roman" w:cs="Times New Roman"/>
                <w:bCs/>
                <w:color w:val="000000" w:themeColor="text1"/>
                <w:sz w:val="24"/>
                <w:szCs w:val="24"/>
              </w:rPr>
            </w:pPr>
          </w:p>
        </w:tc>
        <w:tc>
          <w:tcPr>
            <w:tcW w:w="1061" w:type="dxa"/>
            <w:shd w:val="clear" w:color="auto" w:fill="E7E6E6" w:themeFill="background2"/>
            <w:noWrap/>
            <w:vAlign w:val="center"/>
          </w:tcPr>
          <w:p w:rsidR="002E2FF9" w:rsidRPr="002E2FF9" w:rsidRDefault="00EC32F1" w:rsidP="00EC32F1">
            <w:pPr>
              <w:jc w:val="right"/>
              <w:rPr>
                <w:rFonts w:ascii="Times New Roman" w:hAnsi="Times New Roman" w:cs="Times New Roman"/>
                <w:b/>
                <w:color w:val="000000"/>
                <w:sz w:val="24"/>
                <w:szCs w:val="24"/>
              </w:rPr>
            </w:pPr>
            <w:r>
              <w:rPr>
                <w:rFonts w:ascii="Times New Roman" w:hAnsi="Times New Roman" w:cs="Times New Roman"/>
                <w:b/>
                <w:color w:val="000000"/>
                <w:sz w:val="24"/>
                <w:szCs w:val="24"/>
              </w:rPr>
              <w:t>595</w:t>
            </w:r>
            <w:r w:rsidR="002E2FF9" w:rsidRPr="002E2FF9">
              <w:rPr>
                <w:rFonts w:ascii="Times New Roman" w:hAnsi="Times New Roman" w:cs="Times New Roman"/>
                <w:b/>
                <w:color w:val="000000"/>
                <w:sz w:val="24"/>
                <w:szCs w:val="24"/>
              </w:rPr>
              <w:t>,</w:t>
            </w:r>
            <w:r w:rsidR="00D1418C">
              <w:rPr>
                <w:rFonts w:ascii="Times New Roman" w:hAnsi="Times New Roman" w:cs="Times New Roman"/>
                <w:b/>
                <w:color w:val="000000"/>
                <w:sz w:val="24"/>
                <w:szCs w:val="24"/>
              </w:rPr>
              <w:t>0</w:t>
            </w:r>
          </w:p>
        </w:tc>
      </w:tr>
      <w:tr w:rsidR="009521EF" w:rsidRPr="00627E5E" w:rsidTr="00EC32F1">
        <w:trPr>
          <w:trHeight w:val="595"/>
        </w:trPr>
        <w:tc>
          <w:tcPr>
            <w:tcW w:w="4644" w:type="dxa"/>
            <w:vMerge/>
            <w:tcBorders>
              <w:bottom w:val="nil"/>
            </w:tcBorders>
            <w:shd w:val="clear" w:color="auto" w:fill="E7E6E6" w:themeFill="background2"/>
          </w:tcPr>
          <w:p w:rsidR="009521EF" w:rsidRPr="002E2FF9" w:rsidRDefault="009521EF" w:rsidP="009521EF">
            <w:pPr>
              <w:rPr>
                <w:rFonts w:ascii="Times New Roman" w:hAnsi="Times New Roman" w:cs="Times New Roman"/>
                <w:b/>
                <w:bCs/>
                <w:color w:val="000000"/>
                <w:sz w:val="24"/>
                <w:szCs w:val="24"/>
              </w:rPr>
            </w:pPr>
          </w:p>
        </w:tc>
        <w:tc>
          <w:tcPr>
            <w:tcW w:w="1730" w:type="dxa"/>
            <w:tcBorders>
              <w:bottom w:val="nil"/>
            </w:tcBorders>
            <w:shd w:val="clear" w:color="auto" w:fill="F2F2F2"/>
            <w:vAlign w:val="center"/>
          </w:tcPr>
          <w:p w:rsidR="009521EF" w:rsidRPr="002E2FF9" w:rsidRDefault="002E2FF9" w:rsidP="002E2FF9">
            <w:pPr>
              <w:spacing w:after="0" w:line="240" w:lineRule="auto"/>
              <w:jc w:val="center"/>
              <w:rPr>
                <w:rFonts w:ascii="Times New Roman" w:hAnsi="Times New Roman" w:cs="Times New Roman"/>
                <w:b/>
                <w:bCs/>
                <w:color w:val="000000" w:themeColor="text1"/>
                <w:sz w:val="24"/>
                <w:szCs w:val="24"/>
                <w:lang w:val="en-US"/>
              </w:rPr>
            </w:pPr>
            <w:r>
              <w:rPr>
                <w:rFonts w:ascii="Times New Roman" w:hAnsi="Times New Roman" w:cs="Times New Roman"/>
                <w:b/>
                <w:sz w:val="24"/>
                <w:szCs w:val="24"/>
              </w:rPr>
              <w:t>7</w:t>
            </w:r>
            <w:r w:rsidR="009521EF" w:rsidRPr="002E2FF9">
              <w:rPr>
                <w:rFonts w:ascii="Times New Roman" w:hAnsi="Times New Roman" w:cs="Times New Roman"/>
                <w:b/>
                <w:sz w:val="24"/>
                <w:szCs w:val="24"/>
              </w:rPr>
              <w:t>=</w:t>
            </w:r>
            <w:r>
              <w:rPr>
                <w:rFonts w:ascii="Times New Roman" w:hAnsi="Times New Roman" w:cs="Times New Roman"/>
                <w:b/>
                <w:sz w:val="24"/>
                <w:szCs w:val="24"/>
              </w:rPr>
              <w:t>6</w:t>
            </w:r>
            <w:r w:rsidR="009521EF" w:rsidRPr="002E2FF9">
              <w:rPr>
                <w:rFonts w:ascii="Times New Roman" w:hAnsi="Times New Roman" w:cs="Times New Roman"/>
                <w:b/>
                <w:sz w:val="24"/>
                <w:szCs w:val="24"/>
              </w:rPr>
              <w:t>/1,9558</w:t>
            </w:r>
          </w:p>
        </w:tc>
        <w:tc>
          <w:tcPr>
            <w:tcW w:w="1418" w:type="dxa"/>
            <w:tcBorders>
              <w:bottom w:val="nil"/>
            </w:tcBorders>
            <w:shd w:val="clear" w:color="auto" w:fill="F2F2F2"/>
            <w:noWrap/>
            <w:vAlign w:val="center"/>
          </w:tcPr>
          <w:p w:rsidR="009521EF" w:rsidRPr="002E2FF9" w:rsidRDefault="009521EF" w:rsidP="009521EF">
            <w:pPr>
              <w:spacing w:after="0"/>
              <w:jc w:val="center"/>
              <w:rPr>
                <w:rFonts w:ascii="Times New Roman" w:hAnsi="Times New Roman" w:cs="Times New Roman"/>
                <w:sz w:val="24"/>
                <w:szCs w:val="24"/>
              </w:rPr>
            </w:pPr>
            <w:r w:rsidRPr="002E2FF9">
              <w:rPr>
                <w:rFonts w:ascii="Times New Roman" w:hAnsi="Times New Roman" w:cs="Times New Roman"/>
                <w:sz w:val="24"/>
                <w:szCs w:val="24"/>
              </w:rPr>
              <w:t>евро/ха</w:t>
            </w:r>
          </w:p>
        </w:tc>
        <w:tc>
          <w:tcPr>
            <w:tcW w:w="1061" w:type="dxa"/>
            <w:tcBorders>
              <w:bottom w:val="nil"/>
            </w:tcBorders>
            <w:shd w:val="clear" w:color="auto" w:fill="F2F2F2"/>
            <w:noWrap/>
            <w:vAlign w:val="center"/>
          </w:tcPr>
          <w:p w:rsidR="009521EF" w:rsidRPr="002E2FF9" w:rsidRDefault="00EC32F1" w:rsidP="00EC32F1">
            <w:pPr>
              <w:jc w:val="right"/>
              <w:rPr>
                <w:rFonts w:ascii="Times New Roman" w:hAnsi="Times New Roman" w:cs="Times New Roman"/>
                <w:b/>
                <w:sz w:val="24"/>
                <w:szCs w:val="24"/>
                <w:highlight w:val="yellow"/>
              </w:rPr>
            </w:pPr>
            <w:r>
              <w:rPr>
                <w:rFonts w:ascii="Times New Roman" w:hAnsi="Times New Roman" w:cs="Times New Roman"/>
                <w:b/>
                <w:sz w:val="24"/>
                <w:szCs w:val="24"/>
              </w:rPr>
              <w:t>304</w:t>
            </w:r>
            <w:r w:rsidR="002E2FF9" w:rsidRPr="002E2FF9">
              <w:rPr>
                <w:rFonts w:ascii="Times New Roman" w:hAnsi="Times New Roman" w:cs="Times New Roman"/>
                <w:b/>
                <w:sz w:val="24"/>
                <w:szCs w:val="24"/>
              </w:rPr>
              <w:t>,</w:t>
            </w:r>
            <w:r>
              <w:rPr>
                <w:rFonts w:ascii="Times New Roman" w:hAnsi="Times New Roman" w:cs="Times New Roman"/>
                <w:b/>
                <w:sz w:val="24"/>
                <w:szCs w:val="24"/>
              </w:rPr>
              <w:t>33</w:t>
            </w:r>
          </w:p>
        </w:tc>
      </w:tr>
      <w:tr w:rsidR="006964AA" w:rsidRPr="00627E5E" w:rsidTr="006964AA">
        <w:trPr>
          <w:trHeight w:val="353"/>
        </w:trPr>
        <w:tc>
          <w:tcPr>
            <w:tcW w:w="8853" w:type="dxa"/>
            <w:gridSpan w:val="4"/>
            <w:tcBorders>
              <w:top w:val="nil"/>
              <w:left w:val="nil"/>
              <w:bottom w:val="single" w:sz="4" w:space="0" w:color="auto"/>
              <w:right w:val="nil"/>
            </w:tcBorders>
            <w:shd w:val="clear" w:color="auto" w:fill="auto"/>
          </w:tcPr>
          <w:p w:rsidR="006964AA" w:rsidRDefault="006964AA" w:rsidP="00EC32F1">
            <w:pPr>
              <w:jc w:val="center"/>
              <w:rPr>
                <w:rFonts w:ascii="Times New Roman" w:hAnsi="Times New Roman" w:cs="Times New Roman"/>
                <w:b/>
                <w:bCs/>
                <w:color w:val="000000"/>
                <w:sz w:val="24"/>
                <w:szCs w:val="24"/>
              </w:rPr>
            </w:pPr>
          </w:p>
        </w:tc>
      </w:tr>
      <w:tr w:rsidR="00EC32F1" w:rsidRPr="00627E5E" w:rsidTr="006964AA">
        <w:trPr>
          <w:trHeight w:val="595"/>
        </w:trPr>
        <w:tc>
          <w:tcPr>
            <w:tcW w:w="8853" w:type="dxa"/>
            <w:gridSpan w:val="4"/>
            <w:tcBorders>
              <w:top w:val="single" w:sz="4" w:space="0" w:color="auto"/>
              <w:left w:val="single" w:sz="4" w:space="0" w:color="auto"/>
              <w:bottom w:val="single" w:sz="4" w:space="0" w:color="auto"/>
              <w:right w:val="single" w:sz="4" w:space="0" w:color="auto"/>
            </w:tcBorders>
            <w:shd w:val="clear" w:color="auto" w:fill="auto"/>
          </w:tcPr>
          <w:p w:rsidR="00EC32F1" w:rsidRPr="00EC32F1" w:rsidRDefault="00EC32F1" w:rsidP="00EC32F1">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Райони с ограничения за опазване на определени типове природни местообитания и местообитания на видове от значение на Общността</w:t>
            </w:r>
          </w:p>
        </w:tc>
      </w:tr>
      <w:tr w:rsidR="006964AA" w:rsidRPr="00627E5E" w:rsidTr="00E37888">
        <w:trPr>
          <w:trHeight w:val="595"/>
        </w:trPr>
        <w:tc>
          <w:tcPr>
            <w:tcW w:w="4644" w:type="dxa"/>
            <w:tcBorders>
              <w:top w:val="single" w:sz="4" w:space="0" w:color="auto"/>
              <w:bottom w:val="single" w:sz="4" w:space="0" w:color="auto"/>
            </w:tcBorders>
            <w:shd w:val="clear" w:color="auto" w:fill="auto"/>
            <w:vAlign w:val="bottom"/>
          </w:tcPr>
          <w:p w:rsidR="006964AA" w:rsidRPr="006964AA" w:rsidRDefault="006964AA">
            <w:pPr>
              <w:rPr>
                <w:rFonts w:ascii="Times New Roman" w:hAnsi="Times New Roman" w:cs="Times New Roman"/>
                <w:color w:val="000000"/>
                <w:sz w:val="24"/>
                <w:szCs w:val="24"/>
              </w:rPr>
            </w:pPr>
            <w:r w:rsidRPr="006964AA">
              <w:rPr>
                <w:rFonts w:ascii="Times New Roman" w:hAnsi="Times New Roman" w:cs="Times New Roman"/>
                <w:color w:val="000000"/>
                <w:sz w:val="24"/>
                <w:szCs w:val="24"/>
              </w:rPr>
              <w:t>Брутен марж при ливади</w:t>
            </w:r>
          </w:p>
        </w:tc>
        <w:tc>
          <w:tcPr>
            <w:tcW w:w="1730" w:type="dxa"/>
            <w:tcBorders>
              <w:top w:val="single" w:sz="4" w:space="0" w:color="auto"/>
              <w:bottom w:val="single" w:sz="4" w:space="0" w:color="auto"/>
            </w:tcBorders>
            <w:shd w:val="clear" w:color="auto" w:fill="auto"/>
            <w:vAlign w:val="center"/>
          </w:tcPr>
          <w:p w:rsidR="006964AA" w:rsidRDefault="006964AA" w:rsidP="002E2FF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1418" w:type="dxa"/>
            <w:tcBorders>
              <w:top w:val="single" w:sz="4" w:space="0" w:color="auto"/>
              <w:bottom w:val="single" w:sz="4" w:space="0" w:color="auto"/>
            </w:tcBorders>
            <w:shd w:val="clear" w:color="auto" w:fill="auto"/>
            <w:noWrap/>
            <w:vAlign w:val="bottom"/>
          </w:tcPr>
          <w:p w:rsidR="006964AA" w:rsidRPr="006964AA" w:rsidRDefault="006964AA" w:rsidP="006964AA">
            <w:pPr>
              <w:spacing w:line="240" w:lineRule="auto"/>
              <w:jc w:val="center"/>
              <w:rPr>
                <w:rFonts w:ascii="Times New Roman" w:hAnsi="Times New Roman" w:cs="Times New Roman"/>
                <w:sz w:val="24"/>
                <w:szCs w:val="24"/>
              </w:rPr>
            </w:pPr>
            <w:proofErr w:type="spellStart"/>
            <w:r w:rsidRPr="006964AA">
              <w:rPr>
                <w:rFonts w:ascii="Times New Roman" w:hAnsi="Times New Roman" w:cs="Times New Roman"/>
                <w:sz w:val="24"/>
                <w:szCs w:val="24"/>
              </w:rPr>
              <w:t>лв</w:t>
            </w:r>
            <w:proofErr w:type="spellEnd"/>
            <w:r w:rsidRPr="006964AA">
              <w:rPr>
                <w:rFonts w:ascii="Times New Roman" w:hAnsi="Times New Roman" w:cs="Times New Roman"/>
                <w:sz w:val="24"/>
                <w:szCs w:val="24"/>
              </w:rPr>
              <w:t>/ха</w:t>
            </w:r>
          </w:p>
        </w:tc>
        <w:tc>
          <w:tcPr>
            <w:tcW w:w="1061" w:type="dxa"/>
            <w:tcBorders>
              <w:top w:val="single" w:sz="4" w:space="0" w:color="auto"/>
              <w:bottom w:val="single" w:sz="4" w:space="0" w:color="auto"/>
            </w:tcBorders>
            <w:shd w:val="clear" w:color="auto" w:fill="auto"/>
            <w:noWrap/>
            <w:vAlign w:val="bottom"/>
          </w:tcPr>
          <w:p w:rsidR="006964AA" w:rsidRPr="006964AA" w:rsidRDefault="006964AA" w:rsidP="006964AA">
            <w:pPr>
              <w:spacing w:line="240" w:lineRule="auto"/>
              <w:jc w:val="right"/>
              <w:rPr>
                <w:rFonts w:ascii="Times New Roman" w:hAnsi="Times New Roman" w:cs="Times New Roman"/>
                <w:sz w:val="24"/>
                <w:szCs w:val="24"/>
              </w:rPr>
            </w:pPr>
            <w:r w:rsidRPr="006964AA">
              <w:rPr>
                <w:rFonts w:ascii="Times New Roman" w:hAnsi="Times New Roman" w:cs="Times New Roman"/>
                <w:sz w:val="24"/>
                <w:szCs w:val="24"/>
              </w:rPr>
              <w:t>150</w:t>
            </w:r>
          </w:p>
        </w:tc>
      </w:tr>
      <w:tr w:rsidR="006964AA" w:rsidRPr="00627E5E" w:rsidTr="00E37888">
        <w:trPr>
          <w:trHeight w:val="595"/>
        </w:trPr>
        <w:tc>
          <w:tcPr>
            <w:tcW w:w="4644" w:type="dxa"/>
            <w:tcBorders>
              <w:top w:val="single" w:sz="4" w:space="0" w:color="auto"/>
              <w:bottom w:val="single" w:sz="4" w:space="0" w:color="auto"/>
            </w:tcBorders>
            <w:shd w:val="clear" w:color="auto" w:fill="auto"/>
            <w:vAlign w:val="bottom"/>
          </w:tcPr>
          <w:p w:rsidR="006964AA" w:rsidRPr="006964AA" w:rsidRDefault="006964AA">
            <w:pPr>
              <w:rPr>
                <w:rFonts w:ascii="Times New Roman" w:hAnsi="Times New Roman" w:cs="Times New Roman"/>
                <w:color w:val="000000"/>
                <w:sz w:val="24"/>
                <w:szCs w:val="24"/>
              </w:rPr>
            </w:pPr>
            <w:r w:rsidRPr="006964AA">
              <w:rPr>
                <w:rFonts w:ascii="Times New Roman" w:hAnsi="Times New Roman" w:cs="Times New Roman"/>
                <w:color w:val="000000"/>
                <w:sz w:val="24"/>
                <w:szCs w:val="24"/>
              </w:rPr>
              <w:t>Брутен марж при обработваема земя</w:t>
            </w:r>
          </w:p>
        </w:tc>
        <w:tc>
          <w:tcPr>
            <w:tcW w:w="1730" w:type="dxa"/>
            <w:tcBorders>
              <w:top w:val="single" w:sz="4" w:space="0" w:color="auto"/>
              <w:bottom w:val="single" w:sz="4" w:space="0" w:color="auto"/>
            </w:tcBorders>
            <w:shd w:val="clear" w:color="auto" w:fill="auto"/>
            <w:vAlign w:val="center"/>
          </w:tcPr>
          <w:p w:rsidR="006964AA" w:rsidRDefault="006964AA" w:rsidP="002E2FF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p>
        </w:tc>
        <w:tc>
          <w:tcPr>
            <w:tcW w:w="1418" w:type="dxa"/>
            <w:tcBorders>
              <w:top w:val="single" w:sz="4" w:space="0" w:color="auto"/>
              <w:bottom w:val="single" w:sz="4" w:space="0" w:color="auto"/>
            </w:tcBorders>
            <w:shd w:val="clear" w:color="auto" w:fill="auto"/>
            <w:noWrap/>
            <w:vAlign w:val="bottom"/>
          </w:tcPr>
          <w:p w:rsidR="006964AA" w:rsidRPr="006964AA" w:rsidRDefault="006964AA" w:rsidP="006964AA">
            <w:pPr>
              <w:spacing w:line="240" w:lineRule="auto"/>
              <w:jc w:val="center"/>
              <w:rPr>
                <w:rFonts w:ascii="Times New Roman" w:hAnsi="Times New Roman" w:cs="Times New Roman"/>
                <w:sz w:val="24"/>
                <w:szCs w:val="24"/>
              </w:rPr>
            </w:pPr>
            <w:proofErr w:type="spellStart"/>
            <w:r w:rsidRPr="006964AA">
              <w:rPr>
                <w:rFonts w:ascii="Times New Roman" w:hAnsi="Times New Roman" w:cs="Times New Roman"/>
                <w:sz w:val="24"/>
                <w:szCs w:val="24"/>
              </w:rPr>
              <w:t>лв</w:t>
            </w:r>
            <w:proofErr w:type="spellEnd"/>
            <w:r w:rsidRPr="006964AA">
              <w:rPr>
                <w:rFonts w:ascii="Times New Roman" w:hAnsi="Times New Roman" w:cs="Times New Roman"/>
                <w:sz w:val="24"/>
                <w:szCs w:val="24"/>
              </w:rPr>
              <w:t>/ха</w:t>
            </w:r>
          </w:p>
        </w:tc>
        <w:tc>
          <w:tcPr>
            <w:tcW w:w="1061" w:type="dxa"/>
            <w:tcBorders>
              <w:top w:val="single" w:sz="4" w:space="0" w:color="auto"/>
              <w:bottom w:val="single" w:sz="4" w:space="0" w:color="auto"/>
            </w:tcBorders>
            <w:shd w:val="clear" w:color="auto" w:fill="auto"/>
            <w:noWrap/>
            <w:vAlign w:val="bottom"/>
          </w:tcPr>
          <w:p w:rsidR="006964AA" w:rsidRPr="006964AA" w:rsidRDefault="006964AA" w:rsidP="006964AA">
            <w:pPr>
              <w:spacing w:line="240" w:lineRule="auto"/>
              <w:jc w:val="right"/>
              <w:rPr>
                <w:rFonts w:ascii="Times New Roman" w:hAnsi="Times New Roman" w:cs="Times New Roman"/>
                <w:sz w:val="24"/>
                <w:szCs w:val="24"/>
              </w:rPr>
            </w:pPr>
            <w:r w:rsidRPr="006964AA">
              <w:rPr>
                <w:rFonts w:ascii="Times New Roman" w:hAnsi="Times New Roman" w:cs="Times New Roman"/>
                <w:sz w:val="24"/>
                <w:szCs w:val="24"/>
              </w:rPr>
              <w:t>1010</w:t>
            </w:r>
          </w:p>
        </w:tc>
      </w:tr>
      <w:tr w:rsidR="006964AA" w:rsidRPr="00627E5E" w:rsidTr="00E37888">
        <w:trPr>
          <w:trHeight w:val="595"/>
        </w:trPr>
        <w:tc>
          <w:tcPr>
            <w:tcW w:w="4644" w:type="dxa"/>
            <w:tcBorders>
              <w:top w:val="single" w:sz="4" w:space="0" w:color="auto"/>
              <w:bottom w:val="single" w:sz="4" w:space="0" w:color="auto"/>
            </w:tcBorders>
            <w:shd w:val="clear" w:color="auto" w:fill="auto"/>
            <w:vAlign w:val="bottom"/>
          </w:tcPr>
          <w:p w:rsidR="006964AA" w:rsidRPr="006964AA" w:rsidRDefault="00CE37B0">
            <w:pPr>
              <w:rPr>
                <w:rFonts w:ascii="Times New Roman" w:hAnsi="Times New Roman" w:cs="Times New Roman"/>
                <w:color w:val="000000"/>
                <w:sz w:val="24"/>
                <w:szCs w:val="24"/>
              </w:rPr>
            </w:pPr>
            <w:r>
              <w:rPr>
                <w:rFonts w:ascii="Times New Roman" w:hAnsi="Times New Roman" w:cs="Times New Roman"/>
                <w:color w:val="000000"/>
                <w:sz w:val="24"/>
                <w:szCs w:val="24"/>
              </w:rPr>
              <w:t>Дял на ПЗП в опр</w:t>
            </w:r>
            <w:r w:rsidR="006964AA" w:rsidRPr="006964AA">
              <w:rPr>
                <w:rFonts w:ascii="Times New Roman" w:hAnsi="Times New Roman" w:cs="Times New Roman"/>
                <w:color w:val="000000"/>
                <w:sz w:val="24"/>
                <w:szCs w:val="24"/>
              </w:rPr>
              <w:t>е</w:t>
            </w:r>
            <w:r>
              <w:rPr>
                <w:rFonts w:ascii="Times New Roman" w:hAnsi="Times New Roman" w:cs="Times New Roman"/>
                <w:color w:val="000000"/>
                <w:sz w:val="24"/>
                <w:szCs w:val="24"/>
              </w:rPr>
              <w:t>де</w:t>
            </w:r>
            <w:r w:rsidR="006964AA" w:rsidRPr="006964AA">
              <w:rPr>
                <w:rFonts w:ascii="Times New Roman" w:hAnsi="Times New Roman" w:cs="Times New Roman"/>
                <w:color w:val="000000"/>
                <w:sz w:val="24"/>
                <w:szCs w:val="24"/>
              </w:rPr>
              <w:t>лените местообитания</w:t>
            </w:r>
          </w:p>
        </w:tc>
        <w:tc>
          <w:tcPr>
            <w:tcW w:w="1730" w:type="dxa"/>
            <w:tcBorders>
              <w:top w:val="single" w:sz="4" w:space="0" w:color="auto"/>
              <w:bottom w:val="single" w:sz="4" w:space="0" w:color="auto"/>
            </w:tcBorders>
            <w:shd w:val="clear" w:color="auto" w:fill="auto"/>
            <w:vAlign w:val="center"/>
          </w:tcPr>
          <w:p w:rsidR="006964AA" w:rsidRDefault="006964AA" w:rsidP="002E2FF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1418" w:type="dxa"/>
            <w:tcBorders>
              <w:top w:val="single" w:sz="4" w:space="0" w:color="auto"/>
              <w:bottom w:val="single" w:sz="4" w:space="0" w:color="auto"/>
            </w:tcBorders>
            <w:shd w:val="clear" w:color="auto" w:fill="auto"/>
            <w:noWrap/>
            <w:vAlign w:val="bottom"/>
          </w:tcPr>
          <w:p w:rsidR="006964AA" w:rsidRPr="006964AA" w:rsidRDefault="006964AA" w:rsidP="006964AA">
            <w:pPr>
              <w:spacing w:line="240" w:lineRule="auto"/>
              <w:jc w:val="center"/>
              <w:rPr>
                <w:rFonts w:ascii="Times New Roman" w:hAnsi="Times New Roman" w:cs="Times New Roman"/>
                <w:sz w:val="24"/>
                <w:szCs w:val="24"/>
              </w:rPr>
            </w:pPr>
            <w:r w:rsidRPr="006964AA">
              <w:rPr>
                <w:rFonts w:ascii="Times New Roman" w:hAnsi="Times New Roman" w:cs="Times New Roman"/>
                <w:sz w:val="24"/>
                <w:szCs w:val="24"/>
              </w:rPr>
              <w:t>дял</w:t>
            </w:r>
          </w:p>
        </w:tc>
        <w:tc>
          <w:tcPr>
            <w:tcW w:w="1061" w:type="dxa"/>
            <w:tcBorders>
              <w:top w:val="single" w:sz="4" w:space="0" w:color="auto"/>
              <w:bottom w:val="single" w:sz="4" w:space="0" w:color="auto"/>
            </w:tcBorders>
            <w:shd w:val="clear" w:color="auto" w:fill="auto"/>
            <w:noWrap/>
            <w:vAlign w:val="bottom"/>
          </w:tcPr>
          <w:p w:rsidR="006964AA" w:rsidRPr="006964AA" w:rsidRDefault="006964AA" w:rsidP="006964AA">
            <w:pPr>
              <w:spacing w:line="240" w:lineRule="auto"/>
              <w:jc w:val="right"/>
              <w:rPr>
                <w:rFonts w:ascii="Times New Roman" w:hAnsi="Times New Roman" w:cs="Times New Roman"/>
                <w:sz w:val="24"/>
                <w:szCs w:val="24"/>
              </w:rPr>
            </w:pPr>
            <w:r w:rsidRPr="006964AA">
              <w:rPr>
                <w:rFonts w:ascii="Times New Roman" w:hAnsi="Times New Roman" w:cs="Times New Roman"/>
                <w:sz w:val="24"/>
                <w:szCs w:val="24"/>
              </w:rPr>
              <w:t>0,95</w:t>
            </w:r>
          </w:p>
        </w:tc>
      </w:tr>
      <w:tr w:rsidR="006964AA" w:rsidRPr="00627E5E" w:rsidTr="00E37888">
        <w:trPr>
          <w:trHeight w:val="595"/>
        </w:trPr>
        <w:tc>
          <w:tcPr>
            <w:tcW w:w="4644" w:type="dxa"/>
            <w:tcBorders>
              <w:top w:val="single" w:sz="4" w:space="0" w:color="auto"/>
              <w:bottom w:val="single" w:sz="4" w:space="0" w:color="auto"/>
            </w:tcBorders>
            <w:shd w:val="clear" w:color="auto" w:fill="auto"/>
            <w:vAlign w:val="bottom"/>
          </w:tcPr>
          <w:p w:rsidR="006964AA" w:rsidRPr="006964AA" w:rsidRDefault="006964AA">
            <w:pPr>
              <w:rPr>
                <w:rFonts w:ascii="Times New Roman" w:hAnsi="Times New Roman" w:cs="Times New Roman"/>
                <w:color w:val="000000"/>
                <w:sz w:val="24"/>
                <w:szCs w:val="24"/>
              </w:rPr>
            </w:pPr>
            <w:r w:rsidRPr="006964AA">
              <w:rPr>
                <w:rFonts w:ascii="Times New Roman" w:hAnsi="Times New Roman" w:cs="Times New Roman"/>
                <w:color w:val="000000"/>
                <w:sz w:val="24"/>
                <w:szCs w:val="24"/>
              </w:rPr>
              <w:t>Дял на обработваеми земи в определените местообитания</w:t>
            </w:r>
          </w:p>
        </w:tc>
        <w:tc>
          <w:tcPr>
            <w:tcW w:w="1730" w:type="dxa"/>
            <w:tcBorders>
              <w:top w:val="single" w:sz="4" w:space="0" w:color="auto"/>
              <w:bottom w:val="single" w:sz="4" w:space="0" w:color="auto"/>
            </w:tcBorders>
            <w:shd w:val="clear" w:color="auto" w:fill="auto"/>
            <w:vAlign w:val="center"/>
          </w:tcPr>
          <w:p w:rsidR="006964AA" w:rsidRDefault="006964AA" w:rsidP="002E2FF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1418" w:type="dxa"/>
            <w:tcBorders>
              <w:top w:val="single" w:sz="4" w:space="0" w:color="auto"/>
              <w:bottom w:val="single" w:sz="4" w:space="0" w:color="auto"/>
            </w:tcBorders>
            <w:shd w:val="clear" w:color="auto" w:fill="auto"/>
            <w:noWrap/>
            <w:vAlign w:val="bottom"/>
          </w:tcPr>
          <w:p w:rsidR="006964AA" w:rsidRPr="006964AA" w:rsidRDefault="006964AA" w:rsidP="006964AA">
            <w:pPr>
              <w:spacing w:line="240" w:lineRule="auto"/>
              <w:jc w:val="center"/>
              <w:rPr>
                <w:rFonts w:ascii="Times New Roman" w:hAnsi="Times New Roman" w:cs="Times New Roman"/>
                <w:sz w:val="24"/>
                <w:szCs w:val="24"/>
              </w:rPr>
            </w:pPr>
            <w:r w:rsidRPr="006964AA">
              <w:rPr>
                <w:rFonts w:ascii="Times New Roman" w:hAnsi="Times New Roman" w:cs="Times New Roman"/>
                <w:sz w:val="24"/>
                <w:szCs w:val="24"/>
              </w:rPr>
              <w:t>дял</w:t>
            </w:r>
          </w:p>
        </w:tc>
        <w:tc>
          <w:tcPr>
            <w:tcW w:w="1061" w:type="dxa"/>
            <w:tcBorders>
              <w:top w:val="single" w:sz="4" w:space="0" w:color="auto"/>
              <w:bottom w:val="single" w:sz="4" w:space="0" w:color="auto"/>
            </w:tcBorders>
            <w:shd w:val="clear" w:color="auto" w:fill="auto"/>
            <w:noWrap/>
            <w:vAlign w:val="bottom"/>
          </w:tcPr>
          <w:p w:rsidR="006964AA" w:rsidRPr="006964AA" w:rsidRDefault="006964AA" w:rsidP="006964AA">
            <w:pPr>
              <w:spacing w:line="240" w:lineRule="auto"/>
              <w:jc w:val="right"/>
              <w:rPr>
                <w:rFonts w:ascii="Times New Roman" w:hAnsi="Times New Roman" w:cs="Times New Roman"/>
                <w:sz w:val="24"/>
                <w:szCs w:val="24"/>
              </w:rPr>
            </w:pPr>
            <w:r w:rsidRPr="006964AA">
              <w:rPr>
                <w:rFonts w:ascii="Times New Roman" w:hAnsi="Times New Roman" w:cs="Times New Roman"/>
                <w:sz w:val="24"/>
                <w:szCs w:val="24"/>
              </w:rPr>
              <w:t>0,0</w:t>
            </w:r>
            <w:r>
              <w:rPr>
                <w:rFonts w:ascii="Times New Roman" w:hAnsi="Times New Roman" w:cs="Times New Roman"/>
                <w:sz w:val="24"/>
                <w:szCs w:val="24"/>
              </w:rPr>
              <w:t>5</w:t>
            </w:r>
          </w:p>
        </w:tc>
      </w:tr>
      <w:tr w:rsidR="006964AA" w:rsidRPr="00627E5E" w:rsidTr="00E37888">
        <w:trPr>
          <w:trHeight w:val="595"/>
        </w:trPr>
        <w:tc>
          <w:tcPr>
            <w:tcW w:w="4644" w:type="dxa"/>
            <w:vMerge w:val="restart"/>
            <w:tcBorders>
              <w:top w:val="single" w:sz="4" w:space="0" w:color="auto"/>
            </w:tcBorders>
            <w:shd w:val="clear" w:color="auto" w:fill="D9D9D9"/>
            <w:vAlign w:val="bottom"/>
          </w:tcPr>
          <w:p w:rsidR="006964AA" w:rsidRPr="006964AA" w:rsidRDefault="006964AA">
            <w:pPr>
              <w:rPr>
                <w:rFonts w:ascii="Times New Roman" w:hAnsi="Times New Roman" w:cs="Times New Roman"/>
                <w:b/>
                <w:color w:val="000000"/>
                <w:sz w:val="24"/>
                <w:szCs w:val="24"/>
              </w:rPr>
            </w:pPr>
            <w:r w:rsidRPr="006964AA">
              <w:rPr>
                <w:rFonts w:ascii="Times New Roman" w:hAnsi="Times New Roman" w:cs="Times New Roman"/>
                <w:b/>
                <w:color w:val="000000"/>
                <w:sz w:val="24"/>
                <w:szCs w:val="24"/>
              </w:rPr>
              <w:t>Единно компенсаторно плащане на хектар за опазване на определени типове природни местообитания и местообитания на видове от значение на Общността</w:t>
            </w:r>
          </w:p>
        </w:tc>
        <w:tc>
          <w:tcPr>
            <w:tcW w:w="1730" w:type="dxa"/>
            <w:tcBorders>
              <w:top w:val="single" w:sz="4" w:space="0" w:color="auto"/>
              <w:bottom w:val="single" w:sz="4" w:space="0" w:color="auto"/>
            </w:tcBorders>
            <w:shd w:val="clear" w:color="auto" w:fill="D9D9D9"/>
            <w:vAlign w:val="center"/>
          </w:tcPr>
          <w:p w:rsidR="006964AA" w:rsidRDefault="006964AA" w:rsidP="002E2FF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12=8*10+9*11</w:t>
            </w:r>
          </w:p>
        </w:tc>
        <w:tc>
          <w:tcPr>
            <w:tcW w:w="1418" w:type="dxa"/>
            <w:tcBorders>
              <w:top w:val="single" w:sz="4" w:space="0" w:color="auto"/>
              <w:bottom w:val="single" w:sz="4" w:space="0" w:color="auto"/>
            </w:tcBorders>
            <w:shd w:val="clear" w:color="auto" w:fill="D9D9D9"/>
            <w:noWrap/>
            <w:vAlign w:val="bottom"/>
          </w:tcPr>
          <w:p w:rsidR="006964AA" w:rsidRPr="006964AA" w:rsidRDefault="006964AA" w:rsidP="006964AA">
            <w:pPr>
              <w:spacing w:line="240" w:lineRule="auto"/>
              <w:jc w:val="center"/>
              <w:rPr>
                <w:rFonts w:ascii="Times New Roman" w:hAnsi="Times New Roman" w:cs="Times New Roman"/>
                <w:sz w:val="24"/>
                <w:szCs w:val="24"/>
              </w:rPr>
            </w:pPr>
            <w:proofErr w:type="spellStart"/>
            <w:r w:rsidRPr="006964AA">
              <w:rPr>
                <w:rFonts w:ascii="Times New Roman" w:hAnsi="Times New Roman" w:cs="Times New Roman"/>
                <w:sz w:val="24"/>
                <w:szCs w:val="24"/>
              </w:rPr>
              <w:t>лв</w:t>
            </w:r>
            <w:proofErr w:type="spellEnd"/>
            <w:r w:rsidRPr="006964AA">
              <w:rPr>
                <w:rFonts w:ascii="Times New Roman" w:hAnsi="Times New Roman" w:cs="Times New Roman"/>
                <w:sz w:val="24"/>
                <w:szCs w:val="24"/>
              </w:rPr>
              <w:t>/ха</w:t>
            </w:r>
          </w:p>
        </w:tc>
        <w:tc>
          <w:tcPr>
            <w:tcW w:w="1061" w:type="dxa"/>
            <w:tcBorders>
              <w:top w:val="single" w:sz="4" w:space="0" w:color="auto"/>
              <w:bottom w:val="single" w:sz="4" w:space="0" w:color="auto"/>
            </w:tcBorders>
            <w:shd w:val="clear" w:color="auto" w:fill="D9D9D9"/>
            <w:noWrap/>
            <w:vAlign w:val="bottom"/>
          </w:tcPr>
          <w:p w:rsidR="006964AA" w:rsidRPr="006964AA" w:rsidRDefault="006964AA" w:rsidP="006964AA">
            <w:pPr>
              <w:spacing w:line="240" w:lineRule="auto"/>
              <w:jc w:val="right"/>
              <w:rPr>
                <w:rFonts w:ascii="Times New Roman" w:hAnsi="Times New Roman" w:cs="Times New Roman"/>
                <w:b/>
                <w:sz w:val="24"/>
                <w:szCs w:val="24"/>
              </w:rPr>
            </w:pPr>
            <w:r w:rsidRPr="006964AA">
              <w:rPr>
                <w:rFonts w:ascii="Times New Roman" w:hAnsi="Times New Roman" w:cs="Times New Roman"/>
                <w:b/>
                <w:sz w:val="24"/>
                <w:szCs w:val="24"/>
              </w:rPr>
              <w:t>193,00</w:t>
            </w:r>
          </w:p>
        </w:tc>
      </w:tr>
      <w:tr w:rsidR="006964AA" w:rsidRPr="00627E5E" w:rsidTr="006964AA">
        <w:trPr>
          <w:trHeight w:val="595"/>
        </w:trPr>
        <w:tc>
          <w:tcPr>
            <w:tcW w:w="4644" w:type="dxa"/>
            <w:vMerge/>
            <w:tcBorders>
              <w:bottom w:val="single" w:sz="4" w:space="0" w:color="auto"/>
            </w:tcBorders>
            <w:shd w:val="clear" w:color="auto" w:fill="D9D9D9"/>
          </w:tcPr>
          <w:p w:rsidR="006964AA" w:rsidRPr="002E2FF9" w:rsidRDefault="006964AA" w:rsidP="009521EF">
            <w:pPr>
              <w:rPr>
                <w:rFonts w:ascii="Times New Roman" w:hAnsi="Times New Roman" w:cs="Times New Roman"/>
                <w:b/>
                <w:bCs/>
                <w:color w:val="000000"/>
                <w:sz w:val="24"/>
                <w:szCs w:val="24"/>
              </w:rPr>
            </w:pPr>
          </w:p>
        </w:tc>
        <w:tc>
          <w:tcPr>
            <w:tcW w:w="1730" w:type="dxa"/>
            <w:tcBorders>
              <w:top w:val="single" w:sz="4" w:space="0" w:color="auto"/>
              <w:bottom w:val="single" w:sz="4" w:space="0" w:color="auto"/>
            </w:tcBorders>
            <w:shd w:val="clear" w:color="auto" w:fill="D9D9D9"/>
            <w:vAlign w:val="center"/>
          </w:tcPr>
          <w:p w:rsidR="006964AA" w:rsidRDefault="006964AA" w:rsidP="006964A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13=12/1,9558</w:t>
            </w:r>
          </w:p>
        </w:tc>
        <w:tc>
          <w:tcPr>
            <w:tcW w:w="1418" w:type="dxa"/>
            <w:tcBorders>
              <w:top w:val="single" w:sz="4" w:space="0" w:color="auto"/>
              <w:bottom w:val="single" w:sz="4" w:space="0" w:color="auto"/>
            </w:tcBorders>
            <w:shd w:val="clear" w:color="auto" w:fill="D9D9D9"/>
            <w:noWrap/>
            <w:vAlign w:val="center"/>
          </w:tcPr>
          <w:p w:rsidR="006964AA" w:rsidRPr="002E2FF9" w:rsidRDefault="006964AA" w:rsidP="009521EF">
            <w:pPr>
              <w:spacing w:after="0"/>
              <w:jc w:val="center"/>
              <w:rPr>
                <w:rFonts w:ascii="Times New Roman" w:hAnsi="Times New Roman" w:cs="Times New Roman"/>
                <w:sz w:val="24"/>
                <w:szCs w:val="24"/>
              </w:rPr>
            </w:pPr>
            <w:r w:rsidRPr="002E2FF9">
              <w:rPr>
                <w:rFonts w:ascii="Times New Roman" w:hAnsi="Times New Roman" w:cs="Times New Roman"/>
                <w:sz w:val="24"/>
                <w:szCs w:val="24"/>
              </w:rPr>
              <w:t>евро/ха</w:t>
            </w:r>
          </w:p>
        </w:tc>
        <w:tc>
          <w:tcPr>
            <w:tcW w:w="1061" w:type="dxa"/>
            <w:tcBorders>
              <w:top w:val="single" w:sz="4" w:space="0" w:color="auto"/>
              <w:bottom w:val="single" w:sz="4" w:space="0" w:color="auto"/>
            </w:tcBorders>
            <w:shd w:val="clear" w:color="auto" w:fill="D9D9D9"/>
            <w:noWrap/>
            <w:vAlign w:val="center"/>
          </w:tcPr>
          <w:p w:rsidR="006964AA" w:rsidRPr="006964AA" w:rsidRDefault="006964AA" w:rsidP="00EC32F1">
            <w:pPr>
              <w:jc w:val="right"/>
              <w:rPr>
                <w:rFonts w:ascii="Times New Roman" w:hAnsi="Times New Roman" w:cs="Times New Roman"/>
                <w:b/>
                <w:sz w:val="24"/>
                <w:szCs w:val="24"/>
              </w:rPr>
            </w:pPr>
            <w:r w:rsidRPr="006964AA">
              <w:rPr>
                <w:rFonts w:ascii="Times New Roman" w:hAnsi="Times New Roman" w:cs="Times New Roman"/>
                <w:b/>
                <w:sz w:val="24"/>
                <w:szCs w:val="24"/>
              </w:rPr>
              <w:t>98,68</w:t>
            </w:r>
          </w:p>
        </w:tc>
      </w:tr>
    </w:tbl>
    <w:p w:rsidR="009F3BE7" w:rsidRDefault="009F3BE7" w:rsidP="0031232D">
      <w:pPr>
        <w:jc w:val="both"/>
      </w:pPr>
    </w:p>
    <w:sectPr w:rsidR="009F3BE7" w:rsidSect="004C53F4">
      <w:footerReference w:type="default" r:id="rId8"/>
      <w:pgSz w:w="11906" w:h="16838"/>
      <w:pgMar w:top="1276"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A78" w:rsidRDefault="00446A78" w:rsidP="008A6223">
      <w:pPr>
        <w:spacing w:after="0" w:line="240" w:lineRule="auto"/>
      </w:pPr>
      <w:r>
        <w:separator/>
      </w:r>
    </w:p>
  </w:endnote>
  <w:endnote w:type="continuationSeparator" w:id="0">
    <w:p w:rsidR="00446A78" w:rsidRDefault="00446A78" w:rsidP="008A6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MS 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842984"/>
      <w:docPartObj>
        <w:docPartGallery w:val="Page Numbers (Bottom of Page)"/>
        <w:docPartUnique/>
      </w:docPartObj>
    </w:sdtPr>
    <w:sdtEndPr>
      <w:rPr>
        <w:noProof/>
      </w:rPr>
    </w:sdtEndPr>
    <w:sdtContent>
      <w:p w:rsidR="008D0EF7" w:rsidRDefault="003A6046">
        <w:pPr>
          <w:pStyle w:val="Footer"/>
          <w:jc w:val="right"/>
        </w:pPr>
        <w:r>
          <w:fldChar w:fldCharType="begin"/>
        </w:r>
        <w:r>
          <w:instrText xml:space="preserve"> PAGE   \* MERGEFORMAT </w:instrText>
        </w:r>
        <w:r>
          <w:fldChar w:fldCharType="separate"/>
        </w:r>
        <w:r w:rsidR="0031232D">
          <w:rPr>
            <w:noProof/>
          </w:rPr>
          <w:t>3</w:t>
        </w:r>
        <w:r>
          <w:rPr>
            <w:noProof/>
          </w:rPr>
          <w:fldChar w:fldCharType="end"/>
        </w:r>
      </w:p>
    </w:sdtContent>
  </w:sdt>
  <w:p w:rsidR="008D0EF7" w:rsidRDefault="008D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A78" w:rsidRDefault="00446A78" w:rsidP="008A6223">
      <w:pPr>
        <w:spacing w:after="0" w:line="240" w:lineRule="auto"/>
      </w:pPr>
      <w:r>
        <w:separator/>
      </w:r>
    </w:p>
  </w:footnote>
  <w:footnote w:type="continuationSeparator" w:id="0">
    <w:p w:rsidR="00446A78" w:rsidRDefault="00446A78" w:rsidP="008A6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C37997"/>
    <w:multiLevelType w:val="hybridMultilevel"/>
    <w:tmpl w:val="8AC88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8A0"/>
    <w:rsid w:val="0005308A"/>
    <w:rsid w:val="000F309D"/>
    <w:rsid w:val="00120186"/>
    <w:rsid w:val="00172818"/>
    <w:rsid w:val="001A78A0"/>
    <w:rsid w:val="00201204"/>
    <w:rsid w:val="00220ACF"/>
    <w:rsid w:val="00253A99"/>
    <w:rsid w:val="0028016F"/>
    <w:rsid w:val="002A4001"/>
    <w:rsid w:val="002E2FF9"/>
    <w:rsid w:val="0031232D"/>
    <w:rsid w:val="00341F2B"/>
    <w:rsid w:val="0034258F"/>
    <w:rsid w:val="00347898"/>
    <w:rsid w:val="003A6046"/>
    <w:rsid w:val="004260BB"/>
    <w:rsid w:val="004335AE"/>
    <w:rsid w:val="00433844"/>
    <w:rsid w:val="00446A78"/>
    <w:rsid w:val="00480891"/>
    <w:rsid w:val="004A0DCC"/>
    <w:rsid w:val="004C53F4"/>
    <w:rsid w:val="004E19FB"/>
    <w:rsid w:val="00502573"/>
    <w:rsid w:val="005143B9"/>
    <w:rsid w:val="00537EB0"/>
    <w:rsid w:val="00544C56"/>
    <w:rsid w:val="00572742"/>
    <w:rsid w:val="00584574"/>
    <w:rsid w:val="005A24C6"/>
    <w:rsid w:val="00627E5E"/>
    <w:rsid w:val="006649AD"/>
    <w:rsid w:val="006964AA"/>
    <w:rsid w:val="006E5BF1"/>
    <w:rsid w:val="00724E64"/>
    <w:rsid w:val="00765FF2"/>
    <w:rsid w:val="007B525E"/>
    <w:rsid w:val="00872B51"/>
    <w:rsid w:val="008937F4"/>
    <w:rsid w:val="008A6223"/>
    <w:rsid w:val="008D0EF7"/>
    <w:rsid w:val="009144E1"/>
    <w:rsid w:val="009521EF"/>
    <w:rsid w:val="009B0FD6"/>
    <w:rsid w:val="009D6010"/>
    <w:rsid w:val="009F3BE7"/>
    <w:rsid w:val="00A14476"/>
    <w:rsid w:val="00A27F98"/>
    <w:rsid w:val="00A3330D"/>
    <w:rsid w:val="00AA3720"/>
    <w:rsid w:val="00AB7AED"/>
    <w:rsid w:val="00AD5D54"/>
    <w:rsid w:val="00AE3E48"/>
    <w:rsid w:val="00B45A7C"/>
    <w:rsid w:val="00B60983"/>
    <w:rsid w:val="00B80BE5"/>
    <w:rsid w:val="00BD493D"/>
    <w:rsid w:val="00BF0213"/>
    <w:rsid w:val="00C864BC"/>
    <w:rsid w:val="00CE37B0"/>
    <w:rsid w:val="00CE5D96"/>
    <w:rsid w:val="00D058E6"/>
    <w:rsid w:val="00D1418C"/>
    <w:rsid w:val="00D50E7E"/>
    <w:rsid w:val="00E14FAE"/>
    <w:rsid w:val="00E37053"/>
    <w:rsid w:val="00E5202D"/>
    <w:rsid w:val="00E66774"/>
    <w:rsid w:val="00EA53DF"/>
    <w:rsid w:val="00EC32F1"/>
    <w:rsid w:val="00F67175"/>
    <w:rsid w:val="00F83E04"/>
    <w:rsid w:val="00F96322"/>
    <w:rsid w:val="00F96B8D"/>
    <w:rsid w:val="00FC4C52"/>
    <w:rsid w:val="00FD74DC"/>
  </w:rsids>
  <m:mathPr>
    <m:mathFont m:val="Cambria Math"/>
    <m:brkBin m:val="before"/>
    <m:brkBinSub m:val="--"/>
    <m:smallFrac/>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EB0E7"/>
  <w15:docId w15:val="{8E057968-9846-47C0-8179-DC054F124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8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22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6223"/>
  </w:style>
  <w:style w:type="paragraph" w:styleId="Footer">
    <w:name w:val="footer"/>
    <w:basedOn w:val="Normal"/>
    <w:link w:val="FooterChar"/>
    <w:uiPriority w:val="99"/>
    <w:unhideWhenUsed/>
    <w:rsid w:val="008A622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6223"/>
  </w:style>
  <w:style w:type="paragraph" w:styleId="FootnoteText">
    <w:name w:val="footnote text"/>
    <w:basedOn w:val="Normal"/>
    <w:link w:val="FootnoteTextChar"/>
    <w:uiPriority w:val="99"/>
    <w:semiHidden/>
    <w:unhideWhenUsed/>
    <w:rsid w:val="004260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60BB"/>
    <w:rPr>
      <w:sz w:val="20"/>
      <w:szCs w:val="20"/>
    </w:rPr>
  </w:style>
  <w:style w:type="character" w:styleId="FootnoteReference">
    <w:name w:val="footnote reference"/>
    <w:basedOn w:val="DefaultParagraphFont"/>
    <w:uiPriority w:val="99"/>
    <w:semiHidden/>
    <w:unhideWhenUsed/>
    <w:rsid w:val="004260BB"/>
    <w:rPr>
      <w:vertAlign w:val="superscript"/>
    </w:rPr>
  </w:style>
  <w:style w:type="paragraph" w:styleId="ListParagraph">
    <w:name w:val="List Paragraph"/>
    <w:basedOn w:val="Normal"/>
    <w:uiPriority w:val="34"/>
    <w:qFormat/>
    <w:rsid w:val="004335AE"/>
    <w:pPr>
      <w:spacing w:after="132" w:line="268" w:lineRule="auto"/>
      <w:ind w:left="720" w:right="72" w:hanging="10"/>
      <w:contextualSpacing/>
      <w:jc w:val="both"/>
    </w:pPr>
    <w:rPr>
      <w:rFonts w:ascii="Times New Roman" w:eastAsia="Times New Roman" w:hAnsi="Times New Roman" w:cs="Times New Roman"/>
      <w:color w:val="000000"/>
      <w:sz w:val="24"/>
      <w:lang w:val="en-US"/>
    </w:rPr>
  </w:style>
  <w:style w:type="paragraph" w:styleId="BalloonText">
    <w:name w:val="Balloon Text"/>
    <w:basedOn w:val="Normal"/>
    <w:link w:val="BalloonTextChar"/>
    <w:uiPriority w:val="99"/>
    <w:semiHidden/>
    <w:unhideWhenUsed/>
    <w:rsid w:val="00E667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7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89447">
      <w:bodyDiv w:val="1"/>
      <w:marLeft w:val="0"/>
      <w:marRight w:val="0"/>
      <w:marTop w:val="0"/>
      <w:marBottom w:val="0"/>
      <w:divBdr>
        <w:top w:val="none" w:sz="0" w:space="0" w:color="auto"/>
        <w:left w:val="none" w:sz="0" w:space="0" w:color="auto"/>
        <w:bottom w:val="none" w:sz="0" w:space="0" w:color="auto"/>
        <w:right w:val="none" w:sz="0" w:space="0" w:color="auto"/>
      </w:divBdr>
    </w:div>
    <w:div w:id="97071184">
      <w:bodyDiv w:val="1"/>
      <w:marLeft w:val="0"/>
      <w:marRight w:val="0"/>
      <w:marTop w:val="0"/>
      <w:marBottom w:val="0"/>
      <w:divBdr>
        <w:top w:val="none" w:sz="0" w:space="0" w:color="auto"/>
        <w:left w:val="none" w:sz="0" w:space="0" w:color="auto"/>
        <w:bottom w:val="none" w:sz="0" w:space="0" w:color="auto"/>
        <w:right w:val="none" w:sz="0" w:space="0" w:color="auto"/>
      </w:divBdr>
    </w:div>
    <w:div w:id="305205456">
      <w:bodyDiv w:val="1"/>
      <w:marLeft w:val="0"/>
      <w:marRight w:val="0"/>
      <w:marTop w:val="0"/>
      <w:marBottom w:val="0"/>
      <w:divBdr>
        <w:top w:val="none" w:sz="0" w:space="0" w:color="auto"/>
        <w:left w:val="none" w:sz="0" w:space="0" w:color="auto"/>
        <w:bottom w:val="none" w:sz="0" w:space="0" w:color="auto"/>
        <w:right w:val="none" w:sz="0" w:space="0" w:color="auto"/>
      </w:divBdr>
    </w:div>
    <w:div w:id="367686938">
      <w:bodyDiv w:val="1"/>
      <w:marLeft w:val="0"/>
      <w:marRight w:val="0"/>
      <w:marTop w:val="0"/>
      <w:marBottom w:val="0"/>
      <w:divBdr>
        <w:top w:val="none" w:sz="0" w:space="0" w:color="auto"/>
        <w:left w:val="none" w:sz="0" w:space="0" w:color="auto"/>
        <w:bottom w:val="none" w:sz="0" w:space="0" w:color="auto"/>
        <w:right w:val="none" w:sz="0" w:space="0" w:color="auto"/>
      </w:divBdr>
    </w:div>
    <w:div w:id="449053422">
      <w:bodyDiv w:val="1"/>
      <w:marLeft w:val="0"/>
      <w:marRight w:val="0"/>
      <w:marTop w:val="0"/>
      <w:marBottom w:val="0"/>
      <w:divBdr>
        <w:top w:val="none" w:sz="0" w:space="0" w:color="auto"/>
        <w:left w:val="none" w:sz="0" w:space="0" w:color="auto"/>
        <w:bottom w:val="none" w:sz="0" w:space="0" w:color="auto"/>
        <w:right w:val="none" w:sz="0" w:space="0" w:color="auto"/>
      </w:divBdr>
    </w:div>
    <w:div w:id="479544666">
      <w:bodyDiv w:val="1"/>
      <w:marLeft w:val="0"/>
      <w:marRight w:val="0"/>
      <w:marTop w:val="0"/>
      <w:marBottom w:val="0"/>
      <w:divBdr>
        <w:top w:val="none" w:sz="0" w:space="0" w:color="auto"/>
        <w:left w:val="none" w:sz="0" w:space="0" w:color="auto"/>
        <w:bottom w:val="none" w:sz="0" w:space="0" w:color="auto"/>
        <w:right w:val="none" w:sz="0" w:space="0" w:color="auto"/>
      </w:divBdr>
    </w:div>
    <w:div w:id="618997682">
      <w:bodyDiv w:val="1"/>
      <w:marLeft w:val="0"/>
      <w:marRight w:val="0"/>
      <w:marTop w:val="0"/>
      <w:marBottom w:val="0"/>
      <w:divBdr>
        <w:top w:val="none" w:sz="0" w:space="0" w:color="auto"/>
        <w:left w:val="none" w:sz="0" w:space="0" w:color="auto"/>
        <w:bottom w:val="none" w:sz="0" w:space="0" w:color="auto"/>
        <w:right w:val="none" w:sz="0" w:space="0" w:color="auto"/>
      </w:divBdr>
    </w:div>
    <w:div w:id="634409612">
      <w:bodyDiv w:val="1"/>
      <w:marLeft w:val="0"/>
      <w:marRight w:val="0"/>
      <w:marTop w:val="0"/>
      <w:marBottom w:val="0"/>
      <w:divBdr>
        <w:top w:val="none" w:sz="0" w:space="0" w:color="auto"/>
        <w:left w:val="none" w:sz="0" w:space="0" w:color="auto"/>
        <w:bottom w:val="none" w:sz="0" w:space="0" w:color="auto"/>
        <w:right w:val="none" w:sz="0" w:space="0" w:color="auto"/>
      </w:divBdr>
    </w:div>
    <w:div w:id="689648462">
      <w:bodyDiv w:val="1"/>
      <w:marLeft w:val="0"/>
      <w:marRight w:val="0"/>
      <w:marTop w:val="0"/>
      <w:marBottom w:val="0"/>
      <w:divBdr>
        <w:top w:val="none" w:sz="0" w:space="0" w:color="auto"/>
        <w:left w:val="none" w:sz="0" w:space="0" w:color="auto"/>
        <w:bottom w:val="none" w:sz="0" w:space="0" w:color="auto"/>
        <w:right w:val="none" w:sz="0" w:space="0" w:color="auto"/>
      </w:divBdr>
    </w:div>
    <w:div w:id="715201054">
      <w:bodyDiv w:val="1"/>
      <w:marLeft w:val="0"/>
      <w:marRight w:val="0"/>
      <w:marTop w:val="0"/>
      <w:marBottom w:val="0"/>
      <w:divBdr>
        <w:top w:val="none" w:sz="0" w:space="0" w:color="auto"/>
        <w:left w:val="none" w:sz="0" w:space="0" w:color="auto"/>
        <w:bottom w:val="none" w:sz="0" w:space="0" w:color="auto"/>
        <w:right w:val="none" w:sz="0" w:space="0" w:color="auto"/>
      </w:divBdr>
    </w:div>
    <w:div w:id="808937565">
      <w:bodyDiv w:val="1"/>
      <w:marLeft w:val="0"/>
      <w:marRight w:val="0"/>
      <w:marTop w:val="0"/>
      <w:marBottom w:val="0"/>
      <w:divBdr>
        <w:top w:val="none" w:sz="0" w:space="0" w:color="auto"/>
        <w:left w:val="none" w:sz="0" w:space="0" w:color="auto"/>
        <w:bottom w:val="none" w:sz="0" w:space="0" w:color="auto"/>
        <w:right w:val="none" w:sz="0" w:space="0" w:color="auto"/>
      </w:divBdr>
    </w:div>
    <w:div w:id="819879589">
      <w:bodyDiv w:val="1"/>
      <w:marLeft w:val="0"/>
      <w:marRight w:val="0"/>
      <w:marTop w:val="0"/>
      <w:marBottom w:val="0"/>
      <w:divBdr>
        <w:top w:val="none" w:sz="0" w:space="0" w:color="auto"/>
        <w:left w:val="none" w:sz="0" w:space="0" w:color="auto"/>
        <w:bottom w:val="none" w:sz="0" w:space="0" w:color="auto"/>
        <w:right w:val="none" w:sz="0" w:space="0" w:color="auto"/>
      </w:divBdr>
    </w:div>
    <w:div w:id="948321162">
      <w:bodyDiv w:val="1"/>
      <w:marLeft w:val="0"/>
      <w:marRight w:val="0"/>
      <w:marTop w:val="0"/>
      <w:marBottom w:val="0"/>
      <w:divBdr>
        <w:top w:val="none" w:sz="0" w:space="0" w:color="auto"/>
        <w:left w:val="none" w:sz="0" w:space="0" w:color="auto"/>
        <w:bottom w:val="none" w:sz="0" w:space="0" w:color="auto"/>
        <w:right w:val="none" w:sz="0" w:space="0" w:color="auto"/>
      </w:divBdr>
    </w:div>
    <w:div w:id="958222122">
      <w:bodyDiv w:val="1"/>
      <w:marLeft w:val="0"/>
      <w:marRight w:val="0"/>
      <w:marTop w:val="0"/>
      <w:marBottom w:val="0"/>
      <w:divBdr>
        <w:top w:val="none" w:sz="0" w:space="0" w:color="auto"/>
        <w:left w:val="none" w:sz="0" w:space="0" w:color="auto"/>
        <w:bottom w:val="none" w:sz="0" w:space="0" w:color="auto"/>
        <w:right w:val="none" w:sz="0" w:space="0" w:color="auto"/>
      </w:divBdr>
    </w:div>
    <w:div w:id="1004354975">
      <w:bodyDiv w:val="1"/>
      <w:marLeft w:val="0"/>
      <w:marRight w:val="0"/>
      <w:marTop w:val="0"/>
      <w:marBottom w:val="0"/>
      <w:divBdr>
        <w:top w:val="none" w:sz="0" w:space="0" w:color="auto"/>
        <w:left w:val="none" w:sz="0" w:space="0" w:color="auto"/>
        <w:bottom w:val="none" w:sz="0" w:space="0" w:color="auto"/>
        <w:right w:val="none" w:sz="0" w:space="0" w:color="auto"/>
      </w:divBdr>
    </w:div>
    <w:div w:id="1102802503">
      <w:bodyDiv w:val="1"/>
      <w:marLeft w:val="0"/>
      <w:marRight w:val="0"/>
      <w:marTop w:val="0"/>
      <w:marBottom w:val="0"/>
      <w:divBdr>
        <w:top w:val="none" w:sz="0" w:space="0" w:color="auto"/>
        <w:left w:val="none" w:sz="0" w:space="0" w:color="auto"/>
        <w:bottom w:val="none" w:sz="0" w:space="0" w:color="auto"/>
        <w:right w:val="none" w:sz="0" w:space="0" w:color="auto"/>
      </w:divBdr>
    </w:div>
    <w:div w:id="1196769333">
      <w:bodyDiv w:val="1"/>
      <w:marLeft w:val="0"/>
      <w:marRight w:val="0"/>
      <w:marTop w:val="0"/>
      <w:marBottom w:val="0"/>
      <w:divBdr>
        <w:top w:val="none" w:sz="0" w:space="0" w:color="auto"/>
        <w:left w:val="none" w:sz="0" w:space="0" w:color="auto"/>
        <w:bottom w:val="none" w:sz="0" w:space="0" w:color="auto"/>
        <w:right w:val="none" w:sz="0" w:space="0" w:color="auto"/>
      </w:divBdr>
    </w:div>
    <w:div w:id="1438788580">
      <w:bodyDiv w:val="1"/>
      <w:marLeft w:val="0"/>
      <w:marRight w:val="0"/>
      <w:marTop w:val="0"/>
      <w:marBottom w:val="0"/>
      <w:divBdr>
        <w:top w:val="none" w:sz="0" w:space="0" w:color="auto"/>
        <w:left w:val="none" w:sz="0" w:space="0" w:color="auto"/>
        <w:bottom w:val="none" w:sz="0" w:space="0" w:color="auto"/>
        <w:right w:val="none" w:sz="0" w:space="0" w:color="auto"/>
      </w:divBdr>
    </w:div>
    <w:div w:id="1609891916">
      <w:bodyDiv w:val="1"/>
      <w:marLeft w:val="0"/>
      <w:marRight w:val="0"/>
      <w:marTop w:val="0"/>
      <w:marBottom w:val="0"/>
      <w:divBdr>
        <w:top w:val="none" w:sz="0" w:space="0" w:color="auto"/>
        <w:left w:val="none" w:sz="0" w:space="0" w:color="auto"/>
        <w:bottom w:val="none" w:sz="0" w:space="0" w:color="auto"/>
        <w:right w:val="none" w:sz="0" w:space="0" w:color="auto"/>
      </w:divBdr>
    </w:div>
    <w:div w:id="1744182589">
      <w:bodyDiv w:val="1"/>
      <w:marLeft w:val="0"/>
      <w:marRight w:val="0"/>
      <w:marTop w:val="0"/>
      <w:marBottom w:val="0"/>
      <w:divBdr>
        <w:top w:val="none" w:sz="0" w:space="0" w:color="auto"/>
        <w:left w:val="none" w:sz="0" w:space="0" w:color="auto"/>
        <w:bottom w:val="none" w:sz="0" w:space="0" w:color="auto"/>
        <w:right w:val="none" w:sz="0" w:space="0" w:color="auto"/>
      </w:divBdr>
    </w:div>
    <w:div w:id="1772778236">
      <w:bodyDiv w:val="1"/>
      <w:marLeft w:val="0"/>
      <w:marRight w:val="0"/>
      <w:marTop w:val="0"/>
      <w:marBottom w:val="0"/>
      <w:divBdr>
        <w:top w:val="none" w:sz="0" w:space="0" w:color="auto"/>
        <w:left w:val="none" w:sz="0" w:space="0" w:color="auto"/>
        <w:bottom w:val="none" w:sz="0" w:space="0" w:color="auto"/>
        <w:right w:val="none" w:sz="0" w:space="0" w:color="auto"/>
      </w:divBdr>
    </w:div>
    <w:div w:id="1863519202">
      <w:bodyDiv w:val="1"/>
      <w:marLeft w:val="0"/>
      <w:marRight w:val="0"/>
      <w:marTop w:val="0"/>
      <w:marBottom w:val="0"/>
      <w:divBdr>
        <w:top w:val="none" w:sz="0" w:space="0" w:color="auto"/>
        <w:left w:val="none" w:sz="0" w:space="0" w:color="auto"/>
        <w:bottom w:val="none" w:sz="0" w:space="0" w:color="auto"/>
        <w:right w:val="none" w:sz="0" w:space="0" w:color="auto"/>
      </w:divBdr>
    </w:div>
    <w:div w:id="192564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359F7-17CA-4BF2-B250-A460F462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1023</Words>
  <Characters>5832</Characters>
  <Application>Microsoft Office Word</Application>
  <DocSecurity>0</DocSecurity>
  <Lines>48</Lines>
  <Paragraphs>13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Sv.Aleksandrova</dc:creator>
  <cp:keywords/>
  <dc:description/>
  <cp:lastModifiedBy>Adelina K. Stoyanova</cp:lastModifiedBy>
  <cp:revision>5</cp:revision>
  <dcterms:created xsi:type="dcterms:W3CDTF">2024-09-11T09:27:00Z</dcterms:created>
  <dcterms:modified xsi:type="dcterms:W3CDTF">2024-09-11T14:38:00Z</dcterms:modified>
</cp:coreProperties>
</file>