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E91" w:rsidRPr="00DE4E91" w:rsidRDefault="00DE4E91" w:rsidP="00DE4E91">
      <w:pPr>
        <w:pStyle w:val="Heading4"/>
        <w:rPr>
          <w:lang w:val="bg-BG"/>
        </w:rPr>
      </w:pPr>
      <w:bookmarkStart w:id="0" w:name="_Toc256000078"/>
      <w:bookmarkStart w:id="1" w:name="_GoBack"/>
      <w:r w:rsidRPr="00DE4E91">
        <w:rPr>
          <w:lang w:val="bg-BG"/>
        </w:rPr>
        <w:t>I.В.3 - Еко схема за запазване и възстановяване на почвения потенциал – насърчаване на зелено торене и органично наторяване (promotion of green manure and organic fertilisation)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I.В.3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Еко схема за запазване и възстановяване на почвения потенциал – насърчаване на зелено торене и органично наторяване (promotion of green manure and organic fertilisation)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Eco-scheme(31) - Схеми за климата, околната среда и хуманното отношение към животните / Член 31, параграф 7, буква б) — Компенсаторно плащане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O.8. Брой хектари или животински единици, за които се ползват екосхеми</w:t>
            </w:r>
          </w:p>
        </w:tc>
      </w:tr>
    </w:tbl>
    <w:p w:rsidR="00DE4E91" w:rsidRPr="00DE4E91" w:rsidRDefault="00DE4E91" w:rsidP="00DE4E91">
      <w:pPr>
        <w:pStyle w:val="Heading5"/>
        <w:rPr>
          <w:b w:val="0"/>
          <w:color w:val="000000"/>
          <w:sz w:val="24"/>
          <w:lang w:val="bg-BG"/>
        </w:rPr>
      </w:pPr>
      <w:bookmarkStart w:id="2" w:name="_Toc256000079"/>
      <w:r w:rsidRPr="00DE4E91">
        <w:rPr>
          <w:b w:val="0"/>
          <w:color w:val="000000"/>
          <w:sz w:val="24"/>
          <w:lang w:val="bg-BG"/>
        </w:rPr>
        <w:t>1 Териториално приложение и ако е уместно, регионално измерение</w:t>
      </w:r>
      <w:bookmarkEnd w:id="2"/>
    </w:p>
    <w:p w:rsidR="00DE4E91" w:rsidRPr="00DE4E91" w:rsidRDefault="00DE4E91" w:rsidP="00DE4E91">
      <w:pPr>
        <w:rPr>
          <w:color w:val="000000"/>
          <w:sz w:val="0"/>
          <w:lang w:val="bg-BG"/>
        </w:rPr>
      </w:pPr>
      <w:r w:rsidRPr="00DE4E91">
        <w:rPr>
          <w:color w:val="000000"/>
          <w:lang w:val="bg-BG"/>
        </w:rPr>
        <w:t xml:space="preserve">Териториално приложение: </w:t>
      </w:r>
      <w:r w:rsidRPr="00DE4E91">
        <w:rPr>
          <w:b/>
          <w:color w:val="000000"/>
          <w:lang w:val="bg-BG"/>
        </w:rPr>
        <w:t>Национално равнище</w:t>
      </w:r>
    </w:p>
    <w:p w:rsidR="00DE4E91" w:rsidRPr="00DE4E91" w:rsidRDefault="00DE4E91" w:rsidP="00DE4E91">
      <w:pPr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DE4E91" w:rsidRPr="00DE4E91" w:rsidTr="00831680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 xml:space="preserve">България 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rPr>
                <w:lang w:val="bg-BG"/>
              </w:rPr>
            </w:pPr>
            <w:r w:rsidRPr="00DE4E91">
              <w:rPr>
                <w:lang w:val="bg-BG"/>
              </w:rPr>
              <w:t>Национален обхват. Интервенцията се прилага на територията на цялата страна.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3" w:name="_Toc256000080"/>
      <w:r w:rsidRPr="00DE4E91">
        <w:rPr>
          <w:b w:val="0"/>
          <w:i w:val="0"/>
          <w:color w:val="000000"/>
          <w:sz w:val="24"/>
          <w:lang w:val="bg-BG"/>
        </w:rPr>
        <w:t>2 Свързани специфични цели, междусекторна цел и уместни секторни цели</w:t>
      </w:r>
      <w:bookmarkEnd w:id="3"/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Код на СПЕЦИФИЧНАТА ЦЕЛ НА ОСП + описание</w:t>
            </w:r>
            <w:r w:rsidRPr="00DE4E91">
              <w:rPr>
                <w:color w:val="000000"/>
                <w:sz w:val="20"/>
                <w:lang w:val="bg-BG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SO6 Допринасяне за забавянето и възстановяването на намаляването на биоразнообразието, подобряване на екосистемните услуги и съхраняване на местообитанията и ландшафтите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SO9 Подобряване на отговора на селското стопанство в Съюза на обществените нужди от храна и здравеопазване, включително висококачествени, безопасни и питателни храни, произвеждани по устойчив начин, намаляване на хранителните отпадъци, както и подобряване на хуманното отношение към животните и борба с резистентностите към антимикробни средства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 xml:space="preserve">ОБЛАСТИ НА ДЕЙСТВИЕ ПО ОСП Код + Описание 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AOA-A смекчаване на изменението на климата, включително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AOA-B адаптиране към изменението на климата,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по-голяма устойчивост по отношение на болестите и изменението на климата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AOA-C опазване или подобряване на качеството на водите и намаляване на натиска върху водните ресурси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 xml:space="preserve">AOA-D предотвратяване на деградацията на почвите, възстановяване на почвите, подобряване на почвеното плодородие и на управлението на хранителните вещества [и на почвената биота] </w:t>
            </w:r>
          </w:p>
        </w:tc>
      </w:tr>
      <w:tr w:rsidR="00DE4E91" w:rsidRPr="00DE4E91" w:rsidTr="00831680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AOA-F действия за устойчиво и по-ограничено използване на пестициди, по-специално на тези, които представляват риск за човешкото здраве или околната среда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4" w:name="_Toc256000081"/>
      <w:r w:rsidRPr="00DE4E91">
        <w:rPr>
          <w:b w:val="0"/>
          <w:i w:val="0"/>
          <w:color w:val="000000"/>
          <w:sz w:val="24"/>
          <w:lang w:val="bg-BG"/>
        </w:rPr>
        <w:t>3 Потребности, обхванати от интервенцията</w:t>
      </w:r>
      <w:bookmarkEnd w:id="4"/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Разгледана в стратегически план по ОСП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П.5.2.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Подобряване качеството на почвите чрез ограничаване на процесите на водна и ветрова ерозия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lastRenderedPageBreak/>
              <w:t xml:space="preserve">П.5.3.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Поддържане на добър баланс на запасеност на почвите с органично вещество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П.5.4.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Продължаване на поддържането на нисък азотен и фосфорен отпечатък в почвите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П.5.5.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 xml:space="preserve">Продължаване на прилагане на оптимизирана и устойчива употреба на ПРЗ, минерални и органични торове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П.5.6.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Намаляване на емисиите на амоняк от селското стопанство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П.9.8.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 xml:space="preserve">Насърчаване приложението на подходи и методи за подобряване използването на торове и продукти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Да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5" w:name="_Toc256000082"/>
      <w:r w:rsidRPr="00DE4E91">
        <w:rPr>
          <w:b w:val="0"/>
          <w:i w:val="0"/>
          <w:color w:val="000000"/>
          <w:sz w:val="24"/>
          <w:lang w:val="bg-BG"/>
        </w:rPr>
        <w:t>4 Показател(и) за резултатите</w:t>
      </w:r>
      <w:bookmarkEnd w:id="5"/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Код на ПОКАЗАТЕЛИТЕ ЗА РЕЗУЛТАТИТЕ + описание</w:t>
            </w:r>
            <w:r w:rsidRPr="00DE4E91">
              <w:rPr>
                <w:color w:val="000000"/>
                <w:sz w:val="20"/>
                <w:lang w:val="bg-BG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R.14 Дял на използваната земеделска площ (ИЗП), обхваната от подпомагани ангажименти за намаляване на емисиите или за поддържане или подобряване на съхранението на въглероден диоксид (включително постоянно затревени площи, трайни насаждения с постоянно затревяване, земеделска земя във влажни зони и торфища)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R.19 Дял на използваната земеделска площ (ИЗП), обхваната от подпомагани ангажименти, допринасящи за управлението на почвите с цел подобряване на качеството на почвата и на биотата (като например намаляване на обработката, почвена покривка с култури, сеитбооборот, включително бобови култури)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R.20 Дял на използваната земеделска площ (ИЗП), обхваната от подпомагани ангажименти за намаляване на емисиите на амоняк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R.21 Дял на използваната земеделска площ (ИЗП), обхваната от подпомагани ангажименти за качеството на водните обекти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R.22 Дял на използваната земеделска площ (ИЗП), обхваната от подпомагани ангажименти за подобряване на управлението на хранителните вещества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6" w:name="_Toc256000083"/>
      <w:r w:rsidRPr="00DE4E91">
        <w:rPr>
          <w:b w:val="0"/>
          <w:i w:val="0"/>
          <w:color w:val="000000"/>
          <w:sz w:val="24"/>
          <w:lang w:val="bg-BG"/>
        </w:rPr>
        <w:t>5 Конкретен план, изисквания и условия за допустимост на интервенцията</w:t>
      </w:r>
      <w:bookmarkEnd w:id="6"/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Интервенцията е насочена към допринасяне за изпълнението на целта за намаляване на загубите на хранителни вещества с поне 50%, като същевременно се гарантира, че няма влошаване на плодородието на почвата. Интервенцията е насочена да допринесе към целта да се намали използването на торове поне с 20 % до 2030 г.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Схемата предвижда два основни похвата на внасяне на външна органична материя в почвата: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·Отглеждане на подходящи видове междинни непроизводствени култури с последващо зелено торене.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·Внасяне на външна органична материя обект на продукти от кръговата икономика (третирана органична материя от отпадъчна биомаса).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С интервенцията се цели намаляване на употребата на изкуствени торове – заместването им с естествени хранителни вещества образувани в следствие на внасянето на външна естествена органична материя.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Прилагането на практиките в интервенцията е насочено към запазване и повишаване на количеството на хранителни вещества в почвата чрез внасянето на органична материя в максимално подходящ вид и качество за почвата, вследствие на внасяне на органични подобрители.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Микробиалните торове и оборският тор като допринасящи за почвеното плодородие чрез естествени процеси биха могли да се използват като подобрители на почвата в контекста на еко схемата. Идеята е азотът от изкуствените торове да се замести от влагане на зелено торене и органично наторяване.</w:t>
            </w:r>
          </w:p>
          <w:p w:rsidR="00DE4E91" w:rsidRPr="00DE4E91" w:rsidRDefault="00DE4E91" w:rsidP="00831680">
            <w:pPr>
              <w:spacing w:before="40" w:after="40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lastRenderedPageBreak/>
              <w:t>Еко схемата е допустима за прилагане върху различните типове земеделски площи в стопанството. Земеделският стопанин доброволно решава с кои площи да участва в еко схемата без задължение да е приложимо за цялата площ на стопанството. Върху една земеделска площ може да се получи подпомагане само за една от възможните опции на изброените практики.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lastRenderedPageBreak/>
        <w:t>Описание на ангажиментите за екосхемата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Земеделските стопани </w:t>
            </w:r>
            <w:r w:rsidRPr="00DE4E91">
              <w:rPr>
                <w:lang w:val="bg-BG"/>
              </w:rPr>
              <w:t>прилагат върху земеделските площи в своите стопанства, с които избират да участват в еко схемата земеделски практики, благоприятни за климата и околната среда, от изброените по-долу: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А) Внасяне на хранителни вещества в почвата чрез отглеждане на непроизводствени междинни култури с последващо зелено торене и/или покривни култури: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 xml:space="preserve">1. </w:t>
            </w:r>
            <w:r w:rsidRPr="00DE4E91">
              <w:rPr>
                <w:color w:val="000000"/>
                <w:lang w:val="bg-BG"/>
              </w:rPr>
              <w:t>Допустими за отглеждане междинни/покривни култури по схемата: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Междинните култури/покривни култури са създадени като смески от не-житни култури и житни култури.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2.     </w:t>
            </w:r>
            <w:r w:rsidRPr="00DE4E91">
              <w:rPr>
                <w:color w:val="000000"/>
                <w:lang w:val="bg-BG"/>
              </w:rPr>
              <w:t>Изисквания за минимални срокове на отглежданите култури: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Не са площи с междинни култури/покривни култури площите, засети със зимни култури за получаване на реколта или използване за паша.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shd w:val="clear" w:color="auto" w:fill="FEFEFE"/>
                <w:lang w:val="bg-BG"/>
              </w:rPr>
              <w:t xml:space="preserve">Покривни култури трябва да бъдат налични на полето в периода от 15 октомври на годината на кандидатстване до 15 февруари на следващата година. 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shd w:val="clear" w:color="auto" w:fill="FEFEFE"/>
                <w:lang w:val="bg-BG"/>
              </w:rPr>
              <w:t>Междинните култури трябва да са налични на полето в периода от 1 октомври до 1 декември на годината на кандидатстване и да се използват за последващо зелено торене.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3.     </w:t>
            </w:r>
            <w:r w:rsidRPr="00DE4E91">
              <w:rPr>
                <w:color w:val="000000"/>
                <w:lang w:val="bg-BG"/>
              </w:rPr>
              <w:t>Изисквания към минимално изискуемите обработки: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Междинните култури се използват за последващо зелено торене (посредством заораване, валиране, естествено измръзване или друг метод на механично терминиране на културата по избор на земеделския стопанин). 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Покривните култури се използват за осигуряване на покривка през зимния период.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В периода на отглеждане на междинните култури/покривните култури не трябва да се прилагат изкуствени торове и продукти за растителна защита. Терминирането на културите не се извършва с хербицид.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и/или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Б) Внасяне на хранителни вещества в почвата чрез използването на </w:t>
            </w:r>
            <w:r w:rsidRPr="00DE4E91">
              <w:rPr>
                <w:strike/>
                <w:color w:val="000000"/>
                <w:lang w:val="bg-BG"/>
              </w:rPr>
              <w:t xml:space="preserve">външни </w:t>
            </w:r>
            <w:r w:rsidRPr="00DE4E91">
              <w:rPr>
                <w:color w:val="000000"/>
                <w:lang w:val="bg-BG"/>
              </w:rPr>
              <w:t xml:space="preserve">органични </w:t>
            </w:r>
            <w:r w:rsidRPr="00DE4E91">
              <w:rPr>
                <w:color w:val="FF0000"/>
                <w:lang w:val="bg-BG"/>
              </w:rPr>
              <w:t>торове</w:t>
            </w:r>
            <w:r w:rsidRPr="00DE4E91">
              <w:rPr>
                <w:color w:val="000000"/>
                <w:lang w:val="bg-BG"/>
              </w:rPr>
              <w:t xml:space="preserve"> </w:t>
            </w:r>
            <w:r w:rsidRPr="00DE4E91">
              <w:rPr>
                <w:color w:val="FF0000"/>
                <w:lang w:val="bg-BG"/>
              </w:rPr>
              <w:t>и</w:t>
            </w:r>
            <w:r w:rsidRPr="00DE4E91">
              <w:rPr>
                <w:color w:val="000000"/>
                <w:lang w:val="bg-BG"/>
              </w:rPr>
              <w:t xml:space="preserve"> </w:t>
            </w:r>
            <w:r w:rsidRPr="00DE4E91">
              <w:rPr>
                <w:color w:val="000000"/>
                <w:lang w:val="bg-BG"/>
              </w:rPr>
              <w:t>подобрители на почвата: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Да извършват внасяне на органично вещество на различни видове (подобрители на почвата) от които: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1.Подобрители получени чрез процес на аеробно третиране от отпадъчна био маса;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2.Подобрители получени чрез процес на анаеробно третиране от отпадъчна био маса;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3.Подобрители получени чрез процес на биологично третиране от отпадъчна био маса чрез червеи;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4.Подобрители получени чрез процес на термално третиране от отпадъчна био маса.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5. Използване на нискоемисионни техники за прилагане на оборски тор (впръскване на течен оборски тор; включване в рамките на 4 часа от прилагането).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Забранява се използването на подобрители на почвата получени след химическо третиране.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При внасяне на подобрител, съдържащ общ N (азот), количеството на осигурен общ азот N (азот) трябва да не бъде по-малко от 10% от потребностите на конкретната култура и да не надвишава 150 кг. общ N (азот) на хектар. 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shd w:val="clear" w:color="auto" w:fill="FFFFFF"/>
                <w:lang w:val="bg-BG"/>
              </w:rPr>
              <w:t xml:space="preserve">„Органични </w:t>
            </w:r>
            <w:r w:rsidRPr="00DE4E91">
              <w:rPr>
                <w:color w:val="FF0000"/>
                <w:shd w:val="clear" w:color="auto" w:fill="FFFFFF"/>
                <w:lang w:val="bg-BG"/>
              </w:rPr>
              <w:t>торове и</w:t>
            </w:r>
            <w:r w:rsidRPr="00DE4E91">
              <w:rPr>
                <w:color w:val="000000"/>
                <w:shd w:val="clear" w:color="auto" w:fill="FFFFFF"/>
                <w:lang w:val="bg-BG"/>
              </w:rPr>
              <w:t xml:space="preserve"> </w:t>
            </w:r>
            <w:r w:rsidRPr="00DE4E91">
              <w:rPr>
                <w:color w:val="000000"/>
                <w:shd w:val="clear" w:color="auto" w:fill="FFFFFF"/>
                <w:lang w:val="bg-BG"/>
              </w:rPr>
              <w:t xml:space="preserve">подобрители на почвата“ са органични подобрители, органични торове, </w:t>
            </w:r>
            <w:r w:rsidRPr="00DE4E91">
              <w:rPr>
                <w:color w:val="000000"/>
                <w:shd w:val="clear" w:color="auto" w:fill="FEFEFE"/>
                <w:lang w:val="bg-BG"/>
              </w:rPr>
              <w:t>органо-минерални торове,</w:t>
            </w:r>
            <w:r w:rsidRPr="00DE4E91">
              <w:rPr>
                <w:color w:val="000000"/>
                <w:shd w:val="clear" w:color="auto" w:fill="FFFFFF"/>
                <w:lang w:val="bg-BG"/>
              </w:rPr>
              <w:t xml:space="preserve"> микробиални торове, растителни биостимуланти, </w:t>
            </w:r>
            <w:r w:rsidRPr="00DE4E91">
              <w:rPr>
                <w:color w:val="000000"/>
                <w:shd w:val="clear" w:color="auto" w:fill="FEFEFE"/>
                <w:lang w:val="bg-BG"/>
              </w:rPr>
              <w:t>обработен оборски тор.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Земеделският стопанин да има план за управление на хранителните вещества за културите в стопанството, </w:t>
            </w:r>
            <w:r w:rsidRPr="00DE4E91">
              <w:rPr>
                <w:lang w:val="bg-BG"/>
              </w:rPr>
              <w:t>който да бъде изготвен от лице, притежаващо необходимите компетенции. Земеделският стопанин трябва да спазва Плана за торене и по-специално прилагането на торове, в съответствие с нуждите на културите, определени в плана. 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lastRenderedPageBreak/>
              <w:t>Доказването на вложените обеми става чрез разходооправдателни документи и дневниците за растителна защита и вложени подобрители на съответния парцел.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При случаите на земеделски стопани, които сами са произвели органичните подобрители същите вместо разходооправдателни документи следва да докажат: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Наличието на ниво стопанство на приложима технология одобрена от РИОСВ с капацитет на инсталацията (ако е приложимо);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Лицензирана площадка за третиране на отпадъци със съответните кодове (ако е приложимо)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Протоколи за произведена продукция идентична на вложената.</w:t>
            </w:r>
          </w:p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Върху една земеделска площ може да се получи подпомагане само за една от възможните опции на изброените практики.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lastRenderedPageBreak/>
        <w:t xml:space="preserve">Определете бенефициерите, отговарящи на критериите, както и специфичните критерии за допустимост, когато е уместно, за бенефициерите, за площта и когато е приложимо, за другите съответни задължения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>Земеделски стопани, които отговарят на изискванията за „активни земеделски стопани“.</w:t>
            </w:r>
          </w:p>
          <w:p w:rsidR="00DE4E91" w:rsidRPr="00DE4E91" w:rsidRDefault="00DE4E91" w:rsidP="00831680">
            <w:pPr>
              <w:spacing w:before="40" w:after="40"/>
              <w:rPr>
                <w:lang w:val="bg-BG"/>
              </w:rPr>
            </w:pPr>
            <w:r w:rsidRPr="00DE4E91">
              <w:rPr>
                <w:lang w:val="bg-BG"/>
              </w:rPr>
              <w:t>Земеделските площи трябва да отговарят на изискванията за допустимост за директни плащания.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7" w:name="_Toc256000084"/>
      <w:r w:rsidRPr="00DE4E91">
        <w:rPr>
          <w:b w:val="0"/>
          <w:i w:val="0"/>
          <w:color w:val="000000"/>
          <w:sz w:val="24"/>
          <w:lang w:val="bg-BG"/>
        </w:rPr>
        <w:t>6 Определяне на уместни базови характеристики</w:t>
      </w:r>
      <w:bookmarkEnd w:id="7"/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Списък на приложимите стандарти за ДЗЕС и ЗИУ</w:t>
      </w:r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DE4E91" w:rsidRPr="00DE4E91" w:rsidTr="00831680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SMR02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Директива 91/676/ЕИО на Съвета от 12 декември 1991 г. за опазване на водите от замърсяване с нитрати от селскостопански източници: членове 4 и 5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rPr>
                <w:lang w:val="bg-BG"/>
              </w:rPr>
            </w:pPr>
            <w:r w:rsidRPr="00DE4E91">
              <w:rPr>
                <w:lang w:val="bg-BG"/>
              </w:rPr>
              <w:t>N/a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Връзка на стандартите за ДЗЕС, ЗИУ и националните стандарти с екосхемата (обяснете как екосхемата надхвърля базовите параметри, особено по отношение на ЗИУ и националните стандарти)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Надгражда условността по отношение на изискванията за внасяне на азот от изкуствени торове в почвата, осигуряване на зимно покритие на почвата за предотвратяване на риска от ерозия, постигането на зелено торене чрез непроизводствени площи с междинни и покривни култури за зимния период. </w:t>
            </w:r>
            <w:r w:rsidRPr="00DE4E91">
              <w:rPr>
                <w:lang w:val="bg-BG"/>
              </w:rPr>
              <w:t xml:space="preserve">Еко схемата надвишава изискванията на ЗИУ2, като при внасяне на подобрител, съдържащ общ N (азот), количеството на осигурен общ азот N (азот) не трябва да надвишава 150 кг. общ N (азот) на хектар. Еко схемата надгражда ДЗЕС 6 чрез осигуряване на минимален времеви период, в който междинните и покривните култури по еко схемата са задължително налични на полето. 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8" w:name="_Toc256000085"/>
      <w:r w:rsidRPr="00DE4E91">
        <w:rPr>
          <w:b w:val="0"/>
          <w:i w:val="0"/>
          <w:color w:val="000000"/>
          <w:sz w:val="24"/>
          <w:lang w:val="bg-BG"/>
        </w:rPr>
        <w:t>7 Обхват и суми на подпомагането</w:t>
      </w:r>
      <w:bookmarkEnd w:id="8"/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lang w:val="bg-BG"/>
              </w:rPr>
              <w:t xml:space="preserve">За всички интервенции в еко схемите е определено финансиране от 25% от годишния финансов пакет за директни плащания. Плащането е на хектар допустима земеделска земя, обхваната от задълженията по интервенцията. Ставката е съгласно чл. 31(7)(б) от Регламент (ЕС) 2021/2115. Вариация в ставката може да има според нивото на площите, обхванати от задълженията в еко схемите с цел да се постигне пълно оползотворяване на финансовия ресурс, определен за амбициозните екологични цели. 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9" w:name="_Toc256000086"/>
      <w:r w:rsidRPr="00DE4E91">
        <w:rPr>
          <w:b w:val="0"/>
          <w:i w:val="0"/>
          <w:color w:val="000000"/>
          <w:sz w:val="24"/>
          <w:lang w:val="bg-BG"/>
        </w:rPr>
        <w:t>8 Допълнителни въпроси/информация за вида на интервенцията</w:t>
      </w:r>
      <w:bookmarkEnd w:id="9"/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Неприложимо</w:t>
      </w:r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</w:p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0" w:name="_Toc256000087"/>
      <w:r w:rsidRPr="00DE4E91">
        <w:rPr>
          <w:b w:val="0"/>
          <w:i w:val="0"/>
          <w:color w:val="000000"/>
          <w:sz w:val="24"/>
          <w:lang w:val="bg-BG"/>
        </w:rPr>
        <w:t>9 Съответствие с правилата на СТО</w:t>
      </w:r>
      <w:bookmarkEnd w:id="10"/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lastRenderedPageBreak/>
        <w:t xml:space="preserve"> Зелена кутия</w:t>
      </w:r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Параграф 12 от приложение 2 към Споразумението за СТО</w:t>
      </w:r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 xml:space="preserve">Плащането е в съответствие с разпоредбата на член 31, параграф 7, първа алинея, буква б) от Регламент (ЕС) 2021/2115, което поставя интервенцията в обхвата на параграф 12 от приложение 2 към Споразумението за селското стопанство на СТО („зелена кутия“). Интервенцията таргетира повишаване на екологичната устойчивост на засегнатата площ и не оказва изкривяващо влияние върху производството и търговията. 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  <w:sectPr w:rsidR="00DE4E91" w:rsidRPr="00DE4E91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1" w:name="_Toc256000088"/>
      <w:r w:rsidRPr="00DE4E91">
        <w:rPr>
          <w:b w:val="0"/>
          <w:i w:val="0"/>
          <w:color w:val="000000"/>
          <w:sz w:val="24"/>
          <w:lang w:val="bg-BG"/>
        </w:rPr>
        <w:lastRenderedPageBreak/>
        <w:t>11 Планирани единични суми — определение</w:t>
      </w:r>
      <w:bookmarkEnd w:id="11"/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3910"/>
        <w:gridCol w:w="1099"/>
        <w:gridCol w:w="3115"/>
      </w:tblGrid>
      <w:tr w:rsidR="00DE4E91" w:rsidRPr="00DE4E91" w:rsidTr="00831680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Показател(и) за резултатите</w:t>
            </w:r>
          </w:p>
        </w:tc>
      </w:tr>
      <w:tr w:rsidR="00DE4E91" w:rsidRPr="00DE4E91" w:rsidTr="00831680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I.B.3_Еко-03 - Еко схема 03_Почвен потенциал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R.14; R.19; R.20; R.21; R.22</w:t>
            </w: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Разяснение и обосновка (включително гъвкавост)</w:t>
      </w:r>
    </w:p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  <w:r w:rsidRPr="00DE4E91">
        <w:rPr>
          <w:color w:val="000000"/>
          <w:lang w:val="bg-BG"/>
        </w:rPr>
        <w:t>I.B.3_Еко-03 - Еко схема 03_Почвен потенциал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6"/>
      </w:tblGrid>
      <w:tr w:rsidR="00DE4E91" w:rsidRPr="00DE4E91" w:rsidTr="00831680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40" w:after="40"/>
              <w:jc w:val="both"/>
              <w:rPr>
                <w:lang w:val="bg-BG"/>
              </w:rPr>
            </w:pPr>
            <w:r w:rsidRPr="00DE4E91">
              <w:rPr>
                <w:color w:val="000000"/>
                <w:lang w:val="bg-BG"/>
              </w:rPr>
              <w:t>Плащането е на хектар допустима земеделска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  <w:r w:rsidRPr="00DE4E91">
              <w:rPr>
                <w:lang w:val="bg-BG"/>
              </w:rPr>
              <w:t xml:space="preserve"> </w:t>
            </w:r>
          </w:p>
        </w:tc>
      </w:tr>
    </w:tbl>
    <w:p w:rsidR="00DE4E91" w:rsidRPr="00DE4E91" w:rsidRDefault="00DE4E91" w:rsidP="00DE4E91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2" w:name="_Toc256000089"/>
      <w:r w:rsidRPr="00DE4E91">
        <w:rPr>
          <w:b w:val="0"/>
          <w:i w:val="0"/>
          <w:color w:val="000000"/>
          <w:sz w:val="24"/>
          <w:lang w:val="bg-BG"/>
        </w:rPr>
        <w:t>12 Планирани единични суми — финансова таблица с крайни продукти</w:t>
      </w:r>
      <w:bookmarkEnd w:id="12"/>
    </w:p>
    <w:p w:rsidR="00DE4E91" w:rsidRPr="00DE4E91" w:rsidRDefault="00DE4E91" w:rsidP="00DE4E91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2598"/>
        <w:gridCol w:w="1300"/>
        <w:gridCol w:w="1300"/>
        <w:gridCol w:w="1300"/>
        <w:gridCol w:w="1300"/>
        <w:gridCol w:w="1300"/>
        <w:gridCol w:w="1300"/>
      </w:tblGrid>
      <w:tr w:rsidR="00DE4E91" w:rsidRPr="00DE4E91" w:rsidTr="00831680">
        <w:trPr>
          <w:trHeight w:val="160"/>
          <w:tblHeader/>
        </w:trPr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Финансова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Общо за периода 2024—2028 г.</w:t>
            </w:r>
          </w:p>
        </w:tc>
      </w:tr>
      <w:tr w:rsidR="00DE4E91" w:rsidRPr="00DE4E91" w:rsidTr="00831680">
        <w:trPr>
          <w:trHeight w:val="160"/>
          <w:tblHeader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Календарна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>Общо за периода 2023—2027 г.</w:t>
            </w: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I.B.3_Еко-03 - Еко схема 03_Почвен потенциал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66,83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53,46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53,46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53,46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53,46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Минимална сума за планираната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53,46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Максимална сума за планираната единична сума (евро)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83,54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83,54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83,54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83,54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83,54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417 100,00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749 903,00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775 834,00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800 369,00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782 877,00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Планиран краен продукт * 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27 874 793,00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40 089 814,38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41 476 085,64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42 787 726,74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41 852 604,42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194 081 024,18</w:t>
            </w: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417 100,00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749 903,00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775 834,00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800 369,00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782 877,00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 xml:space="preserve">Сума: </w:t>
            </w:r>
          </w:p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3 526 083,00</w:t>
            </w:r>
          </w:p>
          <w:p w:rsidR="00DE4E91" w:rsidRPr="00DE4E91" w:rsidRDefault="00DE4E91" w:rsidP="00831680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DE4E91">
              <w:rPr>
                <w:b/>
                <w:color w:val="000000"/>
                <w:sz w:val="20"/>
                <w:lang w:val="bg-BG"/>
              </w:rPr>
              <w:t xml:space="preserve">Макс.: </w:t>
            </w:r>
          </w:p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800 369,00</w:t>
            </w: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Годишно ориентировъчно разпределение на финансови средства (принос на Съюза в 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27 874 793,00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40 089 814,38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41 476 085,64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42 787 726,74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41 852 604,42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194 081 024,18</w:t>
            </w:r>
          </w:p>
        </w:tc>
      </w:tr>
      <w:tr w:rsidR="00DE4E91" w:rsidRPr="00DE4E91" w:rsidTr="00831680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DE4E91">
              <w:rPr>
                <w:color w:val="000000"/>
                <w:sz w:val="20"/>
                <w:lang w:val="bg-BG"/>
              </w:rPr>
              <w:t>От които необходими за достигане на минималното изискване за обособяване на средства (приложение XII) (само съгласно член 30) (принос на Съюза)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4E91" w:rsidRPr="00DE4E91" w:rsidRDefault="00DE4E91" w:rsidP="00831680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</w:tbl>
    <w:p w:rsidR="00DE4E91" w:rsidRPr="00DE4E91" w:rsidRDefault="00DE4E91" w:rsidP="00DE4E91">
      <w:pPr>
        <w:spacing w:before="20" w:after="20"/>
        <w:rPr>
          <w:color w:val="000000"/>
          <w:lang w:val="bg-BG"/>
        </w:rPr>
      </w:pPr>
    </w:p>
    <w:bookmarkEnd w:id="1"/>
    <w:p w:rsidR="00DE4E91" w:rsidRPr="00DE4E91" w:rsidRDefault="00DE4E91" w:rsidP="00DE4E91">
      <w:pPr>
        <w:rPr>
          <w:lang w:val="bg-BG"/>
        </w:rPr>
      </w:pPr>
    </w:p>
    <w:sectPr w:rsidR="00DE4E91" w:rsidRPr="00DE4E91" w:rsidSect="00DE4E91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BA"/>
    <w:rsid w:val="006C6B3C"/>
    <w:rsid w:val="00914BBA"/>
    <w:rsid w:val="00DE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7FD2"/>
  <w15:chartTrackingRefBased/>
  <w15:docId w15:val="{FAC9D8A2-8452-4B85-A2BF-5F8DAB88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E4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E4E9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E4E9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E4E91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Jordanova</dc:creator>
  <cp:keywords/>
  <dc:description/>
  <cp:lastModifiedBy>Kristina Jordanova</cp:lastModifiedBy>
  <cp:revision>2</cp:revision>
  <dcterms:created xsi:type="dcterms:W3CDTF">2024-08-26T14:11:00Z</dcterms:created>
  <dcterms:modified xsi:type="dcterms:W3CDTF">2024-08-26T14:11:00Z</dcterms:modified>
</cp:coreProperties>
</file>