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B98" w:rsidRPr="00074D62" w:rsidRDefault="00A77B98" w:rsidP="00A77B98">
      <w:pPr>
        <w:pStyle w:val="Heading4"/>
        <w:rPr>
          <w:lang w:val="bg-BG"/>
        </w:rPr>
      </w:pPr>
      <w:bookmarkStart w:id="0" w:name="_Toc256000114"/>
      <w:r w:rsidRPr="00074D62">
        <w:rPr>
          <w:lang w:val="bg-BG"/>
        </w:rPr>
        <w:t>I.В.6 - Еко схема за екстензивно поддържане на постоянно затревените площи</w:t>
      </w:r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0"/>
        <w:gridCol w:w="5120"/>
      </w:tblGrid>
      <w:tr w:rsidR="00A77B98" w:rsidRPr="00074D62" w:rsidTr="004F2313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B98" w:rsidRPr="00074D62" w:rsidRDefault="00A77B98" w:rsidP="004F2313">
            <w:pPr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>Код на интервенцията (държава членка)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B98" w:rsidRPr="00074D62" w:rsidRDefault="00A77B98" w:rsidP="004F2313">
            <w:pPr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>I.В.6</w:t>
            </w:r>
          </w:p>
        </w:tc>
      </w:tr>
      <w:tr w:rsidR="00A77B98" w:rsidRPr="00074D62" w:rsidTr="004F2313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B98" w:rsidRPr="00074D62" w:rsidRDefault="00A77B98" w:rsidP="004F2313">
            <w:pPr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>Име на интервенцията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B98" w:rsidRPr="00074D62" w:rsidRDefault="00A77B98" w:rsidP="004F2313">
            <w:pPr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>Еко схема за екстензивно поддържане на постоянно затревените площи</w:t>
            </w:r>
          </w:p>
        </w:tc>
      </w:tr>
      <w:tr w:rsidR="00A77B98" w:rsidRPr="00074D62" w:rsidTr="004F2313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B98" w:rsidRPr="00074D62" w:rsidRDefault="00A77B98" w:rsidP="004F2313">
            <w:pPr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>Вид интервенция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B98" w:rsidRPr="00074D62" w:rsidRDefault="00A77B98" w:rsidP="004F2313">
            <w:pPr>
              <w:rPr>
                <w:color w:val="000000"/>
                <w:sz w:val="20"/>
                <w:lang w:val="bg-BG"/>
              </w:rPr>
            </w:pPr>
            <w:proofErr w:type="spellStart"/>
            <w:r w:rsidRPr="00074D62">
              <w:rPr>
                <w:color w:val="000000"/>
                <w:sz w:val="20"/>
                <w:lang w:val="bg-BG"/>
              </w:rPr>
              <w:t>Eco-scheme</w:t>
            </w:r>
            <w:proofErr w:type="spellEnd"/>
            <w:r w:rsidRPr="00074D62">
              <w:rPr>
                <w:color w:val="000000"/>
                <w:sz w:val="20"/>
                <w:lang w:val="bg-BG"/>
              </w:rPr>
              <w:t>(31) - Схеми за климата, околната среда и хуманното отношение към животните / Член 31, параграф 7, буква б) — Компенсаторно плащане</w:t>
            </w:r>
          </w:p>
        </w:tc>
      </w:tr>
      <w:tr w:rsidR="00A77B98" w:rsidRPr="00074D62" w:rsidTr="004F2313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B98" w:rsidRPr="00074D62" w:rsidRDefault="00A77B98" w:rsidP="004F2313">
            <w:pPr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>Общ показател за крайния продукт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B98" w:rsidRPr="00074D62" w:rsidRDefault="00A77B98" w:rsidP="004F2313">
            <w:pPr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 xml:space="preserve">O.8. Брой хектари или животински единици, за които се ползват </w:t>
            </w:r>
            <w:proofErr w:type="spellStart"/>
            <w:r w:rsidRPr="00074D62">
              <w:rPr>
                <w:color w:val="000000"/>
                <w:sz w:val="20"/>
                <w:lang w:val="bg-BG"/>
              </w:rPr>
              <w:t>екосхеми</w:t>
            </w:r>
            <w:proofErr w:type="spellEnd"/>
          </w:p>
        </w:tc>
      </w:tr>
    </w:tbl>
    <w:p w:rsidR="00A77B98" w:rsidRPr="00074D62" w:rsidRDefault="00A77B98" w:rsidP="00A77B98">
      <w:pPr>
        <w:pStyle w:val="Heading5"/>
        <w:rPr>
          <w:b w:val="0"/>
          <w:color w:val="000000"/>
          <w:sz w:val="24"/>
          <w:lang w:val="bg-BG"/>
        </w:rPr>
      </w:pPr>
      <w:bookmarkStart w:id="1" w:name="_Toc256000115"/>
      <w:r w:rsidRPr="00074D62">
        <w:rPr>
          <w:b w:val="0"/>
          <w:color w:val="000000"/>
          <w:sz w:val="24"/>
          <w:lang w:val="bg-BG"/>
        </w:rPr>
        <w:t>1 Териториално приложение и ако е уместно, регионално измерение</w:t>
      </w:r>
      <w:bookmarkEnd w:id="1"/>
    </w:p>
    <w:p w:rsidR="00A77B98" w:rsidRPr="00074D62" w:rsidRDefault="00A77B98" w:rsidP="00A77B98">
      <w:pPr>
        <w:rPr>
          <w:color w:val="000000"/>
          <w:sz w:val="0"/>
          <w:lang w:val="bg-BG"/>
        </w:rPr>
      </w:pPr>
      <w:r w:rsidRPr="00074D62">
        <w:rPr>
          <w:color w:val="000000"/>
          <w:lang w:val="bg-BG"/>
        </w:rPr>
        <w:t xml:space="preserve">Териториално приложение: </w:t>
      </w:r>
      <w:r w:rsidRPr="00074D62">
        <w:rPr>
          <w:b/>
          <w:color w:val="000000"/>
          <w:lang w:val="bg-BG"/>
        </w:rPr>
        <w:t>Национално равнище</w:t>
      </w:r>
    </w:p>
    <w:p w:rsidR="00A77B98" w:rsidRPr="00074D62" w:rsidRDefault="00A77B98" w:rsidP="00A77B98">
      <w:pPr>
        <w:rPr>
          <w:color w:val="000000"/>
          <w:sz w:val="0"/>
          <w:lang w:val="bg-BG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0"/>
        <w:gridCol w:w="5120"/>
      </w:tblGrid>
      <w:tr w:rsidR="00A77B98" w:rsidRPr="00074D62" w:rsidTr="004F2313">
        <w:trPr>
          <w:trHeight w:val="160"/>
        </w:trPr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B98" w:rsidRPr="00074D62" w:rsidRDefault="00A77B98" w:rsidP="004F2313">
            <w:pPr>
              <w:rPr>
                <w:b/>
                <w:color w:val="000000"/>
                <w:sz w:val="20"/>
                <w:lang w:val="bg-BG"/>
              </w:rPr>
            </w:pPr>
            <w:r w:rsidRPr="00074D62">
              <w:rPr>
                <w:b/>
                <w:color w:val="000000"/>
                <w:sz w:val="20"/>
                <w:lang w:val="bg-BG"/>
              </w:rPr>
              <w:t>Код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B98" w:rsidRPr="00074D62" w:rsidRDefault="00A77B98" w:rsidP="004F2313">
            <w:pPr>
              <w:rPr>
                <w:color w:val="000000"/>
                <w:sz w:val="20"/>
                <w:lang w:val="bg-BG"/>
              </w:rPr>
            </w:pPr>
            <w:r w:rsidRPr="00074D62">
              <w:rPr>
                <w:b/>
                <w:color w:val="000000"/>
                <w:sz w:val="20"/>
                <w:lang w:val="bg-BG"/>
              </w:rPr>
              <w:t>Описание</w:t>
            </w:r>
          </w:p>
        </w:tc>
      </w:tr>
      <w:tr w:rsidR="00A77B98" w:rsidRPr="00074D62" w:rsidTr="004F2313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B98" w:rsidRPr="00074D62" w:rsidRDefault="00A77B98" w:rsidP="004F2313">
            <w:pPr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>BG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B98" w:rsidRPr="00074D62" w:rsidRDefault="00A77B98" w:rsidP="004F2313">
            <w:pPr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 xml:space="preserve">България </w:t>
            </w:r>
          </w:p>
        </w:tc>
      </w:tr>
    </w:tbl>
    <w:p w:rsidR="00A77B98" w:rsidRPr="00074D62" w:rsidRDefault="00A77B98" w:rsidP="00A77B98">
      <w:pPr>
        <w:spacing w:before="20" w:after="20"/>
        <w:rPr>
          <w:color w:val="000000"/>
          <w:lang w:val="bg-BG"/>
        </w:rPr>
      </w:pPr>
      <w:r w:rsidRPr="00074D62">
        <w:rPr>
          <w:color w:val="000000"/>
          <w:lang w:val="bg-BG"/>
        </w:rPr>
        <w:t>Описание на териториалното приложение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A77B98" w:rsidRPr="00074D62" w:rsidTr="004F2313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40" w:after="40"/>
              <w:rPr>
                <w:lang w:val="bg-BG"/>
              </w:rPr>
            </w:pPr>
            <w:r w:rsidRPr="00074D62">
              <w:rPr>
                <w:lang w:val="bg-BG"/>
              </w:rPr>
              <w:t>Национален обхват. Интервенцията се прилага на територията на цялата страна.</w:t>
            </w:r>
          </w:p>
        </w:tc>
      </w:tr>
    </w:tbl>
    <w:p w:rsidR="00A77B98" w:rsidRPr="00074D62" w:rsidRDefault="00A77B98" w:rsidP="00A77B98">
      <w:pPr>
        <w:pStyle w:val="Heading5"/>
        <w:spacing w:before="20" w:after="20"/>
        <w:rPr>
          <w:b w:val="0"/>
          <w:i w:val="0"/>
          <w:color w:val="000000"/>
          <w:sz w:val="24"/>
          <w:lang w:val="bg-BG"/>
        </w:rPr>
      </w:pPr>
      <w:bookmarkStart w:id="2" w:name="_Toc256000116"/>
      <w:r w:rsidRPr="00074D62">
        <w:rPr>
          <w:b w:val="0"/>
          <w:i w:val="0"/>
          <w:color w:val="000000"/>
          <w:sz w:val="24"/>
          <w:lang w:val="bg-BG"/>
        </w:rPr>
        <w:t xml:space="preserve">2 Свързани специфични цели, </w:t>
      </w:r>
      <w:proofErr w:type="spellStart"/>
      <w:r w:rsidRPr="00074D62">
        <w:rPr>
          <w:b w:val="0"/>
          <w:i w:val="0"/>
          <w:color w:val="000000"/>
          <w:sz w:val="24"/>
          <w:lang w:val="bg-BG"/>
        </w:rPr>
        <w:t>междусекторна</w:t>
      </w:r>
      <w:proofErr w:type="spellEnd"/>
      <w:r w:rsidRPr="00074D62">
        <w:rPr>
          <w:b w:val="0"/>
          <w:i w:val="0"/>
          <w:color w:val="000000"/>
          <w:sz w:val="24"/>
          <w:lang w:val="bg-BG"/>
        </w:rPr>
        <w:t xml:space="preserve"> цел и уместни секторни цели</w:t>
      </w:r>
      <w:bookmarkEnd w:id="2"/>
    </w:p>
    <w:p w:rsidR="00A77B98" w:rsidRPr="00074D62" w:rsidRDefault="00A77B98" w:rsidP="00A77B98">
      <w:pPr>
        <w:spacing w:before="20" w:after="20"/>
        <w:rPr>
          <w:color w:val="000000"/>
          <w:sz w:val="0"/>
          <w:lang w:val="bg-BG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40"/>
      </w:tblGrid>
      <w:tr w:rsidR="00A77B98" w:rsidRPr="00074D62" w:rsidTr="004F2313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074D62">
              <w:rPr>
                <w:b/>
                <w:color w:val="000000"/>
                <w:sz w:val="20"/>
                <w:lang w:val="bg-BG"/>
              </w:rPr>
              <w:t>Код на СПЕЦИФИЧНАТА ЦЕЛ НА ОСП + описание</w:t>
            </w:r>
            <w:r w:rsidRPr="00074D62">
              <w:rPr>
                <w:color w:val="000000"/>
                <w:sz w:val="20"/>
                <w:lang w:val="bg-BG"/>
              </w:rPr>
              <w:t xml:space="preserve"> Препоръчителните специфични цели на ОСП за този вид интервенция са обозначени с получер шрифт</w:t>
            </w:r>
          </w:p>
        </w:tc>
      </w:tr>
      <w:tr w:rsidR="00A77B98" w:rsidRPr="00074D62" w:rsidTr="004F2313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>SO4 Допринасяне за смекчаване на изменението на климата и за адаптиране към него, включително чрез намаляване на емисиите на парникови газове и подобряване на улавянето на въглерод, както и популяризиране на устойчива енергия</w:t>
            </w:r>
          </w:p>
        </w:tc>
      </w:tr>
      <w:tr w:rsidR="00A77B98" w:rsidRPr="00074D62" w:rsidTr="004F2313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>SO5 Насърчаване на устойчиво развитие и ефикасно управление на природните ресурси, като вода, почва и въздух, включително чрез намаляване на зависимостта от химически вещества</w:t>
            </w:r>
          </w:p>
        </w:tc>
      </w:tr>
      <w:tr w:rsidR="00A77B98" w:rsidRPr="00074D62" w:rsidTr="004F2313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 xml:space="preserve">SO6 Допринасяне за забавянето и възстановяването на намаляването на биоразнообразието, подобряване на </w:t>
            </w:r>
            <w:proofErr w:type="spellStart"/>
            <w:r w:rsidRPr="00074D62">
              <w:rPr>
                <w:color w:val="000000"/>
                <w:sz w:val="20"/>
                <w:lang w:val="bg-BG"/>
              </w:rPr>
              <w:t>екосистемните</w:t>
            </w:r>
            <w:proofErr w:type="spellEnd"/>
            <w:r w:rsidRPr="00074D62">
              <w:rPr>
                <w:color w:val="000000"/>
                <w:sz w:val="20"/>
                <w:lang w:val="bg-BG"/>
              </w:rPr>
              <w:t xml:space="preserve"> услуги и съхраняване на местообитанията и ландшафтите</w:t>
            </w:r>
          </w:p>
        </w:tc>
      </w:tr>
    </w:tbl>
    <w:p w:rsidR="00A77B98" w:rsidRPr="00074D62" w:rsidRDefault="00A77B98" w:rsidP="00A77B98">
      <w:pPr>
        <w:spacing w:before="20" w:after="20"/>
        <w:rPr>
          <w:color w:val="000000"/>
          <w:sz w:val="0"/>
          <w:lang w:val="bg-BG"/>
        </w:rPr>
      </w:pPr>
    </w:p>
    <w:p w:rsidR="00A77B98" w:rsidRPr="00074D62" w:rsidRDefault="00A77B98" w:rsidP="00A77B98">
      <w:pPr>
        <w:spacing w:before="20" w:after="20"/>
        <w:rPr>
          <w:color w:val="000000"/>
          <w:sz w:val="0"/>
          <w:lang w:val="bg-BG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40"/>
      </w:tblGrid>
      <w:tr w:rsidR="00A77B98" w:rsidRPr="00074D62" w:rsidTr="004F2313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074D62">
              <w:rPr>
                <w:b/>
                <w:color w:val="000000"/>
                <w:sz w:val="20"/>
                <w:lang w:val="bg-BG"/>
              </w:rPr>
              <w:t xml:space="preserve">ОБЛАСТИ НА ДЕЙСТВИЕ ПО ОСП Код + Описание </w:t>
            </w:r>
          </w:p>
        </w:tc>
      </w:tr>
      <w:tr w:rsidR="00A77B98" w:rsidRPr="00074D62" w:rsidTr="004F2313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>AOA-A смекчаване на изменението на климата, включително намаляване на емисиите на парникови газове от селскостопанските практики, както и запазване на съществуващите места за съхранение на въглероден диоксид и подобряване на улавянето на въглерод</w:t>
            </w:r>
          </w:p>
        </w:tc>
      </w:tr>
      <w:tr w:rsidR="00A77B98" w:rsidRPr="00074D62" w:rsidTr="004F2313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>AOA-C опазване или подобряване на качеството на водите и намаляване на натиска върху водните ресурси</w:t>
            </w:r>
          </w:p>
        </w:tc>
      </w:tr>
      <w:tr w:rsidR="00A77B98" w:rsidRPr="00074D62" w:rsidTr="004F2313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 xml:space="preserve">AOA-D предотвратяване на деградацията на почвите, възстановяване на почвите, подобряване на почвеното плодородие и на управлението на хранителните вещества [и на почвената </w:t>
            </w:r>
            <w:proofErr w:type="spellStart"/>
            <w:r w:rsidRPr="00074D62">
              <w:rPr>
                <w:color w:val="000000"/>
                <w:sz w:val="20"/>
                <w:lang w:val="bg-BG"/>
              </w:rPr>
              <w:t>биота</w:t>
            </w:r>
            <w:proofErr w:type="spellEnd"/>
            <w:r w:rsidRPr="00074D62">
              <w:rPr>
                <w:color w:val="000000"/>
                <w:sz w:val="20"/>
                <w:lang w:val="bg-BG"/>
              </w:rPr>
              <w:t xml:space="preserve">] </w:t>
            </w:r>
          </w:p>
        </w:tc>
      </w:tr>
      <w:tr w:rsidR="00A77B98" w:rsidRPr="00074D62" w:rsidTr="004F2313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>AOA-E опазване на биологичното разнообразие, съхранение или възстановяване на местообитания или видове, включително запазване и създаване на особености на ландшафта или на непроизводствени площи</w:t>
            </w:r>
          </w:p>
        </w:tc>
      </w:tr>
    </w:tbl>
    <w:p w:rsidR="00A77B98" w:rsidRPr="00074D62" w:rsidRDefault="00A77B98" w:rsidP="00A77B98">
      <w:pPr>
        <w:pStyle w:val="Heading5"/>
        <w:spacing w:before="20" w:after="20"/>
        <w:rPr>
          <w:b w:val="0"/>
          <w:i w:val="0"/>
          <w:color w:val="000000"/>
          <w:sz w:val="24"/>
          <w:lang w:val="bg-BG"/>
        </w:rPr>
      </w:pPr>
      <w:bookmarkStart w:id="3" w:name="_Toc256000117"/>
      <w:r w:rsidRPr="00074D62">
        <w:rPr>
          <w:b w:val="0"/>
          <w:i w:val="0"/>
          <w:color w:val="000000"/>
          <w:sz w:val="24"/>
          <w:lang w:val="bg-BG"/>
        </w:rPr>
        <w:t>3 Потребности, обхванати от интервенцията</w:t>
      </w:r>
      <w:bookmarkEnd w:id="3"/>
    </w:p>
    <w:p w:rsidR="00A77B98" w:rsidRPr="00074D62" w:rsidRDefault="00A77B98" w:rsidP="00A77B98">
      <w:pPr>
        <w:spacing w:before="20" w:after="20"/>
        <w:rPr>
          <w:color w:val="000000"/>
          <w:sz w:val="0"/>
          <w:lang w:val="bg-BG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0"/>
        <w:gridCol w:w="2560"/>
        <w:gridCol w:w="2560"/>
        <w:gridCol w:w="2560"/>
      </w:tblGrid>
      <w:tr w:rsidR="00A77B98" w:rsidRPr="00074D62" w:rsidTr="004F2313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20" w:after="20"/>
              <w:rPr>
                <w:b/>
                <w:color w:val="000000"/>
                <w:sz w:val="20"/>
                <w:lang w:val="bg-BG"/>
              </w:rPr>
            </w:pPr>
            <w:r w:rsidRPr="00074D62">
              <w:rPr>
                <w:b/>
                <w:color w:val="000000"/>
                <w:sz w:val="20"/>
                <w:lang w:val="bg-BG"/>
              </w:rPr>
              <w:t>Код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20" w:after="20"/>
              <w:rPr>
                <w:b/>
                <w:color w:val="000000"/>
                <w:sz w:val="20"/>
                <w:lang w:val="bg-BG"/>
              </w:rPr>
            </w:pPr>
            <w:r w:rsidRPr="00074D62">
              <w:rPr>
                <w:b/>
                <w:color w:val="000000"/>
                <w:sz w:val="20"/>
                <w:lang w:val="bg-BG"/>
              </w:rPr>
              <w:t>Описание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20" w:after="20"/>
              <w:rPr>
                <w:b/>
                <w:color w:val="000000"/>
                <w:sz w:val="20"/>
                <w:lang w:val="bg-BG"/>
              </w:rPr>
            </w:pPr>
            <w:r w:rsidRPr="00074D62">
              <w:rPr>
                <w:b/>
                <w:color w:val="000000"/>
                <w:sz w:val="20"/>
                <w:lang w:val="bg-BG"/>
              </w:rPr>
              <w:t>Определяне на приоритети на равнище стратегическия план по ОСП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074D62">
              <w:rPr>
                <w:b/>
                <w:color w:val="000000"/>
                <w:sz w:val="20"/>
                <w:lang w:val="bg-BG"/>
              </w:rPr>
              <w:t>Разгледана в стратегически план по ОСП</w:t>
            </w:r>
          </w:p>
        </w:tc>
      </w:tr>
      <w:tr w:rsidR="00A77B98" w:rsidRPr="00074D62" w:rsidTr="004F2313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>П.4.2.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>П.4.2.Увеличаване на органичния въглерод в почвата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>Много висок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>Да</w:t>
            </w:r>
          </w:p>
        </w:tc>
      </w:tr>
      <w:tr w:rsidR="00A77B98" w:rsidRPr="00074D62" w:rsidTr="004F2313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>П.5.1.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 xml:space="preserve">Поддържане на подходящ баланс на земеделските площи според вида на </w:t>
            </w:r>
            <w:proofErr w:type="spellStart"/>
            <w:r w:rsidRPr="00074D62">
              <w:rPr>
                <w:color w:val="000000"/>
                <w:sz w:val="20"/>
                <w:lang w:val="bg-BG"/>
              </w:rPr>
              <w:t>земеползване</w:t>
            </w:r>
            <w:proofErr w:type="spellEnd"/>
            <w:r w:rsidRPr="00074D62">
              <w:rPr>
                <w:color w:val="000000"/>
                <w:sz w:val="20"/>
                <w:lang w:val="bg-BG"/>
              </w:rPr>
              <w:t xml:space="preserve"> 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>Висок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>Да</w:t>
            </w:r>
          </w:p>
        </w:tc>
      </w:tr>
    </w:tbl>
    <w:p w:rsidR="00A77B98" w:rsidRPr="00074D62" w:rsidRDefault="00A77B98" w:rsidP="00A77B98">
      <w:pPr>
        <w:pStyle w:val="Heading5"/>
        <w:spacing w:before="20" w:after="20"/>
        <w:rPr>
          <w:b w:val="0"/>
          <w:i w:val="0"/>
          <w:color w:val="000000"/>
          <w:sz w:val="24"/>
          <w:lang w:val="bg-BG"/>
        </w:rPr>
      </w:pPr>
      <w:bookmarkStart w:id="4" w:name="_Toc256000118"/>
      <w:r w:rsidRPr="00074D62">
        <w:rPr>
          <w:b w:val="0"/>
          <w:i w:val="0"/>
          <w:color w:val="000000"/>
          <w:sz w:val="24"/>
          <w:lang w:val="bg-BG"/>
        </w:rPr>
        <w:t>4 Показател(и) за резултатите</w:t>
      </w:r>
      <w:bookmarkEnd w:id="4"/>
    </w:p>
    <w:p w:rsidR="00A77B98" w:rsidRPr="00074D62" w:rsidRDefault="00A77B98" w:rsidP="00A77B98">
      <w:pPr>
        <w:spacing w:before="20" w:after="20"/>
        <w:rPr>
          <w:color w:val="000000"/>
          <w:sz w:val="0"/>
          <w:lang w:val="bg-BG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40"/>
      </w:tblGrid>
      <w:tr w:rsidR="00A77B98" w:rsidRPr="00074D62" w:rsidTr="004F2313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074D62">
              <w:rPr>
                <w:b/>
                <w:color w:val="000000"/>
                <w:sz w:val="20"/>
                <w:lang w:val="bg-BG"/>
              </w:rPr>
              <w:t>Код на ПОКАЗАТЕЛИТЕ ЗА РЕЗУЛТАТИТЕ + описание</w:t>
            </w:r>
            <w:r w:rsidRPr="00074D62">
              <w:rPr>
                <w:color w:val="000000"/>
                <w:sz w:val="20"/>
                <w:lang w:val="bg-BG"/>
              </w:rPr>
              <w:t xml:space="preserve"> Препоръчителните показатели за резултатите за избраните специфични цели на ОСП за тази интервенция са обозначени с получер шрифт</w:t>
            </w:r>
          </w:p>
        </w:tc>
      </w:tr>
      <w:tr w:rsidR="00A77B98" w:rsidRPr="00074D62" w:rsidTr="004F2313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>R.14 Дял на използваната земеделска площ (ИЗП), обхваната от подпомагани ангажименти за намаляване на емисиите или за поддържане или подобряване на съхранението на въглероден диоксид (включително постоянно затревени площи, трайни насаждения с постоянно затревяване, земеделска земя във влажни зони и торфища)</w:t>
            </w:r>
          </w:p>
        </w:tc>
      </w:tr>
      <w:tr w:rsidR="00A77B98" w:rsidRPr="00074D62" w:rsidTr="004F2313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lastRenderedPageBreak/>
              <w:t>R.31 Дял на използваната земеделска площ (ИЗП), обхваната от подпомагани ангажименти за подпомагане на опазването или възстановяването на биологичното разнообразие, включително селскостопански практики с висока природна стойност</w:t>
            </w:r>
          </w:p>
        </w:tc>
      </w:tr>
      <w:tr w:rsidR="00A77B98" w:rsidRPr="00074D62" w:rsidTr="004F2313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>R.33 Дял на общата защитена зона по „Натура 2000“ съгласно подпомогнатите ангажименти</w:t>
            </w:r>
          </w:p>
        </w:tc>
      </w:tr>
    </w:tbl>
    <w:p w:rsidR="00A77B98" w:rsidRPr="00074D62" w:rsidRDefault="00A77B98" w:rsidP="00A77B98">
      <w:pPr>
        <w:pStyle w:val="Heading5"/>
        <w:spacing w:before="20" w:after="20"/>
        <w:rPr>
          <w:b w:val="0"/>
          <w:i w:val="0"/>
          <w:color w:val="000000"/>
          <w:sz w:val="24"/>
          <w:lang w:val="bg-BG"/>
        </w:rPr>
      </w:pPr>
      <w:bookmarkStart w:id="5" w:name="_Toc256000119"/>
      <w:r w:rsidRPr="00074D62">
        <w:rPr>
          <w:b w:val="0"/>
          <w:i w:val="0"/>
          <w:color w:val="000000"/>
          <w:sz w:val="24"/>
          <w:lang w:val="bg-BG"/>
        </w:rPr>
        <w:t>5 Конкретен план, изисквания и условия за допустимост на интервенцията</w:t>
      </w:r>
      <w:bookmarkEnd w:id="5"/>
    </w:p>
    <w:p w:rsidR="00A77B98" w:rsidRPr="00074D62" w:rsidRDefault="00A77B98" w:rsidP="00A77B98">
      <w:pPr>
        <w:spacing w:before="20" w:after="20"/>
        <w:rPr>
          <w:color w:val="000000"/>
          <w:lang w:val="bg-BG"/>
        </w:rPr>
      </w:pPr>
      <w:r w:rsidRPr="00074D62">
        <w:rPr>
          <w:color w:val="000000"/>
          <w:lang w:val="bg-BG"/>
        </w:rPr>
        <w:t>Описание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A77B98" w:rsidRPr="00074D62" w:rsidTr="004F2313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40" w:after="40"/>
              <w:jc w:val="both"/>
              <w:rPr>
                <w:lang w:val="bg-BG"/>
              </w:rPr>
            </w:pPr>
            <w:r w:rsidRPr="00074D62">
              <w:rPr>
                <w:color w:val="000000"/>
                <w:lang w:val="bg-BG"/>
              </w:rPr>
              <w:t xml:space="preserve">Интервенцията надгражда в качествен аспект състоянието на постоянно затревените площи и въвежда екстензивен режим на управление на пасищната екосистема. От екстензивно управление чрез паша се нуждаят всички природни местообитания и местообитания на видове за подобряване на природозащитното състояние във и извън Натура 2000. </w:t>
            </w:r>
          </w:p>
          <w:p w:rsidR="00A77B98" w:rsidRPr="00074D62" w:rsidRDefault="00A77B98" w:rsidP="004F2313">
            <w:pPr>
              <w:spacing w:before="40" w:after="40"/>
              <w:jc w:val="both"/>
              <w:rPr>
                <w:lang w:val="bg-BG"/>
              </w:rPr>
            </w:pPr>
            <w:r w:rsidRPr="00074D62">
              <w:rPr>
                <w:color w:val="000000"/>
                <w:lang w:val="bg-BG"/>
              </w:rPr>
              <w:t xml:space="preserve">Интервенцията ще подобри състоянието на защитени видове, включително птици, като подобри местообитанията им, включително средата за размножаване и хранителната им база, по-специално ще предотврати намаляването на популациите на птици в земеделските земи и рязкото намаляване на разнообразието от насекоми и др. видове, включително ще има значителен принос към опазване на </w:t>
            </w:r>
            <w:proofErr w:type="spellStart"/>
            <w:r w:rsidRPr="00074D62">
              <w:rPr>
                <w:color w:val="000000"/>
                <w:lang w:val="bg-BG"/>
              </w:rPr>
              <w:t>опрашителите</w:t>
            </w:r>
            <w:proofErr w:type="spellEnd"/>
            <w:r w:rsidRPr="00074D62">
              <w:rPr>
                <w:color w:val="000000"/>
                <w:lang w:val="bg-BG"/>
              </w:rPr>
              <w:t xml:space="preserve">. </w:t>
            </w:r>
          </w:p>
          <w:p w:rsidR="00A77B98" w:rsidRPr="00074D62" w:rsidRDefault="00A77B98" w:rsidP="00A77B98">
            <w:pPr>
              <w:spacing w:before="40" w:after="40"/>
              <w:jc w:val="both"/>
              <w:rPr>
                <w:color w:val="000000"/>
                <w:lang w:val="bg-BG"/>
              </w:rPr>
            </w:pPr>
            <w:r w:rsidRPr="00074D62">
              <w:rPr>
                <w:color w:val="000000"/>
                <w:lang w:val="bg-BG"/>
              </w:rPr>
              <w:t xml:space="preserve">Не на последно място интервенцията ще предотврати загубата на пасищната екосистема, чрез намаляване на процесите на утъпкване и ерозия, </w:t>
            </w:r>
            <w:proofErr w:type="spellStart"/>
            <w:r w:rsidRPr="00074D62">
              <w:rPr>
                <w:color w:val="000000"/>
                <w:lang w:val="bg-BG"/>
              </w:rPr>
              <w:t>рудерализация</w:t>
            </w:r>
            <w:proofErr w:type="spellEnd"/>
            <w:r w:rsidRPr="00074D62">
              <w:rPr>
                <w:color w:val="000000"/>
                <w:lang w:val="bg-BG"/>
              </w:rPr>
              <w:t xml:space="preserve"> и развитие на нетипични видове, което значително подобрява способността на пасищните системи да поглъщат въглерод и да смекчават климатичните промени.</w:t>
            </w:r>
          </w:p>
          <w:p w:rsidR="00074D62" w:rsidRPr="00074D62" w:rsidRDefault="00074D62" w:rsidP="00254F8C">
            <w:pPr>
              <w:spacing w:before="40" w:after="40"/>
              <w:jc w:val="both"/>
              <w:rPr>
                <w:lang w:val="bg-BG"/>
              </w:rPr>
            </w:pPr>
            <w:r w:rsidRPr="00074D62">
              <w:rPr>
                <w:color w:val="FF0000"/>
                <w:lang w:val="bg-BG"/>
              </w:rPr>
              <w:t xml:space="preserve">От 2025 г. предвиждаме включване в обхвата на интервенцията и </w:t>
            </w:r>
            <w:r w:rsidR="00254F8C">
              <w:rPr>
                <w:color w:val="FF0000"/>
                <w:lang w:val="bg-BG"/>
              </w:rPr>
              <w:t xml:space="preserve">на </w:t>
            </w:r>
            <w:r w:rsidRPr="00074D62">
              <w:rPr>
                <w:color w:val="FF0000"/>
                <w:lang w:val="bg-BG"/>
              </w:rPr>
              <w:t xml:space="preserve">обработваеми земи, заети с фуражни култури </w:t>
            </w:r>
            <w:r w:rsidR="00254F8C">
              <w:rPr>
                <w:color w:val="FF0000"/>
                <w:lang w:val="bg-BG"/>
              </w:rPr>
              <w:t>и/</w:t>
            </w:r>
            <w:r w:rsidRPr="00074D62">
              <w:rPr>
                <w:color w:val="FF0000"/>
                <w:lang w:val="bg-BG"/>
              </w:rPr>
              <w:t>или протеинови култури,</w:t>
            </w:r>
            <w:r w:rsidR="00254F8C">
              <w:rPr>
                <w:color w:val="FF0000"/>
                <w:lang w:val="bg-BG"/>
              </w:rPr>
              <w:t xml:space="preserve"> като</w:t>
            </w:r>
            <w:r w:rsidRPr="00074D62">
              <w:rPr>
                <w:color w:val="FF0000"/>
                <w:lang w:val="bg-BG"/>
              </w:rPr>
              <w:t xml:space="preserve"> към момента на заявяване на еко схемата земеделският стопанин има съотношение на </w:t>
            </w:r>
            <w:r w:rsidR="00254F8C">
              <w:rPr>
                <w:color w:val="FF0000"/>
                <w:lang w:val="bg-BG"/>
              </w:rPr>
              <w:t>пасищни</w:t>
            </w:r>
            <w:r w:rsidRPr="00074D62">
              <w:rPr>
                <w:color w:val="FF0000"/>
                <w:lang w:val="bg-BG"/>
              </w:rPr>
              <w:t xml:space="preserve"> животни към заявени</w:t>
            </w:r>
            <w:r w:rsidR="00254F8C">
              <w:rPr>
                <w:color w:val="FF0000"/>
                <w:lang w:val="bg-BG"/>
              </w:rPr>
              <w:t>те</w:t>
            </w:r>
            <w:r w:rsidRPr="00074D62">
              <w:rPr>
                <w:color w:val="FF0000"/>
                <w:lang w:val="bg-BG"/>
              </w:rPr>
              <w:t xml:space="preserve"> площи в размер от 0.3 до </w:t>
            </w:r>
            <w:r w:rsidR="00254F8C">
              <w:rPr>
                <w:color w:val="FF0000"/>
                <w:lang w:val="bg-BG"/>
              </w:rPr>
              <w:t>1</w:t>
            </w:r>
            <w:r w:rsidRPr="00074D62">
              <w:rPr>
                <w:color w:val="FF0000"/>
                <w:lang w:val="bg-BG"/>
              </w:rPr>
              <w:t xml:space="preserve"> ЖЕ/ха. Целта на </w:t>
            </w:r>
            <w:proofErr w:type="spellStart"/>
            <w:r w:rsidRPr="00074D62">
              <w:rPr>
                <w:color w:val="FF0000"/>
                <w:lang w:val="bg-BG"/>
              </w:rPr>
              <w:t>нововъвед</w:t>
            </w:r>
            <w:r>
              <w:rPr>
                <w:color w:val="FF0000"/>
                <w:lang w:val="bg-BG"/>
              </w:rPr>
              <w:t>е</w:t>
            </w:r>
            <w:r w:rsidRPr="00074D62">
              <w:rPr>
                <w:color w:val="FF0000"/>
                <w:lang w:val="bg-BG"/>
              </w:rPr>
              <w:t>ната</w:t>
            </w:r>
            <w:proofErr w:type="spellEnd"/>
            <w:r w:rsidRPr="00074D62">
              <w:rPr>
                <w:color w:val="FF0000"/>
                <w:lang w:val="bg-BG"/>
              </w:rPr>
              <w:t xml:space="preserve"> </w:t>
            </w:r>
            <w:r>
              <w:rPr>
                <w:color w:val="FF0000"/>
                <w:lang w:val="bg-BG"/>
              </w:rPr>
              <w:t>възможност е да се стимулира намаляване на пасищния натиск върху постоянно затревените площи посредством вътрешно за фермата отглеждане на фуражни и</w:t>
            </w:r>
            <w:r w:rsidR="00254F8C">
              <w:rPr>
                <w:color w:val="FF0000"/>
                <w:lang w:val="bg-BG"/>
              </w:rPr>
              <w:t>/или</w:t>
            </w:r>
            <w:r>
              <w:rPr>
                <w:color w:val="FF0000"/>
                <w:lang w:val="bg-BG"/>
              </w:rPr>
              <w:t xml:space="preserve"> протеинови култури за животновъдството върху обработваемите земи, с които разполагат животновъдните стопанства.</w:t>
            </w:r>
            <w:r w:rsidR="00A03BB4">
              <w:rPr>
                <w:color w:val="FF0000"/>
                <w:lang w:val="bg-BG"/>
              </w:rPr>
              <w:t xml:space="preserve"> Използването на обработваемите земи в животновъдните стопанства за отглеждане на фуражни или протеинови култури за селскостопанските животни в стопанство</w:t>
            </w:r>
            <w:r w:rsidR="00A70677">
              <w:rPr>
                <w:color w:val="FF0000"/>
                <w:lang w:val="bg-BG"/>
              </w:rPr>
              <w:t>то</w:t>
            </w:r>
            <w:r w:rsidR="00A03BB4">
              <w:rPr>
                <w:color w:val="FF0000"/>
                <w:lang w:val="bg-BG"/>
              </w:rPr>
              <w:t xml:space="preserve"> допринася за осигуряване на хранителната сигурност за животните в стопанството и може да има положителен екологичен ефект върху постоянно затревените площи посредством допълнителна </w:t>
            </w:r>
            <w:proofErr w:type="spellStart"/>
            <w:r w:rsidR="00A03BB4">
              <w:rPr>
                <w:color w:val="FF0000"/>
                <w:lang w:val="bg-BG"/>
              </w:rPr>
              <w:t>екстензификация</w:t>
            </w:r>
            <w:proofErr w:type="spellEnd"/>
            <w:r w:rsidR="00A03BB4">
              <w:rPr>
                <w:color w:val="FF0000"/>
                <w:lang w:val="bg-BG"/>
              </w:rPr>
              <w:t xml:space="preserve"> на пасищния процес. </w:t>
            </w:r>
          </w:p>
        </w:tc>
      </w:tr>
    </w:tbl>
    <w:p w:rsidR="00A77B98" w:rsidRPr="00074D62" w:rsidRDefault="00A77B98" w:rsidP="00A77B98">
      <w:pPr>
        <w:spacing w:before="20" w:after="20"/>
        <w:rPr>
          <w:color w:val="000000"/>
          <w:lang w:val="bg-BG"/>
        </w:rPr>
      </w:pPr>
      <w:r w:rsidRPr="00074D62">
        <w:rPr>
          <w:color w:val="000000"/>
          <w:lang w:val="bg-BG"/>
        </w:rPr>
        <w:t xml:space="preserve">Описание на ангажиментите за </w:t>
      </w:r>
      <w:proofErr w:type="spellStart"/>
      <w:r w:rsidRPr="00074D62">
        <w:rPr>
          <w:color w:val="000000"/>
          <w:lang w:val="bg-BG"/>
        </w:rPr>
        <w:t>екосхемата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A77B98" w:rsidRPr="00074D62" w:rsidTr="004F2313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A77B98">
            <w:pPr>
              <w:spacing w:before="40" w:after="40"/>
              <w:jc w:val="both"/>
              <w:rPr>
                <w:lang w:val="bg-BG"/>
              </w:rPr>
            </w:pPr>
            <w:r w:rsidRPr="00074D62">
              <w:rPr>
                <w:color w:val="000000"/>
                <w:lang w:val="bg-BG"/>
              </w:rPr>
              <w:t>Земеделските стопани прилагат на постоянно затревените площи земеделски практики, които са полезни за климата и околната среда от следния списък:</w:t>
            </w:r>
          </w:p>
          <w:p w:rsidR="00A77B98" w:rsidRPr="00074D62" w:rsidRDefault="00A77B98" w:rsidP="00A77B98">
            <w:pPr>
              <w:spacing w:before="40" w:after="40"/>
              <w:jc w:val="both"/>
              <w:rPr>
                <w:lang w:val="bg-BG"/>
              </w:rPr>
            </w:pPr>
            <w:r w:rsidRPr="00074D62">
              <w:rPr>
                <w:color w:val="000000"/>
                <w:lang w:val="bg-BG"/>
              </w:rPr>
              <w:t>Екстензивна паша за поддържане и подобряване на състоянието на постоянно затревените площи с пасищни животни.</w:t>
            </w:r>
          </w:p>
          <w:p w:rsidR="00A77B98" w:rsidRPr="00074D62" w:rsidRDefault="00A77B98" w:rsidP="00A77B98">
            <w:pPr>
              <w:spacing w:before="40" w:after="40"/>
              <w:jc w:val="both"/>
              <w:rPr>
                <w:lang w:val="bg-BG"/>
              </w:rPr>
            </w:pPr>
            <w:r w:rsidRPr="00074D62">
              <w:rPr>
                <w:color w:val="000000"/>
                <w:lang w:val="bg-BG"/>
              </w:rPr>
              <w:t xml:space="preserve">Постоянно затревената площ се поддържа посредством екстензивно </w:t>
            </w:r>
            <w:proofErr w:type="spellStart"/>
            <w:r w:rsidRPr="00074D62">
              <w:rPr>
                <w:color w:val="000000"/>
                <w:lang w:val="bg-BG"/>
              </w:rPr>
              <w:t>пашуване</w:t>
            </w:r>
            <w:proofErr w:type="spellEnd"/>
            <w:r w:rsidRPr="00074D62">
              <w:rPr>
                <w:color w:val="000000"/>
                <w:lang w:val="bg-BG"/>
              </w:rPr>
              <w:t xml:space="preserve"> от 0.3 до 1 ЖЕ/ха.</w:t>
            </w:r>
          </w:p>
          <w:p w:rsidR="00A77B98" w:rsidRPr="00074D62" w:rsidRDefault="00A77B98" w:rsidP="00A77B98">
            <w:pPr>
              <w:spacing w:before="40" w:after="40"/>
              <w:jc w:val="both"/>
              <w:rPr>
                <w:lang w:val="bg-BG"/>
              </w:rPr>
            </w:pPr>
            <w:r w:rsidRPr="00074D62">
              <w:rPr>
                <w:color w:val="000000"/>
                <w:lang w:val="bg-BG"/>
              </w:rPr>
              <w:t xml:space="preserve">На постоянно затревените площи се осъществява </w:t>
            </w:r>
            <w:proofErr w:type="spellStart"/>
            <w:r w:rsidRPr="00074D62">
              <w:rPr>
                <w:color w:val="000000"/>
                <w:lang w:val="bg-BG"/>
              </w:rPr>
              <w:t>пашуване</w:t>
            </w:r>
            <w:proofErr w:type="spellEnd"/>
            <w:r w:rsidRPr="00074D62">
              <w:rPr>
                <w:color w:val="000000"/>
                <w:lang w:val="bg-BG"/>
              </w:rPr>
              <w:t xml:space="preserve"> на животни от минимум 60 дни през съответната година.</w:t>
            </w:r>
          </w:p>
          <w:p w:rsidR="00A77B98" w:rsidRPr="00074D62" w:rsidRDefault="00A77B98" w:rsidP="00A77B98">
            <w:pPr>
              <w:spacing w:before="40" w:after="40"/>
              <w:jc w:val="both"/>
              <w:rPr>
                <w:lang w:val="bg-BG"/>
              </w:rPr>
            </w:pPr>
            <w:r w:rsidRPr="00074D62">
              <w:rPr>
                <w:color w:val="000000"/>
                <w:lang w:val="bg-BG"/>
              </w:rPr>
              <w:t>Прилага се забрана за разораване на заявените през съответната година постоянно затревени площи като тази забрана се следи в рамките на календарната година.</w:t>
            </w:r>
          </w:p>
          <w:p w:rsidR="00A77B98" w:rsidRPr="00074D62" w:rsidRDefault="00A77B98" w:rsidP="00A77B98">
            <w:pPr>
              <w:spacing w:before="40" w:after="40"/>
              <w:jc w:val="both"/>
              <w:rPr>
                <w:lang w:val="bg-BG"/>
              </w:rPr>
            </w:pPr>
            <w:r w:rsidRPr="00074D62">
              <w:rPr>
                <w:color w:val="000000"/>
                <w:lang w:val="bg-BG"/>
              </w:rPr>
              <w:t xml:space="preserve">При кандидатстване по интервенцията земеделският стопанин да представи собствен план за паша (включващ видовете паша, периода), </w:t>
            </w:r>
            <w:r w:rsidRPr="00074D62">
              <w:rPr>
                <w:lang w:val="bg-BG"/>
              </w:rPr>
              <w:t>изготвен с подкрепата на технически компетентни служби/лица, който следва да спазват, с цел да се защити ефективно състоянието на опазване на съответните местообитания.</w:t>
            </w:r>
          </w:p>
          <w:p w:rsidR="00074D62" w:rsidRPr="00074D62" w:rsidRDefault="00A77B98" w:rsidP="00254F8C">
            <w:pPr>
              <w:spacing w:before="40" w:after="40"/>
              <w:jc w:val="both"/>
              <w:rPr>
                <w:color w:val="FF0000"/>
                <w:lang w:val="bg-BG"/>
              </w:rPr>
            </w:pPr>
            <w:r w:rsidRPr="00074D62">
              <w:rPr>
                <w:color w:val="FF0000"/>
                <w:lang w:val="bg-BG"/>
              </w:rPr>
              <w:t xml:space="preserve">Допустими площи по тази интервенция могат да бъдат </w:t>
            </w:r>
            <w:r w:rsidR="00254F8C">
              <w:rPr>
                <w:color w:val="FF0000"/>
                <w:lang w:val="bg-BG"/>
              </w:rPr>
              <w:t xml:space="preserve">и </w:t>
            </w:r>
            <w:r w:rsidRPr="00074D62">
              <w:rPr>
                <w:color w:val="FF0000"/>
                <w:lang w:val="bg-BG"/>
              </w:rPr>
              <w:t>обработваем</w:t>
            </w:r>
            <w:r w:rsidR="00254F8C">
              <w:rPr>
                <w:color w:val="FF0000"/>
                <w:lang w:val="bg-BG"/>
              </w:rPr>
              <w:t>и</w:t>
            </w:r>
            <w:r w:rsidRPr="00074D62">
              <w:rPr>
                <w:color w:val="FF0000"/>
                <w:lang w:val="bg-BG"/>
              </w:rPr>
              <w:t xml:space="preserve"> земи, заети с фуражни култури </w:t>
            </w:r>
            <w:r w:rsidR="00254F8C">
              <w:rPr>
                <w:color w:val="FF0000"/>
                <w:lang w:val="bg-BG"/>
              </w:rPr>
              <w:t>и/</w:t>
            </w:r>
            <w:r w:rsidRPr="00074D62">
              <w:rPr>
                <w:color w:val="FF0000"/>
                <w:lang w:val="bg-BG"/>
              </w:rPr>
              <w:t xml:space="preserve">или протеинови култури, </w:t>
            </w:r>
            <w:r w:rsidR="00254F8C">
              <w:rPr>
                <w:color w:val="FF0000"/>
                <w:lang w:val="bg-BG"/>
              </w:rPr>
              <w:t>като</w:t>
            </w:r>
            <w:r w:rsidRPr="00074D62">
              <w:rPr>
                <w:color w:val="FF0000"/>
                <w:lang w:val="bg-BG"/>
              </w:rPr>
              <w:t xml:space="preserve"> при заявяване на еко схемата земеделският стопанин има съотношение на </w:t>
            </w:r>
            <w:r w:rsidR="00254F8C">
              <w:rPr>
                <w:color w:val="FF0000"/>
                <w:lang w:val="bg-BG"/>
              </w:rPr>
              <w:t>пасищни</w:t>
            </w:r>
            <w:r w:rsidRPr="00074D62">
              <w:rPr>
                <w:color w:val="FF0000"/>
                <w:lang w:val="bg-BG"/>
              </w:rPr>
              <w:t xml:space="preserve"> животни към заявени</w:t>
            </w:r>
            <w:r w:rsidR="00254F8C">
              <w:rPr>
                <w:color w:val="FF0000"/>
                <w:lang w:val="bg-BG"/>
              </w:rPr>
              <w:t>те</w:t>
            </w:r>
            <w:r w:rsidRPr="00074D62">
              <w:rPr>
                <w:color w:val="FF0000"/>
                <w:lang w:val="bg-BG"/>
              </w:rPr>
              <w:t xml:space="preserve"> площи в размер от 0.3 до </w:t>
            </w:r>
            <w:r w:rsidR="00254F8C">
              <w:rPr>
                <w:color w:val="FF0000"/>
                <w:lang w:val="bg-BG"/>
              </w:rPr>
              <w:t>1</w:t>
            </w:r>
            <w:r w:rsidRPr="00074D62">
              <w:rPr>
                <w:color w:val="FF0000"/>
                <w:lang w:val="bg-BG"/>
              </w:rPr>
              <w:t xml:space="preserve"> ЖЕ/ха.</w:t>
            </w:r>
            <w:r w:rsidR="00074D62" w:rsidRPr="00074D62">
              <w:rPr>
                <w:color w:val="FF0000"/>
                <w:lang w:val="bg-BG"/>
              </w:rPr>
              <w:t xml:space="preserve"> </w:t>
            </w:r>
          </w:p>
        </w:tc>
      </w:tr>
    </w:tbl>
    <w:p w:rsidR="00A77B98" w:rsidRPr="00074D62" w:rsidRDefault="00A77B98" w:rsidP="00A77B98">
      <w:pPr>
        <w:spacing w:before="20" w:after="20"/>
        <w:jc w:val="both"/>
        <w:rPr>
          <w:color w:val="000000"/>
          <w:lang w:val="bg-BG"/>
        </w:rPr>
      </w:pPr>
      <w:r w:rsidRPr="00074D62">
        <w:rPr>
          <w:color w:val="000000"/>
          <w:lang w:val="bg-BG"/>
        </w:rPr>
        <w:t xml:space="preserve">Определете </w:t>
      </w:r>
      <w:proofErr w:type="spellStart"/>
      <w:r w:rsidRPr="00074D62">
        <w:rPr>
          <w:color w:val="000000"/>
          <w:lang w:val="bg-BG"/>
        </w:rPr>
        <w:t>бенефициерите</w:t>
      </w:r>
      <w:proofErr w:type="spellEnd"/>
      <w:r w:rsidRPr="00074D62">
        <w:rPr>
          <w:color w:val="000000"/>
          <w:lang w:val="bg-BG"/>
        </w:rPr>
        <w:t xml:space="preserve">, отговарящи на критериите, както и специфичните критерии за допустимост, когато е уместно, за </w:t>
      </w:r>
      <w:proofErr w:type="spellStart"/>
      <w:r w:rsidRPr="00074D62">
        <w:rPr>
          <w:color w:val="000000"/>
          <w:lang w:val="bg-BG"/>
        </w:rPr>
        <w:t>бенефициерите</w:t>
      </w:r>
      <w:proofErr w:type="spellEnd"/>
      <w:r w:rsidRPr="00074D62">
        <w:rPr>
          <w:color w:val="000000"/>
          <w:lang w:val="bg-BG"/>
        </w:rPr>
        <w:t xml:space="preserve">, за площта и когато е приложимо, за другите съответни задължения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A77B98" w:rsidRPr="00074D62" w:rsidTr="004F2313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40" w:after="40"/>
              <w:jc w:val="both"/>
              <w:rPr>
                <w:lang w:val="bg-BG"/>
              </w:rPr>
            </w:pPr>
            <w:r w:rsidRPr="00074D62">
              <w:rPr>
                <w:lang w:val="bg-BG"/>
              </w:rPr>
              <w:t>Земеделски стопани, които отговарят на изискванията за „активни земеделски стопани“.</w:t>
            </w:r>
          </w:p>
          <w:p w:rsidR="00A77B98" w:rsidRPr="00074D62" w:rsidRDefault="00A77B98" w:rsidP="004F2313">
            <w:pPr>
              <w:spacing w:before="40" w:after="40"/>
              <w:rPr>
                <w:lang w:val="bg-BG"/>
              </w:rPr>
            </w:pPr>
            <w:r w:rsidRPr="00074D62">
              <w:rPr>
                <w:lang w:val="bg-BG"/>
              </w:rPr>
              <w:t>Земеделските площи трябва да отговарят на изискванията за допустимост за директни плащания.</w:t>
            </w:r>
          </w:p>
        </w:tc>
      </w:tr>
    </w:tbl>
    <w:p w:rsidR="00A77B98" w:rsidRPr="00074D62" w:rsidRDefault="00A77B98" w:rsidP="00A77B98">
      <w:pPr>
        <w:pStyle w:val="Heading5"/>
        <w:spacing w:before="20" w:after="20"/>
        <w:rPr>
          <w:b w:val="0"/>
          <w:i w:val="0"/>
          <w:color w:val="000000"/>
          <w:sz w:val="24"/>
          <w:lang w:val="bg-BG"/>
        </w:rPr>
      </w:pPr>
      <w:bookmarkStart w:id="6" w:name="_Toc256000120"/>
      <w:r w:rsidRPr="00074D62">
        <w:rPr>
          <w:b w:val="0"/>
          <w:i w:val="0"/>
          <w:color w:val="000000"/>
          <w:sz w:val="24"/>
          <w:lang w:val="bg-BG"/>
        </w:rPr>
        <w:lastRenderedPageBreak/>
        <w:t>6 Определяне на уместни базови характеристики</w:t>
      </w:r>
      <w:bookmarkEnd w:id="6"/>
    </w:p>
    <w:p w:rsidR="00A77B98" w:rsidRPr="00074D62" w:rsidRDefault="00A77B98" w:rsidP="00A77B98">
      <w:pPr>
        <w:spacing w:before="20" w:after="20"/>
        <w:jc w:val="both"/>
        <w:rPr>
          <w:color w:val="000000"/>
          <w:lang w:val="bg-BG"/>
        </w:rPr>
      </w:pPr>
      <w:r w:rsidRPr="00074D62">
        <w:rPr>
          <w:color w:val="000000"/>
          <w:lang w:val="bg-BG"/>
        </w:rPr>
        <w:t xml:space="preserve"> (приложими стандарти за ДЗЕС, законоустановени изисквания за управление (ЗИУ) и други задължителни изисквания, установени в националното право и правото на Съюза), когато е приложимо, описание на специфичните уместни задължения съгласно ЗИУ и обяснение как ангажиментът надхвърля задължителните изисквания (както е посочено в член 28, параграф 5, член 70, параграф 3 и член 72, параграф 5)</w:t>
      </w:r>
    </w:p>
    <w:p w:rsidR="00A77B98" w:rsidRPr="00074D62" w:rsidRDefault="00A77B98" w:rsidP="00A77B98">
      <w:pPr>
        <w:spacing w:before="20" w:after="20"/>
        <w:rPr>
          <w:color w:val="000000"/>
          <w:lang w:val="bg-BG"/>
        </w:rPr>
      </w:pPr>
      <w:r w:rsidRPr="00074D62">
        <w:rPr>
          <w:color w:val="000000"/>
          <w:lang w:val="bg-BG"/>
        </w:rPr>
        <w:t>Списък на приложимите стандарти за ДЗЕС и ЗИУ</w:t>
      </w:r>
    </w:p>
    <w:p w:rsidR="00A77B98" w:rsidRPr="00074D62" w:rsidRDefault="00A77B98" w:rsidP="00A77B98">
      <w:pPr>
        <w:spacing w:before="20" w:after="20"/>
        <w:rPr>
          <w:color w:val="000000"/>
          <w:sz w:val="0"/>
          <w:lang w:val="bg-BG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0"/>
        <w:gridCol w:w="5120"/>
      </w:tblGrid>
      <w:tr w:rsidR="00A77B98" w:rsidRPr="00074D62" w:rsidTr="004F2313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20" w:after="20"/>
              <w:rPr>
                <w:b/>
                <w:color w:val="000000"/>
                <w:sz w:val="20"/>
                <w:lang w:val="bg-BG"/>
              </w:rPr>
            </w:pPr>
            <w:r w:rsidRPr="00074D62">
              <w:rPr>
                <w:b/>
                <w:color w:val="000000"/>
                <w:sz w:val="20"/>
                <w:lang w:val="bg-BG"/>
              </w:rPr>
              <w:t>Код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074D62">
              <w:rPr>
                <w:b/>
                <w:color w:val="000000"/>
                <w:sz w:val="20"/>
                <w:lang w:val="bg-BG"/>
              </w:rPr>
              <w:t>Описание</w:t>
            </w:r>
          </w:p>
        </w:tc>
      </w:tr>
      <w:tr w:rsidR="00A77B98" w:rsidRPr="00074D62" w:rsidTr="004F2313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>GAEC01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 xml:space="preserve">Поддържане на постоянно затревени площи на основата на съотношението на постоянно затревените площи спрямо земеделската площ на национално, регионално и </w:t>
            </w:r>
            <w:proofErr w:type="spellStart"/>
            <w:r w:rsidRPr="00074D62">
              <w:rPr>
                <w:color w:val="000000"/>
                <w:sz w:val="20"/>
                <w:lang w:val="bg-BG"/>
              </w:rPr>
              <w:t>подрегионално</w:t>
            </w:r>
            <w:proofErr w:type="spellEnd"/>
            <w:r w:rsidRPr="00074D62">
              <w:rPr>
                <w:color w:val="000000"/>
                <w:sz w:val="20"/>
                <w:lang w:val="bg-BG"/>
              </w:rPr>
              <w:t xml:space="preserve"> равнище и на равнище група от стопанства или стопанство в сравнение с референтната 2018 г. Максимално намаление от 5 % в сравнение с референтната година.</w:t>
            </w:r>
          </w:p>
        </w:tc>
      </w:tr>
    </w:tbl>
    <w:p w:rsidR="00A77B98" w:rsidRPr="00074D62" w:rsidRDefault="00A77B98" w:rsidP="00A77B98">
      <w:pPr>
        <w:spacing w:before="20" w:after="20"/>
        <w:rPr>
          <w:color w:val="000000"/>
          <w:lang w:val="bg-BG"/>
        </w:rPr>
      </w:pPr>
      <w:r w:rsidRPr="00074D62">
        <w:rPr>
          <w:color w:val="000000"/>
          <w:lang w:val="bg-BG"/>
        </w:rPr>
        <w:t>Списък на приложимите задължителни национални стандарти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A77B98" w:rsidRPr="00074D62" w:rsidTr="004F2313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40" w:after="40"/>
              <w:rPr>
                <w:lang w:val="bg-BG"/>
              </w:rPr>
            </w:pPr>
            <w:r w:rsidRPr="00074D62">
              <w:rPr>
                <w:lang w:val="bg-BG"/>
              </w:rPr>
              <w:t>N/a</w:t>
            </w:r>
          </w:p>
        </w:tc>
      </w:tr>
    </w:tbl>
    <w:p w:rsidR="00A77B98" w:rsidRPr="00074D62" w:rsidRDefault="00A77B98" w:rsidP="00A77B98">
      <w:pPr>
        <w:spacing w:before="20" w:after="20"/>
        <w:rPr>
          <w:color w:val="000000"/>
          <w:lang w:val="bg-BG"/>
        </w:rPr>
      </w:pPr>
      <w:r w:rsidRPr="00074D62">
        <w:rPr>
          <w:color w:val="000000"/>
          <w:lang w:val="bg-BG"/>
        </w:rPr>
        <w:t xml:space="preserve">Връзка на стандартите за ДЗЕС, ЗИУ и националните стандарти с </w:t>
      </w:r>
      <w:proofErr w:type="spellStart"/>
      <w:r w:rsidRPr="00074D62">
        <w:rPr>
          <w:color w:val="000000"/>
          <w:lang w:val="bg-BG"/>
        </w:rPr>
        <w:t>екосхемата</w:t>
      </w:r>
      <w:proofErr w:type="spellEnd"/>
      <w:r w:rsidRPr="00074D62">
        <w:rPr>
          <w:color w:val="000000"/>
          <w:lang w:val="bg-BG"/>
        </w:rPr>
        <w:t xml:space="preserve"> (обяснете как </w:t>
      </w:r>
      <w:proofErr w:type="spellStart"/>
      <w:r w:rsidRPr="00074D62">
        <w:rPr>
          <w:color w:val="000000"/>
          <w:lang w:val="bg-BG"/>
        </w:rPr>
        <w:t>екосхемата</w:t>
      </w:r>
      <w:proofErr w:type="spellEnd"/>
      <w:r w:rsidRPr="00074D62">
        <w:rPr>
          <w:color w:val="000000"/>
          <w:lang w:val="bg-BG"/>
        </w:rPr>
        <w:t xml:space="preserve"> надхвърля базовите параметри, особено по отношение на ЗИУ и националните стандарти)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A77B98" w:rsidRPr="00074D62" w:rsidTr="004F2313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A77B98">
            <w:pPr>
              <w:spacing w:before="40" w:after="40"/>
              <w:jc w:val="both"/>
              <w:rPr>
                <w:lang w:val="bg-BG"/>
              </w:rPr>
            </w:pPr>
            <w:r w:rsidRPr="00074D62">
              <w:rPr>
                <w:lang w:val="bg-BG"/>
              </w:rPr>
              <w:t xml:space="preserve">Еко схемата надгражда изискванията на ДЗЕС 1 в качествен план по отношение поддържането на благоприятния статус на постоянно затревените площи. ДЗЕС 1 изисква поддържане на съотношението на постоянно затревените площи към общата земеделска площ на национално ниво. Предложената схема надгражда в качествен аспект по отношение на състоянието на постоянно затревените площи и въвежда режим за благоприятно управление на постоянно затревените </w:t>
            </w:r>
            <w:proofErr w:type="spellStart"/>
            <w:r w:rsidRPr="00074D62">
              <w:rPr>
                <w:lang w:val="bg-BG"/>
              </w:rPr>
              <w:t>площи.Предложената</w:t>
            </w:r>
            <w:proofErr w:type="spellEnd"/>
            <w:r w:rsidRPr="00074D62">
              <w:rPr>
                <w:lang w:val="bg-BG"/>
              </w:rPr>
              <w:t xml:space="preserve"> практика предвижда върху постоянно затревените площи да се приложи подходящ, съобразен с нуждите на природните местообитания режим на управление до 1 ЖЕ/ха.</w:t>
            </w:r>
          </w:p>
        </w:tc>
      </w:tr>
    </w:tbl>
    <w:p w:rsidR="00A77B98" w:rsidRPr="00074D62" w:rsidRDefault="00A77B98" w:rsidP="00A77B98">
      <w:pPr>
        <w:pStyle w:val="Heading5"/>
        <w:spacing w:before="20" w:after="20"/>
        <w:rPr>
          <w:b w:val="0"/>
          <w:i w:val="0"/>
          <w:color w:val="000000"/>
          <w:sz w:val="24"/>
          <w:lang w:val="bg-BG"/>
        </w:rPr>
      </w:pPr>
      <w:bookmarkStart w:id="7" w:name="_Toc256000121"/>
      <w:r w:rsidRPr="00074D62">
        <w:rPr>
          <w:b w:val="0"/>
          <w:i w:val="0"/>
          <w:color w:val="000000"/>
          <w:sz w:val="24"/>
          <w:lang w:val="bg-BG"/>
        </w:rPr>
        <w:t>7 Обхват и суми на подпомагането</w:t>
      </w:r>
      <w:bookmarkEnd w:id="7"/>
    </w:p>
    <w:p w:rsidR="00A77B98" w:rsidRPr="00074D62" w:rsidRDefault="00A77B98" w:rsidP="00A77B98">
      <w:pPr>
        <w:spacing w:before="20" w:after="20"/>
        <w:rPr>
          <w:color w:val="000000"/>
          <w:lang w:val="bg-BG"/>
        </w:rPr>
      </w:pPr>
      <w:r w:rsidRPr="00074D62">
        <w:rPr>
          <w:color w:val="000000"/>
          <w:lang w:val="bg-BG"/>
        </w:rPr>
        <w:t>Описание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A77B98" w:rsidRPr="00074D62" w:rsidTr="004F2313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40" w:after="40"/>
              <w:jc w:val="both"/>
              <w:rPr>
                <w:lang w:val="bg-BG"/>
              </w:rPr>
            </w:pPr>
            <w:r w:rsidRPr="00074D62">
              <w:rPr>
                <w:color w:val="000000" w:themeColor="text1"/>
                <w:shd w:val="clear" w:color="auto" w:fill="FFFFFF"/>
                <w:lang w:val="bg-BG"/>
              </w:rPr>
              <w:t>За всички интервенции в еко схемите е определено финансиране от 25% от годишния финансов пакет за директни плащания. Плащането е на хектар допустима земеделска земя, обхваната от задълженията по интервенцията. Ставката е съгласно чл. 31(7)(б) от Регламент (ЕС) 2021/2115.</w:t>
            </w:r>
            <w:r w:rsidRPr="00074D62">
              <w:rPr>
                <w:color w:val="000000" w:themeColor="text1"/>
                <w:lang w:val="bg-BG"/>
              </w:rPr>
              <w:t xml:space="preserve"> Вариация в ставката може да има според нивото на площите, обхванати от задълженията в еко схемите с цел да се постигне пълно оползотворяване на финансовия ресурс, определен за амбициозните екологични цели.</w:t>
            </w:r>
          </w:p>
        </w:tc>
      </w:tr>
    </w:tbl>
    <w:p w:rsidR="00A77B98" w:rsidRPr="00074D62" w:rsidRDefault="00A77B98" w:rsidP="00A77B98">
      <w:pPr>
        <w:pStyle w:val="Heading5"/>
        <w:spacing w:before="20" w:after="20"/>
        <w:rPr>
          <w:b w:val="0"/>
          <w:i w:val="0"/>
          <w:color w:val="000000"/>
          <w:sz w:val="24"/>
          <w:lang w:val="bg-BG"/>
        </w:rPr>
      </w:pPr>
      <w:bookmarkStart w:id="8" w:name="_Toc256000122"/>
      <w:r w:rsidRPr="00074D62">
        <w:rPr>
          <w:b w:val="0"/>
          <w:i w:val="0"/>
          <w:color w:val="000000"/>
          <w:sz w:val="24"/>
          <w:lang w:val="bg-BG"/>
        </w:rPr>
        <w:t>8 Допълнителни въпроси/информация за вида на интервенцията</w:t>
      </w:r>
      <w:bookmarkEnd w:id="8"/>
    </w:p>
    <w:p w:rsidR="00A77B98" w:rsidRPr="00074D62" w:rsidRDefault="00A77B98" w:rsidP="00A77B98">
      <w:pPr>
        <w:spacing w:before="20" w:after="20"/>
        <w:rPr>
          <w:color w:val="000000"/>
          <w:lang w:val="bg-BG"/>
        </w:rPr>
      </w:pPr>
      <w:r w:rsidRPr="00074D62">
        <w:rPr>
          <w:color w:val="000000"/>
          <w:lang w:val="bg-BG"/>
        </w:rPr>
        <w:t>Неприложимо</w:t>
      </w:r>
    </w:p>
    <w:p w:rsidR="00A77B98" w:rsidRPr="00074D62" w:rsidRDefault="00A77B98" w:rsidP="00A77B98">
      <w:pPr>
        <w:spacing w:before="20" w:after="20"/>
        <w:rPr>
          <w:color w:val="000000"/>
          <w:lang w:val="bg-BG"/>
        </w:rPr>
      </w:pPr>
    </w:p>
    <w:p w:rsidR="00A77B98" w:rsidRPr="00074D62" w:rsidRDefault="00A77B98" w:rsidP="00A77B98">
      <w:pPr>
        <w:pStyle w:val="Heading5"/>
        <w:spacing w:before="20" w:after="20"/>
        <w:rPr>
          <w:b w:val="0"/>
          <w:i w:val="0"/>
          <w:color w:val="000000"/>
          <w:sz w:val="24"/>
          <w:lang w:val="bg-BG"/>
        </w:rPr>
      </w:pPr>
      <w:bookmarkStart w:id="9" w:name="_Toc256000123"/>
      <w:r w:rsidRPr="00074D62">
        <w:rPr>
          <w:b w:val="0"/>
          <w:i w:val="0"/>
          <w:color w:val="000000"/>
          <w:sz w:val="24"/>
          <w:lang w:val="bg-BG"/>
        </w:rPr>
        <w:t>9 Съответствие с правилата на СТО</w:t>
      </w:r>
      <w:bookmarkEnd w:id="9"/>
    </w:p>
    <w:p w:rsidR="00A77B98" w:rsidRPr="00074D62" w:rsidRDefault="00A77B98" w:rsidP="00A77B98">
      <w:pPr>
        <w:spacing w:before="20" w:after="20"/>
        <w:rPr>
          <w:color w:val="000000"/>
          <w:lang w:val="bg-BG"/>
        </w:rPr>
      </w:pPr>
      <w:r w:rsidRPr="00074D62">
        <w:rPr>
          <w:color w:val="000000"/>
          <w:lang w:val="bg-BG"/>
        </w:rPr>
        <w:t xml:space="preserve"> Зелена кутия</w:t>
      </w:r>
    </w:p>
    <w:p w:rsidR="00A77B98" w:rsidRPr="00074D62" w:rsidRDefault="00A77B98" w:rsidP="00A77B98">
      <w:pPr>
        <w:spacing w:before="20" w:after="20"/>
        <w:rPr>
          <w:color w:val="000000"/>
          <w:lang w:val="bg-BG"/>
        </w:rPr>
      </w:pPr>
      <w:r w:rsidRPr="00074D62">
        <w:rPr>
          <w:color w:val="000000"/>
          <w:lang w:val="bg-BG"/>
        </w:rPr>
        <w:t>Параграф 12 от приложение 2 към Споразумението за СТО</w:t>
      </w:r>
    </w:p>
    <w:p w:rsidR="00A77B98" w:rsidRPr="00074D62" w:rsidRDefault="00A77B98" w:rsidP="00A77B98">
      <w:pPr>
        <w:spacing w:before="20" w:after="20"/>
        <w:rPr>
          <w:color w:val="000000"/>
          <w:lang w:val="bg-BG"/>
        </w:rPr>
      </w:pPr>
      <w:r w:rsidRPr="00074D62">
        <w:rPr>
          <w:color w:val="000000"/>
          <w:lang w:val="bg-BG"/>
        </w:rPr>
        <w:t>Разяснение как с интервенцията се спазват съответните разпоредби на приложение 2 към Споразумението за СТО за селското стопанство, както е посочено в член 10 от Регламент (ЕС) 2021/2115 и в приложение II към него („зелена кутия“)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A77B98" w:rsidRPr="00074D62" w:rsidTr="004F2313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40" w:after="40"/>
              <w:jc w:val="both"/>
              <w:rPr>
                <w:lang w:val="bg-BG"/>
              </w:rPr>
            </w:pPr>
            <w:r w:rsidRPr="00074D62">
              <w:rPr>
                <w:color w:val="000000"/>
                <w:lang w:val="bg-BG"/>
              </w:rPr>
              <w:t>Плащането е в съответствие с разпоредбата на член 31, параграф 7, първа алинея, буква б) от Регламент (ЕС) 2021/2115, което поставя интервенцията в обхвата на параграф 12 от приложение 2 към Споразумението за селското стопанство на СТО („зелена кутия“). Интервенцията е насочена към запазване или засилване на съхранението на въглероден диоксид в почвата и плащането не следва да окаже негативен ефект за изкривяване на производството и търговията.</w:t>
            </w:r>
          </w:p>
        </w:tc>
      </w:tr>
    </w:tbl>
    <w:p w:rsidR="00A77B98" w:rsidRPr="00074D62" w:rsidRDefault="00A77B98" w:rsidP="00A77B98">
      <w:pPr>
        <w:spacing w:before="20" w:after="20"/>
        <w:rPr>
          <w:color w:val="000000"/>
          <w:lang w:val="bg-BG"/>
        </w:rPr>
        <w:sectPr w:rsidR="00A77B98" w:rsidRPr="00074D62">
          <w:pgSz w:w="11906" w:h="16838"/>
          <w:pgMar w:top="720" w:right="720" w:bottom="864" w:left="936" w:header="288" w:footer="72" w:gutter="0"/>
          <w:cols w:space="720"/>
          <w:noEndnote/>
          <w:docGrid w:linePitch="360"/>
        </w:sectPr>
      </w:pPr>
    </w:p>
    <w:p w:rsidR="00A77B98" w:rsidRPr="00074D62" w:rsidRDefault="00A77B98" w:rsidP="00A77B98">
      <w:pPr>
        <w:pStyle w:val="Heading5"/>
        <w:spacing w:before="20" w:after="20"/>
        <w:rPr>
          <w:b w:val="0"/>
          <w:i w:val="0"/>
          <w:color w:val="000000"/>
          <w:sz w:val="24"/>
          <w:lang w:val="bg-BG"/>
        </w:rPr>
      </w:pPr>
      <w:bookmarkStart w:id="10" w:name="_Toc256000124"/>
      <w:r w:rsidRPr="00074D62">
        <w:rPr>
          <w:b w:val="0"/>
          <w:i w:val="0"/>
          <w:color w:val="000000"/>
          <w:sz w:val="24"/>
          <w:lang w:val="bg-BG"/>
        </w:rPr>
        <w:lastRenderedPageBreak/>
        <w:t>11 Планирани единични суми — определение</w:t>
      </w:r>
      <w:bookmarkEnd w:id="10"/>
    </w:p>
    <w:p w:rsidR="00A77B98" w:rsidRPr="00074D62" w:rsidRDefault="00A77B98" w:rsidP="00A77B98">
      <w:pPr>
        <w:spacing w:before="20" w:after="20"/>
        <w:rPr>
          <w:color w:val="000000"/>
          <w:sz w:val="0"/>
          <w:lang w:val="bg-BG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4"/>
        <w:gridCol w:w="2973"/>
        <w:gridCol w:w="921"/>
        <w:gridCol w:w="2408"/>
      </w:tblGrid>
      <w:tr w:rsidR="00A77B98" w:rsidRPr="00074D62" w:rsidTr="004F2313">
        <w:trPr>
          <w:trHeight w:val="16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20" w:after="20"/>
              <w:rPr>
                <w:b/>
                <w:color w:val="000000"/>
                <w:sz w:val="20"/>
                <w:lang w:val="bg-BG"/>
              </w:rPr>
            </w:pPr>
            <w:r w:rsidRPr="00074D62">
              <w:rPr>
                <w:b/>
                <w:color w:val="000000"/>
                <w:sz w:val="20"/>
                <w:lang w:val="bg-BG"/>
              </w:rPr>
              <w:t>Планирана единична сума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20" w:after="20"/>
              <w:rPr>
                <w:b/>
                <w:color w:val="000000"/>
                <w:sz w:val="20"/>
                <w:lang w:val="bg-BG"/>
              </w:rPr>
            </w:pPr>
            <w:r w:rsidRPr="00074D62">
              <w:rPr>
                <w:b/>
                <w:color w:val="000000"/>
                <w:sz w:val="20"/>
                <w:lang w:val="bg-BG"/>
              </w:rPr>
              <w:t>Вид на планираната единична сума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20" w:after="20"/>
              <w:rPr>
                <w:b/>
                <w:color w:val="000000"/>
                <w:sz w:val="20"/>
                <w:lang w:val="bg-BG"/>
              </w:rPr>
            </w:pPr>
            <w:r w:rsidRPr="00074D62">
              <w:rPr>
                <w:b/>
                <w:color w:val="000000"/>
                <w:sz w:val="20"/>
                <w:lang w:val="bg-BG"/>
              </w:rPr>
              <w:t>Регион(и)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074D62">
              <w:rPr>
                <w:b/>
                <w:color w:val="000000"/>
                <w:sz w:val="20"/>
                <w:lang w:val="bg-BG"/>
              </w:rPr>
              <w:t>Показател(и) за резултатите</w:t>
            </w:r>
          </w:p>
        </w:tc>
      </w:tr>
      <w:tr w:rsidR="00A77B98" w:rsidRPr="00074D62" w:rsidTr="004F2313">
        <w:trPr>
          <w:trHeight w:val="16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B98" w:rsidRPr="00074D62" w:rsidRDefault="00A77B98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>I.B.6_Еко-06 - Еко схема 06_ Плащане за екстензивни постоянно затревени площи (ПЗП)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B98" w:rsidRPr="00074D62" w:rsidRDefault="00A77B98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>Хомогенен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B98" w:rsidRPr="00074D62" w:rsidRDefault="00A77B98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B98" w:rsidRPr="00074D62" w:rsidRDefault="00A77B98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>R.14; R.31; R.33</w:t>
            </w:r>
          </w:p>
        </w:tc>
      </w:tr>
    </w:tbl>
    <w:p w:rsidR="00A77B98" w:rsidRPr="00074D62" w:rsidRDefault="00A77B98" w:rsidP="00A77B98">
      <w:pPr>
        <w:spacing w:before="20" w:after="20"/>
        <w:rPr>
          <w:color w:val="000000"/>
          <w:lang w:val="bg-BG"/>
        </w:rPr>
      </w:pPr>
      <w:r w:rsidRPr="00074D62">
        <w:rPr>
          <w:color w:val="000000"/>
          <w:lang w:val="bg-BG"/>
        </w:rPr>
        <w:t>Разяснение и обосновка (включително гъвкавост)</w:t>
      </w:r>
    </w:p>
    <w:p w:rsidR="00A77B98" w:rsidRPr="00074D62" w:rsidRDefault="00A77B98" w:rsidP="00A77B98">
      <w:pPr>
        <w:spacing w:before="20" w:after="20"/>
        <w:rPr>
          <w:color w:val="000000"/>
          <w:lang w:val="bg-BG"/>
        </w:rPr>
      </w:pPr>
      <w:r w:rsidRPr="00074D62">
        <w:rPr>
          <w:color w:val="000000"/>
          <w:lang w:val="bg-BG"/>
        </w:rPr>
        <w:t>I.B.6_Еко-06 - Еко схема 06_ Плащане за екстензивни постоянно затревени площи (ПЗП)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96"/>
      </w:tblGrid>
      <w:tr w:rsidR="00A77B98" w:rsidRPr="00074D62" w:rsidTr="004F2313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0F35AE">
            <w:pPr>
              <w:spacing w:before="40" w:after="40"/>
              <w:jc w:val="both"/>
              <w:rPr>
                <w:lang w:val="bg-BG"/>
              </w:rPr>
            </w:pPr>
            <w:r w:rsidRPr="00074D62">
              <w:rPr>
                <w:lang w:val="bg-BG"/>
              </w:rPr>
              <w:t>Плащането е на хектар допустима земеделска земя, обхваната от задълженията по интервенцията. Ставката е съгласно чл. 31(7)(б) от Регламент (ЕС) 2021/2115. Предвидена е опция за вариация съгласно разпоредбата на чл. 102(2) от Регламент (ЕС) 2021/2115, която дава възможност за интервенциите в директните плащания да се определят максимални или минимални планирани единични суми.</w:t>
            </w:r>
            <w:r w:rsidR="00A03BB4">
              <w:rPr>
                <w:lang w:val="bg-BG"/>
              </w:rPr>
              <w:t xml:space="preserve"> </w:t>
            </w:r>
            <w:r w:rsidR="00A03BB4" w:rsidRPr="00A03BB4">
              <w:rPr>
                <w:color w:val="FF0000"/>
                <w:lang w:val="bg-BG"/>
              </w:rPr>
              <w:t xml:space="preserve">Предвижда се единно ниво </w:t>
            </w:r>
            <w:r w:rsidR="00A03BB4">
              <w:rPr>
                <w:color w:val="FF0000"/>
                <w:lang w:val="bg-BG"/>
              </w:rPr>
              <w:t xml:space="preserve">на плащане по интервенцията, както за практиките върху постоянно затревените площи, така и за </w:t>
            </w:r>
            <w:bookmarkStart w:id="11" w:name="_GoBack"/>
            <w:bookmarkEnd w:id="11"/>
            <w:r w:rsidR="00A03BB4">
              <w:rPr>
                <w:color w:val="FF0000"/>
                <w:lang w:val="bg-BG"/>
              </w:rPr>
              <w:t xml:space="preserve">обработваемите земи по интервенцията. </w:t>
            </w:r>
          </w:p>
        </w:tc>
      </w:tr>
    </w:tbl>
    <w:p w:rsidR="00A77B98" w:rsidRPr="00074D62" w:rsidRDefault="00A77B98" w:rsidP="00A77B98">
      <w:pPr>
        <w:pStyle w:val="Heading5"/>
        <w:spacing w:before="20" w:after="20"/>
        <w:rPr>
          <w:b w:val="0"/>
          <w:i w:val="0"/>
          <w:color w:val="000000"/>
          <w:sz w:val="24"/>
          <w:lang w:val="bg-BG"/>
        </w:rPr>
      </w:pPr>
      <w:bookmarkStart w:id="12" w:name="_Toc256000125"/>
      <w:r w:rsidRPr="00074D62">
        <w:rPr>
          <w:b w:val="0"/>
          <w:i w:val="0"/>
          <w:color w:val="000000"/>
          <w:sz w:val="24"/>
          <w:lang w:val="bg-BG"/>
        </w:rPr>
        <w:t>12 Планирани единични суми — финансова таблица с крайни продукти</w:t>
      </w:r>
      <w:bookmarkEnd w:id="12"/>
    </w:p>
    <w:p w:rsidR="00A77B98" w:rsidRPr="00074D62" w:rsidRDefault="00A77B98" w:rsidP="00A77B98">
      <w:pPr>
        <w:spacing w:before="20" w:after="20"/>
        <w:rPr>
          <w:color w:val="000000"/>
          <w:sz w:val="0"/>
          <w:lang w:val="bg-BG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8"/>
        <w:gridCol w:w="2598"/>
        <w:gridCol w:w="1300"/>
        <w:gridCol w:w="1300"/>
        <w:gridCol w:w="1300"/>
        <w:gridCol w:w="1300"/>
        <w:gridCol w:w="1300"/>
        <w:gridCol w:w="1300"/>
      </w:tblGrid>
      <w:tr w:rsidR="00A77B98" w:rsidRPr="00074D62" w:rsidTr="004F2313">
        <w:trPr>
          <w:trHeight w:val="160"/>
          <w:tblHeader/>
        </w:trPr>
        <w:tc>
          <w:tcPr>
            <w:tcW w:w="8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20" w:after="20"/>
              <w:rPr>
                <w:b/>
                <w:color w:val="000000"/>
                <w:sz w:val="20"/>
                <w:lang w:val="bg-BG"/>
              </w:rPr>
            </w:pPr>
            <w:r w:rsidRPr="00074D62">
              <w:rPr>
                <w:b/>
                <w:color w:val="000000"/>
                <w:sz w:val="20"/>
                <w:lang w:val="bg-BG"/>
              </w:rPr>
              <w:t>Планирана единична сума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20" w:after="20"/>
              <w:rPr>
                <w:b/>
                <w:color w:val="000000"/>
                <w:sz w:val="20"/>
                <w:lang w:val="bg-BG"/>
              </w:rPr>
            </w:pPr>
            <w:r w:rsidRPr="00074D62">
              <w:rPr>
                <w:b/>
                <w:color w:val="000000"/>
                <w:sz w:val="20"/>
                <w:lang w:val="bg-BG"/>
              </w:rPr>
              <w:t>Финансова година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20" w:after="20"/>
              <w:jc w:val="right"/>
              <w:rPr>
                <w:b/>
                <w:color w:val="000000"/>
                <w:sz w:val="20"/>
                <w:lang w:val="bg-BG"/>
              </w:rPr>
            </w:pPr>
            <w:r w:rsidRPr="00074D62">
              <w:rPr>
                <w:b/>
                <w:color w:val="000000"/>
                <w:sz w:val="20"/>
                <w:lang w:val="bg-BG"/>
              </w:rPr>
              <w:t>2024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20" w:after="20"/>
              <w:jc w:val="right"/>
              <w:rPr>
                <w:b/>
                <w:color w:val="000000"/>
                <w:sz w:val="20"/>
                <w:lang w:val="bg-BG"/>
              </w:rPr>
            </w:pPr>
            <w:r w:rsidRPr="00074D62">
              <w:rPr>
                <w:b/>
                <w:color w:val="000000"/>
                <w:sz w:val="20"/>
                <w:lang w:val="bg-BG"/>
              </w:rPr>
              <w:t>2025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20" w:after="20"/>
              <w:jc w:val="right"/>
              <w:rPr>
                <w:b/>
                <w:color w:val="000000"/>
                <w:sz w:val="20"/>
                <w:lang w:val="bg-BG"/>
              </w:rPr>
            </w:pPr>
            <w:r w:rsidRPr="00074D62">
              <w:rPr>
                <w:b/>
                <w:color w:val="000000"/>
                <w:sz w:val="20"/>
                <w:lang w:val="bg-BG"/>
              </w:rPr>
              <w:t>2026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20" w:after="20"/>
              <w:jc w:val="right"/>
              <w:rPr>
                <w:b/>
                <w:color w:val="000000"/>
                <w:sz w:val="20"/>
                <w:lang w:val="bg-BG"/>
              </w:rPr>
            </w:pPr>
            <w:r w:rsidRPr="00074D62">
              <w:rPr>
                <w:b/>
                <w:color w:val="000000"/>
                <w:sz w:val="20"/>
                <w:lang w:val="bg-BG"/>
              </w:rPr>
              <w:t>2027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20" w:after="20"/>
              <w:jc w:val="right"/>
              <w:rPr>
                <w:b/>
                <w:color w:val="000000"/>
                <w:sz w:val="20"/>
                <w:lang w:val="bg-BG"/>
              </w:rPr>
            </w:pPr>
            <w:r w:rsidRPr="00074D62">
              <w:rPr>
                <w:b/>
                <w:color w:val="000000"/>
                <w:sz w:val="20"/>
                <w:lang w:val="bg-BG"/>
              </w:rPr>
              <w:t>2028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20" w:after="20"/>
              <w:jc w:val="right"/>
              <w:rPr>
                <w:b/>
                <w:color w:val="000000"/>
                <w:sz w:val="20"/>
                <w:lang w:val="bg-BG"/>
              </w:rPr>
            </w:pPr>
            <w:r w:rsidRPr="00074D62">
              <w:rPr>
                <w:b/>
                <w:color w:val="000000"/>
                <w:sz w:val="20"/>
                <w:lang w:val="bg-BG"/>
              </w:rPr>
              <w:t>Общо за периода 2024—2028 г.</w:t>
            </w:r>
          </w:p>
        </w:tc>
      </w:tr>
      <w:tr w:rsidR="00A77B98" w:rsidRPr="00074D62" w:rsidTr="004F2313">
        <w:trPr>
          <w:trHeight w:val="160"/>
          <w:tblHeader/>
        </w:trPr>
        <w:tc>
          <w:tcPr>
            <w:tcW w:w="4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20" w:after="20"/>
              <w:jc w:val="right"/>
              <w:rPr>
                <w:b/>
                <w:color w:val="000000"/>
                <w:sz w:val="20"/>
                <w:lang w:val="bg-BG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20" w:after="20"/>
              <w:rPr>
                <w:b/>
                <w:color w:val="000000"/>
                <w:sz w:val="20"/>
                <w:lang w:val="bg-BG"/>
              </w:rPr>
            </w:pPr>
            <w:r w:rsidRPr="00074D62">
              <w:rPr>
                <w:b/>
                <w:color w:val="000000"/>
                <w:sz w:val="20"/>
                <w:lang w:val="bg-BG"/>
              </w:rPr>
              <w:t>Календарна година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20" w:after="20"/>
              <w:jc w:val="right"/>
              <w:rPr>
                <w:b/>
                <w:color w:val="000000"/>
                <w:sz w:val="20"/>
                <w:lang w:val="bg-BG"/>
              </w:rPr>
            </w:pPr>
            <w:r w:rsidRPr="00074D62">
              <w:rPr>
                <w:b/>
                <w:color w:val="000000"/>
                <w:sz w:val="20"/>
                <w:lang w:val="bg-BG"/>
              </w:rPr>
              <w:t>2023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20" w:after="20"/>
              <w:jc w:val="right"/>
              <w:rPr>
                <w:b/>
                <w:color w:val="000000"/>
                <w:sz w:val="20"/>
                <w:lang w:val="bg-BG"/>
              </w:rPr>
            </w:pPr>
            <w:r w:rsidRPr="00074D62">
              <w:rPr>
                <w:b/>
                <w:color w:val="000000"/>
                <w:sz w:val="20"/>
                <w:lang w:val="bg-BG"/>
              </w:rPr>
              <w:t>2024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20" w:after="20"/>
              <w:jc w:val="right"/>
              <w:rPr>
                <w:b/>
                <w:color w:val="000000"/>
                <w:sz w:val="20"/>
                <w:lang w:val="bg-BG"/>
              </w:rPr>
            </w:pPr>
            <w:r w:rsidRPr="00074D62">
              <w:rPr>
                <w:b/>
                <w:color w:val="000000"/>
                <w:sz w:val="20"/>
                <w:lang w:val="bg-BG"/>
              </w:rPr>
              <w:t>2025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20" w:after="20"/>
              <w:jc w:val="right"/>
              <w:rPr>
                <w:b/>
                <w:color w:val="000000"/>
                <w:sz w:val="20"/>
                <w:lang w:val="bg-BG"/>
              </w:rPr>
            </w:pPr>
            <w:r w:rsidRPr="00074D62">
              <w:rPr>
                <w:b/>
                <w:color w:val="000000"/>
                <w:sz w:val="20"/>
                <w:lang w:val="bg-BG"/>
              </w:rPr>
              <w:t>2026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20" w:after="20"/>
              <w:jc w:val="right"/>
              <w:rPr>
                <w:b/>
                <w:color w:val="000000"/>
                <w:sz w:val="20"/>
                <w:lang w:val="bg-BG"/>
              </w:rPr>
            </w:pPr>
            <w:r w:rsidRPr="00074D62">
              <w:rPr>
                <w:b/>
                <w:color w:val="000000"/>
                <w:sz w:val="20"/>
                <w:lang w:val="bg-BG"/>
              </w:rPr>
              <w:t>2027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074D62">
              <w:rPr>
                <w:b/>
                <w:color w:val="000000"/>
                <w:sz w:val="20"/>
                <w:lang w:val="bg-BG"/>
              </w:rPr>
              <w:t>Общо за периода 2023—2027 г.</w:t>
            </w:r>
          </w:p>
        </w:tc>
      </w:tr>
      <w:tr w:rsidR="00A77B98" w:rsidRPr="00074D62" w:rsidTr="004F2313">
        <w:trPr>
          <w:trHeight w:val="160"/>
        </w:trPr>
        <w:tc>
          <w:tcPr>
            <w:tcW w:w="4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B98" w:rsidRPr="00074D62" w:rsidRDefault="00A77B98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>I.B.6_Еко-06 - Еко схема 06_ Плащане за екстензивни постоянно затревени площи (ПЗП)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B98" w:rsidRPr="00074D62" w:rsidRDefault="00A77B98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>Планирана единична сума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B98" w:rsidRPr="00074D62" w:rsidRDefault="00A77B98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>80,00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B98" w:rsidRPr="00074D62" w:rsidRDefault="00A77B98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>80,00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B98" w:rsidRPr="00074D62" w:rsidRDefault="00A77B98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>80,00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B98" w:rsidRPr="00074D62" w:rsidRDefault="00A77B98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>80,00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B98" w:rsidRPr="00074D62" w:rsidRDefault="00A77B98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>80,00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B98" w:rsidRPr="00074D62" w:rsidRDefault="00A77B98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</w:p>
        </w:tc>
      </w:tr>
      <w:tr w:rsidR="00A77B98" w:rsidRPr="00074D62" w:rsidTr="004F2313">
        <w:trPr>
          <w:trHeight w:val="160"/>
        </w:trPr>
        <w:tc>
          <w:tcPr>
            <w:tcW w:w="4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B98" w:rsidRPr="00074D62" w:rsidRDefault="00A77B98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B98" w:rsidRPr="00074D62" w:rsidRDefault="00A77B98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>Минимална сума за планираната единична сума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B98" w:rsidRPr="00074D62" w:rsidRDefault="00A77B98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>64,00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B98" w:rsidRPr="00074D62" w:rsidRDefault="00A77B98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B98" w:rsidRPr="00074D62" w:rsidRDefault="00A77B98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B98" w:rsidRPr="00074D62" w:rsidRDefault="00A77B98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B98" w:rsidRPr="00074D62" w:rsidRDefault="00A77B98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B98" w:rsidRPr="00074D62" w:rsidRDefault="00A77B98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</w:p>
        </w:tc>
      </w:tr>
      <w:tr w:rsidR="00A77B98" w:rsidRPr="00074D62" w:rsidTr="004F2313">
        <w:trPr>
          <w:trHeight w:val="160"/>
        </w:trPr>
        <w:tc>
          <w:tcPr>
            <w:tcW w:w="4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B98" w:rsidRPr="00074D62" w:rsidRDefault="00A77B98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B98" w:rsidRPr="00074D62" w:rsidRDefault="00A77B98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>Максимална сума за планираната единична сума (евро)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B98" w:rsidRPr="00074D62" w:rsidRDefault="00A77B98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>92,42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B98" w:rsidRPr="00074D62" w:rsidRDefault="00A77B98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>123,86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B98" w:rsidRPr="00074D62" w:rsidRDefault="00A77B98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>123,86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B98" w:rsidRPr="00074D62" w:rsidRDefault="00A77B98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>123,86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B98" w:rsidRPr="00074D62" w:rsidRDefault="00A77B98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>123,86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B98" w:rsidRPr="00074D62" w:rsidRDefault="00A77B98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</w:p>
        </w:tc>
      </w:tr>
      <w:tr w:rsidR="00A77B98" w:rsidRPr="00074D62" w:rsidTr="004F2313">
        <w:trPr>
          <w:trHeight w:val="160"/>
        </w:trPr>
        <w:tc>
          <w:tcPr>
            <w:tcW w:w="4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B98" w:rsidRPr="00074D62" w:rsidRDefault="00A77B98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B98" w:rsidRPr="00074D62" w:rsidRDefault="00A77B98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>O.8 (единица: Хектари)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B98" w:rsidRPr="00074D62" w:rsidRDefault="00A77B98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>274 369,00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B98" w:rsidRPr="00074D62" w:rsidRDefault="00A77B98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>220 000,00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B98" w:rsidRPr="00074D62" w:rsidRDefault="00A77B98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>220 000,00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B98" w:rsidRPr="00074D62" w:rsidRDefault="00A77B98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>220 000,00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B98" w:rsidRPr="00074D62" w:rsidRDefault="00A77B98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>220 000,00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B98" w:rsidRPr="00074D62" w:rsidRDefault="00A77B98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</w:p>
        </w:tc>
      </w:tr>
      <w:tr w:rsidR="00A77B98" w:rsidRPr="00074D62" w:rsidTr="004F2313">
        <w:trPr>
          <w:trHeight w:val="160"/>
        </w:trPr>
        <w:tc>
          <w:tcPr>
            <w:tcW w:w="4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B98" w:rsidRPr="00074D62" w:rsidRDefault="00A77B98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B98" w:rsidRPr="00074D62" w:rsidRDefault="00A77B98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>Планиран краен продукт * Планирана единична сума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B98" w:rsidRPr="00074D62" w:rsidRDefault="00A77B98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>21 949 520,00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B98" w:rsidRPr="00074D62" w:rsidRDefault="00A77B98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>17 600 000,00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B98" w:rsidRPr="00074D62" w:rsidRDefault="00A77B98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>17 600 000,00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B98" w:rsidRPr="00074D62" w:rsidRDefault="00A77B98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>17 600 000,00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B98" w:rsidRPr="00074D62" w:rsidRDefault="00A77B98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>17 600 000,00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B98" w:rsidRPr="00074D62" w:rsidRDefault="00A77B98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>92 349 520,00</w:t>
            </w:r>
          </w:p>
        </w:tc>
      </w:tr>
      <w:tr w:rsidR="00A77B98" w:rsidRPr="00074D62" w:rsidTr="004F2313">
        <w:trPr>
          <w:trHeight w:val="160"/>
        </w:trPr>
        <w:tc>
          <w:tcPr>
            <w:tcW w:w="4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B98" w:rsidRPr="00074D62" w:rsidRDefault="00A77B98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>ОБЩО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>O.8 (единица: Хектари)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>274 369,00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>220 000,00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>220 000,00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>220 000,00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>220 000,00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20" w:after="20"/>
              <w:rPr>
                <w:b/>
                <w:color w:val="000000"/>
                <w:sz w:val="20"/>
                <w:lang w:val="bg-BG"/>
              </w:rPr>
            </w:pPr>
            <w:r w:rsidRPr="00074D62">
              <w:rPr>
                <w:b/>
                <w:color w:val="000000"/>
                <w:sz w:val="20"/>
                <w:lang w:val="bg-BG"/>
              </w:rPr>
              <w:t xml:space="preserve">Сума: </w:t>
            </w:r>
          </w:p>
          <w:p w:rsidR="00A77B98" w:rsidRPr="00074D62" w:rsidRDefault="00A77B98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>1 154 369,00</w:t>
            </w:r>
          </w:p>
          <w:p w:rsidR="00A77B98" w:rsidRPr="00074D62" w:rsidRDefault="00A77B98" w:rsidP="004F2313">
            <w:pPr>
              <w:spacing w:before="20" w:after="20"/>
              <w:rPr>
                <w:b/>
                <w:color w:val="000000"/>
                <w:sz w:val="20"/>
                <w:lang w:val="bg-BG"/>
              </w:rPr>
            </w:pPr>
            <w:r w:rsidRPr="00074D62">
              <w:rPr>
                <w:b/>
                <w:color w:val="000000"/>
                <w:sz w:val="20"/>
                <w:lang w:val="bg-BG"/>
              </w:rPr>
              <w:t xml:space="preserve">Макс.: </w:t>
            </w:r>
          </w:p>
          <w:p w:rsidR="00A77B98" w:rsidRPr="00074D62" w:rsidRDefault="00A77B98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>274 369,00</w:t>
            </w:r>
          </w:p>
        </w:tc>
      </w:tr>
      <w:tr w:rsidR="00A77B98" w:rsidRPr="00074D62" w:rsidTr="004F2313">
        <w:trPr>
          <w:trHeight w:val="160"/>
        </w:trPr>
        <w:tc>
          <w:tcPr>
            <w:tcW w:w="4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B98" w:rsidRPr="00074D62" w:rsidRDefault="00A77B98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 xml:space="preserve">Годишно ориентировъчно разпределение на финансови </w:t>
            </w:r>
            <w:r w:rsidRPr="00074D62">
              <w:rPr>
                <w:color w:val="000000"/>
                <w:sz w:val="20"/>
                <w:lang w:val="bg-BG"/>
              </w:rPr>
              <w:lastRenderedPageBreak/>
              <w:t>средства (принос на Съюза в евро)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lastRenderedPageBreak/>
              <w:t>21 949 520,00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>17 600 000,00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>17 600 000,00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>17 600 000,00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>17 600 000,00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>92 349 520,00</w:t>
            </w:r>
          </w:p>
        </w:tc>
      </w:tr>
      <w:tr w:rsidR="00A77B98" w:rsidRPr="00074D62" w:rsidTr="004F2313">
        <w:trPr>
          <w:trHeight w:val="160"/>
        </w:trPr>
        <w:tc>
          <w:tcPr>
            <w:tcW w:w="4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B98" w:rsidRPr="00074D62" w:rsidRDefault="00A77B98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074D62">
              <w:rPr>
                <w:color w:val="000000"/>
                <w:sz w:val="20"/>
                <w:lang w:val="bg-BG"/>
              </w:rPr>
              <w:t>От които необходими за достигане на минималното изискване за обособяване на средства (приложение XII) (само съгласно член 30) (принос на Съюза)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77B98" w:rsidRPr="00074D62" w:rsidRDefault="00A77B98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</w:p>
        </w:tc>
      </w:tr>
    </w:tbl>
    <w:p w:rsidR="008E349B" w:rsidRPr="00074D62" w:rsidRDefault="008E349B">
      <w:pPr>
        <w:rPr>
          <w:lang w:val="bg-BG"/>
        </w:rPr>
      </w:pPr>
    </w:p>
    <w:sectPr w:rsidR="008E349B" w:rsidRPr="00074D62" w:rsidSect="00A77B98">
      <w:pgSz w:w="15840" w:h="12240" w:orient="landscape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98A"/>
    <w:rsid w:val="00074D62"/>
    <w:rsid w:val="000F35AE"/>
    <w:rsid w:val="00254F8C"/>
    <w:rsid w:val="004A1B18"/>
    <w:rsid w:val="00622AF4"/>
    <w:rsid w:val="0085598A"/>
    <w:rsid w:val="008E349B"/>
    <w:rsid w:val="00A03BB4"/>
    <w:rsid w:val="00A70677"/>
    <w:rsid w:val="00A77B98"/>
    <w:rsid w:val="00F56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7BE79"/>
  <w15:chartTrackingRefBased/>
  <w15:docId w15:val="{3DE69809-B0C1-4DCD-87F8-1E4835EF5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7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A77B9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A77B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A77B9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A77B98"/>
    <w:rPr>
      <w:rFonts w:ascii="Times New Roman" w:eastAsia="Times New Roman" w:hAnsi="Times New Roman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1827</Words>
  <Characters>10419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Jordanova</dc:creator>
  <cp:keywords/>
  <dc:description/>
  <cp:lastModifiedBy>Kristina Jordanova</cp:lastModifiedBy>
  <cp:revision>4</cp:revision>
  <dcterms:created xsi:type="dcterms:W3CDTF">2024-08-23T12:36:00Z</dcterms:created>
  <dcterms:modified xsi:type="dcterms:W3CDTF">2024-08-23T12:48:00Z</dcterms:modified>
</cp:coreProperties>
</file>