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530" w:rsidRDefault="00853DCB" w:rsidP="008E0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overflowPunct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п</w:t>
      </w:r>
      <w:r w:rsidR="00952530">
        <w:rPr>
          <w:rFonts w:ascii="Times New Roman" w:eastAsia="Times New Roman" w:hAnsi="Times New Roman" w:cs="Times New Roman"/>
          <w:b/>
          <w:bCs/>
          <w:sz w:val="24"/>
          <w:szCs w:val="24"/>
        </w:rPr>
        <w:t>рехвърляне на средства между интервенции, финансирани чрез ЕЗФРСР</w:t>
      </w:r>
    </w:p>
    <w:p w:rsidR="00952530" w:rsidRDefault="00952530" w:rsidP="00952530">
      <w:pPr>
        <w:overflowPunct w:val="0"/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3DCB" w:rsidRDefault="00952530" w:rsidP="00853DCB">
      <w:pPr>
        <w:overflowPunct w:val="0"/>
        <w:autoSpaceDE w:val="0"/>
        <w:autoSpaceDN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интервенция </w:t>
      </w:r>
      <w:r w:rsidRPr="00853DCB">
        <w:rPr>
          <w:rFonts w:ascii="Times New Roman" w:hAnsi="Times New Roman" w:cs="Times New Roman"/>
          <w:sz w:val="24"/>
          <w:szCs w:val="24"/>
          <w:u w:val="single"/>
        </w:rPr>
        <w:t>II.АЕ.3. - Възстановяване и поддържане на деградирали пасищни територии</w:t>
      </w:r>
      <w:r>
        <w:rPr>
          <w:rFonts w:ascii="Times New Roman" w:hAnsi="Times New Roman" w:cs="Times New Roman"/>
          <w:sz w:val="24"/>
          <w:szCs w:val="24"/>
        </w:rPr>
        <w:t xml:space="preserve"> не се наблюдава значим интерес през последните две кампании. Освен териториалните ограничения, произтичащи от процедурата по екологична оценка на СПРЗСР 2023-2027 г., съгласно която са изключени всички потенциални площи, попадащи в защитени зони от мрежата Натура 2000, с първо изменение на плана са въведени допълнителни ограничения в обхвата и изискванията в изпълнение на решение на Народното събрание, като кандидатите за подпомагане следва да отглеждат животни в своите стопанства в определено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съотношение с допустимите площи</w:t>
      </w:r>
      <w:r w:rsidR="00853DCB">
        <w:rPr>
          <w:rFonts w:ascii="Times New Roman" w:hAnsi="Times New Roman" w:cs="Times New Roman"/>
          <w:sz w:val="24"/>
          <w:szCs w:val="24"/>
        </w:rPr>
        <w:t xml:space="preserve"> – 1 ЖЕ/ха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2530" w:rsidRDefault="00952530" w:rsidP="00853DCB">
      <w:pPr>
        <w:overflowPunct w:val="0"/>
        <w:autoSpaceDE w:val="0"/>
        <w:autoSpaceDN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Данните от изминалите две кампания по подаване на заявленията сочат, че над 50% от кандидатите през 2023 година не продължават изпълнението на дейностите по интервенцията през 2024 г., като са подадени доброволни откази от страна на земеделските стопани. През К2024 все пак е заявена около  60%  от площта през 2023 г.</w:t>
      </w:r>
    </w:p>
    <w:p w:rsidR="00952530" w:rsidRDefault="00952530" w:rsidP="00853DCB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 От друга страна, по интервенция </w:t>
      </w:r>
      <w:r w:rsidRPr="00853DCB">
        <w:rPr>
          <w:rFonts w:ascii="Times New Roman" w:hAnsi="Times New Roman" w:cs="Times New Roman"/>
          <w:sz w:val="24"/>
          <w:szCs w:val="24"/>
          <w:u w:val="single"/>
        </w:rPr>
        <w:t>II.А.6. - Опазване на местни породи (автохтонни), важни за селското стопанство</w:t>
      </w:r>
      <w:r>
        <w:rPr>
          <w:rFonts w:ascii="Times New Roman" w:hAnsi="Times New Roman" w:cs="Times New Roman"/>
          <w:sz w:val="24"/>
          <w:szCs w:val="24"/>
        </w:rPr>
        <w:t xml:space="preserve"> се наблюдава значителен интерес от страна на земеделските стопани, както и трайна и устойчива тенденция на заявяване на породите животни.</w:t>
      </w:r>
      <w:r w:rsidR="00853D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резултат на преглед на изпълнението на двете кампании и методологичният подход на изчисленията, ще бъдат извършени преизчисления на индикативните компенсаторни плащания – на направените допълнителни разходи и пропуснати ползи, произтичащи от поетите задължения и предвид неблагоприятната икономическа ситуация и целите на интервенцията. Компенсаторните плащания по интервенцията имат за цел запазване интереса на стопаните да продължат да подкрепят опазването на застрашени от изчезване местни породи и съхраняване на генетичното разнообразие, което е важно за местното селското стопанство с цел избягване на риска от потенциална липса на интерес за продължаване на усилията.</w:t>
      </w:r>
    </w:p>
    <w:p w:rsidR="00952530" w:rsidRDefault="00952530" w:rsidP="00853DCB">
      <w:pPr>
        <w:overflowPunct w:val="0"/>
        <w:autoSpaceDE w:val="0"/>
        <w:autoSpaceDN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допълнение, след приключване на ангажиментите за отглеждане на застрашени от изчезване породи животни по мярка 10 от ПРСР 2014-2020 г. в текущата година, през 2025 г. се очаква допълнителни земеделски стопани, съответно и животни потенциално да се включат в интервенцията от СПРЗСР 2023-2027 г., като прогнозите очертават потенциален недостиг на финансови средства през следващите години. </w:t>
      </w:r>
    </w:p>
    <w:p w:rsidR="00952530" w:rsidRDefault="00952530" w:rsidP="00853DCB">
      <w:pPr>
        <w:overflowPunct w:val="0"/>
        <w:autoSpaceDE w:val="0"/>
        <w:autoSpaceDN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тази връзка, УО предлага да бъде пренасочен финансов ресурс в размер на </w:t>
      </w:r>
      <w:r w:rsidRPr="008E0E8D">
        <w:rPr>
          <w:rFonts w:ascii="Times New Roman" w:hAnsi="Times New Roman" w:cs="Times New Roman"/>
          <w:b/>
          <w:sz w:val="24"/>
          <w:szCs w:val="24"/>
        </w:rPr>
        <w:t>10 млн. евро от интервенция II.АЕ.3. към интервенция II.А.6.</w:t>
      </w:r>
      <w:r>
        <w:rPr>
          <w:rFonts w:ascii="Times New Roman" w:hAnsi="Times New Roman" w:cs="Times New Roman"/>
          <w:sz w:val="24"/>
          <w:szCs w:val="24"/>
        </w:rPr>
        <w:t xml:space="preserve">, като се очаква тази реалокация да допринесе допълнително за устойчивостта на стопанствата, съответно увеличаване на броя на отглежданите животни от тези породи, което в по-дългосрочен план се очаква да насърчи земеделските стопани да предприемат действия по подобряване на използвания пасищен ресурс. </w:t>
      </w:r>
    </w:p>
    <w:p w:rsidR="008E0E8D" w:rsidRDefault="00952530" w:rsidP="00853DCB">
      <w:pPr>
        <w:overflowPunct w:val="0"/>
        <w:autoSpaceDE w:val="0"/>
        <w:autoSpaceDN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Остатъчният бюджет в интервенция II.АЕ.3. ще бъде достатъчен да обезпечи поетите вече ангажименти от страна на земеделските стопани до края на програмния период, както и да осигури финансово поемането на нови такива от 2025 г. </w:t>
      </w:r>
    </w:p>
    <w:p w:rsidR="009642A2" w:rsidRDefault="009642A2" w:rsidP="00853DCB">
      <w:pPr>
        <w:overflowPunct w:val="0"/>
        <w:autoSpaceDE w:val="0"/>
        <w:autoSpaceDN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Също така, поради естеството на двете интервенции, процентът, запазен съгласно чл. </w:t>
      </w:r>
      <w:r w:rsidRPr="009642A2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642A2">
        <w:rPr>
          <w:rFonts w:ascii="Times New Roman" w:hAnsi="Times New Roman" w:cs="Times New Roman"/>
          <w:sz w:val="24"/>
          <w:szCs w:val="24"/>
        </w:rPr>
        <w:t>Минимален размер на разпределяните финансови средства за интервенции, насочени към специфичните цели свързани с околната среда и климата</w:t>
      </w:r>
      <w:r>
        <w:rPr>
          <w:rFonts w:ascii="Times New Roman" w:hAnsi="Times New Roman" w:cs="Times New Roman"/>
          <w:sz w:val="24"/>
          <w:szCs w:val="24"/>
        </w:rPr>
        <w:t xml:space="preserve">), ал. 1 от </w:t>
      </w:r>
      <w:r w:rsidRPr="009642A2">
        <w:rPr>
          <w:rFonts w:ascii="Times New Roman" w:hAnsi="Times New Roman" w:cs="Times New Roman"/>
          <w:sz w:val="24"/>
          <w:szCs w:val="24"/>
        </w:rPr>
        <w:t>РЕГЛАМЕНТ(ЕС) 2021/2115 НА ЕВ</w:t>
      </w:r>
      <w:r>
        <w:rPr>
          <w:rFonts w:ascii="Times New Roman" w:hAnsi="Times New Roman" w:cs="Times New Roman"/>
          <w:sz w:val="24"/>
          <w:szCs w:val="24"/>
        </w:rPr>
        <w:t xml:space="preserve">РОПЕЙСКИЯ ПАРЛАМЕНТ И НА СЪВЕТА </w:t>
      </w:r>
      <w:r w:rsidRPr="009642A2">
        <w:rPr>
          <w:rFonts w:ascii="Times New Roman" w:hAnsi="Times New Roman" w:cs="Times New Roman"/>
          <w:sz w:val="24"/>
          <w:szCs w:val="24"/>
        </w:rPr>
        <w:t>от 2 декември 2021 година</w:t>
      </w:r>
      <w:r>
        <w:rPr>
          <w:rFonts w:ascii="Times New Roman" w:hAnsi="Times New Roman" w:cs="Times New Roman"/>
          <w:sz w:val="24"/>
          <w:szCs w:val="24"/>
        </w:rPr>
        <w:t xml:space="preserve"> остава непроменен, в размер на 39.25%.</w:t>
      </w:r>
    </w:p>
    <w:p w:rsidR="00952530" w:rsidRDefault="00952530" w:rsidP="00853DCB">
      <w:pPr>
        <w:overflowPunct w:val="0"/>
        <w:autoSpaceDE w:val="0"/>
        <w:autoSpaceDN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Работата на УО по отношение на прецизиране на условията по интервенцията ще продължи, така че да насърчи земеделските стопани да подобряват пасищния потенциал в такива площи.</w:t>
      </w:r>
    </w:p>
    <w:p w:rsidR="008E0E8D" w:rsidRDefault="008E0E8D" w:rsidP="008E0E8D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2A2" w:rsidRPr="008E0E8D" w:rsidRDefault="009642A2" w:rsidP="008E0E8D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0E8D">
        <w:rPr>
          <w:rFonts w:ascii="Times New Roman" w:hAnsi="Times New Roman" w:cs="Times New Roman"/>
          <w:b/>
          <w:sz w:val="20"/>
          <w:szCs w:val="20"/>
        </w:rPr>
        <w:t xml:space="preserve">Таблица 1 - предложение за промяна на разполагаемите средства по интервенции, финансирани от ЕЗФРСР: </w:t>
      </w:r>
    </w:p>
    <w:p w:rsidR="009642A2" w:rsidRDefault="009642A2" w:rsidP="00952530">
      <w:pPr>
        <w:overflowPunct w:val="0"/>
        <w:autoSpaceDE w:val="0"/>
        <w:autoSpaceDN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4540"/>
        <w:gridCol w:w="1760"/>
        <w:gridCol w:w="1840"/>
        <w:gridCol w:w="1641"/>
      </w:tblGrid>
      <w:tr w:rsidR="009642A2" w:rsidRPr="008E0E8D" w:rsidTr="009642A2">
        <w:trPr>
          <w:trHeight w:val="51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ИНТЕРВЕНЦИИ "РАЗВИТИЕ НА СЕЛСКИТЕ РАЙОНИ", финансирани от ЕЗФРСР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Средства от ЕЗФРСР, ЕВРО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Национално финансиране, ЕВРО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Общо публични средства, ЕВРО</w:t>
            </w:r>
          </w:p>
        </w:tc>
      </w:tr>
      <w:tr w:rsidR="009642A2" w:rsidRPr="008E0E8D" w:rsidTr="009642A2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Текущ бюджет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642A2" w:rsidRPr="008E0E8D" w:rsidTr="009642A2">
        <w:trPr>
          <w:trHeight w:val="5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II.АЕ.3. - Възстановяване и поддържане на деградирали пасищни територии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</w:tr>
      <w:tr w:rsidR="009642A2" w:rsidRPr="008E0E8D" w:rsidTr="009642A2">
        <w:trPr>
          <w:trHeight w:val="5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II.А.6. - Опазване на местни породи (автохтонни), важни за селското стопанство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23 400 000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</w:tr>
      <w:tr w:rsidR="009642A2" w:rsidRPr="008E0E8D" w:rsidTr="009642A2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Предложение за прехвърляне на средства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42A2" w:rsidRPr="008E0E8D" w:rsidTr="009642A2">
        <w:trPr>
          <w:trHeight w:val="5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II.АЕ.3. - Възстановяване и поддържане на деградирали пасищни територии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</w:t>
            </w:r>
            <w:r w:rsidR="006559AB"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4 000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</w:t>
            </w:r>
            <w:r w:rsidR="006559AB"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6 000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</w:t>
            </w:r>
            <w:r w:rsidR="006559AB"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10 000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000</w:t>
            </w:r>
            <w:proofErr w:type="spellEnd"/>
          </w:p>
        </w:tc>
      </w:tr>
      <w:tr w:rsidR="009642A2" w:rsidRPr="008E0E8D" w:rsidTr="009642A2">
        <w:trPr>
          <w:trHeight w:val="5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II.А.6. - Опазване на местни породи (автохтонни), важни за селското стопанство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6559AB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+ </w:t>
            </w:r>
            <w:r w:rsidR="009642A2"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4 000 </w:t>
            </w:r>
            <w:proofErr w:type="spellStart"/>
            <w:r w:rsidR="009642A2"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6559AB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+ </w:t>
            </w:r>
            <w:r w:rsidR="009642A2"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6 000 </w:t>
            </w:r>
            <w:proofErr w:type="spellStart"/>
            <w:r w:rsidR="009642A2"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6559AB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+ </w:t>
            </w:r>
            <w:r w:rsidR="009642A2"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10 000 </w:t>
            </w:r>
            <w:proofErr w:type="spellStart"/>
            <w:r w:rsidR="009642A2" w:rsidRPr="008E0E8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000</w:t>
            </w:r>
            <w:proofErr w:type="spellEnd"/>
          </w:p>
        </w:tc>
      </w:tr>
      <w:tr w:rsidR="009642A2" w:rsidRPr="008E0E8D" w:rsidTr="009642A2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след прехвърляне на средства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42A2" w:rsidRPr="008E0E8D" w:rsidTr="009642A2">
        <w:trPr>
          <w:trHeight w:val="5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II.АЕ.3. - Възстановяване и поддържане на деградирали пасищни територии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</w:tr>
      <w:tr w:rsidR="009642A2" w:rsidRPr="008E0E8D" w:rsidTr="009642A2">
        <w:trPr>
          <w:trHeight w:val="5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II.А.6. - Опазване на местни породи (автохтонни), важни за селското стопанство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29 400 000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49 000 </w:t>
            </w:r>
            <w:proofErr w:type="spellStart"/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proofErr w:type="spellEnd"/>
          </w:p>
        </w:tc>
      </w:tr>
      <w:tr w:rsidR="009642A2" w:rsidRPr="008E0E8D" w:rsidTr="009642A2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0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E8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42A2" w:rsidRPr="008E0E8D" w:rsidTr="009642A2">
        <w:trPr>
          <w:trHeight w:val="57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Общо интервенции по стълб II (финансирани от ЕЗФРСР)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1 411 630 220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2 117 445 330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642A2" w:rsidRPr="008E0E8D" w:rsidRDefault="009642A2" w:rsidP="00964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0E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3 529 075 550</w:t>
            </w:r>
          </w:p>
        </w:tc>
      </w:tr>
    </w:tbl>
    <w:p w:rsidR="00952530" w:rsidRDefault="00952530" w:rsidP="00952530">
      <w:pPr>
        <w:overflowPunct w:val="0"/>
        <w:autoSpaceDE w:val="0"/>
        <w:autoSpaceDN w:val="0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952530" w:rsidSect="009642A2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18"/>
    <w:multiLevelType w:val="hybridMultilevel"/>
    <w:tmpl w:val="D5721FD8"/>
    <w:lvl w:ilvl="0" w:tplc="2B84DCD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D196FF4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E2"/>
    <w:rsid w:val="006004E2"/>
    <w:rsid w:val="006559AB"/>
    <w:rsid w:val="00853DCB"/>
    <w:rsid w:val="008E0E8D"/>
    <w:rsid w:val="00952530"/>
    <w:rsid w:val="009642A2"/>
    <w:rsid w:val="00D7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Hristo Todorov</dc:creator>
  <cp:lastModifiedBy>Elena A. Ivanova</cp:lastModifiedBy>
  <cp:revision>2</cp:revision>
  <dcterms:created xsi:type="dcterms:W3CDTF">2024-09-04T13:04:00Z</dcterms:created>
  <dcterms:modified xsi:type="dcterms:W3CDTF">2024-09-04T13:04:00Z</dcterms:modified>
</cp:coreProperties>
</file>