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B8" w:rsidRPr="00870E61" w:rsidRDefault="004674B8" w:rsidP="002F2B61">
      <w:pPr>
        <w:rPr>
          <w:rFonts w:ascii="Verdana" w:hAnsi="Verdana"/>
          <w:b/>
          <w:bCs/>
          <w:caps/>
          <w:sz w:val="20"/>
          <w:szCs w:val="20"/>
          <w:lang w:eastAsia="en-US"/>
        </w:rPr>
      </w:pPr>
    </w:p>
    <w:tbl>
      <w:tblPr>
        <w:tblW w:w="15702" w:type="dxa"/>
        <w:jc w:val="center"/>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702"/>
      </w:tblGrid>
      <w:tr w:rsidR="00C975B4" w:rsidRPr="00870E61" w:rsidTr="00CF020D">
        <w:trPr>
          <w:trHeight w:val="1883"/>
          <w:jc w:val="center"/>
        </w:trPr>
        <w:tc>
          <w:tcPr>
            <w:tcW w:w="15702" w:type="dxa"/>
            <w:shd w:val="clear" w:color="auto" w:fill="BDD6EE"/>
          </w:tcPr>
          <w:p w:rsidR="00C975B4" w:rsidRPr="00870E61" w:rsidRDefault="00CD02E0" w:rsidP="00725FD9">
            <w:pPr>
              <w:tabs>
                <w:tab w:val="left" w:pos="2190"/>
              </w:tabs>
              <w:spacing w:before="120" w:line="360" w:lineRule="auto"/>
              <w:jc w:val="center"/>
              <w:rPr>
                <w:rFonts w:ascii="Verdana" w:hAnsi="Verdana"/>
                <w:b/>
                <w:spacing w:val="50"/>
              </w:rPr>
            </w:pPr>
            <w:r w:rsidRPr="00870E61">
              <w:rPr>
                <w:rFonts w:ascii="Verdana" w:hAnsi="Verdana"/>
                <w:b/>
                <w:spacing w:val="50"/>
              </w:rPr>
              <w:t>СПРАВКА</w:t>
            </w:r>
          </w:p>
          <w:p w:rsidR="00E220AD" w:rsidRPr="00870E61" w:rsidRDefault="001A64F2" w:rsidP="007762CC">
            <w:pPr>
              <w:spacing w:line="360" w:lineRule="auto"/>
              <w:ind w:left="227" w:right="227"/>
              <w:jc w:val="center"/>
              <w:rPr>
                <w:rFonts w:ascii="Verdana" w:hAnsi="Verdana"/>
                <w:b/>
                <w:sz w:val="20"/>
                <w:szCs w:val="20"/>
                <w:lang w:eastAsia="en-US"/>
              </w:rPr>
            </w:pPr>
            <w:r w:rsidRPr="00870E61">
              <w:rPr>
                <w:rFonts w:ascii="Verdana" w:hAnsi="Verdana"/>
                <w:b/>
                <w:sz w:val="20"/>
                <w:szCs w:val="20"/>
              </w:rPr>
              <w:t xml:space="preserve">ЗА ОТРАЗЯВАНЕ НА ПОСТЪПИЛИТЕ ПРЕДЛОЖЕНИЯ И СТАНОВИЩА ОТ ОБЩЕСТВЕНАТА КОНСУЛТАЦИЯ ПО </w:t>
            </w:r>
            <w:r w:rsidR="00F759B7" w:rsidRPr="00870E61">
              <w:rPr>
                <w:rFonts w:ascii="Verdana" w:hAnsi="Verdana"/>
                <w:b/>
                <w:sz w:val="20"/>
                <w:szCs w:val="20"/>
                <w:lang w:eastAsia="en-US"/>
              </w:rPr>
              <w:t>ПРОЕКТА НА ЗАПОВЕД ЗА УТВЪРЖДАВАНЕ НА МЕТОДИКА 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 2027 Г.</w:t>
            </w:r>
          </w:p>
        </w:tc>
      </w:tr>
    </w:tbl>
    <w:p w:rsidR="00230821" w:rsidRPr="00870E61" w:rsidRDefault="00230821">
      <w:pPr>
        <w:rPr>
          <w:rFonts w:ascii="Verdana" w:hAnsi="Verdana"/>
          <w:sz w:val="10"/>
          <w:szCs w:val="10"/>
        </w:rPr>
      </w:pPr>
    </w:p>
    <w:tbl>
      <w:tblPr>
        <w:tblW w:w="15735" w:type="dxa"/>
        <w:tblInd w:w="-318"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568"/>
        <w:gridCol w:w="2552"/>
        <w:gridCol w:w="6237"/>
        <w:gridCol w:w="1559"/>
        <w:gridCol w:w="4819"/>
      </w:tblGrid>
      <w:tr w:rsidR="007762CC" w:rsidRPr="00870E61" w:rsidTr="00B1145F">
        <w:trPr>
          <w:tblHeader/>
        </w:trPr>
        <w:tc>
          <w:tcPr>
            <w:tcW w:w="568" w:type="dxa"/>
            <w:shd w:val="clear" w:color="auto" w:fill="DEEAF6"/>
            <w:vAlign w:val="center"/>
          </w:tcPr>
          <w:p w:rsidR="007762CC" w:rsidRPr="00870E61" w:rsidRDefault="007762CC" w:rsidP="0094721F">
            <w:pPr>
              <w:tabs>
                <w:tab w:val="left" w:pos="192"/>
              </w:tabs>
              <w:jc w:val="center"/>
              <w:rPr>
                <w:rFonts w:ascii="Verdana" w:hAnsi="Verdana"/>
                <w:b/>
                <w:sz w:val="18"/>
                <w:szCs w:val="18"/>
              </w:rPr>
            </w:pPr>
            <w:r w:rsidRPr="00870E61">
              <w:rPr>
                <w:rFonts w:ascii="Verdana" w:hAnsi="Verdana"/>
                <w:b/>
                <w:sz w:val="18"/>
                <w:szCs w:val="18"/>
              </w:rPr>
              <w:t>№</w:t>
            </w:r>
          </w:p>
        </w:tc>
        <w:tc>
          <w:tcPr>
            <w:tcW w:w="2552" w:type="dxa"/>
            <w:shd w:val="clear" w:color="auto" w:fill="DEEAF6"/>
            <w:vAlign w:val="center"/>
          </w:tcPr>
          <w:p w:rsidR="007762CC" w:rsidRPr="00870E61" w:rsidRDefault="007762CC" w:rsidP="0094721F">
            <w:pPr>
              <w:spacing w:before="60"/>
              <w:jc w:val="center"/>
              <w:rPr>
                <w:rFonts w:ascii="Verdana" w:hAnsi="Verdana"/>
                <w:b/>
                <w:sz w:val="18"/>
                <w:szCs w:val="18"/>
              </w:rPr>
            </w:pPr>
            <w:r w:rsidRPr="00870E61">
              <w:rPr>
                <w:rFonts w:ascii="Verdana" w:hAnsi="Verdana"/>
                <w:b/>
                <w:sz w:val="18"/>
                <w:szCs w:val="18"/>
              </w:rPr>
              <w:t>Организация/</w:t>
            </w:r>
            <w:r w:rsidRPr="00870E61">
              <w:rPr>
                <w:rFonts w:ascii="Verdana" w:hAnsi="Verdana"/>
                <w:b/>
                <w:sz w:val="18"/>
                <w:szCs w:val="18"/>
              </w:rPr>
              <w:br/>
              <w:t>потребител</w:t>
            </w:r>
          </w:p>
          <w:p w:rsidR="007762CC" w:rsidRPr="00870E61" w:rsidRDefault="007762CC" w:rsidP="0094721F">
            <w:pPr>
              <w:spacing w:after="40"/>
              <w:jc w:val="center"/>
              <w:rPr>
                <w:rFonts w:ascii="Verdana" w:hAnsi="Verdana"/>
                <w:b/>
                <w:sz w:val="14"/>
                <w:szCs w:val="14"/>
              </w:rPr>
            </w:pPr>
            <w:r w:rsidRPr="00870E61">
              <w:rPr>
                <w:rFonts w:ascii="Verdana" w:hAnsi="Verdana"/>
                <w:b/>
                <w:sz w:val="14"/>
                <w:szCs w:val="14"/>
              </w:rPr>
              <w:t>(вкл. начина на получаване на предложението)</w:t>
            </w:r>
          </w:p>
        </w:tc>
        <w:tc>
          <w:tcPr>
            <w:tcW w:w="6237" w:type="dxa"/>
            <w:tcBorders>
              <w:bottom w:val="single" w:sz="18" w:space="0" w:color="2E74B5"/>
            </w:tcBorders>
            <w:shd w:val="clear" w:color="auto" w:fill="DEEAF6"/>
            <w:vAlign w:val="center"/>
          </w:tcPr>
          <w:p w:rsidR="007762CC" w:rsidRPr="00870E61" w:rsidRDefault="007762CC" w:rsidP="0094721F">
            <w:pPr>
              <w:jc w:val="center"/>
              <w:rPr>
                <w:rFonts w:ascii="Verdana" w:hAnsi="Verdana"/>
                <w:b/>
                <w:sz w:val="18"/>
                <w:szCs w:val="18"/>
              </w:rPr>
            </w:pPr>
            <w:r w:rsidRPr="00870E61">
              <w:rPr>
                <w:rFonts w:ascii="Verdana" w:hAnsi="Verdana"/>
                <w:b/>
                <w:sz w:val="18"/>
                <w:szCs w:val="18"/>
              </w:rPr>
              <w:t>Предложения и становища</w:t>
            </w:r>
          </w:p>
        </w:tc>
        <w:tc>
          <w:tcPr>
            <w:tcW w:w="1559" w:type="dxa"/>
            <w:tcBorders>
              <w:bottom w:val="single" w:sz="18" w:space="0" w:color="2E74B5"/>
            </w:tcBorders>
            <w:shd w:val="clear" w:color="auto" w:fill="DEEAF6"/>
            <w:vAlign w:val="center"/>
          </w:tcPr>
          <w:p w:rsidR="007762CC" w:rsidRPr="00870E61" w:rsidRDefault="007762CC" w:rsidP="0094721F">
            <w:pPr>
              <w:jc w:val="center"/>
              <w:rPr>
                <w:rFonts w:ascii="Verdana" w:hAnsi="Verdana"/>
                <w:b/>
                <w:sz w:val="18"/>
                <w:szCs w:val="18"/>
              </w:rPr>
            </w:pPr>
            <w:r w:rsidRPr="00870E61">
              <w:rPr>
                <w:rFonts w:ascii="Verdana" w:hAnsi="Verdana"/>
                <w:b/>
                <w:sz w:val="18"/>
                <w:szCs w:val="18"/>
              </w:rPr>
              <w:t>Приети/</w:t>
            </w:r>
          </w:p>
          <w:p w:rsidR="007762CC" w:rsidRPr="00870E61" w:rsidRDefault="007762CC" w:rsidP="0094721F">
            <w:pPr>
              <w:jc w:val="center"/>
              <w:rPr>
                <w:rFonts w:ascii="Verdana" w:hAnsi="Verdana"/>
                <w:b/>
                <w:sz w:val="18"/>
                <w:szCs w:val="18"/>
              </w:rPr>
            </w:pPr>
            <w:r w:rsidRPr="00870E61">
              <w:rPr>
                <w:rFonts w:ascii="Verdana" w:hAnsi="Verdana"/>
                <w:b/>
                <w:sz w:val="18"/>
                <w:szCs w:val="18"/>
              </w:rPr>
              <w:t>неприети</w:t>
            </w:r>
          </w:p>
        </w:tc>
        <w:tc>
          <w:tcPr>
            <w:tcW w:w="4819" w:type="dxa"/>
            <w:tcBorders>
              <w:bottom w:val="single" w:sz="18" w:space="0" w:color="2E74B5"/>
            </w:tcBorders>
            <w:shd w:val="clear" w:color="auto" w:fill="DEEAF6"/>
            <w:vAlign w:val="center"/>
          </w:tcPr>
          <w:p w:rsidR="007762CC" w:rsidRPr="00870E61" w:rsidRDefault="007762CC" w:rsidP="0094721F">
            <w:pPr>
              <w:jc w:val="center"/>
              <w:rPr>
                <w:rFonts w:ascii="Verdana" w:hAnsi="Verdana"/>
                <w:sz w:val="18"/>
                <w:szCs w:val="18"/>
              </w:rPr>
            </w:pPr>
            <w:r w:rsidRPr="00870E61">
              <w:rPr>
                <w:rFonts w:ascii="Verdana" w:hAnsi="Verdana"/>
                <w:b/>
                <w:sz w:val="18"/>
                <w:szCs w:val="18"/>
              </w:rPr>
              <w:t>Мотиви</w:t>
            </w:r>
          </w:p>
        </w:tc>
      </w:tr>
      <w:tr w:rsidR="006A19E9" w:rsidRPr="00870E61" w:rsidTr="00B1145F">
        <w:trPr>
          <w:trHeight w:val="200"/>
        </w:trPr>
        <w:tc>
          <w:tcPr>
            <w:tcW w:w="568" w:type="dxa"/>
            <w:shd w:val="clear" w:color="auto" w:fill="auto"/>
          </w:tcPr>
          <w:p w:rsidR="006A19E9" w:rsidRPr="00870E61" w:rsidRDefault="006A19E9" w:rsidP="00B1145F">
            <w:pPr>
              <w:pStyle w:val="ListParagraph"/>
              <w:numPr>
                <w:ilvl w:val="0"/>
                <w:numId w:val="1"/>
              </w:numPr>
              <w:tabs>
                <w:tab w:val="left" w:pos="192"/>
              </w:tabs>
              <w:spacing w:before="80" w:after="40"/>
              <w:ind w:left="0"/>
              <w:jc w:val="right"/>
              <w:rPr>
                <w:rFonts w:ascii="Verdana" w:hAnsi="Verdana"/>
                <w:b/>
                <w:sz w:val="18"/>
                <w:szCs w:val="18"/>
              </w:rPr>
            </w:pPr>
          </w:p>
        </w:tc>
        <w:tc>
          <w:tcPr>
            <w:tcW w:w="2552" w:type="dxa"/>
            <w:shd w:val="clear" w:color="auto" w:fill="auto"/>
          </w:tcPr>
          <w:p w:rsidR="006A19E9" w:rsidRPr="00870E61" w:rsidRDefault="006A19E9" w:rsidP="006A19E9">
            <w:pPr>
              <w:spacing w:before="80" w:after="40"/>
              <w:rPr>
                <w:rFonts w:ascii="Verdana" w:hAnsi="Verdana"/>
                <w:b/>
                <w:sz w:val="18"/>
                <w:szCs w:val="18"/>
              </w:rPr>
            </w:pPr>
            <w:proofErr w:type="spellStart"/>
            <w:r w:rsidRPr="00870E61">
              <w:rPr>
                <w:rFonts w:ascii="Verdana" w:hAnsi="Verdana"/>
                <w:b/>
                <w:sz w:val="18"/>
                <w:szCs w:val="18"/>
              </w:rPr>
              <w:t>Aziti</w:t>
            </w:r>
            <w:proofErr w:type="spellEnd"/>
          </w:p>
          <w:p w:rsidR="006A19E9" w:rsidRPr="00870E61" w:rsidRDefault="006A19E9" w:rsidP="006A19E9">
            <w:pPr>
              <w:spacing w:before="80" w:after="40"/>
              <w:rPr>
                <w:rFonts w:ascii="Verdana" w:hAnsi="Verdana"/>
                <w:b/>
                <w:sz w:val="18"/>
                <w:szCs w:val="18"/>
              </w:rPr>
            </w:pPr>
            <w:r w:rsidRPr="00870E61">
              <w:rPr>
                <w:rFonts w:ascii="Verdana" w:hAnsi="Verdana"/>
                <w:sz w:val="18"/>
                <w:szCs w:val="18"/>
              </w:rPr>
              <w:t xml:space="preserve">– Портал за обществени консултации на </w:t>
            </w:r>
            <w:r w:rsidRPr="00870E61">
              <w:rPr>
                <w:rFonts w:ascii="Verdana" w:hAnsi="Verdana"/>
                <w:sz w:val="18"/>
                <w:szCs w:val="18"/>
              </w:rPr>
              <w:br/>
              <w:t>23 август 2024 г</w:t>
            </w:r>
          </w:p>
        </w:tc>
        <w:tc>
          <w:tcPr>
            <w:tcW w:w="6237" w:type="dxa"/>
            <w:tcBorders>
              <w:bottom w:val="nil"/>
            </w:tcBorders>
            <w:shd w:val="clear" w:color="auto" w:fill="auto"/>
          </w:tcPr>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 xml:space="preserve">A какво става при </w:t>
            </w:r>
            <w:r w:rsidR="00AD4E9B" w:rsidRPr="00870E61">
              <w:rPr>
                <w:rFonts w:ascii="Verdana" w:hAnsi="Verdana"/>
                <w:sz w:val="18"/>
                <w:szCs w:val="18"/>
              </w:rPr>
              <w:t>„</w:t>
            </w:r>
            <w:r w:rsidRPr="00870E61">
              <w:rPr>
                <w:rFonts w:ascii="Verdana" w:hAnsi="Verdana"/>
                <w:sz w:val="18"/>
                <w:szCs w:val="18"/>
              </w:rPr>
              <w:t>наличие на умисъл при</w:t>
            </w:r>
            <w:r w:rsidR="00AD4E9B" w:rsidRPr="00870E61">
              <w:rPr>
                <w:rFonts w:ascii="Verdana" w:hAnsi="Verdana"/>
                <w:sz w:val="18"/>
                <w:szCs w:val="18"/>
              </w:rPr>
              <w:t>“</w:t>
            </w:r>
            <w:r w:rsidRPr="00870E61">
              <w:rPr>
                <w:rFonts w:ascii="Verdana" w:hAnsi="Verdana"/>
                <w:sz w:val="18"/>
                <w:szCs w:val="18"/>
              </w:rPr>
              <w:t xml:space="preserve"> неустановено </w:t>
            </w:r>
            <w:r w:rsidR="00AD4E9B" w:rsidRPr="00870E61">
              <w:rPr>
                <w:rFonts w:ascii="Verdana" w:hAnsi="Verdana"/>
                <w:sz w:val="18"/>
                <w:szCs w:val="18"/>
              </w:rPr>
              <w:t>„</w:t>
            </w:r>
            <w:r w:rsidRPr="00870E61">
              <w:rPr>
                <w:rFonts w:ascii="Verdana" w:hAnsi="Verdana"/>
                <w:sz w:val="18"/>
                <w:szCs w:val="18"/>
              </w:rPr>
              <w:t>неспазване</w:t>
            </w:r>
            <w:r w:rsidR="00AD4E9B" w:rsidRPr="00870E61">
              <w:rPr>
                <w:rFonts w:ascii="Verdana" w:hAnsi="Verdana"/>
                <w:sz w:val="18"/>
                <w:szCs w:val="18"/>
              </w:rPr>
              <w:t>“</w:t>
            </w:r>
            <w:r w:rsidRPr="00870E61">
              <w:rPr>
                <w:rFonts w:ascii="Verdana" w:hAnsi="Verdana"/>
                <w:sz w:val="18"/>
                <w:szCs w:val="18"/>
              </w:rPr>
              <w:t>...</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Знаете ли какво е келеме?!</w:t>
            </w:r>
          </w:p>
          <w:p w:rsidR="006A19E9" w:rsidRPr="00870E61" w:rsidRDefault="00AD4E9B" w:rsidP="006A19E9">
            <w:pPr>
              <w:spacing w:before="80" w:after="40"/>
              <w:jc w:val="both"/>
              <w:rPr>
                <w:rFonts w:ascii="Verdana" w:hAnsi="Verdana"/>
                <w:sz w:val="18"/>
                <w:szCs w:val="18"/>
              </w:rPr>
            </w:pPr>
            <w:r w:rsidRPr="00870E61">
              <w:rPr>
                <w:rFonts w:ascii="Verdana" w:hAnsi="Verdana"/>
                <w:sz w:val="18"/>
                <w:szCs w:val="18"/>
              </w:rPr>
              <w:t>„</w:t>
            </w:r>
            <w:r w:rsidR="006A19E9" w:rsidRPr="00870E61">
              <w:rPr>
                <w:rFonts w:ascii="Verdana" w:hAnsi="Verdana"/>
                <w:sz w:val="18"/>
                <w:szCs w:val="18"/>
              </w:rPr>
              <w:t>Основните значения на думата на турски са: неразорана /</w:t>
            </w:r>
            <w:proofErr w:type="spellStart"/>
            <w:r w:rsidR="006A19E9" w:rsidRPr="00870E61">
              <w:rPr>
                <w:rFonts w:ascii="Verdana" w:hAnsi="Verdana"/>
                <w:sz w:val="18"/>
                <w:szCs w:val="18"/>
              </w:rPr>
              <w:t>неорана</w:t>
            </w:r>
            <w:proofErr w:type="spellEnd"/>
            <w:r w:rsidR="006A19E9" w:rsidRPr="00870E61">
              <w:rPr>
                <w:rFonts w:ascii="Verdana" w:hAnsi="Verdana"/>
                <w:sz w:val="18"/>
                <w:szCs w:val="18"/>
              </w:rPr>
              <w:t>/ нива, занемарено лозе или градина, необработваема полска площ. В говоримия гръцки се използва със значение на нива оставена неразорана с цел „да си почине“, т. е. да се възстанови."</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В преносен смисъл</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келеш</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човек, на когото не може да се има доверие, измамник, недостоен човек</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 xml:space="preserve">досадно дете тип </w:t>
            </w:r>
            <w:r w:rsidR="00AD4E9B" w:rsidRPr="00870E61">
              <w:rPr>
                <w:rFonts w:ascii="Verdana" w:hAnsi="Verdana"/>
                <w:sz w:val="18"/>
                <w:szCs w:val="18"/>
              </w:rPr>
              <w:t>„</w:t>
            </w:r>
            <w:proofErr w:type="spellStart"/>
            <w:r w:rsidRPr="00870E61">
              <w:rPr>
                <w:rFonts w:ascii="Verdana" w:hAnsi="Verdana"/>
                <w:sz w:val="18"/>
                <w:szCs w:val="18"/>
              </w:rPr>
              <w:t>чаве</w:t>
            </w:r>
            <w:proofErr w:type="spellEnd"/>
            <w:r w:rsidR="00AD4E9B" w:rsidRPr="00870E61">
              <w:rPr>
                <w:rFonts w:ascii="Verdana" w:hAnsi="Verdana"/>
                <w:sz w:val="18"/>
                <w:szCs w:val="18"/>
              </w:rPr>
              <w:t>“</w:t>
            </w:r>
            <w:r w:rsidRPr="00870E61">
              <w:rPr>
                <w:rFonts w:ascii="Verdana" w:hAnsi="Verdana"/>
                <w:sz w:val="18"/>
                <w:szCs w:val="18"/>
              </w:rPr>
              <w:t>, практикуващо просия</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юноша с лоши обноски и липсващи първи 7 години.</w:t>
            </w:r>
          </w:p>
          <w:p w:rsidR="006A19E9" w:rsidRPr="00870E61" w:rsidRDefault="006A19E9" w:rsidP="006A19E9">
            <w:pPr>
              <w:spacing w:before="80" w:after="40"/>
              <w:jc w:val="both"/>
              <w:rPr>
                <w:rFonts w:ascii="Verdana" w:hAnsi="Verdana"/>
                <w:sz w:val="18"/>
                <w:szCs w:val="18"/>
              </w:rPr>
            </w:pPr>
            <w:r w:rsidRPr="00870E61">
              <w:rPr>
                <w:rFonts w:ascii="Verdana" w:hAnsi="Verdana"/>
                <w:sz w:val="18"/>
                <w:szCs w:val="18"/>
              </w:rPr>
              <w:t>глупак или несръчен човек</w:t>
            </w:r>
          </w:p>
        </w:tc>
        <w:tc>
          <w:tcPr>
            <w:tcW w:w="1559" w:type="dxa"/>
            <w:tcBorders>
              <w:bottom w:val="nil"/>
            </w:tcBorders>
            <w:shd w:val="clear" w:color="auto" w:fill="auto"/>
          </w:tcPr>
          <w:p w:rsidR="006A19E9" w:rsidRPr="00870E61" w:rsidRDefault="00AA4B35" w:rsidP="00AA4B35">
            <w:pPr>
              <w:spacing w:before="80" w:after="40"/>
              <w:rPr>
                <w:rFonts w:ascii="Verdana" w:hAnsi="Verdana"/>
                <w:color w:val="FF0000"/>
                <w:sz w:val="18"/>
                <w:szCs w:val="18"/>
              </w:rPr>
            </w:pPr>
            <w:r w:rsidRPr="00AA4B35">
              <w:rPr>
                <w:rFonts w:ascii="Verdana" w:hAnsi="Verdana"/>
                <w:sz w:val="18"/>
                <w:szCs w:val="18"/>
              </w:rPr>
              <w:t>Не се приема</w:t>
            </w:r>
          </w:p>
        </w:tc>
        <w:tc>
          <w:tcPr>
            <w:tcW w:w="4819" w:type="dxa"/>
            <w:tcBorders>
              <w:bottom w:val="nil"/>
            </w:tcBorders>
            <w:shd w:val="clear" w:color="auto" w:fill="auto"/>
          </w:tcPr>
          <w:p w:rsidR="006A19E9" w:rsidRPr="00870E61" w:rsidRDefault="00AA4B35" w:rsidP="00350965">
            <w:pPr>
              <w:spacing w:before="80" w:after="40"/>
              <w:jc w:val="both"/>
              <w:rPr>
                <w:rFonts w:ascii="Verdana" w:hAnsi="Verdana"/>
                <w:sz w:val="18"/>
                <w:szCs w:val="18"/>
              </w:rPr>
            </w:pPr>
            <w:r w:rsidRPr="00AA4B35">
              <w:rPr>
                <w:rFonts w:ascii="Verdana" w:hAnsi="Verdana"/>
                <w:sz w:val="18"/>
                <w:szCs w:val="18"/>
              </w:rPr>
              <w:t>Няма отношение към публикувания пакет документи</w:t>
            </w:r>
          </w:p>
        </w:tc>
      </w:tr>
      <w:tr w:rsidR="0094721F" w:rsidRPr="0094721F" w:rsidTr="00B1145F">
        <w:trPr>
          <w:trHeight w:val="200"/>
        </w:trPr>
        <w:tc>
          <w:tcPr>
            <w:tcW w:w="568" w:type="dxa"/>
            <w:shd w:val="clear" w:color="auto" w:fill="auto"/>
          </w:tcPr>
          <w:p w:rsidR="00AA4B35" w:rsidRPr="00870E61" w:rsidRDefault="00AA4B35" w:rsidP="00AA4B35">
            <w:pPr>
              <w:pStyle w:val="ListParagraph"/>
              <w:numPr>
                <w:ilvl w:val="0"/>
                <w:numId w:val="1"/>
              </w:numPr>
              <w:tabs>
                <w:tab w:val="left" w:pos="192"/>
              </w:tabs>
              <w:spacing w:before="80" w:after="40"/>
              <w:ind w:left="0"/>
              <w:jc w:val="right"/>
              <w:rPr>
                <w:rFonts w:ascii="Verdana" w:hAnsi="Verdana"/>
                <w:b/>
                <w:sz w:val="18"/>
                <w:szCs w:val="18"/>
              </w:rPr>
            </w:pPr>
          </w:p>
        </w:tc>
        <w:tc>
          <w:tcPr>
            <w:tcW w:w="2552" w:type="dxa"/>
            <w:shd w:val="clear" w:color="auto" w:fill="auto"/>
          </w:tcPr>
          <w:p w:rsidR="00AA4B35" w:rsidRPr="00870E61" w:rsidRDefault="00AA4B35" w:rsidP="00AA4B35">
            <w:pPr>
              <w:rPr>
                <w:rFonts w:ascii="Verdana" w:hAnsi="Verdana"/>
                <w:b/>
                <w:sz w:val="18"/>
                <w:szCs w:val="18"/>
              </w:rPr>
            </w:pPr>
            <w:r w:rsidRPr="00870E61">
              <w:rPr>
                <w:rFonts w:ascii="Verdana" w:hAnsi="Verdana"/>
                <w:b/>
                <w:sz w:val="18"/>
                <w:szCs w:val="18"/>
              </w:rPr>
              <w:t>Ivanov_</w:t>
            </w:r>
          </w:p>
          <w:p w:rsidR="00AA4B35" w:rsidRPr="00870E61" w:rsidRDefault="00AA4B35" w:rsidP="00AA4B35">
            <w:pPr>
              <w:rPr>
                <w:rFonts w:ascii="Verdana" w:hAnsi="Verdana"/>
                <w:b/>
                <w:sz w:val="18"/>
                <w:szCs w:val="18"/>
              </w:rPr>
            </w:pPr>
            <w:r w:rsidRPr="00870E61">
              <w:rPr>
                <w:rFonts w:ascii="Verdana" w:hAnsi="Verdana"/>
                <w:sz w:val="18"/>
                <w:szCs w:val="18"/>
              </w:rPr>
              <w:t xml:space="preserve">– Портал за обществени консултации на </w:t>
            </w:r>
            <w:r w:rsidRPr="00870E61">
              <w:rPr>
                <w:rFonts w:ascii="Verdana" w:hAnsi="Verdana"/>
                <w:sz w:val="18"/>
                <w:szCs w:val="18"/>
              </w:rPr>
              <w:br/>
              <w:t>23 август 2024 г</w:t>
            </w:r>
          </w:p>
        </w:tc>
        <w:tc>
          <w:tcPr>
            <w:tcW w:w="6237" w:type="dxa"/>
            <w:tcBorders>
              <w:bottom w:val="nil"/>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Чл. 85, параграф 6 въвежда определения за повторяемост и умишлено неспазване.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 xml:space="preserve">6. Когато едно и също неспазване продължава или се повтори веднъж в рамките на три последователни календарни години, процентното намаление като общо правило е 10 % от общата сума на плащанията, посочени в параграф 1. Следващи случаи на същото неспазване без основателна причина от страна на </w:t>
            </w:r>
            <w:proofErr w:type="spellStart"/>
            <w:r w:rsidRPr="00870E61">
              <w:rPr>
                <w:rFonts w:ascii="Verdana" w:hAnsi="Verdana"/>
                <w:sz w:val="18"/>
                <w:szCs w:val="18"/>
              </w:rPr>
              <w:t>бенефициера</w:t>
            </w:r>
            <w:proofErr w:type="spellEnd"/>
            <w:r w:rsidRPr="00870E61">
              <w:rPr>
                <w:rFonts w:ascii="Verdana" w:hAnsi="Verdana"/>
                <w:sz w:val="18"/>
                <w:szCs w:val="18"/>
              </w:rPr>
              <w:t xml:space="preserve"> се считат за случаи на умишлено неспазване.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Докато в чл. 5 на методиката е определено следното:</w:t>
            </w:r>
          </w:p>
          <w:p w:rsidR="00AA4B35" w:rsidRDefault="00AA4B35" w:rsidP="00AA4B35">
            <w:pPr>
              <w:spacing w:before="80" w:after="40"/>
              <w:jc w:val="both"/>
              <w:rPr>
                <w:rFonts w:ascii="Verdana" w:hAnsi="Verdana"/>
                <w:sz w:val="18"/>
                <w:szCs w:val="18"/>
              </w:rPr>
            </w:pPr>
            <w:r w:rsidRPr="00870E61">
              <w:rPr>
                <w:rFonts w:ascii="Verdana" w:hAnsi="Verdana"/>
                <w:sz w:val="18"/>
                <w:szCs w:val="18"/>
              </w:rPr>
              <w:lastRenderedPageBreak/>
              <w:t xml:space="preserve">в. т. 6. „повторяемост на неспазването“ означава неизпълнение на едно и също изискване или стандарт повече от веднъж в рамките на последователен период от три календарни години, при условие че </w:t>
            </w:r>
            <w:proofErr w:type="spellStart"/>
            <w:r w:rsidRPr="00870E61">
              <w:rPr>
                <w:rFonts w:ascii="Verdana" w:hAnsi="Verdana"/>
                <w:sz w:val="18"/>
                <w:szCs w:val="18"/>
              </w:rPr>
              <w:t>бенефициерът</w:t>
            </w:r>
            <w:proofErr w:type="spellEnd"/>
            <w:r w:rsidRPr="00870E61">
              <w:rPr>
                <w:rFonts w:ascii="Verdana" w:hAnsi="Verdana"/>
                <w:sz w:val="18"/>
                <w:szCs w:val="18"/>
              </w:rPr>
              <w:t xml:space="preserve"> е бил уведомен за предишна нередност и, когато е приложимо, е имал възможността да вземе необходимите мерки за коригиране на тази предишна нередност;</w:t>
            </w:r>
          </w:p>
          <w:p w:rsidR="00AA4B35" w:rsidRDefault="00AA4B35" w:rsidP="00AA4B35">
            <w:pPr>
              <w:spacing w:before="80" w:after="40"/>
              <w:jc w:val="both"/>
              <w:rPr>
                <w:rFonts w:ascii="Verdana" w:hAnsi="Verdana"/>
                <w:sz w:val="18"/>
                <w:szCs w:val="18"/>
              </w:rPr>
            </w:pPr>
          </w:p>
          <w:p w:rsidR="00AA4B35" w:rsidRDefault="00AA4B35" w:rsidP="00AA4B35">
            <w:pPr>
              <w:spacing w:before="80" w:after="40"/>
              <w:jc w:val="both"/>
              <w:rPr>
                <w:rFonts w:ascii="Verdana" w:hAnsi="Verdana"/>
                <w:sz w:val="18"/>
                <w:szCs w:val="18"/>
              </w:rPr>
            </w:pPr>
          </w:p>
          <w:p w:rsidR="00AA4B35" w:rsidRPr="00870E61" w:rsidRDefault="00AA4B35" w:rsidP="00AA4B35">
            <w:pPr>
              <w:spacing w:before="80" w:after="40"/>
              <w:jc w:val="both"/>
              <w:rPr>
                <w:rFonts w:ascii="Verdana" w:hAnsi="Verdana"/>
                <w:sz w:val="18"/>
                <w:szCs w:val="18"/>
              </w:rPr>
            </w:pP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в. т. 13. „умисъл“ е налице, когато лицето осъзнава, че могат да настъпят противоправни последици и допуска тяхното настъпване; земеделският стопанин съзнателно е искал, или допускал неспазване на стандартите за ДЗЕС и/или на  законоустановените изисквания, с което съзнава, че  създава условия за увреждане на общественото здраве, на здравето на растенията, на хуманното отношение към животните, на околната среда, или ги е увредил (т.е. съзнателно допуска или причинява замърсяване на водни обекти, на почвата, на въздуха, увреждане или/и унищожаване на екосистеми, на биоразнообразието или на местообитанията и др.).</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 xml:space="preserve">В така предложената методика се изкривява и затруднява прилагането на правото на ЕС, чрез </w:t>
            </w:r>
            <w:proofErr w:type="spellStart"/>
            <w:r w:rsidRPr="00870E61">
              <w:rPr>
                <w:rFonts w:ascii="Verdana" w:hAnsi="Verdana"/>
                <w:sz w:val="18"/>
                <w:szCs w:val="18"/>
              </w:rPr>
              <w:t>опосредяването</w:t>
            </w:r>
            <w:proofErr w:type="spellEnd"/>
            <w:r w:rsidRPr="00870E61">
              <w:rPr>
                <w:rFonts w:ascii="Verdana" w:hAnsi="Verdana"/>
                <w:sz w:val="18"/>
                <w:szCs w:val="18"/>
              </w:rPr>
              <w:t xml:space="preserve"> му в административен акт.</w:t>
            </w:r>
          </w:p>
        </w:tc>
        <w:tc>
          <w:tcPr>
            <w:tcW w:w="1559" w:type="dxa"/>
            <w:tcBorders>
              <w:bottom w:val="nil"/>
            </w:tcBorders>
            <w:shd w:val="clear" w:color="auto" w:fill="auto"/>
          </w:tcPr>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sz w:val="18"/>
                <w:szCs w:val="18"/>
                <w:lang w:val="ru-RU"/>
              </w:rPr>
            </w:pPr>
            <w:r w:rsidRPr="00C635D7">
              <w:rPr>
                <w:rFonts w:ascii="Verdana" w:hAnsi="Verdana"/>
                <w:sz w:val="18"/>
                <w:szCs w:val="18"/>
                <w:lang w:val="ru-RU"/>
              </w:rPr>
              <w:t>Приема се</w:t>
            </w: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Default="00AA4B35" w:rsidP="00AA4B35">
            <w:pPr>
              <w:spacing w:before="80" w:after="40"/>
              <w:rPr>
                <w:rFonts w:ascii="Verdana" w:hAnsi="Verdana"/>
                <w:sz w:val="18"/>
                <w:szCs w:val="18"/>
                <w:lang w:val="ru-RU"/>
              </w:rPr>
            </w:pPr>
          </w:p>
          <w:p w:rsidR="00AA4B35" w:rsidRPr="00EF6F0A" w:rsidRDefault="00AA4B35" w:rsidP="00AA4B35">
            <w:pPr>
              <w:spacing w:before="80" w:after="40"/>
              <w:rPr>
                <w:rFonts w:ascii="Verdana" w:hAnsi="Verdana"/>
                <w:color w:val="FF0000"/>
                <w:sz w:val="18"/>
                <w:szCs w:val="18"/>
                <w:lang w:val="ru-RU"/>
              </w:rPr>
            </w:pPr>
            <w:r w:rsidRPr="00C635D7">
              <w:rPr>
                <w:rFonts w:ascii="Verdana" w:hAnsi="Verdana"/>
                <w:sz w:val="18"/>
                <w:szCs w:val="18"/>
                <w:lang w:val="ru-RU"/>
              </w:rPr>
              <w:t>Приема се</w:t>
            </w:r>
          </w:p>
        </w:tc>
        <w:tc>
          <w:tcPr>
            <w:tcW w:w="4819" w:type="dxa"/>
            <w:tcBorders>
              <w:bottom w:val="nil"/>
            </w:tcBorders>
            <w:shd w:val="clear" w:color="auto" w:fill="auto"/>
          </w:tcPr>
          <w:p w:rsidR="00AA4B35" w:rsidRPr="00651813" w:rsidRDefault="00AA4B35" w:rsidP="00350965">
            <w:pPr>
              <w:spacing w:before="80" w:after="40"/>
              <w:jc w:val="both"/>
            </w:pPr>
          </w:p>
          <w:p w:rsidR="00AA4B35" w:rsidRPr="00651813" w:rsidRDefault="00AA4B35" w:rsidP="00350965">
            <w:pPr>
              <w:spacing w:before="80" w:after="40"/>
              <w:jc w:val="both"/>
            </w:pPr>
          </w:p>
          <w:p w:rsidR="00AA4B35" w:rsidRPr="00651813" w:rsidRDefault="00AA4B35" w:rsidP="00350965">
            <w:pPr>
              <w:spacing w:before="80" w:after="40"/>
              <w:jc w:val="both"/>
            </w:pPr>
          </w:p>
          <w:p w:rsidR="00AA4B35" w:rsidRPr="00651813" w:rsidRDefault="00AA4B35" w:rsidP="00350965">
            <w:pPr>
              <w:spacing w:before="80" w:after="40"/>
              <w:jc w:val="both"/>
            </w:pPr>
          </w:p>
          <w:p w:rsidR="00AA4B35" w:rsidRPr="00651813" w:rsidRDefault="00AA4B35" w:rsidP="00350965">
            <w:pPr>
              <w:spacing w:before="80" w:after="40"/>
              <w:jc w:val="both"/>
            </w:pPr>
          </w:p>
          <w:p w:rsidR="00AA4B35" w:rsidRPr="00651813" w:rsidRDefault="00AA4B35" w:rsidP="00350965">
            <w:pPr>
              <w:spacing w:before="80" w:after="40"/>
              <w:jc w:val="both"/>
            </w:pPr>
          </w:p>
          <w:p w:rsidR="00AA4B35" w:rsidRPr="00651813" w:rsidRDefault="00AA4B35" w:rsidP="00350965">
            <w:pPr>
              <w:spacing w:before="80" w:after="40"/>
              <w:jc w:val="both"/>
              <w:rPr>
                <w:rFonts w:ascii="Verdana" w:hAnsi="Verdana"/>
                <w:sz w:val="18"/>
                <w:szCs w:val="18"/>
              </w:rPr>
            </w:pPr>
            <w:r w:rsidRPr="00651813">
              <w:rPr>
                <w:rFonts w:ascii="Verdana" w:hAnsi="Verdana"/>
                <w:sz w:val="18"/>
                <w:szCs w:val="18"/>
              </w:rPr>
              <w:lastRenderedPageBreak/>
              <w:t xml:space="preserve">Определението е коригирано съобразно чл. 83, </w:t>
            </w:r>
            <w:proofErr w:type="spellStart"/>
            <w:r w:rsidRPr="00651813">
              <w:rPr>
                <w:rFonts w:ascii="Verdana" w:hAnsi="Verdana"/>
                <w:sz w:val="18"/>
                <w:szCs w:val="18"/>
              </w:rPr>
              <w:t>пар</w:t>
            </w:r>
            <w:proofErr w:type="spellEnd"/>
            <w:r w:rsidRPr="00651813">
              <w:rPr>
                <w:rFonts w:ascii="Verdana" w:hAnsi="Verdana"/>
                <w:sz w:val="18"/>
                <w:szCs w:val="18"/>
              </w:rPr>
              <w:t xml:space="preserve">. 5 буква „в“ на Регламент </w:t>
            </w:r>
            <w:r w:rsidRPr="00651813">
              <w:rPr>
                <w:rFonts w:ascii="Verdana" w:hAnsi="Verdana"/>
                <w:sz w:val="18"/>
                <w:szCs w:val="18"/>
                <w:lang w:val="en-US"/>
              </w:rPr>
              <w:t>(</w:t>
            </w:r>
            <w:r w:rsidRPr="00651813">
              <w:rPr>
                <w:rFonts w:ascii="Verdana" w:hAnsi="Verdana"/>
                <w:sz w:val="18"/>
                <w:szCs w:val="18"/>
              </w:rPr>
              <w:t>ЕС</w:t>
            </w:r>
            <w:r w:rsidRPr="00651813">
              <w:rPr>
                <w:rFonts w:ascii="Verdana" w:hAnsi="Verdana"/>
                <w:sz w:val="18"/>
                <w:szCs w:val="18"/>
                <w:lang w:val="en-US"/>
              </w:rPr>
              <w:t>)</w:t>
            </w:r>
            <w:r w:rsidRPr="00651813">
              <w:rPr>
                <w:rFonts w:ascii="Verdana" w:hAnsi="Verdana"/>
                <w:sz w:val="18"/>
                <w:szCs w:val="18"/>
              </w:rPr>
              <w:t xml:space="preserve"> 2021/2116 :„повторяемост на неспазването“ означава неспазване на едно и също изискване или стандарт повече от веднъж в рамките на последователен период от три календарни години, при условие че </w:t>
            </w:r>
            <w:proofErr w:type="spellStart"/>
            <w:r w:rsidRPr="00651813">
              <w:rPr>
                <w:rFonts w:ascii="Verdana" w:hAnsi="Verdana"/>
                <w:sz w:val="18"/>
                <w:szCs w:val="18"/>
              </w:rPr>
              <w:t>бенефициерът</w:t>
            </w:r>
            <w:proofErr w:type="spellEnd"/>
            <w:r w:rsidRPr="00651813">
              <w:rPr>
                <w:rFonts w:ascii="Verdana" w:hAnsi="Verdana"/>
                <w:sz w:val="18"/>
                <w:szCs w:val="18"/>
              </w:rPr>
              <w:t xml:space="preserve"> е бил уведомен за предишно неспазване и, когато е приложимо, е имал възможността да вземе необходимите мерки за коригиране на това предишно неспазване.“</w:t>
            </w:r>
          </w:p>
          <w:p w:rsidR="00AA4B35" w:rsidRPr="00651813" w:rsidRDefault="00AA4B35" w:rsidP="00350965">
            <w:pPr>
              <w:spacing w:before="80" w:after="40"/>
              <w:jc w:val="both"/>
              <w:rPr>
                <w:rFonts w:ascii="Verdana" w:hAnsi="Verdana"/>
                <w:sz w:val="18"/>
                <w:szCs w:val="18"/>
              </w:rPr>
            </w:pPr>
          </w:p>
          <w:p w:rsidR="00AA4B35" w:rsidRPr="00651813" w:rsidRDefault="00AA4B35" w:rsidP="00350965">
            <w:pPr>
              <w:spacing w:before="80" w:after="40"/>
              <w:jc w:val="both"/>
              <w:rPr>
                <w:rFonts w:ascii="Verdana" w:hAnsi="Verdana"/>
                <w:sz w:val="18"/>
                <w:szCs w:val="18"/>
              </w:rPr>
            </w:pPr>
            <w:r w:rsidRPr="00651813">
              <w:rPr>
                <w:rFonts w:ascii="Verdana" w:hAnsi="Verdana"/>
                <w:sz w:val="18"/>
                <w:szCs w:val="18"/>
              </w:rPr>
              <w:t xml:space="preserve">Преформулирано така: „умисъл“ за целите на тази Методика е налице, когато земеделски стопанин съзнателно допуска и предвижда сигурно, или вероятно настъпване на противоправни последици от неспазване на изисквания и/или стандарти за ДЗЕС и съзнава, че създава условия, или предизвиква увреждане на общественото здраве, на здравето на растенията, на хуманното отношение към животните, на околната среда, или ги е увредил (т.е. съзнателно допуска или иска да причини замърсяване на водни обекти, на почвата, на въздуха, уврежда или/и унищожава с действията си екосистеми, биоразнообразие, местообитания и др.), с което подлежи на санкциониране за деянията си по чл. 85, </w:t>
            </w:r>
            <w:proofErr w:type="spellStart"/>
            <w:r w:rsidRPr="00651813">
              <w:rPr>
                <w:rFonts w:ascii="Verdana" w:hAnsi="Verdana"/>
                <w:sz w:val="18"/>
                <w:szCs w:val="18"/>
              </w:rPr>
              <w:t>пар</w:t>
            </w:r>
            <w:proofErr w:type="spellEnd"/>
            <w:r w:rsidRPr="00651813">
              <w:rPr>
                <w:rFonts w:ascii="Verdana" w:hAnsi="Verdana"/>
                <w:sz w:val="18"/>
                <w:szCs w:val="18"/>
              </w:rPr>
              <w:t>. 5 и 6 във връзка с чл. 84 от Регламент (ЕС) 2021/2116“</w:t>
            </w:r>
          </w:p>
          <w:p w:rsidR="00AA4B35" w:rsidRPr="00651813" w:rsidRDefault="00AA4B35" w:rsidP="00350965">
            <w:pPr>
              <w:spacing w:before="80" w:after="40"/>
              <w:jc w:val="both"/>
              <w:rPr>
                <w:rFonts w:ascii="Verdana" w:hAnsi="Verdana"/>
                <w:sz w:val="18"/>
                <w:szCs w:val="18"/>
              </w:rPr>
            </w:pPr>
          </w:p>
        </w:tc>
      </w:tr>
      <w:tr w:rsidR="0094721F" w:rsidRPr="0094721F" w:rsidTr="00B1145F">
        <w:trPr>
          <w:trHeight w:val="200"/>
        </w:trPr>
        <w:tc>
          <w:tcPr>
            <w:tcW w:w="568" w:type="dxa"/>
            <w:vMerge w:val="restart"/>
            <w:shd w:val="clear" w:color="auto" w:fill="auto"/>
          </w:tcPr>
          <w:p w:rsidR="00AA4B35" w:rsidRPr="00870E61" w:rsidRDefault="00AA4B35" w:rsidP="00AA4B35">
            <w:pPr>
              <w:pStyle w:val="ListParagraph"/>
              <w:numPr>
                <w:ilvl w:val="0"/>
                <w:numId w:val="1"/>
              </w:numPr>
              <w:tabs>
                <w:tab w:val="left" w:pos="192"/>
              </w:tabs>
              <w:spacing w:before="80" w:after="40"/>
              <w:ind w:left="0"/>
              <w:jc w:val="right"/>
              <w:rPr>
                <w:rFonts w:ascii="Verdana" w:hAnsi="Verdana"/>
                <w:b/>
                <w:sz w:val="18"/>
                <w:szCs w:val="18"/>
              </w:rPr>
            </w:pPr>
          </w:p>
        </w:tc>
        <w:tc>
          <w:tcPr>
            <w:tcW w:w="2552" w:type="dxa"/>
            <w:vMerge w:val="restart"/>
            <w:shd w:val="clear" w:color="auto" w:fill="auto"/>
          </w:tcPr>
          <w:p w:rsidR="00AA4B35" w:rsidRPr="00870E61" w:rsidRDefault="00AA4B35" w:rsidP="00AA4B35">
            <w:pPr>
              <w:rPr>
                <w:rFonts w:ascii="Verdana" w:hAnsi="Verdana"/>
                <w:b/>
                <w:sz w:val="18"/>
                <w:szCs w:val="18"/>
              </w:rPr>
            </w:pPr>
            <w:r w:rsidRPr="00870E61">
              <w:rPr>
                <w:rFonts w:ascii="Verdana" w:hAnsi="Verdana"/>
                <w:b/>
                <w:sz w:val="18"/>
                <w:szCs w:val="18"/>
              </w:rPr>
              <w:t>Валентин Тодоров</w:t>
            </w:r>
            <w:r w:rsidRPr="00870E61">
              <w:rPr>
                <w:rFonts w:ascii="Verdana" w:hAnsi="Verdana"/>
                <w:b/>
                <w:sz w:val="18"/>
                <w:szCs w:val="18"/>
              </w:rPr>
              <w:br/>
            </w:r>
            <w:r w:rsidRPr="00870E61">
              <w:rPr>
                <w:rFonts w:ascii="Verdana" w:hAnsi="Verdana"/>
                <w:sz w:val="18"/>
                <w:szCs w:val="18"/>
              </w:rPr>
              <w:t>– Постъпило по електронната поща на 21.08.2024 г</w:t>
            </w:r>
          </w:p>
        </w:tc>
        <w:tc>
          <w:tcPr>
            <w:tcW w:w="6237" w:type="dxa"/>
            <w:tcBorders>
              <w:bottom w:val="nil"/>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Обръщам се към Вас във връзка с публикувания на 16.08.2024г. в страницата на МЗХ Проект на методика 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2023 - 2027 г.</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lastRenderedPageBreak/>
              <w:t>Въпросите ми са свързани със земеделските парцели, попадащи в границите на зони, включени в Натура 2000.</w:t>
            </w:r>
          </w:p>
        </w:tc>
        <w:tc>
          <w:tcPr>
            <w:tcW w:w="1559" w:type="dxa"/>
            <w:tcBorders>
              <w:bottom w:val="nil"/>
            </w:tcBorders>
            <w:shd w:val="clear" w:color="auto" w:fill="auto"/>
          </w:tcPr>
          <w:p w:rsidR="00AA4B35" w:rsidRPr="00870E61" w:rsidRDefault="00AA4B35" w:rsidP="00AA4B35">
            <w:pPr>
              <w:spacing w:before="80" w:after="40"/>
              <w:rPr>
                <w:rFonts w:ascii="Verdana" w:hAnsi="Verdana"/>
                <w:color w:val="FF0000"/>
                <w:sz w:val="18"/>
                <w:szCs w:val="18"/>
              </w:rPr>
            </w:pPr>
          </w:p>
        </w:tc>
        <w:tc>
          <w:tcPr>
            <w:tcW w:w="4819" w:type="dxa"/>
            <w:tcBorders>
              <w:bottom w:val="nil"/>
            </w:tcBorders>
            <w:shd w:val="clear" w:color="auto" w:fill="auto"/>
          </w:tcPr>
          <w:p w:rsidR="00AA4B35" w:rsidRPr="00651813" w:rsidRDefault="00AA4B35" w:rsidP="00350965">
            <w:pPr>
              <w:spacing w:before="80" w:after="40"/>
              <w:jc w:val="both"/>
              <w:rPr>
                <w:rFonts w:ascii="Verdana" w:hAnsi="Verdana"/>
                <w:sz w:val="18"/>
                <w:szCs w:val="18"/>
              </w:rPr>
            </w:pPr>
          </w:p>
        </w:tc>
      </w:tr>
      <w:tr w:rsidR="0094721F" w:rsidRPr="0094721F" w:rsidTr="0094721F">
        <w:trPr>
          <w:trHeight w:val="200"/>
        </w:trPr>
        <w:tc>
          <w:tcPr>
            <w:tcW w:w="568" w:type="dxa"/>
            <w:vMerge/>
            <w:tcBorders>
              <w:bottom w:val="single" w:sz="18" w:space="0" w:color="2E74B5"/>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single" w:sz="18" w:space="0" w:color="2E74B5"/>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single" w:sz="12" w:space="0" w:color="4F81BD" w:themeColor="accent1"/>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Съгласно публикуваната методика са предвидени следните забрани:</w:t>
            </w:r>
          </w:p>
          <w:p w:rsidR="00AA4B35" w:rsidRPr="00870E61" w:rsidRDefault="00AA4B35" w:rsidP="00AA4B35">
            <w:pPr>
              <w:spacing w:before="80" w:after="40"/>
              <w:jc w:val="both"/>
              <w:rPr>
                <w:rFonts w:ascii="Verdana" w:hAnsi="Verdana"/>
                <w:sz w:val="18"/>
                <w:szCs w:val="18"/>
              </w:rPr>
            </w:pPr>
          </w:p>
          <w:tbl>
            <w:tblPr>
              <w:tblStyle w:val="TableGrid"/>
              <w:tblW w:w="0" w:type="auto"/>
              <w:tblLayout w:type="fixed"/>
              <w:tblLook w:val="04A0" w:firstRow="1" w:lastRow="0" w:firstColumn="1" w:lastColumn="0" w:noHBand="0" w:noVBand="1"/>
            </w:tblPr>
            <w:tblGrid>
              <w:gridCol w:w="6006"/>
            </w:tblGrid>
            <w:tr w:rsidR="00AA4B35" w:rsidRPr="00870E61" w:rsidTr="004F7237">
              <w:tc>
                <w:tcPr>
                  <w:tcW w:w="6006" w:type="dxa"/>
                </w:tcPr>
                <w:p w:rsidR="00AA4B35" w:rsidRPr="00870E61" w:rsidRDefault="00AA4B35" w:rsidP="00AA4B35">
                  <w:pPr>
                    <w:spacing w:before="80" w:after="40"/>
                    <w:jc w:val="both"/>
                    <w:rPr>
                      <w:rFonts w:ascii="Verdana" w:hAnsi="Verdana"/>
                      <w:b/>
                      <w:sz w:val="18"/>
                      <w:szCs w:val="18"/>
                    </w:rPr>
                  </w:pPr>
                  <w:r w:rsidRPr="00870E61">
                    <w:rPr>
                      <w:rFonts w:ascii="Verdana" w:hAnsi="Verdana"/>
                      <w:b/>
                      <w:sz w:val="18"/>
                      <w:szCs w:val="18"/>
                    </w:rPr>
                    <w:t>ЗИУ 3.17. НАТУРА зона за птиците (забрани):</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Забрана за употреба на изкуствени торове и химически средства за растителна защита.*</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*Ограничения за постоянно затревени площи (пасища, ливади и .мери), трайни насаждения и обработваеми земи.</w:t>
                  </w:r>
                </w:p>
              </w:tc>
            </w:tr>
            <w:tr w:rsidR="00AA4B35" w:rsidRPr="00870E61" w:rsidTr="004F7237">
              <w:tc>
                <w:tcPr>
                  <w:tcW w:w="6006" w:type="dxa"/>
                </w:tcPr>
                <w:p w:rsidR="00AA4B35" w:rsidRPr="00870E61" w:rsidRDefault="00AA4B35" w:rsidP="00AA4B35">
                  <w:pPr>
                    <w:spacing w:before="80" w:after="40"/>
                    <w:jc w:val="both"/>
                    <w:rPr>
                      <w:rFonts w:ascii="Verdana" w:hAnsi="Verdana"/>
                      <w:b/>
                      <w:sz w:val="18"/>
                      <w:szCs w:val="18"/>
                    </w:rPr>
                  </w:pPr>
                  <w:r w:rsidRPr="00870E61">
                    <w:rPr>
                      <w:rFonts w:ascii="Verdana" w:hAnsi="Verdana"/>
                      <w:b/>
                      <w:sz w:val="18"/>
                      <w:szCs w:val="18"/>
                    </w:rPr>
                    <w:t>ЗИУ 4.1. НАТУРА зона за местообитанията (забрани):</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Забрана за използване на продукти за растителна защита в селското стопанство.*</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*Ограничения за постоянно затревени площи (пасища, ливади и мери), трайни насаждения и обработваеми земи.</w:t>
                  </w:r>
                </w:p>
              </w:tc>
            </w:tr>
          </w:tbl>
          <w:p w:rsidR="00AA4B35" w:rsidRPr="00870E61" w:rsidRDefault="00AA4B35" w:rsidP="00AA4B35">
            <w:pPr>
              <w:spacing w:before="80" w:after="40"/>
              <w:jc w:val="both"/>
              <w:rPr>
                <w:rFonts w:ascii="Verdana" w:hAnsi="Verdana"/>
                <w:sz w:val="18"/>
                <w:szCs w:val="18"/>
              </w:rPr>
            </w:pPr>
          </w:p>
          <w:p w:rsidR="007273E6" w:rsidRDefault="00AA4B35" w:rsidP="00AA4B35">
            <w:pPr>
              <w:spacing w:before="80" w:after="40"/>
              <w:jc w:val="both"/>
              <w:rPr>
                <w:rFonts w:ascii="Verdana" w:hAnsi="Verdana"/>
                <w:sz w:val="18"/>
                <w:szCs w:val="18"/>
              </w:rPr>
            </w:pPr>
            <w:r w:rsidRPr="00870E61">
              <w:rPr>
                <w:rFonts w:ascii="Verdana" w:hAnsi="Verdana"/>
                <w:sz w:val="18"/>
                <w:szCs w:val="18"/>
              </w:rPr>
              <w:t xml:space="preserve">В същото време Чл. 9. (1) от НАРЕДБА № 6 от 30.05.2023 г. за условията и реда за </w:t>
            </w:r>
            <w:proofErr w:type="spellStart"/>
            <w:r w:rsidRPr="00870E61">
              <w:rPr>
                <w:rFonts w:ascii="Verdana" w:hAnsi="Verdana"/>
                <w:sz w:val="18"/>
                <w:szCs w:val="18"/>
              </w:rPr>
              <w:t>прилага</w:t>
            </w:r>
            <w:r w:rsidR="007273E6">
              <w:rPr>
                <w:rFonts w:ascii="Verdana" w:hAnsi="Verdana"/>
                <w:sz w:val="18"/>
                <w:szCs w:val="18"/>
              </w:rPr>
              <w:t>Одзес</w:t>
            </w:r>
            <w:proofErr w:type="spellEnd"/>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не на интервенцията "Плащания за земеделски земи в зони от Натура 2000", включена в Стратегическия план за развитие на земеделието и селските райони на Република България за периода 2023 - 2027 г. гласи:</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 Плащането се предоставя за спазване на забраните за земеделска дейност, включени в издадените от министъра на околната среда и водите заповеди за обявяване на съответната защитена зона съгласно приложение М&gt; 1 към чл. 1. ал. 2</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Земите, които обработваме попадат в границите на Защитена зона „Студеней“ с идентификационен код ВО0000240. Ограниченията за същата са описани в заповеди на Министъра на околната среда и водите, съответно: РД-800/04.П.2008г., РД-67/28.01.2013г. и РД-269/31.03.2021 г. В цитираните заповеди по отношение на обработваемите земи забраните касаят съответно:</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lastRenderedPageBreak/>
              <w:t>- Използването на неселективни средства за борба с вредителите в селското стопанство.</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 Употреба на торове, подобрители на почвата, биологично активни вещества, хранителни субстрати и продукти за растителна защита, които не отговарят на изискванията на Закона за защита на растенията.</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Получава се така, че Методиката налага по-големи ограничения от тези, предвидени в заповедите на Министъра на МОСВ.</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Защитена зона „Студенец“ обхваща голяма площ и това касае голям брой земеделски стопани.</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Моля да се вземат под внимание тези въпроси и да бъдат отразени в Методиката, за да се избегнат несъответствия в бъдещ период.</w:t>
            </w:r>
          </w:p>
        </w:tc>
        <w:tc>
          <w:tcPr>
            <w:tcW w:w="1559" w:type="dxa"/>
            <w:tcBorders>
              <w:top w:val="nil"/>
              <w:bottom w:val="nil"/>
            </w:tcBorders>
            <w:shd w:val="clear" w:color="auto" w:fill="auto"/>
          </w:tcPr>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Default="00AA4B35" w:rsidP="00AA4B35">
            <w:pPr>
              <w:spacing w:before="80" w:after="40"/>
              <w:rPr>
                <w:rFonts w:ascii="Verdana" w:hAnsi="Verdana"/>
                <w:color w:val="FF0000"/>
                <w:sz w:val="18"/>
                <w:szCs w:val="18"/>
                <w:lang w:val="ru-RU"/>
              </w:rPr>
            </w:pPr>
          </w:p>
          <w:p w:rsidR="00AA4B35" w:rsidRPr="00EF6F0A" w:rsidRDefault="00AA4B35" w:rsidP="00AA4B35">
            <w:pPr>
              <w:spacing w:before="80" w:after="40"/>
              <w:rPr>
                <w:rFonts w:ascii="Verdana" w:hAnsi="Verdana"/>
                <w:color w:val="FF0000"/>
                <w:sz w:val="18"/>
                <w:szCs w:val="18"/>
                <w:lang w:val="ru-RU"/>
              </w:rPr>
            </w:pPr>
            <w:r w:rsidRPr="0064301D">
              <w:rPr>
                <w:rFonts w:ascii="Verdana" w:hAnsi="Verdana"/>
                <w:sz w:val="18"/>
                <w:szCs w:val="18"/>
                <w:lang w:val="ru-RU"/>
              </w:rPr>
              <w:t>Приема се</w:t>
            </w:r>
            <w:r w:rsidR="00AD671F">
              <w:rPr>
                <w:rFonts w:ascii="Verdana" w:hAnsi="Verdana"/>
                <w:sz w:val="18"/>
                <w:szCs w:val="18"/>
                <w:lang w:val="ru-RU"/>
              </w:rPr>
              <w:t xml:space="preserve"> частично</w:t>
            </w:r>
          </w:p>
        </w:tc>
        <w:tc>
          <w:tcPr>
            <w:tcW w:w="4819" w:type="dxa"/>
            <w:tcBorders>
              <w:top w:val="nil"/>
              <w:bottom w:val="nil"/>
            </w:tcBorders>
            <w:shd w:val="clear" w:color="auto" w:fill="auto"/>
          </w:tcPr>
          <w:p w:rsidR="00AA4B35" w:rsidRPr="00651813" w:rsidRDefault="00AA4B35" w:rsidP="00350965">
            <w:pPr>
              <w:spacing w:before="80" w:after="40"/>
              <w:jc w:val="both"/>
              <w:rPr>
                <w:rFonts w:ascii="Verdana" w:hAnsi="Verdana"/>
                <w:sz w:val="18"/>
                <w:szCs w:val="18"/>
              </w:rPr>
            </w:pPr>
          </w:p>
          <w:p w:rsidR="00AA4B35" w:rsidRPr="00651813" w:rsidRDefault="00AA4B35" w:rsidP="00350965">
            <w:pPr>
              <w:spacing w:before="80" w:after="40"/>
              <w:jc w:val="both"/>
              <w:rPr>
                <w:rFonts w:ascii="Verdana" w:hAnsi="Verdana"/>
                <w:sz w:val="18"/>
                <w:szCs w:val="18"/>
              </w:rPr>
            </w:pPr>
          </w:p>
          <w:p w:rsidR="00AA4B35" w:rsidRPr="00651813" w:rsidRDefault="00AA4B35" w:rsidP="00350965">
            <w:pPr>
              <w:spacing w:before="80" w:after="40"/>
              <w:jc w:val="both"/>
              <w:rPr>
                <w:rFonts w:ascii="Verdana" w:hAnsi="Verdana"/>
                <w:sz w:val="18"/>
                <w:szCs w:val="18"/>
              </w:rPr>
            </w:pPr>
          </w:p>
          <w:p w:rsidR="00AD671F" w:rsidRPr="00AD671F" w:rsidRDefault="00AD671F" w:rsidP="00AD671F">
            <w:pPr>
              <w:autoSpaceDE w:val="0"/>
              <w:autoSpaceDN w:val="0"/>
              <w:adjustRightInd w:val="0"/>
              <w:jc w:val="both"/>
              <w:rPr>
                <w:rFonts w:ascii="Verdana" w:eastAsia="Calibri" w:hAnsi="Verdana"/>
                <w:sz w:val="18"/>
                <w:szCs w:val="20"/>
                <w:lang w:eastAsia="en-US"/>
              </w:rPr>
            </w:pPr>
            <w:r w:rsidRPr="00AD671F">
              <w:rPr>
                <w:rFonts w:ascii="Verdana" w:eastAsia="Calibri" w:hAnsi="Verdana"/>
                <w:sz w:val="18"/>
                <w:szCs w:val="20"/>
                <w:lang w:eastAsia="en-US"/>
              </w:rPr>
              <w:t xml:space="preserve">Допълнена </w:t>
            </w:r>
            <w:proofErr w:type="spellStart"/>
            <w:r w:rsidRPr="00AD671F">
              <w:rPr>
                <w:rFonts w:ascii="Verdana" w:eastAsia="Calibri" w:hAnsi="Verdana"/>
                <w:sz w:val="18"/>
                <w:szCs w:val="20"/>
                <w:lang w:eastAsia="en-US"/>
              </w:rPr>
              <w:t>забелека</w:t>
            </w:r>
            <w:proofErr w:type="spellEnd"/>
            <w:r w:rsidRPr="00AD671F">
              <w:rPr>
                <w:rFonts w:ascii="Verdana" w:eastAsia="Calibri" w:hAnsi="Verdana"/>
                <w:sz w:val="18"/>
                <w:szCs w:val="20"/>
                <w:lang w:eastAsia="en-US"/>
              </w:rPr>
              <w:t>: *Ограничения за постоянно затревени площи (пасища, ливади и мери), трайни насаждения и обработваеми земи.</w:t>
            </w:r>
          </w:p>
          <w:p w:rsidR="00AD671F" w:rsidRDefault="00AD671F" w:rsidP="00AD671F">
            <w:pPr>
              <w:autoSpaceDE w:val="0"/>
              <w:autoSpaceDN w:val="0"/>
              <w:adjustRightInd w:val="0"/>
              <w:jc w:val="both"/>
              <w:rPr>
                <w:rFonts w:eastAsia="Calibri"/>
                <w:i/>
                <w:sz w:val="18"/>
                <w:szCs w:val="20"/>
                <w:lang w:eastAsia="en-US"/>
              </w:rPr>
            </w:pPr>
            <w:r w:rsidRPr="00AD671F">
              <w:rPr>
                <w:rFonts w:ascii="Verdana" w:eastAsia="Calibri" w:hAnsi="Verdana"/>
                <w:sz w:val="18"/>
                <w:szCs w:val="20"/>
                <w:lang w:eastAsia="en-US"/>
              </w:rPr>
              <w:t>С</w:t>
            </w:r>
            <w:proofErr w:type="spellStart"/>
            <w:r w:rsidRPr="00AD671F">
              <w:rPr>
                <w:rFonts w:ascii="Verdana" w:eastAsia="Calibri" w:hAnsi="Verdana"/>
                <w:sz w:val="18"/>
                <w:szCs w:val="20"/>
                <w:lang w:val="en-US" w:eastAsia="en-US"/>
              </w:rPr>
              <w:t>пазване</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на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забраните</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при</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осъществяване</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на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земеделска</w:t>
            </w:r>
            <w:proofErr w:type="spellEnd"/>
            <w:r w:rsidRPr="00AD671F">
              <w:rPr>
                <w:rFonts w:ascii="Verdana" w:eastAsia="Calibri" w:hAnsi="Verdana"/>
                <w:sz w:val="18"/>
                <w:szCs w:val="20"/>
                <w:lang w:eastAsia="en-US"/>
              </w:rPr>
              <w:t>та</w:t>
            </w:r>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дейност</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включени</w:t>
            </w:r>
            <w:proofErr w:type="spellEnd"/>
            <w:r w:rsidRPr="00AD671F">
              <w:rPr>
                <w:rFonts w:ascii="Verdana" w:eastAsia="Calibri" w:hAnsi="Verdana"/>
                <w:sz w:val="18"/>
                <w:szCs w:val="20"/>
                <w:lang w:val="en-US" w:eastAsia="en-US"/>
              </w:rPr>
              <w:t xml:space="preserve"> в </w:t>
            </w:r>
            <w:proofErr w:type="spellStart"/>
            <w:r w:rsidRPr="00AD671F">
              <w:rPr>
                <w:rFonts w:ascii="Verdana" w:eastAsia="Calibri" w:hAnsi="Verdana"/>
                <w:sz w:val="18"/>
                <w:szCs w:val="20"/>
                <w:lang w:val="en-US" w:eastAsia="en-US"/>
              </w:rPr>
              <w:t>издадените</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от</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министъра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на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околната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среда</w:t>
            </w:r>
            <w:proofErr w:type="spellEnd"/>
            <w:r w:rsidRPr="00AD671F">
              <w:rPr>
                <w:rFonts w:ascii="Verdana" w:eastAsia="Calibri" w:hAnsi="Verdana"/>
                <w:sz w:val="18"/>
                <w:szCs w:val="20"/>
                <w:lang w:val="en-US" w:eastAsia="en-US"/>
              </w:rPr>
              <w:t xml:space="preserve"> и </w:t>
            </w:r>
            <w:proofErr w:type="spellStart"/>
            <w:r w:rsidRPr="00AD671F">
              <w:rPr>
                <w:rFonts w:ascii="Verdana" w:eastAsia="Calibri" w:hAnsi="Verdana"/>
                <w:sz w:val="18"/>
                <w:szCs w:val="20"/>
                <w:lang w:val="en-US" w:eastAsia="en-US"/>
              </w:rPr>
              <w:t>водите</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заповеди</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за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обявяване</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на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съответната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защитена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зона</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съгласно</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приложение</w:t>
            </w:r>
            <w:proofErr w:type="spellEnd"/>
            <w:r w:rsidRPr="00AD671F">
              <w:rPr>
                <w:rFonts w:ascii="Verdana" w:eastAsia="Calibri" w:hAnsi="Verdana"/>
                <w:sz w:val="18"/>
                <w:szCs w:val="20"/>
                <w:lang w:val="en-US" w:eastAsia="en-US"/>
              </w:rPr>
              <w:t xml:space="preserve"> № 1 </w:t>
            </w:r>
            <w:proofErr w:type="spellStart"/>
            <w:r w:rsidRPr="00AD671F">
              <w:rPr>
                <w:rFonts w:ascii="Verdana" w:eastAsia="Calibri" w:hAnsi="Verdana"/>
                <w:sz w:val="18"/>
                <w:szCs w:val="20"/>
                <w:lang w:val="en-US" w:eastAsia="en-US"/>
              </w:rPr>
              <w:t>към</w:t>
            </w:r>
            <w:proofErr w:type="spellEnd"/>
            <w:r w:rsidRPr="00AD671F">
              <w:rPr>
                <w:rFonts w:ascii="Verdana" w:eastAsia="Calibri" w:hAnsi="Verdana"/>
                <w:sz w:val="18"/>
                <w:szCs w:val="20"/>
                <w:lang w:val="en-US" w:eastAsia="en-US"/>
              </w:rPr>
              <w:t xml:space="preserve"> </w:t>
            </w:r>
            <w:proofErr w:type="spellStart"/>
            <w:r w:rsidRPr="00AD671F">
              <w:rPr>
                <w:rFonts w:ascii="Verdana" w:eastAsia="Calibri" w:hAnsi="Verdana"/>
                <w:sz w:val="18"/>
                <w:szCs w:val="20"/>
                <w:lang w:val="en-US" w:eastAsia="en-US"/>
              </w:rPr>
              <w:t>чл</w:t>
            </w:r>
            <w:proofErr w:type="spellEnd"/>
            <w:r w:rsidRPr="00AD671F">
              <w:rPr>
                <w:rFonts w:ascii="Verdana" w:eastAsia="Calibri" w:hAnsi="Verdana"/>
                <w:sz w:val="18"/>
                <w:szCs w:val="20"/>
                <w:lang w:val="en-US" w:eastAsia="en-US"/>
              </w:rPr>
              <w:t xml:space="preserve">. 1, </w:t>
            </w:r>
            <w:proofErr w:type="spellStart"/>
            <w:r w:rsidRPr="00AD671F">
              <w:rPr>
                <w:rFonts w:ascii="Verdana" w:eastAsia="Calibri" w:hAnsi="Verdana"/>
                <w:sz w:val="18"/>
                <w:szCs w:val="20"/>
                <w:lang w:val="en-US" w:eastAsia="en-US"/>
              </w:rPr>
              <w:t>ал</w:t>
            </w:r>
            <w:proofErr w:type="spellEnd"/>
            <w:r w:rsidRPr="00AD671F">
              <w:rPr>
                <w:rFonts w:ascii="Verdana" w:eastAsia="Calibri" w:hAnsi="Verdana"/>
                <w:sz w:val="18"/>
                <w:szCs w:val="20"/>
                <w:lang w:val="en-US" w:eastAsia="en-US"/>
              </w:rPr>
              <w:t xml:space="preserve">. </w:t>
            </w:r>
            <w:proofErr w:type="gramStart"/>
            <w:r w:rsidRPr="00AD671F">
              <w:rPr>
                <w:rFonts w:ascii="Verdana" w:eastAsia="Calibri" w:hAnsi="Verdana"/>
                <w:sz w:val="18"/>
                <w:szCs w:val="20"/>
                <w:lang w:val="en-US" w:eastAsia="en-US"/>
              </w:rPr>
              <w:t>2</w:t>
            </w:r>
            <w:r w:rsidRPr="00AD671F">
              <w:rPr>
                <w:rFonts w:ascii="Verdana" w:eastAsia="Calibri" w:hAnsi="Verdana"/>
                <w:sz w:val="18"/>
                <w:szCs w:val="20"/>
                <w:lang w:eastAsia="en-US"/>
              </w:rPr>
              <w:t xml:space="preserve"> от</w:t>
            </w:r>
            <w:proofErr w:type="gramEnd"/>
            <w:r w:rsidRPr="00AD671F">
              <w:rPr>
                <w:rFonts w:ascii="Verdana" w:eastAsia="Calibri" w:hAnsi="Verdana"/>
                <w:sz w:val="18"/>
                <w:szCs w:val="20"/>
                <w:lang w:eastAsia="en-US"/>
              </w:rPr>
              <w:t xml:space="preserve"> НАРЕДБА № 6 от 30.05.2023</w:t>
            </w:r>
            <w:r w:rsidRPr="00AD671F">
              <w:rPr>
                <w:rFonts w:eastAsia="Calibri"/>
                <w:i/>
                <w:sz w:val="18"/>
                <w:szCs w:val="20"/>
                <w:lang w:eastAsia="en-US"/>
              </w:rPr>
              <w:t xml:space="preserve"> г.</w:t>
            </w:r>
          </w:p>
          <w:p w:rsidR="00AD671F" w:rsidRPr="00AD671F" w:rsidRDefault="00AD671F" w:rsidP="00AD671F">
            <w:pPr>
              <w:autoSpaceDE w:val="0"/>
              <w:autoSpaceDN w:val="0"/>
              <w:adjustRightInd w:val="0"/>
              <w:jc w:val="both"/>
              <w:rPr>
                <w:rFonts w:eastAsia="Calibri"/>
                <w:i/>
                <w:sz w:val="18"/>
                <w:szCs w:val="20"/>
                <w:lang w:eastAsia="en-US"/>
              </w:rPr>
            </w:pPr>
          </w:p>
          <w:p w:rsidR="00E168A6" w:rsidRDefault="00AD671F" w:rsidP="00E168A6">
            <w:pPr>
              <w:pStyle w:val="CommentText"/>
              <w:rPr>
                <w:lang w:val="bg-BG"/>
              </w:rPr>
            </w:pPr>
            <w:r w:rsidRPr="00AD671F">
              <w:rPr>
                <w:rFonts w:ascii="Verdana" w:hAnsi="Verdana"/>
                <w:lang w:val="bg-BG"/>
              </w:rPr>
              <w:t xml:space="preserve">Пояснение: </w:t>
            </w:r>
            <w:r w:rsidR="00E168A6" w:rsidRPr="00AD671F">
              <w:rPr>
                <w:rFonts w:ascii="Verdana" w:hAnsi="Verdana"/>
                <w:lang w:val="bg-BG"/>
              </w:rPr>
              <w:t>През 2021 г. са допълнени две нови забрани за земеделска дейност в ЗЗ „Студенец“ със Заповед № РД-269 от 31 март 2021 г</w:t>
            </w:r>
            <w:r>
              <w:rPr>
                <w:lang w:val="bg-BG"/>
              </w:rPr>
              <w:t>. на МОСВ</w:t>
            </w:r>
          </w:p>
          <w:p w:rsidR="00AA4B35" w:rsidRPr="00651813" w:rsidRDefault="00AA4B35" w:rsidP="00AD671F">
            <w:pPr>
              <w:pStyle w:val="CommentText"/>
              <w:rPr>
                <w:rFonts w:ascii="Verdana" w:hAnsi="Verdana"/>
                <w:sz w:val="18"/>
                <w:szCs w:val="18"/>
              </w:rPr>
            </w:pPr>
          </w:p>
        </w:tc>
      </w:tr>
      <w:tr w:rsidR="0094721F" w:rsidRPr="0094721F" w:rsidTr="00B1145F">
        <w:trPr>
          <w:trHeight w:val="200"/>
        </w:trPr>
        <w:tc>
          <w:tcPr>
            <w:tcW w:w="568" w:type="dxa"/>
            <w:vMerge w:val="restart"/>
            <w:shd w:val="clear" w:color="auto" w:fill="auto"/>
          </w:tcPr>
          <w:p w:rsidR="00AA4B35" w:rsidRPr="00870E61" w:rsidRDefault="00AA4B35" w:rsidP="00AA4B35">
            <w:pPr>
              <w:pStyle w:val="ListParagraph"/>
              <w:numPr>
                <w:ilvl w:val="0"/>
                <w:numId w:val="1"/>
              </w:numPr>
              <w:tabs>
                <w:tab w:val="left" w:pos="192"/>
              </w:tabs>
              <w:spacing w:before="80" w:after="40"/>
              <w:ind w:left="0"/>
              <w:jc w:val="right"/>
              <w:rPr>
                <w:rFonts w:ascii="Verdana" w:hAnsi="Verdana"/>
                <w:b/>
                <w:sz w:val="18"/>
                <w:szCs w:val="18"/>
              </w:rPr>
            </w:pPr>
          </w:p>
        </w:tc>
        <w:tc>
          <w:tcPr>
            <w:tcW w:w="2552" w:type="dxa"/>
            <w:vMerge w:val="restart"/>
            <w:shd w:val="clear" w:color="auto" w:fill="auto"/>
          </w:tcPr>
          <w:p w:rsidR="00AA4B35" w:rsidRPr="00870E61" w:rsidRDefault="00AA4B35" w:rsidP="00AA4B35">
            <w:pPr>
              <w:rPr>
                <w:rFonts w:ascii="Verdana" w:hAnsi="Verdana"/>
                <w:b/>
                <w:sz w:val="18"/>
                <w:szCs w:val="18"/>
              </w:rPr>
            </w:pPr>
            <w:proofErr w:type="spellStart"/>
            <w:r w:rsidRPr="00870E61">
              <w:rPr>
                <w:rFonts w:ascii="Verdana" w:hAnsi="Verdana"/>
                <w:b/>
                <w:sz w:val="18"/>
                <w:szCs w:val="18"/>
              </w:rPr>
              <w:t>Tzviatkov</w:t>
            </w:r>
            <w:proofErr w:type="spellEnd"/>
            <w:r w:rsidRPr="00870E61">
              <w:rPr>
                <w:rFonts w:ascii="Verdana" w:hAnsi="Verdana"/>
                <w:b/>
                <w:sz w:val="18"/>
                <w:szCs w:val="18"/>
              </w:rPr>
              <w:br/>
            </w:r>
            <w:r w:rsidRPr="00870E61">
              <w:rPr>
                <w:rFonts w:ascii="Verdana" w:hAnsi="Verdana"/>
                <w:sz w:val="18"/>
                <w:szCs w:val="18"/>
              </w:rPr>
              <w:t xml:space="preserve">– Портал за обществени консултации на </w:t>
            </w:r>
            <w:r w:rsidRPr="00870E61">
              <w:rPr>
                <w:rFonts w:ascii="Verdana" w:hAnsi="Verdana"/>
                <w:sz w:val="18"/>
                <w:szCs w:val="18"/>
              </w:rPr>
              <w:br/>
              <w:t>30 август 2024 г</w:t>
            </w:r>
          </w:p>
        </w:tc>
        <w:tc>
          <w:tcPr>
            <w:tcW w:w="6237" w:type="dxa"/>
            <w:tcBorders>
              <w:bottom w:val="nil"/>
            </w:tcBorders>
            <w:shd w:val="clear" w:color="auto" w:fill="auto"/>
          </w:tcPr>
          <w:p w:rsidR="00AA4B35" w:rsidRPr="00870E61" w:rsidRDefault="00AA4B35" w:rsidP="00AA4B35">
            <w:pPr>
              <w:spacing w:before="80" w:after="40"/>
              <w:jc w:val="both"/>
              <w:rPr>
                <w:rFonts w:ascii="Verdana" w:hAnsi="Verdana"/>
                <w:b/>
                <w:sz w:val="18"/>
                <w:szCs w:val="18"/>
              </w:rPr>
            </w:pPr>
            <w:r w:rsidRPr="00870E61">
              <w:rPr>
                <w:rFonts w:ascii="Verdana" w:hAnsi="Verdana"/>
                <w:b/>
                <w:sz w:val="18"/>
                <w:szCs w:val="18"/>
              </w:rPr>
              <w:t>Предложения</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 xml:space="preserve">3. „небрежност“ означава </w:t>
            </w:r>
            <w:proofErr w:type="spellStart"/>
            <w:r w:rsidRPr="00870E61">
              <w:rPr>
                <w:rFonts w:ascii="Verdana" w:hAnsi="Verdana"/>
                <w:sz w:val="18"/>
                <w:szCs w:val="18"/>
              </w:rPr>
              <w:t>неполагане</w:t>
            </w:r>
            <w:proofErr w:type="spellEnd"/>
            <w:r w:rsidRPr="00870E61">
              <w:rPr>
                <w:rFonts w:ascii="Verdana" w:hAnsi="Verdana"/>
                <w:sz w:val="18"/>
                <w:szCs w:val="18"/>
              </w:rPr>
              <w:t xml:space="preserve"> на дължимата грижа, или бездействие от страна на земеделския стопанин по отношение на околната среда при осъществяване на земеделска дейност;</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да се редактира.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ОСНОВАНИЕ:</w:t>
            </w:r>
          </w:p>
          <w:p w:rsidR="00AA4B35" w:rsidRPr="00AA4B35" w:rsidRDefault="00AA4B35" w:rsidP="00AA4B35">
            <w:pPr>
              <w:spacing w:before="80" w:after="40"/>
              <w:jc w:val="both"/>
              <w:rPr>
                <w:rFonts w:ascii="Verdana" w:hAnsi="Verdana"/>
                <w:sz w:val="18"/>
                <w:szCs w:val="18"/>
              </w:rPr>
            </w:pPr>
            <w:r w:rsidRPr="00870E61">
              <w:rPr>
                <w:rFonts w:ascii="Verdana" w:hAnsi="Verdana"/>
                <w:sz w:val="18"/>
                <w:szCs w:val="18"/>
              </w:rPr>
              <w:t>Определението е неточно, непълно и неясно, което може да доведе до неправилно тълкуване и прилагането му и следва да се вземат под внимание следните основания за това: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w:t>
            </w:r>
            <w:proofErr w:type="spellStart"/>
            <w:r w:rsidRPr="00870E61">
              <w:rPr>
                <w:rFonts w:ascii="Verdana" w:hAnsi="Verdana"/>
                <w:b/>
                <w:bCs/>
                <w:sz w:val="18"/>
                <w:szCs w:val="18"/>
              </w:rPr>
              <w:t>Неполагане</w:t>
            </w:r>
            <w:proofErr w:type="spellEnd"/>
            <w:r w:rsidRPr="00870E61">
              <w:rPr>
                <w:rFonts w:ascii="Verdana" w:hAnsi="Verdana"/>
                <w:b/>
                <w:bCs/>
                <w:sz w:val="18"/>
                <w:szCs w:val="18"/>
              </w:rPr>
              <w:t>“</w:t>
            </w:r>
          </w:p>
          <w:p w:rsidR="00AA4B35" w:rsidRPr="00870E61" w:rsidRDefault="00AA4B35" w:rsidP="00AA4B35">
            <w:pPr>
              <w:numPr>
                <w:ilvl w:val="0"/>
                <w:numId w:val="2"/>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Глаголът „</w:t>
            </w:r>
            <w:proofErr w:type="spellStart"/>
            <w:r w:rsidRPr="00870E61">
              <w:rPr>
                <w:rFonts w:ascii="Verdana" w:hAnsi="Verdana"/>
                <w:sz w:val="18"/>
                <w:szCs w:val="18"/>
              </w:rPr>
              <w:t>неполагане</w:t>
            </w:r>
            <w:proofErr w:type="spellEnd"/>
            <w:r w:rsidRPr="00870E61">
              <w:rPr>
                <w:rFonts w:ascii="Verdana" w:hAnsi="Verdana"/>
                <w:sz w:val="18"/>
                <w:szCs w:val="18"/>
              </w:rPr>
              <w:t>“ предполага липса на действие, но не уточнява какво точно представлява „полагането“ в този контекст. Каква форма на действие или грижа се очаква да бъде „положена“? Липсата на дефиниция за това оставя място за субективни интерпретации.</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„Дължимата“</w:t>
            </w:r>
          </w:p>
          <w:p w:rsidR="00AA4B35" w:rsidRPr="00870E61" w:rsidRDefault="00AA4B35" w:rsidP="00AA4B35">
            <w:pPr>
              <w:numPr>
                <w:ilvl w:val="0"/>
                <w:numId w:val="3"/>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xml:space="preserve">: Прилагателното „дължимата“ е проблематично, тъй като не е определено кой или какво определя каква грижа е „дължима“. Този термин предполага наличие на определен </w:t>
            </w:r>
            <w:r w:rsidRPr="00870E61">
              <w:rPr>
                <w:rFonts w:ascii="Verdana" w:hAnsi="Verdana"/>
                <w:sz w:val="18"/>
                <w:szCs w:val="18"/>
              </w:rPr>
              <w:lastRenderedPageBreak/>
              <w:t>стандарт, но такъв не е посочен в текста, което прави трудно определянето на това, каква грижа трябва да бъде осигурена.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„Грижа“</w:t>
            </w:r>
          </w:p>
          <w:p w:rsidR="00AA4B35" w:rsidRPr="00870E61" w:rsidRDefault="00AA4B35" w:rsidP="00AA4B35">
            <w:pPr>
              <w:numPr>
                <w:ilvl w:val="0"/>
                <w:numId w:val="4"/>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Терминът „грижа“ е твърде общ и не е конкретизиран. Какъв тип грижа се има предвид — дали е физическа грижа за културите, грижа за околната среда, грижа за безопасността? Липсата на спецификация води до неяснота относно изискваните действия.</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„Бездействие“</w:t>
            </w:r>
          </w:p>
          <w:p w:rsidR="00AA4B35" w:rsidRPr="00870E61" w:rsidRDefault="00AA4B35" w:rsidP="00AA4B35">
            <w:pPr>
              <w:numPr>
                <w:ilvl w:val="0"/>
                <w:numId w:val="5"/>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„Бездействие“ е термин, който предполага липса на каквото и да е действие, но текстът не уточнява какви действия са очаквани. Липсата на контекст или примерни действия, които трябва да бъдат извършени, създава неопределеност в тълкуването.</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„По отношение на околната среда“</w:t>
            </w:r>
          </w:p>
          <w:p w:rsidR="00AA4B35" w:rsidRDefault="00AA4B35" w:rsidP="00AA4B35">
            <w:pPr>
              <w:numPr>
                <w:ilvl w:val="0"/>
                <w:numId w:val="6"/>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„По отношение на околната среда“ е твърде общо определение и не уточнява кои аспекти на околната среда са засегнати — води, почви, въздух, биоразнообразие и т.н. Това оставя място за субективни тълкувания и не предлага конкретика относно обекта на защита.</w:t>
            </w:r>
          </w:p>
          <w:p w:rsidR="00184E49" w:rsidRDefault="00184E49" w:rsidP="00184E49">
            <w:pPr>
              <w:spacing w:before="80" w:after="40"/>
              <w:jc w:val="both"/>
              <w:rPr>
                <w:rFonts w:ascii="Verdana" w:hAnsi="Verdana"/>
                <w:sz w:val="18"/>
                <w:szCs w:val="18"/>
              </w:rPr>
            </w:pPr>
          </w:p>
          <w:p w:rsidR="00184E49" w:rsidRPr="00870E61" w:rsidRDefault="00184E49" w:rsidP="00184E49">
            <w:pPr>
              <w:spacing w:before="80" w:after="40"/>
              <w:jc w:val="both"/>
              <w:rPr>
                <w:rFonts w:ascii="Verdana" w:hAnsi="Verdana"/>
                <w:sz w:val="18"/>
                <w:szCs w:val="18"/>
              </w:rPr>
            </w:pP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„При осъществяване на земеделска дейност“</w:t>
            </w:r>
          </w:p>
          <w:p w:rsidR="00AA4B35" w:rsidRDefault="00AA4B35" w:rsidP="00AA4B35">
            <w:pPr>
              <w:numPr>
                <w:ilvl w:val="0"/>
                <w:numId w:val="7"/>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„При осъществяване на земеделска дейност“ не уточнява дали се включват всички аспекти на земеделската дейност или само определени. Не е ясно дали определението се прилага при подготовка на земята, сеитба, жътва или други дейности. Липсата на яснота тук затруднява приложението на дефиницията в конкретни случаи.</w:t>
            </w:r>
          </w:p>
          <w:p w:rsidR="00D95213" w:rsidRDefault="00D95213" w:rsidP="00D95213">
            <w:pPr>
              <w:spacing w:before="80" w:after="40"/>
              <w:jc w:val="both"/>
              <w:rPr>
                <w:rFonts w:ascii="Verdana" w:hAnsi="Verdana"/>
                <w:sz w:val="18"/>
                <w:szCs w:val="18"/>
              </w:rPr>
            </w:pPr>
          </w:p>
          <w:p w:rsidR="00D95213" w:rsidRDefault="00D95213" w:rsidP="00D95213">
            <w:pPr>
              <w:spacing w:before="80" w:after="40"/>
              <w:jc w:val="both"/>
              <w:rPr>
                <w:rFonts w:ascii="Verdana" w:hAnsi="Verdana"/>
                <w:sz w:val="18"/>
                <w:szCs w:val="18"/>
              </w:rPr>
            </w:pPr>
          </w:p>
          <w:p w:rsidR="00D95213" w:rsidRDefault="00D95213" w:rsidP="00D95213">
            <w:pPr>
              <w:spacing w:before="80" w:after="40"/>
              <w:jc w:val="both"/>
              <w:rPr>
                <w:rFonts w:ascii="Verdana" w:hAnsi="Verdana"/>
                <w:sz w:val="18"/>
                <w:szCs w:val="18"/>
              </w:rPr>
            </w:pPr>
          </w:p>
          <w:p w:rsidR="00D95213" w:rsidRDefault="00D95213" w:rsidP="00D95213">
            <w:pPr>
              <w:spacing w:before="80" w:after="40"/>
              <w:jc w:val="both"/>
              <w:rPr>
                <w:rFonts w:ascii="Verdana" w:hAnsi="Verdana"/>
                <w:sz w:val="18"/>
                <w:szCs w:val="18"/>
              </w:rPr>
            </w:pPr>
          </w:p>
          <w:p w:rsidR="00D95213" w:rsidRDefault="00D95213" w:rsidP="00D95213">
            <w:pPr>
              <w:spacing w:before="80" w:after="40"/>
              <w:jc w:val="both"/>
              <w:rPr>
                <w:rFonts w:ascii="Verdana" w:hAnsi="Verdana"/>
                <w:sz w:val="18"/>
                <w:szCs w:val="18"/>
              </w:rPr>
            </w:pPr>
          </w:p>
          <w:p w:rsidR="00D95213" w:rsidRDefault="00D95213" w:rsidP="00D95213">
            <w:pPr>
              <w:spacing w:before="80" w:after="40"/>
              <w:jc w:val="both"/>
              <w:rPr>
                <w:rFonts w:ascii="Verdana" w:hAnsi="Verdana"/>
                <w:sz w:val="18"/>
                <w:szCs w:val="18"/>
              </w:rPr>
            </w:pPr>
          </w:p>
          <w:p w:rsidR="00D95213" w:rsidRPr="00870E61" w:rsidRDefault="00D95213" w:rsidP="00D95213">
            <w:pPr>
              <w:spacing w:before="80" w:after="40"/>
              <w:jc w:val="both"/>
              <w:rPr>
                <w:rFonts w:ascii="Verdana" w:hAnsi="Verdana"/>
                <w:sz w:val="18"/>
                <w:szCs w:val="18"/>
              </w:rPr>
            </w:pPr>
          </w:p>
        </w:tc>
        <w:tc>
          <w:tcPr>
            <w:tcW w:w="1559" w:type="dxa"/>
            <w:tcBorders>
              <w:bottom w:val="nil"/>
            </w:tcBorders>
            <w:shd w:val="clear" w:color="auto" w:fill="auto"/>
          </w:tcPr>
          <w:p w:rsidR="00AA4B35" w:rsidRDefault="00AA4B35" w:rsidP="00AA4B35">
            <w:pPr>
              <w:spacing w:before="80" w:after="40"/>
              <w:rPr>
                <w:rFonts w:ascii="Verdana" w:hAnsi="Verdana"/>
                <w:color w:val="FF0000"/>
                <w:sz w:val="18"/>
                <w:szCs w:val="18"/>
              </w:rPr>
            </w:pPr>
          </w:p>
          <w:p w:rsidR="00AA4B35" w:rsidRDefault="00AA4B35" w:rsidP="00AA4B35">
            <w:pPr>
              <w:spacing w:before="80" w:after="40"/>
              <w:rPr>
                <w:rFonts w:ascii="Verdana" w:hAnsi="Verdana"/>
                <w:sz w:val="18"/>
                <w:szCs w:val="18"/>
              </w:rPr>
            </w:pPr>
            <w:r w:rsidRPr="00AA4B35">
              <w:rPr>
                <w:rFonts w:ascii="Verdana" w:hAnsi="Verdana"/>
                <w:sz w:val="18"/>
                <w:szCs w:val="18"/>
              </w:rPr>
              <w:t>Приема се</w:t>
            </w:r>
            <w:r>
              <w:rPr>
                <w:rFonts w:ascii="Verdana" w:hAnsi="Verdana"/>
                <w:sz w:val="18"/>
                <w:szCs w:val="18"/>
              </w:rPr>
              <w:t xml:space="preserve"> частично</w:t>
            </w: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AA4B35" w:rsidP="00AA4B35">
            <w:pPr>
              <w:spacing w:before="80" w:after="40"/>
              <w:rPr>
                <w:rFonts w:ascii="Verdana" w:hAnsi="Verdana"/>
                <w:sz w:val="18"/>
                <w:szCs w:val="18"/>
              </w:rPr>
            </w:pPr>
          </w:p>
          <w:p w:rsidR="00AA4B35" w:rsidRDefault="00184E49" w:rsidP="00AA4B35">
            <w:pPr>
              <w:spacing w:before="80" w:after="40"/>
              <w:rPr>
                <w:rFonts w:ascii="Verdana" w:hAnsi="Verdana"/>
                <w:sz w:val="18"/>
                <w:szCs w:val="18"/>
              </w:rPr>
            </w:pPr>
            <w:r>
              <w:rPr>
                <w:rFonts w:ascii="Verdana" w:hAnsi="Verdana"/>
                <w:sz w:val="18"/>
                <w:szCs w:val="18"/>
              </w:rPr>
              <w:t>Не се приема</w:t>
            </w: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color w:val="FF0000"/>
                <w:sz w:val="18"/>
                <w:szCs w:val="18"/>
              </w:rPr>
            </w:pPr>
          </w:p>
          <w:p w:rsidR="00184E49" w:rsidRDefault="00184E49" w:rsidP="00AA4B35">
            <w:pPr>
              <w:spacing w:before="80" w:after="40"/>
              <w:rPr>
                <w:rFonts w:ascii="Verdana" w:hAnsi="Verdana"/>
                <w:sz w:val="18"/>
                <w:szCs w:val="18"/>
              </w:rPr>
            </w:pPr>
            <w:r w:rsidRPr="00184E49">
              <w:rPr>
                <w:rFonts w:ascii="Verdana" w:hAnsi="Verdana"/>
                <w:sz w:val="18"/>
                <w:szCs w:val="18"/>
              </w:rPr>
              <w:t>Не се приема</w:t>
            </w:r>
          </w:p>
          <w:p w:rsidR="00184E49" w:rsidRDefault="00184E49" w:rsidP="00AA4B35">
            <w:pPr>
              <w:spacing w:before="80" w:after="40"/>
              <w:rPr>
                <w:rFonts w:ascii="Verdana" w:hAnsi="Verdana"/>
                <w:sz w:val="18"/>
                <w:szCs w:val="18"/>
              </w:rPr>
            </w:pPr>
          </w:p>
          <w:p w:rsidR="00184E49" w:rsidRDefault="00184E49" w:rsidP="00AA4B35">
            <w:pPr>
              <w:spacing w:before="80" w:after="40"/>
              <w:rPr>
                <w:rFonts w:ascii="Verdana" w:hAnsi="Verdana"/>
                <w:sz w:val="18"/>
                <w:szCs w:val="18"/>
              </w:rPr>
            </w:pPr>
          </w:p>
          <w:p w:rsidR="00184E49" w:rsidRDefault="00184E49" w:rsidP="00AA4B35">
            <w:pPr>
              <w:spacing w:before="80" w:after="40"/>
              <w:rPr>
                <w:rFonts w:ascii="Verdana" w:hAnsi="Verdana"/>
                <w:sz w:val="18"/>
                <w:szCs w:val="18"/>
              </w:rPr>
            </w:pPr>
          </w:p>
          <w:p w:rsidR="00184E49" w:rsidRDefault="00184E49" w:rsidP="00AA4B35">
            <w:pPr>
              <w:spacing w:before="80" w:after="40"/>
              <w:rPr>
                <w:rFonts w:ascii="Verdana" w:hAnsi="Verdana"/>
                <w:sz w:val="18"/>
                <w:szCs w:val="18"/>
              </w:rPr>
            </w:pPr>
          </w:p>
          <w:p w:rsidR="00184E49" w:rsidRDefault="00184E49" w:rsidP="00AA4B35">
            <w:pPr>
              <w:spacing w:before="80" w:after="40"/>
              <w:rPr>
                <w:rFonts w:ascii="Verdana" w:hAnsi="Verdana"/>
                <w:sz w:val="18"/>
                <w:szCs w:val="18"/>
              </w:rPr>
            </w:pPr>
          </w:p>
          <w:p w:rsidR="00184E49" w:rsidRDefault="00184E49" w:rsidP="00AA4B35">
            <w:pPr>
              <w:spacing w:before="80" w:after="40"/>
              <w:rPr>
                <w:rFonts w:ascii="Verdana" w:hAnsi="Verdana"/>
                <w:sz w:val="18"/>
                <w:szCs w:val="18"/>
              </w:rPr>
            </w:pPr>
          </w:p>
          <w:p w:rsidR="00184E49" w:rsidRDefault="00184E49" w:rsidP="00AA4B35">
            <w:pPr>
              <w:spacing w:before="80" w:after="40"/>
              <w:rPr>
                <w:rFonts w:ascii="Verdana" w:hAnsi="Verdana"/>
                <w:sz w:val="18"/>
                <w:szCs w:val="18"/>
              </w:rPr>
            </w:pPr>
          </w:p>
          <w:p w:rsidR="00184E49" w:rsidRPr="00870E61" w:rsidRDefault="00184E49" w:rsidP="00AA4B35">
            <w:pPr>
              <w:spacing w:before="80" w:after="40"/>
              <w:rPr>
                <w:rFonts w:ascii="Verdana" w:hAnsi="Verdana"/>
                <w:color w:val="FF0000"/>
                <w:sz w:val="18"/>
                <w:szCs w:val="18"/>
              </w:rPr>
            </w:pPr>
            <w:r>
              <w:rPr>
                <w:rFonts w:ascii="Verdana" w:hAnsi="Verdana"/>
                <w:sz w:val="18"/>
                <w:szCs w:val="18"/>
              </w:rPr>
              <w:t>Не се приема</w:t>
            </w:r>
          </w:p>
        </w:tc>
        <w:tc>
          <w:tcPr>
            <w:tcW w:w="4819" w:type="dxa"/>
            <w:tcBorders>
              <w:bottom w:val="nil"/>
            </w:tcBorders>
            <w:shd w:val="clear" w:color="auto" w:fill="auto"/>
          </w:tcPr>
          <w:p w:rsidR="00AA4B35" w:rsidRPr="00651813" w:rsidRDefault="00AA4B35" w:rsidP="00350965">
            <w:pPr>
              <w:spacing w:before="80" w:after="40"/>
              <w:jc w:val="both"/>
              <w:rPr>
                <w:rFonts w:ascii="Verdana" w:hAnsi="Verdana"/>
                <w:sz w:val="18"/>
                <w:szCs w:val="18"/>
              </w:rPr>
            </w:pPr>
            <w:r w:rsidRPr="00651813">
              <w:rPr>
                <w:rFonts w:ascii="Verdana" w:hAnsi="Verdana"/>
                <w:sz w:val="18"/>
                <w:szCs w:val="18"/>
              </w:rPr>
              <w:lastRenderedPageBreak/>
              <w:t xml:space="preserve">Преформулирани </w:t>
            </w:r>
            <w:proofErr w:type="spellStart"/>
            <w:r w:rsidRPr="00651813">
              <w:rPr>
                <w:rFonts w:ascii="Verdana" w:hAnsi="Verdana"/>
                <w:sz w:val="18"/>
                <w:szCs w:val="18"/>
              </w:rPr>
              <w:t>съотватно</w:t>
            </w:r>
            <w:proofErr w:type="spellEnd"/>
            <w:r w:rsidRPr="00651813">
              <w:rPr>
                <w:rFonts w:ascii="Verdana" w:hAnsi="Verdana"/>
                <w:sz w:val="18"/>
                <w:szCs w:val="18"/>
              </w:rPr>
              <w:t xml:space="preserve"> така:</w:t>
            </w:r>
          </w:p>
          <w:p w:rsidR="00AA4B35" w:rsidRPr="00651813" w:rsidRDefault="00AA4B35" w:rsidP="00350965">
            <w:pPr>
              <w:spacing w:before="80" w:after="40"/>
              <w:jc w:val="both"/>
              <w:rPr>
                <w:rFonts w:ascii="Verdana" w:hAnsi="Verdana"/>
                <w:sz w:val="18"/>
                <w:szCs w:val="18"/>
              </w:rPr>
            </w:pPr>
            <w:r w:rsidRPr="00651813">
              <w:rPr>
                <w:rFonts w:ascii="Verdana" w:hAnsi="Verdana"/>
                <w:sz w:val="18"/>
                <w:szCs w:val="18"/>
              </w:rPr>
              <w:t xml:space="preserve">„небрежност“, по смисъла на чл. 5, </w:t>
            </w:r>
            <w:proofErr w:type="spellStart"/>
            <w:r w:rsidRPr="00651813">
              <w:rPr>
                <w:rFonts w:ascii="Verdana" w:hAnsi="Verdana"/>
                <w:sz w:val="18"/>
                <w:szCs w:val="18"/>
              </w:rPr>
              <w:t>пар</w:t>
            </w:r>
            <w:proofErr w:type="spellEnd"/>
            <w:r w:rsidRPr="00651813">
              <w:rPr>
                <w:rFonts w:ascii="Verdana" w:hAnsi="Verdana"/>
                <w:sz w:val="18"/>
                <w:szCs w:val="18"/>
              </w:rPr>
              <w:t xml:space="preserve">. 2 от Регламент (EО, ЕВРАТОМ) № 2988/95 на Съвета от 18 декември 1995 година относно защитата на финансовите интереси на Европейските общности във връзка с разпоредбата на чл. 12 от Регламент (ЕС) 2021/2115, означава </w:t>
            </w:r>
            <w:proofErr w:type="spellStart"/>
            <w:r w:rsidRPr="00651813">
              <w:rPr>
                <w:rFonts w:ascii="Verdana" w:hAnsi="Verdana"/>
                <w:sz w:val="18"/>
                <w:szCs w:val="18"/>
              </w:rPr>
              <w:t>неполагане</w:t>
            </w:r>
            <w:proofErr w:type="spellEnd"/>
            <w:r w:rsidRPr="00651813">
              <w:rPr>
                <w:rFonts w:ascii="Verdana" w:hAnsi="Verdana"/>
                <w:sz w:val="18"/>
                <w:szCs w:val="18"/>
              </w:rPr>
              <w:t xml:space="preserve"> на дължимата грижа, или бездействие от страна на земеделския стопанин по отношение на околната среда при осъществяване на  земеделска дейност</w:t>
            </w:r>
          </w:p>
          <w:p w:rsidR="00AA4B35" w:rsidRPr="00651813" w:rsidRDefault="00AA4B35" w:rsidP="00350965">
            <w:pPr>
              <w:spacing w:before="80" w:after="40"/>
              <w:jc w:val="both"/>
              <w:rPr>
                <w:rFonts w:ascii="Verdana" w:hAnsi="Verdana"/>
                <w:sz w:val="18"/>
                <w:szCs w:val="18"/>
              </w:rPr>
            </w:pPr>
          </w:p>
          <w:p w:rsidR="00AA4B35" w:rsidRPr="00651813" w:rsidRDefault="00AA4B35" w:rsidP="00350965">
            <w:pPr>
              <w:spacing w:before="80" w:after="40"/>
              <w:jc w:val="both"/>
              <w:rPr>
                <w:rFonts w:ascii="Verdana" w:hAnsi="Verdana"/>
                <w:sz w:val="18"/>
                <w:szCs w:val="18"/>
              </w:rPr>
            </w:pPr>
            <w:r w:rsidRPr="00651813">
              <w:rPr>
                <w:rFonts w:ascii="Verdana" w:hAnsi="Verdana"/>
                <w:sz w:val="18"/>
                <w:szCs w:val="18"/>
              </w:rPr>
              <w:t xml:space="preserve">В контекста на Методиката полагането на </w:t>
            </w:r>
            <w:r w:rsidR="00EE7EB4" w:rsidRPr="00651813">
              <w:rPr>
                <w:rFonts w:ascii="Verdana" w:hAnsi="Verdana"/>
                <w:sz w:val="18"/>
                <w:szCs w:val="18"/>
              </w:rPr>
              <w:t>„дължимата“ „</w:t>
            </w:r>
            <w:r w:rsidRPr="00651813">
              <w:rPr>
                <w:rFonts w:ascii="Verdana" w:hAnsi="Verdana"/>
                <w:sz w:val="18"/>
                <w:szCs w:val="18"/>
              </w:rPr>
              <w:t>грижа</w:t>
            </w:r>
            <w:r w:rsidR="00EE7EB4" w:rsidRPr="00651813">
              <w:rPr>
                <w:rFonts w:ascii="Verdana" w:hAnsi="Verdana"/>
                <w:sz w:val="18"/>
                <w:szCs w:val="18"/>
              </w:rPr>
              <w:t>“</w:t>
            </w:r>
            <w:r w:rsidRPr="00651813">
              <w:rPr>
                <w:rFonts w:ascii="Verdana" w:hAnsi="Verdana"/>
                <w:sz w:val="18"/>
                <w:szCs w:val="18"/>
              </w:rPr>
              <w:t xml:space="preserve"> за околната среда, биоразнообразието и екосистемите, които попадат в земеделските земи, означава спазване на чл. </w:t>
            </w:r>
            <w:r w:rsidR="00EE7EB4" w:rsidRPr="00651813">
              <w:rPr>
                <w:rFonts w:ascii="Verdana" w:hAnsi="Verdana"/>
                <w:sz w:val="18"/>
                <w:szCs w:val="18"/>
              </w:rPr>
              <w:t xml:space="preserve">13 от Регламент </w:t>
            </w:r>
            <w:r w:rsidR="00EE7EB4" w:rsidRPr="00651813">
              <w:rPr>
                <w:rFonts w:ascii="Verdana" w:hAnsi="Verdana"/>
                <w:sz w:val="18"/>
                <w:szCs w:val="18"/>
                <w:lang w:val="en-US"/>
              </w:rPr>
              <w:t>(</w:t>
            </w:r>
            <w:r w:rsidR="00EE7EB4" w:rsidRPr="00651813">
              <w:rPr>
                <w:rFonts w:ascii="Verdana" w:hAnsi="Verdana"/>
                <w:sz w:val="18"/>
                <w:szCs w:val="18"/>
              </w:rPr>
              <w:t>ЕС</w:t>
            </w:r>
            <w:r w:rsidR="00EE7EB4" w:rsidRPr="00651813">
              <w:rPr>
                <w:rFonts w:ascii="Verdana" w:hAnsi="Verdana"/>
                <w:sz w:val="18"/>
                <w:szCs w:val="18"/>
                <w:lang w:val="en-US"/>
              </w:rPr>
              <w:t>)</w:t>
            </w:r>
            <w:r w:rsidR="00EE7EB4" w:rsidRPr="00651813">
              <w:rPr>
                <w:rFonts w:ascii="Verdana" w:hAnsi="Verdana"/>
                <w:sz w:val="18"/>
                <w:szCs w:val="18"/>
              </w:rPr>
              <w:t xml:space="preserve"> 2021/2115 и приложение </w:t>
            </w:r>
            <w:r w:rsidR="00EE7EB4" w:rsidRPr="00651813">
              <w:rPr>
                <w:rFonts w:ascii="Verdana" w:hAnsi="Verdana"/>
                <w:sz w:val="18"/>
                <w:szCs w:val="18"/>
                <w:lang w:val="en-US"/>
              </w:rPr>
              <w:t>III к</w:t>
            </w:r>
            <w:proofErr w:type="spellStart"/>
            <w:r w:rsidR="00EE7EB4" w:rsidRPr="00651813">
              <w:rPr>
                <w:rFonts w:ascii="Verdana" w:hAnsi="Verdana"/>
                <w:sz w:val="18"/>
                <w:szCs w:val="18"/>
              </w:rPr>
              <w:t>ъм</w:t>
            </w:r>
            <w:proofErr w:type="spellEnd"/>
            <w:r w:rsidR="00EE7EB4" w:rsidRPr="00651813">
              <w:rPr>
                <w:rFonts w:ascii="Verdana" w:hAnsi="Verdana"/>
                <w:sz w:val="18"/>
                <w:szCs w:val="18"/>
              </w:rPr>
              <w:t xml:space="preserve"> него, а липсата на активно действие за това се третира като  „</w:t>
            </w:r>
            <w:proofErr w:type="spellStart"/>
            <w:r w:rsidR="00EE7EB4" w:rsidRPr="00651813">
              <w:rPr>
                <w:rFonts w:ascii="Verdana" w:hAnsi="Verdana"/>
                <w:sz w:val="18"/>
                <w:szCs w:val="18"/>
              </w:rPr>
              <w:t>неполагане</w:t>
            </w:r>
            <w:proofErr w:type="spellEnd"/>
            <w:r w:rsidR="00EE7EB4" w:rsidRPr="00651813">
              <w:rPr>
                <w:rFonts w:ascii="Verdana" w:hAnsi="Verdana"/>
                <w:sz w:val="18"/>
                <w:szCs w:val="18"/>
              </w:rPr>
              <w:t>“ на „грижа“, респ. „бездействие“.</w:t>
            </w:r>
          </w:p>
          <w:p w:rsidR="00EE7EB4" w:rsidRPr="00651813" w:rsidRDefault="00EE7EB4"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F40E0B" w:rsidP="00350965">
            <w:pPr>
              <w:spacing w:before="80" w:after="40"/>
              <w:jc w:val="both"/>
              <w:rPr>
                <w:rFonts w:ascii="Verdana" w:hAnsi="Verdana"/>
                <w:sz w:val="18"/>
                <w:szCs w:val="18"/>
              </w:rPr>
            </w:pPr>
          </w:p>
          <w:p w:rsidR="00F40E0B" w:rsidRPr="00651813" w:rsidRDefault="00184E49" w:rsidP="00350965">
            <w:pPr>
              <w:spacing w:before="80" w:after="40"/>
              <w:jc w:val="both"/>
              <w:rPr>
                <w:rFonts w:ascii="Verdana" w:hAnsi="Verdana"/>
                <w:sz w:val="18"/>
                <w:szCs w:val="18"/>
              </w:rPr>
            </w:pPr>
            <w:r w:rsidRPr="00651813">
              <w:rPr>
                <w:rFonts w:ascii="Verdana" w:hAnsi="Verdana"/>
                <w:sz w:val="18"/>
                <w:szCs w:val="18"/>
              </w:rPr>
              <w:t xml:space="preserve">В Методиката контекстът „околна среда“ е в съответствие с чл. 5, чл. 12 и чл. 13 на Регламент </w:t>
            </w:r>
            <w:r w:rsidRPr="00651813">
              <w:rPr>
                <w:rFonts w:ascii="Verdana" w:hAnsi="Verdana"/>
                <w:sz w:val="18"/>
                <w:szCs w:val="18"/>
                <w:lang w:val="en-US"/>
              </w:rPr>
              <w:t>(</w:t>
            </w:r>
            <w:r w:rsidRPr="00651813">
              <w:rPr>
                <w:rFonts w:ascii="Verdana" w:hAnsi="Verdana"/>
                <w:sz w:val="18"/>
                <w:szCs w:val="18"/>
              </w:rPr>
              <w:t>ЕС</w:t>
            </w:r>
            <w:r w:rsidRPr="00651813">
              <w:rPr>
                <w:rFonts w:ascii="Verdana" w:hAnsi="Verdana"/>
                <w:sz w:val="18"/>
                <w:szCs w:val="18"/>
                <w:lang w:val="en-US"/>
              </w:rPr>
              <w:t>)</w:t>
            </w:r>
            <w:r w:rsidRPr="00651813">
              <w:rPr>
                <w:rFonts w:ascii="Verdana" w:hAnsi="Verdana"/>
                <w:sz w:val="18"/>
                <w:szCs w:val="18"/>
              </w:rPr>
              <w:t xml:space="preserve"> 2021/2115, в т.ч. по отношение на прилагането на </w:t>
            </w:r>
            <w:proofErr w:type="spellStart"/>
            <w:r w:rsidRPr="00651813">
              <w:rPr>
                <w:rFonts w:ascii="Verdana" w:hAnsi="Verdana"/>
                <w:sz w:val="18"/>
                <w:szCs w:val="18"/>
              </w:rPr>
              <w:t>предватрителните</w:t>
            </w:r>
            <w:proofErr w:type="spellEnd"/>
            <w:r w:rsidRPr="00651813">
              <w:rPr>
                <w:rFonts w:ascii="Verdana" w:hAnsi="Verdana"/>
                <w:sz w:val="18"/>
                <w:szCs w:val="18"/>
              </w:rPr>
              <w:t xml:space="preserve"> условия в Общата </w:t>
            </w:r>
            <w:proofErr w:type="spellStart"/>
            <w:r w:rsidRPr="00651813">
              <w:rPr>
                <w:rFonts w:ascii="Verdana" w:hAnsi="Verdana"/>
                <w:sz w:val="18"/>
                <w:szCs w:val="18"/>
              </w:rPr>
              <w:t>селскоспопанска</w:t>
            </w:r>
            <w:proofErr w:type="spellEnd"/>
            <w:r w:rsidRPr="00651813">
              <w:rPr>
                <w:rFonts w:ascii="Verdana" w:hAnsi="Verdana"/>
                <w:sz w:val="18"/>
                <w:szCs w:val="18"/>
              </w:rPr>
              <w:t xml:space="preserve"> политика за периода 2023-2027 г. и в съответствие със Стратегическия план за развитие на земеделието и селските райони в Република България за периода 2023-2027 г.</w:t>
            </w:r>
          </w:p>
          <w:p w:rsidR="00F40E0B" w:rsidRPr="00651813" w:rsidRDefault="00F40E0B" w:rsidP="00350965">
            <w:pPr>
              <w:spacing w:before="80" w:after="40"/>
              <w:jc w:val="both"/>
              <w:rPr>
                <w:rFonts w:ascii="Verdana" w:hAnsi="Verdana"/>
                <w:sz w:val="18"/>
                <w:szCs w:val="18"/>
              </w:rPr>
            </w:pPr>
          </w:p>
          <w:p w:rsidR="00D95213" w:rsidRPr="00651813" w:rsidRDefault="00F40E0B" w:rsidP="00350965">
            <w:pPr>
              <w:spacing w:before="80" w:after="40"/>
              <w:jc w:val="both"/>
              <w:rPr>
                <w:rFonts w:ascii="Verdana" w:hAnsi="Verdana"/>
                <w:sz w:val="18"/>
                <w:szCs w:val="18"/>
                <w:lang w:val="en-US"/>
              </w:rPr>
            </w:pPr>
            <w:r w:rsidRPr="00651813">
              <w:rPr>
                <w:rFonts w:ascii="Verdana" w:hAnsi="Verdana"/>
                <w:sz w:val="18"/>
                <w:szCs w:val="18"/>
              </w:rPr>
              <w:t>Означава действия, отнасящи се до „селскостопанска“, респ. „земеделска дейност“ в съответс</w:t>
            </w:r>
            <w:r w:rsidR="00350965" w:rsidRPr="00651813">
              <w:rPr>
                <w:rFonts w:ascii="Verdana" w:hAnsi="Verdana"/>
                <w:sz w:val="18"/>
                <w:szCs w:val="18"/>
              </w:rPr>
              <w:t>твие с определението в</w:t>
            </w:r>
            <w:r w:rsidRPr="00651813">
              <w:rPr>
                <w:rFonts w:ascii="Verdana" w:hAnsi="Verdana"/>
                <w:sz w:val="18"/>
                <w:szCs w:val="18"/>
              </w:rPr>
              <w:t xml:space="preserve"> чл. 4, </w:t>
            </w:r>
            <w:proofErr w:type="spellStart"/>
            <w:r w:rsidRPr="00651813">
              <w:rPr>
                <w:rFonts w:ascii="Verdana" w:hAnsi="Verdana"/>
                <w:sz w:val="18"/>
                <w:szCs w:val="18"/>
              </w:rPr>
              <w:t>пар</w:t>
            </w:r>
            <w:proofErr w:type="spellEnd"/>
            <w:r w:rsidRPr="00651813">
              <w:rPr>
                <w:rFonts w:ascii="Verdana" w:hAnsi="Verdana"/>
                <w:sz w:val="18"/>
                <w:szCs w:val="18"/>
              </w:rPr>
              <w:t xml:space="preserve">. 2 от Регламент </w:t>
            </w:r>
            <w:r w:rsidRPr="00651813">
              <w:rPr>
                <w:rFonts w:ascii="Verdana" w:hAnsi="Verdana"/>
                <w:sz w:val="18"/>
                <w:szCs w:val="18"/>
                <w:lang w:val="en-US"/>
              </w:rPr>
              <w:t>(</w:t>
            </w:r>
            <w:r w:rsidRPr="00651813">
              <w:rPr>
                <w:rFonts w:ascii="Verdana" w:hAnsi="Verdana"/>
                <w:sz w:val="18"/>
                <w:szCs w:val="18"/>
              </w:rPr>
              <w:t>ЕС</w:t>
            </w:r>
            <w:r w:rsidRPr="00651813">
              <w:rPr>
                <w:rFonts w:ascii="Verdana" w:hAnsi="Verdana"/>
                <w:sz w:val="18"/>
                <w:szCs w:val="18"/>
                <w:lang w:val="en-US"/>
              </w:rPr>
              <w:t>)</w:t>
            </w:r>
            <w:r w:rsidRPr="00651813">
              <w:rPr>
                <w:rFonts w:ascii="Verdana" w:hAnsi="Verdana"/>
                <w:sz w:val="18"/>
                <w:szCs w:val="18"/>
              </w:rPr>
              <w:t>2021/2115 и параграф 1, т. 25 от Закона за подпомагане на земеделските производители</w:t>
            </w:r>
            <w:r w:rsidR="00184E49" w:rsidRPr="00651813">
              <w:rPr>
                <w:rFonts w:ascii="Verdana" w:hAnsi="Verdana"/>
                <w:sz w:val="18"/>
                <w:szCs w:val="18"/>
              </w:rPr>
              <w:t xml:space="preserve">. Видовете селскостопански </w:t>
            </w:r>
            <w:r w:rsidR="00184E49" w:rsidRPr="00651813">
              <w:rPr>
                <w:rFonts w:ascii="Verdana" w:hAnsi="Verdana"/>
                <w:sz w:val="18"/>
                <w:szCs w:val="18"/>
                <w:lang w:val="en-US"/>
              </w:rPr>
              <w:t>(</w:t>
            </w:r>
            <w:r w:rsidR="00184E49" w:rsidRPr="00651813">
              <w:rPr>
                <w:rFonts w:ascii="Verdana" w:hAnsi="Verdana"/>
                <w:sz w:val="18"/>
                <w:szCs w:val="18"/>
              </w:rPr>
              <w:t>земеделски</w:t>
            </w:r>
            <w:r w:rsidR="00184E49" w:rsidRPr="00651813">
              <w:rPr>
                <w:rFonts w:ascii="Verdana" w:hAnsi="Verdana"/>
                <w:sz w:val="18"/>
                <w:szCs w:val="18"/>
                <w:lang w:val="en-US"/>
              </w:rPr>
              <w:t>)</w:t>
            </w:r>
            <w:r w:rsidR="00184E49" w:rsidRPr="00651813">
              <w:rPr>
                <w:rFonts w:ascii="Verdana" w:hAnsi="Verdana"/>
                <w:sz w:val="18"/>
                <w:szCs w:val="18"/>
              </w:rPr>
              <w:t xml:space="preserve"> дейности се съдържат в НКИД</w:t>
            </w:r>
            <w:r w:rsidR="00937CB9" w:rsidRPr="00651813">
              <w:rPr>
                <w:rFonts w:ascii="Verdana" w:hAnsi="Verdana"/>
                <w:sz w:val="18"/>
                <w:szCs w:val="18"/>
              </w:rPr>
              <w:t xml:space="preserve"> в раздела</w:t>
            </w:r>
            <w:r w:rsidR="001869D8" w:rsidRPr="00651813">
              <w:rPr>
                <w:rFonts w:ascii="Verdana" w:hAnsi="Verdana"/>
                <w:sz w:val="18"/>
                <w:szCs w:val="18"/>
              </w:rPr>
              <w:t xml:space="preserve"> А </w:t>
            </w:r>
            <w:r w:rsidR="00937CB9" w:rsidRPr="00651813">
              <w:rPr>
                <w:rFonts w:ascii="Verdana" w:hAnsi="Verdana"/>
                <w:sz w:val="18"/>
                <w:szCs w:val="18"/>
              </w:rPr>
              <w:t>„Селско, горско и рибно с</w:t>
            </w:r>
            <w:r w:rsidR="001869D8" w:rsidRPr="00651813">
              <w:rPr>
                <w:rFonts w:ascii="Verdana" w:hAnsi="Verdana"/>
                <w:sz w:val="18"/>
                <w:szCs w:val="18"/>
              </w:rPr>
              <w:t>топа</w:t>
            </w:r>
            <w:r w:rsidR="00937CB9" w:rsidRPr="00651813">
              <w:rPr>
                <w:rFonts w:ascii="Verdana" w:hAnsi="Verdana"/>
                <w:sz w:val="18"/>
                <w:szCs w:val="18"/>
              </w:rPr>
              <w:t>нство“</w:t>
            </w:r>
            <w:r w:rsidR="001869D8" w:rsidRPr="00651813">
              <w:rPr>
                <w:rFonts w:ascii="Verdana" w:hAnsi="Verdana"/>
                <w:sz w:val="18"/>
                <w:szCs w:val="18"/>
              </w:rPr>
              <w:t xml:space="preserve">, подраздел 01 „Растениевъдство, животновъдство и лов“, включващи от КИД-2008 съответно: 01.1 – 01.6 включително, за видовете дейности от </w:t>
            </w:r>
            <w:r w:rsidR="004F3765" w:rsidRPr="00651813">
              <w:rPr>
                <w:rFonts w:ascii="Verdana" w:hAnsi="Verdana"/>
                <w:sz w:val="18"/>
                <w:szCs w:val="18"/>
              </w:rPr>
              <w:t>областта на растениевъ</w:t>
            </w:r>
            <w:r w:rsidR="001869D8" w:rsidRPr="00651813">
              <w:rPr>
                <w:rFonts w:ascii="Verdana" w:hAnsi="Verdana"/>
                <w:sz w:val="18"/>
                <w:szCs w:val="18"/>
              </w:rPr>
              <w:t xml:space="preserve">дството, </w:t>
            </w:r>
            <w:r w:rsidR="001869D8" w:rsidRPr="00651813">
              <w:rPr>
                <w:rFonts w:ascii="Verdana" w:hAnsi="Verdana"/>
                <w:sz w:val="18"/>
                <w:szCs w:val="18"/>
              </w:rPr>
              <w:lastRenderedPageBreak/>
              <w:t>животновъдството, смесените стопанства и спомагателните дейности за тях</w:t>
            </w:r>
            <w:r w:rsidR="00D95213" w:rsidRPr="00651813">
              <w:rPr>
                <w:rFonts w:ascii="Verdana" w:hAnsi="Verdana"/>
                <w:sz w:val="18"/>
                <w:szCs w:val="18"/>
                <w:lang w:val="en-US"/>
              </w:rPr>
              <w:t xml:space="preserve"> (</w:t>
            </w:r>
            <w:hyperlink r:id="rId8" w:history="1">
              <w:r w:rsidR="00D95213" w:rsidRPr="00651813">
                <w:rPr>
                  <w:rStyle w:val="Hyperlink"/>
                  <w:rFonts w:ascii="Verdana" w:hAnsi="Verdana"/>
                  <w:color w:val="auto"/>
                  <w:sz w:val="18"/>
                  <w:szCs w:val="18"/>
                </w:rPr>
                <w:t>https://www.sme.government.bg/uploads/2020/12/Приложение_5_-КИД.pdf</w:t>
              </w:r>
            </w:hyperlink>
            <w:r w:rsidR="00D95213" w:rsidRPr="00651813">
              <w:rPr>
                <w:rFonts w:ascii="Verdana" w:hAnsi="Verdana"/>
                <w:sz w:val="18"/>
                <w:szCs w:val="18"/>
                <w:lang w:val="en-US"/>
              </w:rPr>
              <w:t>)</w:t>
            </w:r>
          </w:p>
          <w:p w:rsidR="00F40E0B" w:rsidRPr="00651813" w:rsidRDefault="00F40E0B" w:rsidP="00350965">
            <w:pPr>
              <w:spacing w:before="80" w:after="40"/>
              <w:jc w:val="both"/>
              <w:rPr>
                <w:rFonts w:ascii="Verdana" w:hAnsi="Verdana"/>
                <w:sz w:val="18"/>
                <w:szCs w:val="18"/>
              </w:rPr>
            </w:pPr>
          </w:p>
        </w:tc>
      </w:tr>
      <w:tr w:rsidR="0094721F" w:rsidRPr="0094721F"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11. „стопанство“ означава всички използвани за селскостопански дейности и управлявани от земеделски стопанин единици, които се намират на територията на страната.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да се редактира.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е неточно, непълно и неясно, което може да доведе до неправилно тълкуване и прилагането му и следва да се вземат под внимание следните основания за това: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„Всички“</w:t>
            </w:r>
          </w:p>
          <w:p w:rsidR="00AA4B35" w:rsidRPr="00870E61" w:rsidRDefault="00AA4B35" w:rsidP="00AA4B35">
            <w:pPr>
              <w:numPr>
                <w:ilvl w:val="0"/>
                <w:numId w:val="8"/>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Думата „всички“ предполага обхватност, но не уточнява ясно кои единици или ресурси са включени. Не е ясно дали това включва само земеделска земя или също и постройки, машини, животни и други активи. Липсата на яснота може да доведе до различни тълкувания на понятието „всички използвани за селскостопански дейности единици“.</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„Използвани“</w:t>
            </w:r>
          </w:p>
          <w:p w:rsidR="00AA4B35" w:rsidRPr="00870E61" w:rsidRDefault="00AA4B35" w:rsidP="00AA4B35">
            <w:pPr>
              <w:numPr>
                <w:ilvl w:val="0"/>
                <w:numId w:val="9"/>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Терминът „използвани“ е двусмислен. Не е ясно дали се отнася само до текущо използваните единици или включва и такива, които са в покой или подготвяни за бъдеща употреба. Това може да доведе до правни неясноти, особено при определяне на обхвата на „стопанството“.</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„И управлявани“</w:t>
            </w:r>
          </w:p>
          <w:p w:rsidR="00AA4B35" w:rsidRPr="00870E61" w:rsidRDefault="00AA4B35" w:rsidP="00AA4B35">
            <w:pPr>
              <w:numPr>
                <w:ilvl w:val="0"/>
                <w:numId w:val="10"/>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xml:space="preserve">: Терминът „управлявани“ не уточнява какво точно включва управлението в този контекст. Не е ясно дали това предполага само административно управление, или включва и физическо или оперативно ръководство на единиците. Тази </w:t>
            </w:r>
            <w:r w:rsidRPr="00870E61">
              <w:rPr>
                <w:rFonts w:ascii="Verdana" w:hAnsi="Verdana"/>
                <w:sz w:val="18"/>
                <w:szCs w:val="18"/>
              </w:rPr>
              <w:lastRenderedPageBreak/>
              <w:t>неяснота може да доведе до правни спорове относно определението на управление.</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„Единици“</w:t>
            </w:r>
          </w:p>
          <w:p w:rsidR="00AA4B35" w:rsidRPr="00870E61" w:rsidRDefault="00AA4B35" w:rsidP="00AA4B35">
            <w:pPr>
              <w:numPr>
                <w:ilvl w:val="0"/>
                <w:numId w:val="11"/>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Терминът „единици“ е твърде общ и неясен. Не е уточнено дали това включва само земеделски парцели, или също и други видове активи като сгради, машини, животни, и т.н. Липсата на яснота тук може да доведе до нееднозначни тълкувания.</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„Които се намират“</w:t>
            </w:r>
          </w:p>
          <w:p w:rsidR="00AA4B35" w:rsidRPr="00870E61" w:rsidRDefault="00AA4B35" w:rsidP="00AA4B35">
            <w:pPr>
              <w:numPr>
                <w:ilvl w:val="0"/>
                <w:numId w:val="12"/>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Изразът „които се намират“ е твърде буквален и не уточнява дали се отнася само за физическото местоположение на единиците или и за тяхната регистрация, законност или друга правна връзка със страната.</w:t>
            </w:r>
          </w:p>
        </w:tc>
        <w:tc>
          <w:tcPr>
            <w:tcW w:w="1559" w:type="dxa"/>
            <w:tcBorders>
              <w:top w:val="nil"/>
              <w:bottom w:val="nil"/>
            </w:tcBorders>
            <w:shd w:val="clear" w:color="auto" w:fill="auto"/>
          </w:tcPr>
          <w:p w:rsidR="00AA4B35" w:rsidRDefault="00181DF2" w:rsidP="00AA4B35">
            <w:pPr>
              <w:spacing w:before="80" w:after="40"/>
              <w:rPr>
                <w:rFonts w:ascii="Verdana" w:hAnsi="Verdana"/>
                <w:sz w:val="18"/>
                <w:szCs w:val="18"/>
              </w:rPr>
            </w:pPr>
            <w:r>
              <w:rPr>
                <w:rFonts w:ascii="Verdana" w:hAnsi="Verdana"/>
                <w:sz w:val="18"/>
                <w:szCs w:val="18"/>
              </w:rPr>
              <w:lastRenderedPageBreak/>
              <w:t>Приема се</w:t>
            </w: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Default="00C20DC6" w:rsidP="00AA4B35">
            <w:pPr>
              <w:spacing w:before="80" w:after="40"/>
              <w:rPr>
                <w:rFonts w:ascii="Verdana" w:hAnsi="Verdana"/>
                <w:sz w:val="18"/>
                <w:szCs w:val="18"/>
              </w:rPr>
            </w:pPr>
          </w:p>
          <w:p w:rsidR="00C20DC6" w:rsidRPr="00870E61" w:rsidRDefault="00C20DC6" w:rsidP="00AA4B35">
            <w:pPr>
              <w:spacing w:before="80" w:after="40"/>
              <w:rPr>
                <w:rFonts w:ascii="Verdana" w:hAnsi="Verdana"/>
                <w:color w:val="FF0000"/>
                <w:sz w:val="18"/>
                <w:szCs w:val="18"/>
              </w:rPr>
            </w:pPr>
            <w:r>
              <w:rPr>
                <w:rFonts w:ascii="Verdana" w:hAnsi="Verdana"/>
                <w:sz w:val="18"/>
                <w:szCs w:val="18"/>
              </w:rPr>
              <w:t>Не се приема</w:t>
            </w:r>
          </w:p>
        </w:tc>
        <w:tc>
          <w:tcPr>
            <w:tcW w:w="4819" w:type="dxa"/>
            <w:tcBorders>
              <w:top w:val="nil"/>
              <w:bottom w:val="nil"/>
            </w:tcBorders>
            <w:shd w:val="clear" w:color="auto" w:fill="auto"/>
          </w:tcPr>
          <w:p w:rsidR="00D95213" w:rsidRPr="00651813" w:rsidRDefault="00181DF2" w:rsidP="00350965">
            <w:pPr>
              <w:spacing w:before="80" w:after="40"/>
              <w:jc w:val="both"/>
              <w:rPr>
                <w:rFonts w:ascii="Verdana" w:hAnsi="Verdana"/>
                <w:sz w:val="18"/>
                <w:szCs w:val="18"/>
              </w:rPr>
            </w:pPr>
            <w:r w:rsidRPr="00651813">
              <w:rPr>
                <w:rFonts w:ascii="Verdana" w:hAnsi="Verdana"/>
                <w:sz w:val="18"/>
                <w:szCs w:val="18"/>
              </w:rPr>
              <w:t xml:space="preserve">Преформулирано в съответствие с действащите за периода 2023-2027 г. регламенти: </w:t>
            </w:r>
            <w:r w:rsidR="00D95213" w:rsidRPr="00651813">
              <w:rPr>
                <w:rFonts w:ascii="Verdana" w:hAnsi="Verdana"/>
                <w:sz w:val="18"/>
                <w:szCs w:val="18"/>
              </w:rPr>
              <w:t>„стопанство“, съгласно чл. 3, т. 2</w:t>
            </w:r>
            <w:r w:rsidR="00D95213" w:rsidRPr="00651813">
              <w:rPr>
                <w:rFonts w:ascii="Verdana" w:hAnsi="Verdana"/>
                <w:sz w:val="18"/>
                <w:szCs w:val="18"/>
                <w:lang w:val="en-US"/>
              </w:rPr>
              <w:t>)</w:t>
            </w:r>
            <w:r w:rsidR="00D95213" w:rsidRPr="00651813">
              <w:rPr>
                <w:rFonts w:ascii="Verdana" w:hAnsi="Verdana"/>
                <w:sz w:val="18"/>
                <w:szCs w:val="18"/>
              </w:rPr>
              <w:t xml:space="preserve"> от Регламент </w:t>
            </w:r>
            <w:r w:rsidR="00D95213" w:rsidRPr="00651813">
              <w:rPr>
                <w:rFonts w:ascii="Verdana" w:hAnsi="Verdana"/>
                <w:sz w:val="18"/>
                <w:szCs w:val="18"/>
                <w:lang w:val="en-US"/>
              </w:rPr>
              <w:t>(EC) 2021/2115</w:t>
            </w:r>
            <w:r w:rsidR="00D95213" w:rsidRPr="00651813">
              <w:rPr>
                <w:rFonts w:ascii="Verdana" w:hAnsi="Verdana"/>
                <w:sz w:val="18"/>
                <w:szCs w:val="18"/>
              </w:rPr>
              <w:t>,  означава всички използвани за селскостопански дейности и управлявани от земеделски стопанин единици, които се намират на територията на страната.</w:t>
            </w:r>
          </w:p>
          <w:p w:rsidR="00181DF2" w:rsidRPr="00651813" w:rsidRDefault="00181DF2" w:rsidP="00350965">
            <w:pPr>
              <w:spacing w:before="80" w:after="40"/>
              <w:jc w:val="both"/>
            </w:pPr>
          </w:p>
          <w:p w:rsidR="00181DF2" w:rsidRPr="00651813" w:rsidRDefault="00181DF2" w:rsidP="00350965">
            <w:pPr>
              <w:spacing w:before="80" w:after="40"/>
              <w:jc w:val="both"/>
            </w:pPr>
          </w:p>
          <w:p w:rsidR="00181DF2" w:rsidRPr="00651813" w:rsidRDefault="00181DF2" w:rsidP="00350965">
            <w:pPr>
              <w:spacing w:before="80" w:after="40"/>
              <w:jc w:val="both"/>
            </w:pPr>
          </w:p>
          <w:p w:rsidR="00181DF2" w:rsidRPr="00651813" w:rsidRDefault="00C20DC6" w:rsidP="00350965">
            <w:pPr>
              <w:spacing w:before="80" w:after="40"/>
              <w:jc w:val="both"/>
              <w:rPr>
                <w:rFonts w:ascii="Verdana" w:hAnsi="Verdana"/>
                <w:sz w:val="18"/>
                <w:szCs w:val="18"/>
              </w:rPr>
            </w:pPr>
            <w:r w:rsidRPr="00651813">
              <w:rPr>
                <w:rFonts w:ascii="Verdana" w:hAnsi="Verdana"/>
                <w:sz w:val="18"/>
                <w:szCs w:val="18"/>
              </w:rPr>
              <w:t>Означава всички по НКИД-2008 от 01.1 до 01.6 вкл., като подпомагането под формата на директни плащания е приравнено на площ, в т.ч. и за животновъдните или за смесените обекти</w:t>
            </w:r>
          </w:p>
          <w:p w:rsidR="00181DF2" w:rsidRPr="00651813" w:rsidRDefault="00181DF2" w:rsidP="00350965">
            <w:pPr>
              <w:spacing w:before="80" w:after="40"/>
              <w:jc w:val="both"/>
            </w:pPr>
          </w:p>
          <w:p w:rsidR="00C20DC6" w:rsidRPr="00651813" w:rsidRDefault="00C20DC6" w:rsidP="00350965">
            <w:pPr>
              <w:spacing w:before="80" w:after="40"/>
              <w:jc w:val="both"/>
            </w:pPr>
          </w:p>
          <w:p w:rsidR="00181DF2" w:rsidRPr="00651813" w:rsidRDefault="00181DF2" w:rsidP="00350965">
            <w:pPr>
              <w:spacing w:before="80" w:after="40"/>
              <w:jc w:val="both"/>
              <w:rPr>
                <w:rFonts w:ascii="Verdana" w:hAnsi="Verdana"/>
                <w:sz w:val="18"/>
                <w:szCs w:val="18"/>
              </w:rPr>
            </w:pPr>
            <w:r w:rsidRPr="00651813">
              <w:rPr>
                <w:rFonts w:ascii="Verdana" w:hAnsi="Verdana"/>
                <w:sz w:val="18"/>
                <w:szCs w:val="18"/>
              </w:rPr>
              <w:t xml:space="preserve">Периодите са определени  за календарната година </w:t>
            </w:r>
            <w:r w:rsidRPr="00651813">
              <w:rPr>
                <w:rFonts w:ascii="Verdana" w:hAnsi="Verdana"/>
                <w:sz w:val="18"/>
                <w:szCs w:val="18"/>
                <w:lang w:val="en-US"/>
              </w:rPr>
              <w:t>(</w:t>
            </w:r>
            <w:r w:rsidRPr="00651813">
              <w:rPr>
                <w:rFonts w:ascii="Verdana" w:hAnsi="Verdana"/>
                <w:sz w:val="18"/>
                <w:szCs w:val="18"/>
              </w:rPr>
              <w:t xml:space="preserve">т.е. действията и дейностите в рамките на </w:t>
            </w:r>
            <w:proofErr w:type="spellStart"/>
            <w:r w:rsidRPr="00651813">
              <w:rPr>
                <w:rFonts w:ascii="Verdana" w:hAnsi="Verdana"/>
                <w:sz w:val="18"/>
                <w:szCs w:val="18"/>
              </w:rPr>
              <w:t>календалната</w:t>
            </w:r>
            <w:proofErr w:type="spellEnd"/>
            <w:r w:rsidRPr="00651813">
              <w:rPr>
                <w:rFonts w:ascii="Verdana" w:hAnsi="Verdana"/>
                <w:sz w:val="18"/>
                <w:szCs w:val="18"/>
              </w:rPr>
              <w:t xml:space="preserve"> година</w:t>
            </w:r>
            <w:r w:rsidR="00C20DC6" w:rsidRPr="00651813">
              <w:rPr>
                <w:rFonts w:ascii="Verdana" w:hAnsi="Verdana"/>
                <w:sz w:val="18"/>
                <w:szCs w:val="18"/>
              </w:rPr>
              <w:t xml:space="preserve">, които са включени </w:t>
            </w:r>
            <w:proofErr w:type="spellStart"/>
            <w:r w:rsidR="00C20DC6" w:rsidRPr="00651813">
              <w:rPr>
                <w:rFonts w:ascii="Verdana" w:hAnsi="Verdana"/>
                <w:sz w:val="18"/>
                <w:szCs w:val="18"/>
              </w:rPr>
              <w:t>въ</w:t>
            </w:r>
            <w:proofErr w:type="spellEnd"/>
            <w:r w:rsidR="00C20DC6" w:rsidRPr="00651813">
              <w:rPr>
                <w:rFonts w:ascii="Verdana" w:hAnsi="Verdana"/>
                <w:sz w:val="18"/>
                <w:szCs w:val="18"/>
              </w:rPr>
              <w:t xml:space="preserve"> съответните схеми за подпомагане</w:t>
            </w:r>
            <w:r w:rsidRPr="00651813">
              <w:rPr>
                <w:rFonts w:ascii="Verdana" w:hAnsi="Verdana"/>
                <w:sz w:val="18"/>
                <w:szCs w:val="18"/>
                <w:lang w:val="en-US"/>
              </w:rPr>
              <w:t>)</w:t>
            </w:r>
            <w:r w:rsidRPr="00651813">
              <w:rPr>
                <w:rFonts w:ascii="Verdana" w:hAnsi="Verdana"/>
                <w:sz w:val="18"/>
                <w:szCs w:val="18"/>
              </w:rPr>
              <w:t>, в която е подадено заявление за подпомагане и те са указани в специфичните разпоредби относно ограниченията, забраните, или допустимите действия в Заповедта за стандартите за добро земеделско и екологично състояние</w:t>
            </w:r>
            <w:r w:rsidR="00C20DC6" w:rsidRPr="00651813">
              <w:rPr>
                <w:rFonts w:ascii="Verdana" w:hAnsi="Verdana"/>
                <w:sz w:val="18"/>
                <w:szCs w:val="18"/>
              </w:rPr>
              <w:t xml:space="preserve"> </w:t>
            </w:r>
            <w:r w:rsidR="00C20DC6" w:rsidRPr="00651813">
              <w:rPr>
                <w:rFonts w:ascii="Verdana" w:hAnsi="Verdana"/>
                <w:sz w:val="18"/>
                <w:szCs w:val="18"/>
                <w:lang w:val="en-US"/>
              </w:rPr>
              <w:t>(</w:t>
            </w:r>
            <w:r w:rsidR="00C20DC6" w:rsidRPr="00651813">
              <w:rPr>
                <w:rFonts w:ascii="Verdana" w:hAnsi="Verdana"/>
                <w:sz w:val="18"/>
                <w:szCs w:val="18"/>
              </w:rPr>
              <w:t>ДЗЕС</w:t>
            </w:r>
            <w:r w:rsidR="00C20DC6" w:rsidRPr="00651813">
              <w:rPr>
                <w:rFonts w:ascii="Verdana" w:hAnsi="Verdana"/>
                <w:sz w:val="18"/>
                <w:szCs w:val="18"/>
                <w:lang w:val="en-US"/>
              </w:rPr>
              <w:t>)</w:t>
            </w:r>
            <w:r w:rsidR="00C20DC6" w:rsidRPr="00651813">
              <w:rPr>
                <w:rFonts w:ascii="Verdana" w:hAnsi="Verdana"/>
                <w:sz w:val="18"/>
                <w:szCs w:val="18"/>
              </w:rPr>
              <w:t xml:space="preserve"> </w:t>
            </w:r>
            <w:r w:rsidRPr="00651813">
              <w:rPr>
                <w:rFonts w:ascii="Verdana" w:hAnsi="Verdana"/>
                <w:sz w:val="18"/>
                <w:szCs w:val="18"/>
              </w:rPr>
              <w:t xml:space="preserve"> по чл. 55, ал. 1 от ЗПЗП, в Ръководството за прилагане на законоустановените изисквания за управление </w:t>
            </w:r>
            <w:r w:rsidR="00C20DC6" w:rsidRPr="00651813">
              <w:rPr>
                <w:rFonts w:ascii="Verdana" w:hAnsi="Verdana"/>
                <w:sz w:val="18"/>
                <w:szCs w:val="18"/>
              </w:rPr>
              <w:t xml:space="preserve">(ЗИУ) </w:t>
            </w:r>
            <w:r w:rsidRPr="00651813">
              <w:rPr>
                <w:rFonts w:ascii="Verdana" w:hAnsi="Verdana"/>
                <w:sz w:val="18"/>
                <w:szCs w:val="18"/>
              </w:rPr>
              <w:t>по чл. 55, ал. 2 от ЗПЗП</w:t>
            </w:r>
            <w:r w:rsidR="00C20DC6" w:rsidRPr="00651813">
              <w:rPr>
                <w:rFonts w:ascii="Verdana" w:hAnsi="Verdana"/>
                <w:sz w:val="18"/>
                <w:szCs w:val="18"/>
              </w:rPr>
              <w:t xml:space="preserve"> и в тази Методика по чл. 55, ал. 2 от ЗПЗП</w:t>
            </w:r>
          </w:p>
          <w:p w:rsidR="00C20DC6" w:rsidRPr="00651813" w:rsidRDefault="00C20DC6" w:rsidP="00350965">
            <w:pPr>
              <w:spacing w:before="80" w:after="40"/>
              <w:jc w:val="both"/>
              <w:rPr>
                <w:rFonts w:ascii="Verdana" w:hAnsi="Verdana"/>
                <w:sz w:val="18"/>
                <w:szCs w:val="18"/>
              </w:rPr>
            </w:pPr>
          </w:p>
          <w:p w:rsidR="00C20DC6" w:rsidRPr="00651813" w:rsidRDefault="00C20DC6" w:rsidP="00350965">
            <w:pPr>
              <w:spacing w:before="80" w:after="40"/>
              <w:jc w:val="both"/>
              <w:rPr>
                <w:rFonts w:ascii="Verdana" w:hAnsi="Verdana"/>
                <w:sz w:val="18"/>
                <w:szCs w:val="18"/>
              </w:rPr>
            </w:pPr>
            <w:r w:rsidRPr="00651813">
              <w:rPr>
                <w:rFonts w:ascii="Verdana" w:hAnsi="Verdana"/>
                <w:sz w:val="18"/>
                <w:szCs w:val="18"/>
              </w:rPr>
              <w:t>Пояснено по-горе</w:t>
            </w:r>
          </w:p>
          <w:p w:rsidR="00C20DC6" w:rsidRPr="00651813" w:rsidRDefault="00C20DC6" w:rsidP="00350965">
            <w:pPr>
              <w:spacing w:before="80" w:after="40"/>
              <w:jc w:val="both"/>
              <w:rPr>
                <w:rFonts w:ascii="Verdana" w:hAnsi="Verdana"/>
                <w:sz w:val="18"/>
                <w:szCs w:val="18"/>
              </w:rPr>
            </w:pPr>
          </w:p>
          <w:p w:rsidR="00C20DC6" w:rsidRPr="00651813" w:rsidRDefault="00C20DC6" w:rsidP="00350965">
            <w:pPr>
              <w:spacing w:before="80" w:after="40"/>
              <w:jc w:val="both"/>
              <w:rPr>
                <w:rFonts w:ascii="Verdana" w:hAnsi="Verdana"/>
                <w:sz w:val="18"/>
                <w:szCs w:val="18"/>
              </w:rPr>
            </w:pPr>
          </w:p>
          <w:p w:rsidR="00C20DC6" w:rsidRPr="00651813" w:rsidRDefault="00C20DC6" w:rsidP="00350965">
            <w:pPr>
              <w:spacing w:before="80" w:after="40"/>
              <w:jc w:val="both"/>
              <w:rPr>
                <w:rFonts w:ascii="Verdana" w:hAnsi="Verdana"/>
                <w:sz w:val="18"/>
                <w:szCs w:val="18"/>
              </w:rPr>
            </w:pPr>
          </w:p>
          <w:p w:rsidR="00C20DC6" w:rsidRPr="00651813" w:rsidRDefault="00C20DC6" w:rsidP="00350965">
            <w:pPr>
              <w:spacing w:before="80" w:after="40"/>
              <w:jc w:val="both"/>
              <w:rPr>
                <w:rFonts w:ascii="Verdana" w:hAnsi="Verdana"/>
                <w:sz w:val="18"/>
                <w:szCs w:val="18"/>
                <w:lang w:val="en-US"/>
              </w:rPr>
            </w:pPr>
            <w:r w:rsidRPr="00651813">
              <w:rPr>
                <w:rFonts w:ascii="Verdana" w:hAnsi="Verdana"/>
                <w:sz w:val="18"/>
                <w:szCs w:val="18"/>
              </w:rPr>
              <w:t>Смисълът тук е където е правното основание за извършване на селскостопанската дейност</w:t>
            </w:r>
            <w:r w:rsidR="004F3765" w:rsidRPr="00651813">
              <w:rPr>
                <w:rFonts w:ascii="Verdana" w:hAnsi="Verdana"/>
                <w:sz w:val="18"/>
                <w:szCs w:val="18"/>
              </w:rPr>
              <w:t xml:space="preserve"> - </w:t>
            </w:r>
            <w:r w:rsidRPr="00651813">
              <w:rPr>
                <w:rFonts w:ascii="Verdana" w:hAnsi="Verdana"/>
                <w:sz w:val="18"/>
                <w:szCs w:val="18"/>
              </w:rPr>
              <w:t>земеделската земя, върху която се отглеждат култури, или животни – собствена,  договорена за ползване</w:t>
            </w:r>
          </w:p>
        </w:tc>
      </w:tr>
      <w:tr w:rsidR="0094721F" w:rsidRPr="0094721F"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12. „тежестта (сериозността) на неспазването“ се определя от значимостта на последствията от неспазването, като се вземат предвид целите на съответното изискване или съответния стандарт;</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да се редактира.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е неточно, непълно и неясно, което може да доведе до неправилно тълкуване и прилагането му и следва да се вземат под внимание следните основания за това: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„От значимостта на последствията“</w:t>
            </w:r>
          </w:p>
          <w:p w:rsidR="00AA4B35" w:rsidRPr="00870E61" w:rsidRDefault="00AA4B35" w:rsidP="00AA4B35">
            <w:pPr>
              <w:numPr>
                <w:ilvl w:val="0"/>
                <w:numId w:val="13"/>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Терминът „значимостта“ не е дефиниран и оставя място за субективно тълкуване. Какво точно се разбира под „значимост“? Дали се има предвид икономическо въздействие, екологични щети или нещо друго? Липсата на конкретни критерии за оценка на значимостта затруднява прилагането на определението.</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„На последствията“</w:t>
            </w:r>
          </w:p>
          <w:p w:rsidR="00AA4B35" w:rsidRPr="00870E61" w:rsidRDefault="00AA4B35" w:rsidP="00AA4B35">
            <w:pPr>
              <w:numPr>
                <w:ilvl w:val="0"/>
                <w:numId w:val="14"/>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xml:space="preserve">: „Последствията“ е твърде общ термин, който не посочва конкретни видове последици (например правни, финансови, екологични). Това води до неяснота относно </w:t>
            </w:r>
            <w:r w:rsidRPr="00870E61">
              <w:rPr>
                <w:rFonts w:ascii="Verdana" w:hAnsi="Verdana"/>
                <w:sz w:val="18"/>
                <w:szCs w:val="18"/>
              </w:rPr>
              <w:lastRenderedPageBreak/>
              <w:t>обхвата на оценяваните последствия и кои аспекти са най-важни при определянето на тежестта на неспазването.</w:t>
            </w:r>
          </w:p>
        </w:tc>
        <w:tc>
          <w:tcPr>
            <w:tcW w:w="1559" w:type="dxa"/>
            <w:tcBorders>
              <w:top w:val="nil"/>
              <w:bottom w:val="nil"/>
            </w:tcBorders>
            <w:shd w:val="clear" w:color="auto" w:fill="auto"/>
          </w:tcPr>
          <w:p w:rsidR="00AA4B35" w:rsidRPr="00C20DC6" w:rsidRDefault="00C20DC6" w:rsidP="00AA4B35">
            <w:pPr>
              <w:spacing w:before="80" w:after="40"/>
              <w:rPr>
                <w:rFonts w:ascii="Verdana" w:hAnsi="Verdana"/>
                <w:sz w:val="18"/>
                <w:szCs w:val="18"/>
              </w:rPr>
            </w:pPr>
            <w:r w:rsidRPr="00C20DC6">
              <w:rPr>
                <w:rFonts w:ascii="Verdana" w:hAnsi="Verdana"/>
                <w:sz w:val="18"/>
                <w:szCs w:val="18"/>
              </w:rPr>
              <w:lastRenderedPageBreak/>
              <w:t>Приема се</w:t>
            </w:r>
          </w:p>
        </w:tc>
        <w:tc>
          <w:tcPr>
            <w:tcW w:w="4819" w:type="dxa"/>
            <w:tcBorders>
              <w:top w:val="nil"/>
              <w:bottom w:val="nil"/>
            </w:tcBorders>
            <w:shd w:val="clear" w:color="auto" w:fill="auto"/>
          </w:tcPr>
          <w:p w:rsidR="00AA4B35" w:rsidRPr="00651813" w:rsidRDefault="004F3765" w:rsidP="00350965">
            <w:pPr>
              <w:spacing w:before="80" w:after="40"/>
              <w:jc w:val="both"/>
              <w:rPr>
                <w:rFonts w:ascii="Verdana" w:hAnsi="Verdana"/>
                <w:sz w:val="18"/>
                <w:szCs w:val="18"/>
              </w:rPr>
            </w:pPr>
            <w:r w:rsidRPr="00651813">
              <w:rPr>
                <w:rFonts w:ascii="Verdana" w:hAnsi="Verdana"/>
                <w:sz w:val="18"/>
                <w:szCs w:val="18"/>
              </w:rPr>
              <w:t xml:space="preserve">Преформулирано така: „тежестта (сериозността) на неспазването“, съгласно чл. 6, </w:t>
            </w:r>
            <w:proofErr w:type="spellStart"/>
            <w:r w:rsidRPr="00651813">
              <w:rPr>
                <w:rFonts w:ascii="Verdana" w:hAnsi="Verdana"/>
                <w:sz w:val="18"/>
                <w:szCs w:val="18"/>
              </w:rPr>
              <w:t>пар</w:t>
            </w:r>
            <w:proofErr w:type="spellEnd"/>
            <w:r w:rsidRPr="00651813">
              <w:rPr>
                <w:rFonts w:ascii="Verdana" w:hAnsi="Verdana"/>
                <w:sz w:val="18"/>
                <w:szCs w:val="18"/>
              </w:rPr>
              <w:t xml:space="preserve">. 3 от Делегиран регламент </w:t>
            </w:r>
            <w:r w:rsidRPr="00651813">
              <w:rPr>
                <w:rFonts w:ascii="Verdana" w:hAnsi="Verdana"/>
                <w:sz w:val="18"/>
                <w:szCs w:val="18"/>
                <w:lang w:val="en-US"/>
              </w:rPr>
              <w:t xml:space="preserve">(EC) 2022/1172, </w:t>
            </w:r>
            <w:r w:rsidRPr="00651813">
              <w:rPr>
                <w:rFonts w:ascii="Verdana" w:hAnsi="Verdana"/>
                <w:sz w:val="18"/>
                <w:szCs w:val="18"/>
              </w:rPr>
              <w:t>се определя по-специално от значимостта на последствията от неспазването, като се вземат предвид целите на съответното изискване или съответния стандарт</w:t>
            </w:r>
          </w:p>
          <w:p w:rsidR="004F3765" w:rsidRPr="00651813" w:rsidRDefault="004F3765" w:rsidP="00350965">
            <w:pPr>
              <w:spacing w:before="80" w:after="40"/>
              <w:jc w:val="both"/>
              <w:rPr>
                <w:rFonts w:ascii="Verdana" w:hAnsi="Verdana"/>
                <w:sz w:val="18"/>
                <w:szCs w:val="18"/>
              </w:rPr>
            </w:pPr>
          </w:p>
          <w:p w:rsidR="004F3765" w:rsidRPr="00651813" w:rsidRDefault="004F3765" w:rsidP="00350965">
            <w:pPr>
              <w:spacing w:before="80" w:after="40"/>
              <w:jc w:val="both"/>
              <w:rPr>
                <w:rFonts w:ascii="Verdana" w:hAnsi="Verdana"/>
                <w:sz w:val="18"/>
                <w:szCs w:val="18"/>
              </w:rPr>
            </w:pPr>
          </w:p>
          <w:p w:rsidR="004F3765" w:rsidRPr="00651813" w:rsidRDefault="004F3765" w:rsidP="00350965">
            <w:pPr>
              <w:spacing w:before="80" w:after="40"/>
              <w:jc w:val="both"/>
              <w:rPr>
                <w:rFonts w:ascii="Verdana" w:hAnsi="Verdana"/>
                <w:sz w:val="18"/>
                <w:szCs w:val="18"/>
              </w:rPr>
            </w:pPr>
          </w:p>
          <w:p w:rsidR="004F3765" w:rsidRPr="00651813" w:rsidRDefault="004F3765" w:rsidP="00350965">
            <w:pPr>
              <w:spacing w:before="80" w:after="40"/>
              <w:jc w:val="both"/>
              <w:rPr>
                <w:rFonts w:ascii="Verdana" w:hAnsi="Verdana"/>
                <w:sz w:val="18"/>
                <w:szCs w:val="18"/>
              </w:rPr>
            </w:pPr>
            <w:r w:rsidRPr="00651813">
              <w:rPr>
                <w:rFonts w:ascii="Verdana" w:hAnsi="Verdana"/>
                <w:sz w:val="18"/>
                <w:szCs w:val="18"/>
              </w:rPr>
              <w:t xml:space="preserve">Визира въздействието по чл. 7, </w:t>
            </w:r>
            <w:proofErr w:type="spellStart"/>
            <w:r w:rsidRPr="00651813">
              <w:rPr>
                <w:rFonts w:ascii="Verdana" w:hAnsi="Verdana"/>
                <w:sz w:val="18"/>
                <w:szCs w:val="18"/>
              </w:rPr>
              <w:t>пар</w:t>
            </w:r>
            <w:proofErr w:type="spellEnd"/>
            <w:r w:rsidRPr="00651813">
              <w:rPr>
                <w:rFonts w:ascii="Verdana" w:hAnsi="Verdana"/>
                <w:sz w:val="18"/>
                <w:szCs w:val="18"/>
              </w:rPr>
              <w:t xml:space="preserve">. 1 на Регламент </w:t>
            </w:r>
            <w:r w:rsidRPr="00651813">
              <w:rPr>
                <w:rFonts w:ascii="Verdana" w:hAnsi="Verdana"/>
                <w:sz w:val="18"/>
                <w:szCs w:val="18"/>
                <w:lang w:val="en-US"/>
              </w:rPr>
              <w:t>(</w:t>
            </w:r>
            <w:r w:rsidRPr="00651813">
              <w:rPr>
                <w:rFonts w:ascii="Verdana" w:hAnsi="Verdana"/>
                <w:sz w:val="18"/>
                <w:szCs w:val="18"/>
              </w:rPr>
              <w:t>ЕС</w:t>
            </w:r>
            <w:r w:rsidRPr="00651813">
              <w:rPr>
                <w:rFonts w:ascii="Verdana" w:hAnsi="Verdana"/>
                <w:sz w:val="18"/>
                <w:szCs w:val="18"/>
                <w:lang w:val="en-US"/>
              </w:rPr>
              <w:t>)</w:t>
            </w:r>
            <w:r w:rsidRPr="00651813">
              <w:rPr>
                <w:rFonts w:ascii="Verdana" w:hAnsi="Verdana"/>
                <w:sz w:val="18"/>
                <w:szCs w:val="18"/>
              </w:rPr>
              <w:t xml:space="preserve"> 2021/2115, по специфично по отношение на предварителните условия – чл. 13 с Приложение </w:t>
            </w:r>
            <w:r w:rsidRPr="00651813">
              <w:rPr>
                <w:rFonts w:ascii="Verdana" w:hAnsi="Verdana"/>
                <w:sz w:val="18"/>
                <w:szCs w:val="18"/>
                <w:lang w:val="en-US"/>
              </w:rPr>
              <w:t xml:space="preserve">III </w:t>
            </w:r>
            <w:r w:rsidRPr="00651813">
              <w:rPr>
                <w:rFonts w:ascii="Verdana" w:hAnsi="Verdana"/>
                <w:sz w:val="18"/>
                <w:szCs w:val="18"/>
              </w:rPr>
              <w:t>от същия регламент</w:t>
            </w: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r w:rsidRPr="00651813">
              <w:rPr>
                <w:rFonts w:ascii="Verdana" w:hAnsi="Verdana"/>
                <w:sz w:val="18"/>
                <w:szCs w:val="18"/>
              </w:rPr>
              <w:t xml:space="preserve">Последствията са в каква степен се увреждат/подобряват съответно указаните в колона 1 и 2 на Приложение </w:t>
            </w:r>
            <w:r w:rsidRPr="00651813">
              <w:rPr>
                <w:rFonts w:ascii="Verdana" w:hAnsi="Verdana"/>
                <w:sz w:val="18"/>
                <w:szCs w:val="18"/>
                <w:lang w:val="en-US"/>
              </w:rPr>
              <w:t xml:space="preserve">III </w:t>
            </w:r>
            <w:r w:rsidRPr="00651813">
              <w:rPr>
                <w:rFonts w:ascii="Verdana" w:hAnsi="Verdana"/>
                <w:sz w:val="18"/>
                <w:szCs w:val="18"/>
              </w:rPr>
              <w:t xml:space="preserve">към чл. 13 от </w:t>
            </w:r>
            <w:r w:rsidRPr="00651813">
              <w:rPr>
                <w:rFonts w:ascii="Verdana" w:hAnsi="Verdana"/>
                <w:sz w:val="18"/>
                <w:szCs w:val="18"/>
              </w:rPr>
              <w:lastRenderedPageBreak/>
              <w:t xml:space="preserve">Регламент </w:t>
            </w:r>
            <w:r w:rsidRPr="00651813">
              <w:rPr>
                <w:rFonts w:ascii="Verdana" w:hAnsi="Verdana"/>
                <w:sz w:val="18"/>
                <w:szCs w:val="18"/>
                <w:lang w:val="en-US"/>
              </w:rPr>
              <w:t>(</w:t>
            </w:r>
            <w:r w:rsidRPr="00651813">
              <w:rPr>
                <w:rFonts w:ascii="Verdana" w:hAnsi="Verdana"/>
                <w:sz w:val="18"/>
                <w:szCs w:val="18"/>
              </w:rPr>
              <w:t>ЕС</w:t>
            </w:r>
            <w:r w:rsidRPr="00651813">
              <w:rPr>
                <w:rFonts w:ascii="Verdana" w:hAnsi="Verdana"/>
                <w:sz w:val="18"/>
                <w:szCs w:val="18"/>
                <w:lang w:val="en-US"/>
              </w:rPr>
              <w:t>)</w:t>
            </w:r>
            <w:r w:rsidRPr="00651813">
              <w:rPr>
                <w:rFonts w:ascii="Verdana" w:hAnsi="Verdana"/>
                <w:sz w:val="18"/>
                <w:szCs w:val="18"/>
              </w:rPr>
              <w:t xml:space="preserve"> 2021/2117 области за въздействие</w:t>
            </w:r>
          </w:p>
        </w:tc>
      </w:tr>
      <w:tr w:rsidR="0094721F" w:rsidRPr="0094721F"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13. „умисъл“ е налице, когато лицето осъзнава, че могат да настъпят противоправни последици и  допуска тяхното настъпване; земеделският стопанин съзнателно е искал, или допускал неспазване на стандартите за ДЗЕС и/или на  законоустановените изисквания, с което съзнава, че  създава условия за увреждане на общественото здраве, на здравето на растенията, на хуманното отношение към животните, на околната среда, или ги е увредил (т.е. съзнателно допуска или причинява замърсяване на водни обекти, на почвата, на въздуха, увреждане или/и унищожаване на екосистеми, на биоразнообразието или на местообитанията и др.).</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да се редактира.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Определението е неточно, непълно и неясно, което може да доведе до неправилно тълкуване и прилагането му и следва да се вземат под внимание следните основания за това: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„Че могат да настъпят противоправни последици“</w:t>
            </w:r>
          </w:p>
          <w:p w:rsidR="00AA4B35" w:rsidRPr="00870E61" w:rsidRDefault="00AA4B35" w:rsidP="00AA4B35">
            <w:pPr>
              <w:numPr>
                <w:ilvl w:val="0"/>
                <w:numId w:val="15"/>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Фразата е твърде обща и не дефинира какви точно са тези „противоправни последици“. Няма конкретни примери или обяснения за вида или степента на последствията, което може да доведе до различни интерпретации.</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„Допуска тяхното настъпване“</w:t>
            </w:r>
          </w:p>
          <w:p w:rsidR="00AA4B35" w:rsidRPr="00870E61" w:rsidRDefault="00AA4B35" w:rsidP="00AA4B35">
            <w:pPr>
              <w:numPr>
                <w:ilvl w:val="0"/>
                <w:numId w:val="16"/>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Тази част от определението не уточнява дали „допускане“ включва активна агитация за последствията или просто безразличие към тях. Не е ясно дали това е активно одобрение или просто пренебрегване.</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„Земеделският стопанин съзнателно е искал, или допускал неспазване на стандартите за ДЗЕС и/или на законоустановените изисквания“</w:t>
            </w:r>
          </w:p>
          <w:p w:rsidR="00AA4B35" w:rsidRPr="00870E61" w:rsidRDefault="00AA4B35" w:rsidP="00AA4B35">
            <w:pPr>
              <w:numPr>
                <w:ilvl w:val="0"/>
                <w:numId w:val="17"/>
              </w:numPr>
              <w:spacing w:before="80" w:after="40"/>
              <w:ind w:left="0" w:firstLine="0"/>
              <w:jc w:val="both"/>
              <w:rPr>
                <w:rFonts w:ascii="Verdana" w:hAnsi="Verdana"/>
                <w:sz w:val="18"/>
                <w:szCs w:val="18"/>
              </w:rPr>
            </w:pPr>
            <w:r w:rsidRPr="00870E61">
              <w:rPr>
                <w:rFonts w:ascii="Verdana" w:hAnsi="Verdana"/>
                <w:b/>
                <w:bCs/>
                <w:sz w:val="18"/>
                <w:szCs w:val="18"/>
              </w:rPr>
              <w:lastRenderedPageBreak/>
              <w:t>Неяснота</w:t>
            </w:r>
            <w:r w:rsidRPr="00870E61">
              <w:rPr>
                <w:rFonts w:ascii="Verdana" w:hAnsi="Verdana"/>
                <w:sz w:val="18"/>
                <w:szCs w:val="18"/>
              </w:rPr>
              <w:t>: „Съзнателно искал“ и „допускал“ са две различни концепции, които се комбинират без ясно разграничение. Не е уточнено какъв тип „допускане“ се включва — дали е активен, пасивен или просто безразличие към евентуални последици.</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„С което съзнава, че създава условия за увреждане“</w:t>
            </w:r>
          </w:p>
          <w:p w:rsidR="00AA4B35" w:rsidRPr="00870E61" w:rsidRDefault="00AA4B35" w:rsidP="00AA4B35">
            <w:pPr>
              <w:numPr>
                <w:ilvl w:val="0"/>
                <w:numId w:val="18"/>
              </w:numPr>
              <w:spacing w:before="80" w:after="40"/>
              <w:ind w:left="0" w:firstLine="0"/>
              <w:jc w:val="both"/>
              <w:rPr>
                <w:rFonts w:ascii="Verdana" w:hAnsi="Verdana"/>
                <w:sz w:val="18"/>
                <w:szCs w:val="18"/>
              </w:rPr>
            </w:pPr>
            <w:r w:rsidRPr="00870E61">
              <w:rPr>
                <w:rFonts w:ascii="Verdana" w:hAnsi="Verdana"/>
                <w:b/>
                <w:bCs/>
                <w:sz w:val="18"/>
                <w:szCs w:val="18"/>
              </w:rPr>
              <w:t>Неяснота</w:t>
            </w:r>
            <w:r w:rsidRPr="00870E61">
              <w:rPr>
                <w:rFonts w:ascii="Verdana" w:hAnsi="Verdana"/>
                <w:sz w:val="18"/>
                <w:szCs w:val="18"/>
              </w:rPr>
              <w:t>: Изразът е неясен, тъй като не уточнява какво ниво на осъзнаване е необходимо за установяване на умисъл. Няма дефиниция за степента на „съзнаване“ на условията, които водят до увреждане.</w:t>
            </w:r>
          </w:p>
        </w:tc>
        <w:tc>
          <w:tcPr>
            <w:tcW w:w="1559" w:type="dxa"/>
            <w:tcBorders>
              <w:top w:val="nil"/>
              <w:bottom w:val="nil"/>
            </w:tcBorders>
            <w:shd w:val="clear" w:color="auto" w:fill="auto"/>
          </w:tcPr>
          <w:p w:rsidR="00AA4B35" w:rsidRDefault="002501F0" w:rsidP="00AA4B35">
            <w:pPr>
              <w:spacing w:before="80" w:after="40"/>
              <w:rPr>
                <w:rFonts w:ascii="Verdana" w:hAnsi="Verdana"/>
                <w:sz w:val="18"/>
                <w:szCs w:val="18"/>
              </w:rPr>
            </w:pPr>
            <w:r w:rsidRPr="002501F0">
              <w:rPr>
                <w:rFonts w:ascii="Verdana" w:hAnsi="Verdana"/>
                <w:sz w:val="18"/>
                <w:szCs w:val="18"/>
              </w:rPr>
              <w:lastRenderedPageBreak/>
              <w:t>Приема се</w:t>
            </w: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Default="00C90C24" w:rsidP="00AA4B35">
            <w:pPr>
              <w:spacing w:before="80" w:after="40"/>
              <w:rPr>
                <w:rFonts w:ascii="Verdana" w:hAnsi="Verdana"/>
                <w:sz w:val="18"/>
                <w:szCs w:val="18"/>
              </w:rPr>
            </w:pPr>
          </w:p>
          <w:p w:rsidR="00C90C24" w:rsidRPr="00870E61" w:rsidRDefault="00C90C24" w:rsidP="00AA4B35">
            <w:pPr>
              <w:spacing w:before="80" w:after="40"/>
              <w:rPr>
                <w:rFonts w:ascii="Verdana" w:hAnsi="Verdana"/>
                <w:color w:val="FF0000"/>
                <w:sz w:val="18"/>
                <w:szCs w:val="18"/>
              </w:rPr>
            </w:pPr>
            <w:r>
              <w:rPr>
                <w:rFonts w:ascii="Verdana" w:hAnsi="Verdana"/>
                <w:sz w:val="18"/>
                <w:szCs w:val="18"/>
              </w:rPr>
              <w:t>Не се приема</w:t>
            </w:r>
          </w:p>
        </w:tc>
        <w:tc>
          <w:tcPr>
            <w:tcW w:w="4819" w:type="dxa"/>
            <w:tcBorders>
              <w:top w:val="nil"/>
              <w:bottom w:val="nil"/>
            </w:tcBorders>
            <w:shd w:val="clear" w:color="auto" w:fill="auto"/>
          </w:tcPr>
          <w:p w:rsidR="002501F0" w:rsidRPr="00651813" w:rsidRDefault="002501F0" w:rsidP="00350965">
            <w:pPr>
              <w:spacing w:before="80" w:after="40"/>
              <w:jc w:val="both"/>
              <w:rPr>
                <w:rFonts w:ascii="Verdana" w:hAnsi="Verdana"/>
                <w:sz w:val="18"/>
                <w:szCs w:val="18"/>
              </w:rPr>
            </w:pPr>
            <w:r w:rsidRPr="00651813">
              <w:rPr>
                <w:rFonts w:ascii="Verdana" w:hAnsi="Verdana"/>
                <w:sz w:val="18"/>
                <w:szCs w:val="18"/>
              </w:rPr>
              <w:t xml:space="preserve">Преформулирано </w:t>
            </w:r>
            <w:r w:rsidR="0094721F" w:rsidRPr="00651813">
              <w:rPr>
                <w:rFonts w:ascii="Verdana" w:hAnsi="Verdana"/>
                <w:sz w:val="18"/>
                <w:szCs w:val="18"/>
              </w:rPr>
              <w:t xml:space="preserve">е </w:t>
            </w:r>
            <w:r w:rsidRPr="00651813">
              <w:rPr>
                <w:rFonts w:ascii="Verdana" w:hAnsi="Verdana"/>
                <w:sz w:val="18"/>
                <w:szCs w:val="18"/>
              </w:rPr>
              <w:t xml:space="preserve">така: „умисъл“ за целите на тази Методика е налице, когато земеделски стопанин съзнателно допуска и предвижда сигурно, или вероятно настъпване на противоправни последици от неспазване на изисквания и/или стандарти за ДЗЕС и съзнава, че създава условия, или предизвиква увреждане на общественото здраве, на здравето на растенията, на хуманното отношение към животните, на околната среда, или ги е увредил (т.е. съзнателно допуска или иска да причини замърсяване на водни обекти, на почвата, на въздуха, уврежда или/и унищожава с действията си екосистеми, биоразнообразие, местообитания и др.), с което подлежи на санкциониране за деянията си по чл. 85, </w:t>
            </w:r>
            <w:proofErr w:type="spellStart"/>
            <w:r w:rsidRPr="00651813">
              <w:rPr>
                <w:rFonts w:ascii="Verdana" w:hAnsi="Verdana"/>
                <w:sz w:val="18"/>
                <w:szCs w:val="18"/>
              </w:rPr>
              <w:t>пар</w:t>
            </w:r>
            <w:proofErr w:type="spellEnd"/>
            <w:r w:rsidRPr="00651813">
              <w:rPr>
                <w:rFonts w:ascii="Verdana" w:hAnsi="Verdana"/>
                <w:sz w:val="18"/>
                <w:szCs w:val="18"/>
              </w:rPr>
              <w:t>. 5 и 6 във връзка с чл. 84 от Регламент (ЕС) 2021/2116“</w:t>
            </w:r>
          </w:p>
          <w:p w:rsidR="00AA4B35" w:rsidRPr="00651813" w:rsidRDefault="00AA4B35"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r w:rsidRPr="00651813">
              <w:rPr>
                <w:rFonts w:ascii="Verdana" w:hAnsi="Verdana"/>
                <w:sz w:val="18"/>
                <w:szCs w:val="18"/>
              </w:rPr>
              <w:t>Неизпълнението на разпоредби от регламент, закон, подзаконов акт се счита за  противоправно действие/бездействие, водещо до противоправни последици – степените са определени в Приложение № 1 към тази Методика</w:t>
            </w: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p>
          <w:p w:rsidR="002501F0" w:rsidRPr="00651813" w:rsidRDefault="002501F0" w:rsidP="00350965">
            <w:pPr>
              <w:spacing w:before="80" w:after="40"/>
              <w:jc w:val="both"/>
              <w:rPr>
                <w:rFonts w:ascii="Verdana" w:hAnsi="Verdana"/>
                <w:sz w:val="18"/>
                <w:szCs w:val="18"/>
              </w:rPr>
            </w:pPr>
            <w:r w:rsidRPr="00651813">
              <w:rPr>
                <w:rFonts w:ascii="Verdana" w:hAnsi="Verdana"/>
                <w:sz w:val="18"/>
                <w:szCs w:val="18"/>
              </w:rPr>
              <w:t>П</w:t>
            </w:r>
            <w:r w:rsidR="0094721F" w:rsidRPr="00651813">
              <w:rPr>
                <w:rFonts w:ascii="Verdana" w:hAnsi="Verdana"/>
                <w:sz w:val="18"/>
                <w:szCs w:val="18"/>
              </w:rPr>
              <w:t>ояснено</w:t>
            </w:r>
            <w:r w:rsidRPr="00651813">
              <w:rPr>
                <w:rFonts w:ascii="Verdana" w:hAnsi="Verdana"/>
                <w:sz w:val="18"/>
                <w:szCs w:val="18"/>
              </w:rPr>
              <w:t xml:space="preserve"> в преформулираното определение</w:t>
            </w:r>
          </w:p>
        </w:tc>
      </w:tr>
      <w:tr w:rsidR="0094721F" w:rsidRPr="0094721F"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Чл. 6.</w:t>
            </w:r>
            <w:r w:rsidRPr="00870E61">
              <w:rPr>
                <w:rFonts w:ascii="Verdana" w:hAnsi="Verdana"/>
                <w:sz w:val="18"/>
                <w:szCs w:val="18"/>
              </w:rPr>
              <w:t xml:space="preserve"> (1) Правилата на предварителните условия в тази методика са задължителни за изпълнение от бенефициерите, получаващи директни плащания по включените в СПРЗСР интервенции съгласно дял III, глава II от Регламент (ЕС) 2021/2115 и годишни плащания по интервенциите по чл. 70, 71 и 72 от същия регламент.</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(2) По отношение на специфичните необвързани с производството директни плащания се прилагат следните разпоредби:</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1. за основно подпомагане на доходите за устойчивост се прилага чл. 21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2. за плащания за малки земеделски стопани се прилага чл. 28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3. по отношение на допълнителното преразпределително подпомагане на доходите за устойчивост се прилага чл. 29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4. за допълнително подпомагане на доходите за млади земеделски стопани се прилага чл. 30 на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5. при прилагане на схеми за климата, околната среда и хуманното отношение към животните се прилага чл. 31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(3) По отношение на обвързаните с производството директни плащания се прилагат следните правни основания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1. За обвързано с производството подпомагане на доходите се прилага чл. 32 на регламента;</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lastRenderedPageBreak/>
              <w:t>2. За специално плащане за културата памук се прилага чл. 36 от регламента.</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(4) За интервенциите в областта на развитието на селските райони се прилагат следните правни основания:</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1. за задължения в областта на околната среда и климата и други задължения в областта на управлението се прилага чл. 70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2. за природни или други специфични за района ограничения се прилага чл. 71 от Регламент (ЕС) 2021/2115</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3. за специфични за района неблагоприятни аспекти, произтичащи от някои задължителни изисквания се прилага чл. 72 на регламента.</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(5) Земеделските стопани с максимален размер на стопанствата, който не надвишава 10 ха земеделска площ, декларирана в съответствие с член 69, параграф 1 от Регламент (ЕС) 2021/2116 се освобождават от проверки за спазване на предварителните условия и от санкциите посочени в параграфи 1, 2 и 3 от чл. 84 и 85 от същия регламент.</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Да отпаднат алинеи 2, 3, 4 и 5</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Сочат към регламенти и не са свързани с предмета на методиката.</w:t>
            </w:r>
          </w:p>
        </w:tc>
        <w:tc>
          <w:tcPr>
            <w:tcW w:w="1559" w:type="dxa"/>
            <w:tcBorders>
              <w:top w:val="nil"/>
              <w:bottom w:val="nil"/>
            </w:tcBorders>
            <w:shd w:val="clear" w:color="auto" w:fill="auto"/>
          </w:tcPr>
          <w:p w:rsidR="00AA4B35" w:rsidRPr="00870E61" w:rsidRDefault="00AA4B35" w:rsidP="0020114A">
            <w:pPr>
              <w:spacing w:before="20" w:after="20"/>
              <w:rPr>
                <w:rFonts w:ascii="Verdana" w:hAnsi="Verdana"/>
                <w:color w:val="FF0000"/>
                <w:sz w:val="18"/>
                <w:szCs w:val="18"/>
              </w:rPr>
            </w:pPr>
            <w:r w:rsidRPr="001D09AF">
              <w:rPr>
                <w:rFonts w:ascii="Verdana" w:hAnsi="Verdana"/>
                <w:sz w:val="18"/>
                <w:szCs w:val="18"/>
              </w:rPr>
              <w:lastRenderedPageBreak/>
              <w:t>Не се приема</w:t>
            </w:r>
          </w:p>
        </w:tc>
        <w:tc>
          <w:tcPr>
            <w:tcW w:w="4819" w:type="dxa"/>
            <w:tcBorders>
              <w:top w:val="nil"/>
              <w:bottom w:val="nil"/>
            </w:tcBorders>
            <w:shd w:val="clear" w:color="auto" w:fill="auto"/>
          </w:tcPr>
          <w:p w:rsidR="00AA4B35" w:rsidRPr="00651813" w:rsidRDefault="00491C76" w:rsidP="0020114A">
            <w:pPr>
              <w:spacing w:before="20" w:after="20"/>
              <w:jc w:val="both"/>
              <w:rPr>
                <w:rFonts w:ascii="Verdana" w:hAnsi="Verdana"/>
                <w:sz w:val="18"/>
                <w:szCs w:val="18"/>
              </w:rPr>
            </w:pPr>
            <w:r w:rsidRPr="00651813">
              <w:rPr>
                <w:rFonts w:ascii="Verdana" w:hAnsi="Verdana"/>
                <w:sz w:val="18"/>
                <w:szCs w:val="18"/>
              </w:rPr>
              <w:t>Методиката се основава на регламентите, по които действа Общата селскостопанска политика за периода 2023-2027 г. и съответното национално законодателство за прилагането им, част от което е разпоредбата на чл. 55, ал. 2 от ЗПЗП</w:t>
            </w:r>
            <w:r w:rsidR="0094721F" w:rsidRPr="00651813">
              <w:rPr>
                <w:rFonts w:ascii="Verdana" w:hAnsi="Verdana"/>
                <w:sz w:val="18"/>
                <w:szCs w:val="18"/>
              </w:rPr>
              <w:t xml:space="preserve"> за създаване на тази Методика. С нея</w:t>
            </w:r>
            <w:r w:rsidRPr="00651813">
              <w:rPr>
                <w:rFonts w:ascii="Verdana" w:hAnsi="Verdana"/>
                <w:sz w:val="18"/>
                <w:szCs w:val="18"/>
              </w:rPr>
              <w:t xml:space="preserve"> се определя степен, тежест, </w:t>
            </w:r>
            <w:proofErr w:type="spellStart"/>
            <w:r w:rsidRPr="00651813">
              <w:rPr>
                <w:rFonts w:ascii="Verdana" w:hAnsi="Verdana"/>
                <w:sz w:val="18"/>
                <w:szCs w:val="18"/>
              </w:rPr>
              <w:t>повтаряемост</w:t>
            </w:r>
            <w:proofErr w:type="spellEnd"/>
            <w:r w:rsidRPr="00651813">
              <w:rPr>
                <w:rFonts w:ascii="Verdana" w:hAnsi="Verdana"/>
                <w:sz w:val="18"/>
                <w:szCs w:val="18"/>
              </w:rPr>
              <w:t xml:space="preserve"> и/или умисъл със съответните критерии за определяне на </w:t>
            </w:r>
            <w:r w:rsidR="0094721F" w:rsidRPr="00651813">
              <w:rPr>
                <w:rFonts w:ascii="Verdana" w:hAnsi="Verdana"/>
                <w:sz w:val="18"/>
                <w:szCs w:val="18"/>
              </w:rPr>
              <w:t xml:space="preserve">процентно намаление на плащанията, които са </w:t>
            </w:r>
            <w:r w:rsidRPr="00651813">
              <w:rPr>
                <w:rFonts w:ascii="Verdana" w:hAnsi="Verdana"/>
                <w:sz w:val="18"/>
                <w:szCs w:val="18"/>
              </w:rPr>
              <w:t xml:space="preserve">санкциите при </w:t>
            </w:r>
            <w:r w:rsidR="0094721F" w:rsidRPr="00651813">
              <w:rPr>
                <w:rFonts w:ascii="Verdana" w:hAnsi="Verdana"/>
                <w:sz w:val="18"/>
                <w:szCs w:val="18"/>
              </w:rPr>
              <w:t xml:space="preserve">установено </w:t>
            </w:r>
            <w:r w:rsidRPr="00651813">
              <w:rPr>
                <w:rFonts w:ascii="Verdana" w:hAnsi="Verdana"/>
                <w:sz w:val="18"/>
                <w:szCs w:val="18"/>
              </w:rPr>
              <w:t>неизпълнение на основните регламенти</w:t>
            </w:r>
            <w:r w:rsidR="0094721F" w:rsidRPr="00651813">
              <w:rPr>
                <w:rFonts w:ascii="Verdana" w:hAnsi="Verdana"/>
                <w:sz w:val="18"/>
                <w:szCs w:val="18"/>
              </w:rPr>
              <w:t xml:space="preserve"> до 2027 г.</w:t>
            </w:r>
            <w:r w:rsidRPr="00651813">
              <w:rPr>
                <w:rFonts w:ascii="Verdana" w:hAnsi="Verdana"/>
                <w:sz w:val="18"/>
                <w:szCs w:val="18"/>
              </w:rPr>
              <w:t xml:space="preserve"> </w:t>
            </w:r>
            <w:r w:rsidRPr="00651813">
              <w:rPr>
                <w:rFonts w:ascii="Verdana" w:hAnsi="Verdana"/>
                <w:sz w:val="18"/>
                <w:szCs w:val="18"/>
                <w:lang w:val="en-US"/>
              </w:rPr>
              <w:t>(E</w:t>
            </w:r>
            <w:r w:rsidRPr="00651813">
              <w:rPr>
                <w:rFonts w:ascii="Verdana" w:hAnsi="Verdana"/>
                <w:sz w:val="18"/>
                <w:szCs w:val="18"/>
              </w:rPr>
              <w:t>С</w:t>
            </w:r>
            <w:r w:rsidRPr="00651813">
              <w:rPr>
                <w:rFonts w:ascii="Verdana" w:hAnsi="Verdana"/>
                <w:sz w:val="18"/>
                <w:szCs w:val="18"/>
                <w:lang w:val="en-US"/>
              </w:rPr>
              <w:t>)</w:t>
            </w:r>
            <w:r w:rsidRPr="00651813">
              <w:rPr>
                <w:rFonts w:ascii="Verdana" w:hAnsi="Verdana"/>
                <w:sz w:val="18"/>
                <w:szCs w:val="18"/>
              </w:rPr>
              <w:t xml:space="preserve"> 2021/2115, 2021/2116, 2024/1468, ЕС 2022/1172 </w:t>
            </w:r>
            <w:r w:rsidRPr="00651813">
              <w:rPr>
                <w:rFonts w:ascii="Verdana" w:hAnsi="Verdana"/>
                <w:sz w:val="18"/>
                <w:szCs w:val="18"/>
                <w:lang w:val="en-US"/>
              </w:rPr>
              <w:t>(</w:t>
            </w:r>
            <w:r w:rsidRPr="00651813">
              <w:rPr>
                <w:rFonts w:ascii="Verdana" w:hAnsi="Verdana"/>
                <w:sz w:val="18"/>
                <w:szCs w:val="18"/>
              </w:rPr>
              <w:t>неизчерпателно</w:t>
            </w:r>
            <w:r w:rsidRPr="00651813">
              <w:rPr>
                <w:rFonts w:ascii="Verdana" w:hAnsi="Verdana"/>
                <w:sz w:val="18"/>
                <w:szCs w:val="18"/>
                <w:lang w:val="en-US"/>
              </w:rPr>
              <w:t>)</w:t>
            </w:r>
            <w:r w:rsidR="0094721F" w:rsidRPr="00651813">
              <w:rPr>
                <w:rFonts w:ascii="Verdana" w:hAnsi="Verdana"/>
                <w:sz w:val="18"/>
                <w:szCs w:val="18"/>
              </w:rPr>
              <w:t xml:space="preserve">, както и </w:t>
            </w:r>
            <w:r w:rsidR="00E06367" w:rsidRPr="00651813">
              <w:rPr>
                <w:rFonts w:ascii="Verdana" w:hAnsi="Verdana"/>
                <w:sz w:val="18"/>
                <w:szCs w:val="18"/>
              </w:rPr>
              <w:t>действащите постоянно.</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2. „Обща земеделска площ“ означава земеделската площ, която е декларирана през 2018 г. в съответствие с чл. 72, параграф 1, първа алинея, буква а) от Регламент (ЕС) № 1306/2013 от земеделски стопани, получаващи директни плащания и е установена съгласно чл. 2, параграф 1, втора алинея, т. 23 от Делегиран регламент (ЕС) № 640/2014.</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Година 2018 да се промени на годината на приемане на методика</w:t>
            </w:r>
          </w:p>
          <w:p w:rsidR="00AA4B35" w:rsidRPr="00870E61" w:rsidRDefault="00AA4B35" w:rsidP="00AA4B35">
            <w:pPr>
              <w:spacing w:before="80" w:after="4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AA4B35">
            <w:pPr>
              <w:spacing w:before="80" w:after="40"/>
              <w:jc w:val="both"/>
              <w:rPr>
                <w:rFonts w:ascii="Verdana" w:hAnsi="Verdana"/>
                <w:sz w:val="18"/>
                <w:szCs w:val="18"/>
              </w:rPr>
            </w:pPr>
            <w:r w:rsidRPr="00870E61">
              <w:rPr>
                <w:rFonts w:ascii="Verdana" w:hAnsi="Verdana"/>
                <w:sz w:val="18"/>
                <w:szCs w:val="18"/>
              </w:rPr>
              <w:t>Ще се ползват основания от период, който е преди влизане в сила на методиката.</w:t>
            </w:r>
          </w:p>
        </w:tc>
        <w:tc>
          <w:tcPr>
            <w:tcW w:w="1559" w:type="dxa"/>
            <w:tcBorders>
              <w:top w:val="nil"/>
              <w:bottom w:val="nil"/>
            </w:tcBorders>
            <w:shd w:val="clear" w:color="auto" w:fill="auto"/>
          </w:tcPr>
          <w:p w:rsidR="00AA4B35" w:rsidRPr="00651813" w:rsidRDefault="00AA4B35" w:rsidP="00AA4B35">
            <w:pPr>
              <w:spacing w:before="80" w:after="40"/>
              <w:rPr>
                <w:rFonts w:ascii="Verdana" w:hAnsi="Verdana"/>
                <w:sz w:val="18"/>
                <w:szCs w:val="18"/>
              </w:rPr>
            </w:pPr>
            <w:r w:rsidRPr="00651813">
              <w:rPr>
                <w:rFonts w:ascii="Verdana" w:hAnsi="Verdana"/>
                <w:sz w:val="18"/>
                <w:szCs w:val="18"/>
              </w:rPr>
              <w:t>Не се приема</w:t>
            </w:r>
          </w:p>
        </w:tc>
        <w:tc>
          <w:tcPr>
            <w:tcW w:w="4819" w:type="dxa"/>
            <w:tcBorders>
              <w:top w:val="nil"/>
              <w:bottom w:val="nil"/>
            </w:tcBorders>
            <w:shd w:val="clear" w:color="auto" w:fill="auto"/>
          </w:tcPr>
          <w:p w:rsidR="00AA4B35" w:rsidRPr="00651813" w:rsidRDefault="00C90C24" w:rsidP="00350965">
            <w:pPr>
              <w:spacing w:before="80" w:after="40"/>
              <w:jc w:val="both"/>
              <w:rPr>
                <w:rFonts w:ascii="Verdana" w:hAnsi="Verdana"/>
                <w:sz w:val="18"/>
                <w:szCs w:val="18"/>
                <w:lang w:val="en-US"/>
              </w:rPr>
            </w:pPr>
            <w:r w:rsidRPr="00651813">
              <w:rPr>
                <w:rFonts w:ascii="Verdana" w:hAnsi="Verdana"/>
                <w:sz w:val="18"/>
                <w:szCs w:val="18"/>
              </w:rPr>
              <w:t xml:space="preserve">Определението е дадено </w:t>
            </w:r>
            <w:r w:rsidR="00010D14" w:rsidRPr="00651813">
              <w:rPr>
                <w:rFonts w:ascii="Verdana" w:hAnsi="Verdana"/>
                <w:sz w:val="18"/>
                <w:szCs w:val="18"/>
              </w:rPr>
              <w:t xml:space="preserve">във </w:t>
            </w:r>
            <w:proofErr w:type="spellStart"/>
            <w:r w:rsidR="00010D14" w:rsidRPr="00651813">
              <w:rPr>
                <w:rFonts w:ascii="Verdana" w:hAnsi="Verdana"/>
                <w:sz w:val="18"/>
                <w:szCs w:val="18"/>
              </w:rPr>
              <w:t>вързка</w:t>
            </w:r>
            <w:proofErr w:type="spellEnd"/>
            <w:r w:rsidR="00010D14" w:rsidRPr="00651813">
              <w:rPr>
                <w:rFonts w:ascii="Verdana" w:hAnsi="Verdana"/>
                <w:sz w:val="18"/>
                <w:szCs w:val="18"/>
              </w:rPr>
              <w:t xml:space="preserve"> със стандарта за добро земеделско и екологично състояние 1 във връзка с определяне на постоянно затревените площи, където 2018 г. по регламент е определена за базова година</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 xml:space="preserve">(6) При наклон на парцела от 5 % до 10 % включително, затревяването на буферната ивица се отнася за 5-те метра от водния обект, а в останалите 5 м площта може да се обработва и засява, но не може да се тори с минерални и/или органични </w:t>
            </w:r>
            <w:proofErr w:type="spellStart"/>
            <w:r w:rsidRPr="00870E61">
              <w:rPr>
                <w:rFonts w:ascii="Verdana" w:hAnsi="Verdana"/>
                <w:sz w:val="18"/>
                <w:szCs w:val="18"/>
              </w:rPr>
              <w:t>азотсъдържащи</w:t>
            </w:r>
            <w:proofErr w:type="spellEnd"/>
            <w:r w:rsidRPr="00870E61">
              <w:rPr>
                <w:rFonts w:ascii="Verdana" w:hAnsi="Verdana"/>
                <w:sz w:val="18"/>
                <w:szCs w:val="18"/>
              </w:rPr>
              <w:t xml:space="preserve"> торове и пръска с ПРЗ – общо 10 м. При площи с наклон над 10 % затревяването на буферната ивица се отнася за 5-те метра от водния обект, а в останалите 45 м площта може да се обработва и засява, но не може да се тори и пръска с ПРЗ – общо със затревената буферна ивица да не се тори и пръска – 50 м.</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 xml:space="preserve">Да се поясни спрямо коя </w:t>
            </w:r>
            <w:proofErr w:type="spellStart"/>
            <w:r w:rsidRPr="00870E61">
              <w:rPr>
                <w:rFonts w:ascii="Verdana" w:hAnsi="Verdana"/>
                <w:sz w:val="18"/>
                <w:szCs w:val="18"/>
              </w:rPr>
              <w:t>геодезическа</w:t>
            </w:r>
            <w:proofErr w:type="spellEnd"/>
            <w:r w:rsidRPr="00870E61">
              <w:rPr>
                <w:rFonts w:ascii="Verdana" w:hAnsi="Verdana"/>
                <w:sz w:val="18"/>
                <w:szCs w:val="18"/>
              </w:rPr>
              <w:t xml:space="preserve"> основа се определя приложимия № на наклон.</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Неясно приложима основа за определяне на наклона</w:t>
            </w:r>
          </w:p>
        </w:tc>
        <w:tc>
          <w:tcPr>
            <w:tcW w:w="1559" w:type="dxa"/>
            <w:tcBorders>
              <w:top w:val="nil"/>
              <w:bottom w:val="nil"/>
            </w:tcBorders>
            <w:shd w:val="clear" w:color="auto" w:fill="auto"/>
          </w:tcPr>
          <w:p w:rsidR="00AA4B35" w:rsidRPr="00651813" w:rsidRDefault="00AA4B35" w:rsidP="0020114A">
            <w:pPr>
              <w:spacing w:before="20" w:after="20"/>
              <w:rPr>
                <w:rFonts w:ascii="Verdana" w:hAnsi="Verdana"/>
                <w:sz w:val="18"/>
                <w:szCs w:val="18"/>
              </w:rPr>
            </w:pPr>
            <w:r w:rsidRPr="00651813">
              <w:rPr>
                <w:rFonts w:ascii="Verdana" w:hAnsi="Verdana"/>
                <w:sz w:val="18"/>
                <w:szCs w:val="18"/>
              </w:rPr>
              <w:t>Не се приема</w:t>
            </w:r>
          </w:p>
        </w:tc>
        <w:tc>
          <w:tcPr>
            <w:tcW w:w="4819" w:type="dxa"/>
            <w:tcBorders>
              <w:top w:val="nil"/>
              <w:bottom w:val="nil"/>
            </w:tcBorders>
            <w:shd w:val="clear" w:color="auto" w:fill="auto"/>
          </w:tcPr>
          <w:p w:rsidR="00AA4B35" w:rsidRPr="00651813" w:rsidRDefault="00651813" w:rsidP="0020114A">
            <w:pPr>
              <w:spacing w:before="20" w:after="20"/>
              <w:jc w:val="both"/>
              <w:rPr>
                <w:rFonts w:ascii="Verdana" w:hAnsi="Verdana"/>
                <w:sz w:val="18"/>
                <w:szCs w:val="18"/>
              </w:rPr>
            </w:pPr>
            <w:r w:rsidRPr="00651813">
              <w:rPr>
                <w:rFonts w:ascii="Verdana" w:hAnsi="Verdana"/>
                <w:sz w:val="18"/>
                <w:szCs w:val="18"/>
              </w:rPr>
              <w:t>Отчитането на наклоните се прилага за определяне на буферните ивици, които предпазват водните обекти от замърсяване по изискванията на стандарт за ДЗЕС 4, утвърден със заповед № РД09-786/20.07.2023 г. Контролира се чрез тази Методика.</w:t>
            </w:r>
          </w:p>
          <w:p w:rsidR="00010D14" w:rsidRPr="00651813" w:rsidRDefault="00010D14" w:rsidP="0020114A">
            <w:pPr>
              <w:spacing w:before="20" w:after="20"/>
              <w:jc w:val="both"/>
              <w:rPr>
                <w:rFonts w:ascii="Verdana" w:hAnsi="Verdana"/>
                <w:sz w:val="18"/>
                <w:szCs w:val="18"/>
              </w:rPr>
            </w:pPr>
          </w:p>
          <w:p w:rsidR="00010D14" w:rsidRPr="00651813" w:rsidRDefault="00010D14" w:rsidP="0020114A">
            <w:pPr>
              <w:spacing w:before="20" w:after="20"/>
              <w:jc w:val="both"/>
              <w:rPr>
                <w:rFonts w:ascii="Verdana" w:hAnsi="Verdana"/>
                <w:sz w:val="18"/>
                <w:szCs w:val="18"/>
              </w:rPr>
            </w:pPr>
          </w:p>
          <w:p w:rsidR="00010D14" w:rsidRPr="00651813" w:rsidRDefault="00010D14" w:rsidP="0020114A">
            <w:pPr>
              <w:spacing w:before="20" w:after="20"/>
              <w:jc w:val="both"/>
              <w:rPr>
                <w:rFonts w:ascii="Verdana" w:hAnsi="Verdana"/>
                <w:sz w:val="18"/>
                <w:szCs w:val="18"/>
              </w:rPr>
            </w:pPr>
          </w:p>
          <w:p w:rsidR="00010D14" w:rsidRPr="00651813" w:rsidRDefault="00010D14" w:rsidP="0020114A">
            <w:pPr>
              <w:spacing w:before="20" w:after="20"/>
              <w:jc w:val="both"/>
              <w:rPr>
                <w:rFonts w:ascii="Verdana" w:hAnsi="Verdana"/>
                <w:sz w:val="18"/>
                <w:szCs w:val="18"/>
              </w:rPr>
            </w:pPr>
          </w:p>
          <w:p w:rsidR="00010D14" w:rsidRPr="00651813" w:rsidRDefault="00010D14" w:rsidP="0020114A">
            <w:pPr>
              <w:spacing w:before="20" w:after="20"/>
              <w:jc w:val="both"/>
              <w:rPr>
                <w:rFonts w:ascii="Verdana" w:hAnsi="Verdana"/>
                <w:sz w:val="18"/>
                <w:szCs w:val="18"/>
              </w:rPr>
            </w:pPr>
          </w:p>
          <w:p w:rsidR="00010D14" w:rsidRPr="00651813" w:rsidRDefault="00010D14" w:rsidP="0020114A">
            <w:pPr>
              <w:spacing w:before="20" w:after="20"/>
              <w:jc w:val="both"/>
              <w:rPr>
                <w:rFonts w:ascii="Verdana" w:hAnsi="Verdana"/>
                <w:sz w:val="18"/>
                <w:szCs w:val="18"/>
              </w:rPr>
            </w:pPr>
          </w:p>
          <w:p w:rsidR="00010D14" w:rsidRPr="00651813" w:rsidRDefault="00010D14" w:rsidP="0020114A">
            <w:pPr>
              <w:spacing w:before="20" w:after="20"/>
              <w:jc w:val="both"/>
              <w:rPr>
                <w:rFonts w:ascii="Verdana" w:hAnsi="Verdana"/>
                <w:sz w:val="18"/>
                <w:szCs w:val="18"/>
              </w:rPr>
            </w:pPr>
          </w:p>
          <w:p w:rsidR="00010D14" w:rsidRPr="00651813" w:rsidRDefault="00651813" w:rsidP="0020114A">
            <w:pPr>
              <w:spacing w:before="20" w:after="20"/>
              <w:jc w:val="both"/>
              <w:rPr>
                <w:rFonts w:ascii="Verdana" w:hAnsi="Verdana"/>
                <w:sz w:val="18"/>
                <w:szCs w:val="18"/>
              </w:rPr>
            </w:pPr>
            <w:r w:rsidRPr="00651813">
              <w:rPr>
                <w:rFonts w:ascii="Verdana" w:hAnsi="Verdana"/>
                <w:sz w:val="18"/>
                <w:szCs w:val="18"/>
              </w:rPr>
              <w:t>Информацията се извлича от цифровия модел на релефа</w:t>
            </w:r>
            <w:r w:rsidR="004A4F42">
              <w:rPr>
                <w:rFonts w:ascii="Verdana" w:hAnsi="Verdana"/>
                <w:sz w:val="18"/>
                <w:szCs w:val="18"/>
              </w:rPr>
              <w:t xml:space="preserve"> в </w:t>
            </w:r>
            <w:proofErr w:type="spellStart"/>
            <w:r w:rsidR="004A4F42">
              <w:rPr>
                <w:rFonts w:ascii="Verdana" w:hAnsi="Verdana"/>
                <w:sz w:val="18"/>
                <w:szCs w:val="18"/>
              </w:rPr>
              <w:t>геоинформационната</w:t>
            </w:r>
            <w:proofErr w:type="spellEnd"/>
            <w:r w:rsidR="004A4F42">
              <w:rPr>
                <w:rFonts w:ascii="Verdana" w:hAnsi="Verdana"/>
                <w:sz w:val="18"/>
                <w:szCs w:val="18"/>
              </w:rPr>
              <w:t xml:space="preserve"> система</w:t>
            </w:r>
            <w:r w:rsidRPr="00651813">
              <w:rPr>
                <w:rFonts w:ascii="Verdana" w:hAnsi="Verdana"/>
                <w:sz w:val="18"/>
                <w:szCs w:val="18"/>
              </w:rPr>
              <w:t xml:space="preserve"> и се отчита най-ниската и най-високата надморска височина на съответния парцел за определяне на наклона</w:t>
            </w:r>
            <w:r w:rsidR="004A4F42">
              <w:rPr>
                <w:rFonts w:ascii="Verdana" w:hAnsi="Verdana"/>
                <w:sz w:val="18"/>
                <w:szCs w:val="18"/>
              </w:rPr>
              <w:t xml:space="preserve"> чрез </w:t>
            </w:r>
            <w:proofErr w:type="spellStart"/>
            <w:r w:rsidR="004A4F42">
              <w:rPr>
                <w:rFonts w:ascii="Verdana" w:hAnsi="Verdana"/>
                <w:sz w:val="18"/>
                <w:szCs w:val="18"/>
              </w:rPr>
              <w:t>софуеър</w:t>
            </w:r>
            <w:proofErr w:type="spellEnd"/>
            <w:r w:rsidR="004A4F42">
              <w:rPr>
                <w:rFonts w:ascii="Verdana" w:hAnsi="Verdana"/>
                <w:sz w:val="18"/>
                <w:szCs w:val="18"/>
              </w:rPr>
              <w:t>.</w:t>
            </w:r>
          </w:p>
          <w:p w:rsidR="00010D14" w:rsidRPr="00651813" w:rsidRDefault="00010D14" w:rsidP="0020114A">
            <w:pPr>
              <w:spacing w:before="20" w:after="20"/>
              <w:jc w:val="both"/>
              <w:rPr>
                <w:rFonts w:ascii="Verdana" w:hAnsi="Verdana"/>
                <w:sz w:val="18"/>
                <w:szCs w:val="18"/>
              </w:rPr>
            </w:pP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Чл. 20.</w:t>
            </w:r>
            <w:r w:rsidRPr="00870E61">
              <w:rPr>
                <w:rFonts w:ascii="Verdana" w:hAnsi="Verdana"/>
                <w:sz w:val="18"/>
                <w:szCs w:val="18"/>
              </w:rPr>
              <w:t xml:space="preserve"> (1) За всеки стандарт или изискване компетентният контролен орган дава оценка на значимостта на неспазването въз основа на критериите „тежест“ (сериозност), „степен“ (обхват) и „продължителност“ в съответствие с показателите по приложение № 1, която да се вземе предвид при налагане на пропорционални санкции съгласно Приложение № 2.</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ПРЕДЛОЖЕНИЕ:</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Текстът на алинеята да се редактира.</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ОСНОВАНИЕ:</w:t>
            </w:r>
          </w:p>
          <w:p w:rsidR="00AA4B35" w:rsidRPr="00870E61" w:rsidRDefault="00AA4B35" w:rsidP="0020114A">
            <w:pPr>
              <w:spacing w:before="20" w:after="20"/>
              <w:jc w:val="both"/>
              <w:rPr>
                <w:rFonts w:ascii="Verdana" w:hAnsi="Verdana"/>
                <w:sz w:val="18"/>
                <w:szCs w:val="18"/>
              </w:rPr>
            </w:pPr>
            <w:r w:rsidRPr="00870E61">
              <w:rPr>
                <w:rFonts w:ascii="Verdana" w:hAnsi="Verdana"/>
                <w:sz w:val="18"/>
                <w:szCs w:val="18"/>
              </w:rPr>
              <w:t>Текстът предполага субективизъм и следва да се вземат под внимание следните основания за това:</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Сложност и неопределеност</w:t>
            </w:r>
            <w:r w:rsidRPr="00870E61">
              <w:rPr>
                <w:rFonts w:ascii="Verdana" w:hAnsi="Verdana"/>
                <w:sz w:val="18"/>
                <w:szCs w:val="18"/>
              </w:rPr>
              <w:t>: Оценката на значимостта на неспазването чрез критериите „тежест“, „степен“ и „продължителност“ добавя допълнителна сложност към процеса на правоприлагане. Системата може да стане трудна за разбиране и прилагане, както от страна на контролния орган, така и от страна на проверяваните лица. Това може да доведе до нееднакво прилагане на санкции и правна несигурност.</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lastRenderedPageBreak/>
              <w:t>Субективност в оценката</w:t>
            </w:r>
            <w:r w:rsidRPr="00870E61">
              <w:rPr>
                <w:rFonts w:ascii="Verdana" w:hAnsi="Verdana"/>
                <w:sz w:val="18"/>
                <w:szCs w:val="18"/>
              </w:rPr>
              <w:t>: Критериите за оценка на значимостта са относителни и могат да бъдат интерпретирани по различен начин от различни контролни органи. Субективността в оценката може да доведе до произволност и неравномерност при налагане на санкции, което би могло да наруши принципа на правната сигурност и равенството пред закона.</w:t>
            </w:r>
          </w:p>
          <w:p w:rsidR="00AA4B35" w:rsidRPr="00870E61" w:rsidRDefault="00AA4B35" w:rsidP="0020114A">
            <w:pPr>
              <w:spacing w:before="20" w:after="20"/>
              <w:jc w:val="both"/>
              <w:rPr>
                <w:rFonts w:ascii="Verdana" w:hAnsi="Verdana"/>
                <w:sz w:val="18"/>
                <w:szCs w:val="18"/>
              </w:rPr>
            </w:pPr>
            <w:r w:rsidRPr="00870E61">
              <w:rPr>
                <w:rFonts w:ascii="Verdana" w:hAnsi="Verdana"/>
                <w:b/>
                <w:bCs/>
                <w:sz w:val="18"/>
                <w:szCs w:val="18"/>
              </w:rPr>
              <w:t>Могат да се създадат предпоставки за корупция и злоупотреби</w:t>
            </w:r>
            <w:r w:rsidRPr="00870E61">
              <w:rPr>
                <w:rFonts w:ascii="Verdana" w:hAnsi="Verdana"/>
                <w:sz w:val="18"/>
                <w:szCs w:val="18"/>
              </w:rPr>
              <w:t>: Субективните оценки могат да създадат предпоставки за корупция и злоупотреби, особено ако не съществуват ясни и стриктни насоки за оценяване. Липсата на прозрачност в оценяването може да подкопае доверието в контролните органи.</w:t>
            </w:r>
          </w:p>
        </w:tc>
        <w:tc>
          <w:tcPr>
            <w:tcW w:w="1559" w:type="dxa"/>
            <w:tcBorders>
              <w:top w:val="nil"/>
              <w:bottom w:val="nil"/>
            </w:tcBorders>
            <w:shd w:val="clear" w:color="auto" w:fill="auto"/>
          </w:tcPr>
          <w:p w:rsidR="00AA4B35" w:rsidRPr="00651813" w:rsidRDefault="00AA4B35" w:rsidP="0020114A">
            <w:pPr>
              <w:spacing w:before="20" w:after="20"/>
              <w:rPr>
                <w:rFonts w:ascii="Verdana" w:hAnsi="Verdana"/>
                <w:sz w:val="18"/>
                <w:szCs w:val="18"/>
              </w:rPr>
            </w:pPr>
            <w:r w:rsidRPr="00651813">
              <w:rPr>
                <w:rFonts w:ascii="Verdana" w:hAnsi="Verdana"/>
                <w:sz w:val="18"/>
                <w:szCs w:val="18"/>
              </w:rPr>
              <w:lastRenderedPageBreak/>
              <w:t>Не се приема</w:t>
            </w:r>
          </w:p>
        </w:tc>
        <w:tc>
          <w:tcPr>
            <w:tcW w:w="4819" w:type="dxa"/>
            <w:tcBorders>
              <w:top w:val="nil"/>
              <w:bottom w:val="nil"/>
            </w:tcBorders>
            <w:shd w:val="clear" w:color="auto" w:fill="auto"/>
          </w:tcPr>
          <w:p w:rsidR="00AA4B35" w:rsidRPr="00651813" w:rsidRDefault="00E06367" w:rsidP="0020114A">
            <w:pPr>
              <w:spacing w:before="20" w:after="20"/>
              <w:jc w:val="both"/>
              <w:rPr>
                <w:rFonts w:ascii="Verdana" w:hAnsi="Verdana"/>
                <w:sz w:val="18"/>
                <w:szCs w:val="18"/>
              </w:rPr>
            </w:pPr>
            <w:r w:rsidRPr="00651813">
              <w:rPr>
                <w:rFonts w:ascii="Verdana" w:hAnsi="Verdana"/>
                <w:sz w:val="18"/>
                <w:szCs w:val="18"/>
              </w:rPr>
              <w:t>За</w:t>
            </w:r>
            <w:r w:rsidR="00AD6BF4" w:rsidRPr="00651813">
              <w:rPr>
                <w:rFonts w:ascii="Verdana" w:hAnsi="Verdana"/>
                <w:sz w:val="18"/>
                <w:szCs w:val="18"/>
              </w:rPr>
              <w:t xml:space="preserve"> приемственост от предход</w:t>
            </w:r>
            <w:r w:rsidRPr="00651813">
              <w:rPr>
                <w:rFonts w:ascii="Verdana" w:hAnsi="Verdana"/>
                <w:sz w:val="18"/>
                <w:szCs w:val="18"/>
              </w:rPr>
              <w:t>н</w:t>
            </w:r>
            <w:r w:rsidR="00AD6BF4" w:rsidRPr="00651813">
              <w:rPr>
                <w:rFonts w:ascii="Verdana" w:hAnsi="Verdana"/>
                <w:sz w:val="18"/>
                <w:szCs w:val="18"/>
              </w:rPr>
              <w:t>ия</w:t>
            </w:r>
            <w:r w:rsidRPr="00651813">
              <w:rPr>
                <w:rFonts w:ascii="Verdana" w:hAnsi="Verdana"/>
                <w:sz w:val="18"/>
                <w:szCs w:val="18"/>
              </w:rPr>
              <w:t xml:space="preserve"> програмен период по ОСП е запазена терминологията от Методиката за кръстосаното съответствие </w:t>
            </w:r>
            <w:r w:rsidRPr="00651813">
              <w:rPr>
                <w:rFonts w:ascii="Verdana" w:hAnsi="Verdana"/>
                <w:sz w:val="18"/>
                <w:szCs w:val="18"/>
                <w:lang w:val="en-US"/>
              </w:rPr>
              <w:t>(</w:t>
            </w:r>
            <w:r w:rsidRPr="00651813">
              <w:rPr>
                <w:rFonts w:ascii="Verdana" w:hAnsi="Verdana"/>
                <w:sz w:val="18"/>
                <w:szCs w:val="18"/>
              </w:rPr>
              <w:t>тежест, степен, продължителност</w:t>
            </w:r>
            <w:r w:rsidRPr="00651813">
              <w:rPr>
                <w:rFonts w:ascii="Verdana" w:hAnsi="Verdana"/>
                <w:sz w:val="18"/>
                <w:szCs w:val="18"/>
                <w:lang w:val="en-US"/>
              </w:rPr>
              <w:t>)</w:t>
            </w:r>
            <w:r w:rsidR="003559EF" w:rsidRPr="00651813">
              <w:rPr>
                <w:rFonts w:ascii="Verdana" w:hAnsi="Verdana"/>
                <w:sz w:val="18"/>
                <w:szCs w:val="18"/>
              </w:rPr>
              <w:t>, коя</w:t>
            </w:r>
            <w:r w:rsidR="006A3DBD" w:rsidRPr="00651813">
              <w:rPr>
                <w:rFonts w:ascii="Verdana" w:hAnsi="Verdana"/>
                <w:sz w:val="18"/>
                <w:szCs w:val="18"/>
              </w:rPr>
              <w:t>то съвпада с терминологията на чл. 7 от  Д</w:t>
            </w:r>
            <w:r w:rsidR="003559EF" w:rsidRPr="00651813">
              <w:rPr>
                <w:rFonts w:ascii="Verdana" w:hAnsi="Verdana"/>
                <w:sz w:val="18"/>
                <w:szCs w:val="18"/>
              </w:rPr>
              <w:t xml:space="preserve">елегиран регламент </w:t>
            </w:r>
            <w:r w:rsidR="003559EF" w:rsidRPr="00651813">
              <w:rPr>
                <w:rFonts w:ascii="Verdana" w:hAnsi="Verdana"/>
                <w:sz w:val="18"/>
                <w:szCs w:val="18"/>
                <w:lang w:val="en-US"/>
              </w:rPr>
              <w:t>(EC)2022/1172</w:t>
            </w:r>
            <w:r w:rsidR="003559EF" w:rsidRPr="00651813">
              <w:rPr>
                <w:rFonts w:ascii="Verdana" w:hAnsi="Verdana"/>
                <w:sz w:val="18"/>
                <w:szCs w:val="18"/>
              </w:rPr>
              <w:t>, докато</w:t>
            </w:r>
            <w:r w:rsidR="006A3DBD" w:rsidRPr="00651813">
              <w:rPr>
                <w:rFonts w:ascii="Verdana" w:hAnsi="Verdana"/>
                <w:sz w:val="18"/>
                <w:szCs w:val="18"/>
              </w:rPr>
              <w:t xml:space="preserve"> преводът на Регламент </w:t>
            </w:r>
            <w:r w:rsidR="006A3DBD" w:rsidRPr="00651813">
              <w:rPr>
                <w:rFonts w:ascii="Verdana" w:hAnsi="Verdana"/>
                <w:sz w:val="18"/>
                <w:szCs w:val="18"/>
                <w:lang w:val="en-US"/>
              </w:rPr>
              <w:t>(EC) 2021/2116</w:t>
            </w:r>
            <w:r w:rsidR="006A3DBD" w:rsidRPr="00651813">
              <w:rPr>
                <w:rFonts w:ascii="Verdana" w:hAnsi="Verdana"/>
                <w:sz w:val="18"/>
                <w:szCs w:val="18"/>
              </w:rPr>
              <w:t xml:space="preserve"> използва нова правна терминология з</w:t>
            </w:r>
            <w:r w:rsidRPr="00651813">
              <w:rPr>
                <w:rFonts w:ascii="Verdana" w:hAnsi="Verdana"/>
                <w:sz w:val="18"/>
                <w:szCs w:val="18"/>
              </w:rPr>
              <w:t xml:space="preserve">а сегашния програмен период, в частност чл. 85, параграф </w:t>
            </w:r>
            <w:r w:rsidR="00AD6BF4" w:rsidRPr="00651813">
              <w:rPr>
                <w:rFonts w:ascii="Verdana" w:hAnsi="Verdana"/>
                <w:sz w:val="18"/>
                <w:szCs w:val="18"/>
              </w:rPr>
              <w:t>1</w:t>
            </w:r>
            <w:r w:rsidR="006A3DBD" w:rsidRPr="00651813">
              <w:rPr>
                <w:rFonts w:ascii="Verdana" w:hAnsi="Verdana"/>
                <w:sz w:val="18"/>
                <w:szCs w:val="18"/>
              </w:rPr>
              <w:t xml:space="preserve"> от Регламент </w:t>
            </w:r>
            <w:r w:rsidR="006A3DBD" w:rsidRPr="00651813">
              <w:rPr>
                <w:rFonts w:ascii="Verdana" w:hAnsi="Verdana"/>
                <w:sz w:val="18"/>
                <w:szCs w:val="18"/>
                <w:lang w:val="en-US"/>
              </w:rPr>
              <w:t>(EC) 2021/2116</w:t>
            </w:r>
            <w:r w:rsidR="00AD6BF4" w:rsidRPr="00651813">
              <w:rPr>
                <w:rFonts w:ascii="Verdana" w:hAnsi="Verdana"/>
                <w:sz w:val="18"/>
                <w:szCs w:val="18"/>
              </w:rPr>
              <w:t>, където вместо горните понятия</w:t>
            </w:r>
            <w:r w:rsidRPr="00651813">
              <w:rPr>
                <w:rFonts w:ascii="Verdana" w:hAnsi="Verdana"/>
                <w:sz w:val="18"/>
                <w:szCs w:val="18"/>
              </w:rPr>
              <w:t xml:space="preserve"> се вземат предвид „сериозността, обхватът, продължителността или повторяемостта и наличието на умисъл при установеното неспазване“</w:t>
            </w:r>
            <w:r w:rsidR="003559EF" w:rsidRPr="00651813">
              <w:rPr>
                <w:rFonts w:ascii="Verdana" w:hAnsi="Verdana"/>
                <w:sz w:val="18"/>
                <w:szCs w:val="18"/>
              </w:rPr>
              <w:t>, поради което</w:t>
            </w:r>
            <w:r w:rsidR="006A3DBD" w:rsidRPr="00651813">
              <w:rPr>
                <w:rFonts w:ascii="Verdana" w:hAnsi="Verdana"/>
                <w:sz w:val="18"/>
                <w:szCs w:val="18"/>
              </w:rPr>
              <w:t xml:space="preserve"> тя е дадена</w:t>
            </w:r>
            <w:r w:rsidR="003559EF" w:rsidRPr="00651813">
              <w:rPr>
                <w:rFonts w:ascii="Verdana" w:hAnsi="Verdana"/>
                <w:sz w:val="18"/>
                <w:szCs w:val="18"/>
              </w:rPr>
              <w:t xml:space="preserve"> в скоби за пояснение.</w:t>
            </w:r>
          </w:p>
          <w:p w:rsidR="00AD6BF4" w:rsidRPr="00651813" w:rsidRDefault="00AD6BF4" w:rsidP="0020114A">
            <w:pPr>
              <w:spacing w:before="20" w:after="20"/>
              <w:jc w:val="both"/>
              <w:rPr>
                <w:rFonts w:ascii="Verdana" w:hAnsi="Verdana"/>
                <w:sz w:val="18"/>
                <w:szCs w:val="18"/>
              </w:rPr>
            </w:pPr>
          </w:p>
          <w:p w:rsidR="00AD6BF4" w:rsidRPr="00651813" w:rsidRDefault="00AD6BF4" w:rsidP="0020114A">
            <w:pPr>
              <w:spacing w:before="20" w:after="20"/>
              <w:jc w:val="both"/>
              <w:rPr>
                <w:rFonts w:ascii="Verdana" w:hAnsi="Verdana"/>
                <w:sz w:val="18"/>
                <w:szCs w:val="18"/>
              </w:rPr>
            </w:pPr>
            <w:r w:rsidRPr="00651813">
              <w:rPr>
                <w:rFonts w:ascii="Verdana" w:hAnsi="Verdana"/>
                <w:sz w:val="18"/>
                <w:szCs w:val="18"/>
              </w:rPr>
              <w:t xml:space="preserve">Приложение № 1 и Приложение № 2 на тази Методика определят измерими критерии за контрол и установяване, според които се </w:t>
            </w:r>
            <w:r w:rsidRPr="00651813">
              <w:rPr>
                <w:rFonts w:ascii="Verdana" w:hAnsi="Verdana"/>
                <w:sz w:val="18"/>
                <w:szCs w:val="18"/>
              </w:rPr>
              <w:lastRenderedPageBreak/>
              <w:t xml:space="preserve">изчисляват пропорционални на неспазванията санкции, които тук представляват намаление на плащанията, които са заявени за подпомагане при условие на кумулативно спазване на предварителните условия </w:t>
            </w:r>
            <w:r w:rsidRPr="00651813">
              <w:rPr>
                <w:rFonts w:ascii="Verdana" w:hAnsi="Verdana"/>
                <w:sz w:val="18"/>
                <w:szCs w:val="18"/>
                <w:lang w:val="en-US"/>
              </w:rPr>
              <w:t>(</w:t>
            </w:r>
            <w:proofErr w:type="spellStart"/>
            <w:r w:rsidRPr="00651813">
              <w:rPr>
                <w:rFonts w:ascii="Verdana" w:hAnsi="Verdana"/>
                <w:sz w:val="18"/>
                <w:szCs w:val="18"/>
              </w:rPr>
              <w:t>станадарти</w:t>
            </w:r>
            <w:proofErr w:type="spellEnd"/>
            <w:r w:rsidRPr="00651813">
              <w:rPr>
                <w:rFonts w:ascii="Verdana" w:hAnsi="Verdana"/>
                <w:sz w:val="18"/>
                <w:szCs w:val="18"/>
              </w:rPr>
              <w:t xml:space="preserve"> за ДЗЕС и  ЗИУ</w:t>
            </w:r>
            <w:r w:rsidRPr="00651813">
              <w:rPr>
                <w:rFonts w:ascii="Verdana" w:hAnsi="Verdana"/>
                <w:sz w:val="18"/>
                <w:szCs w:val="18"/>
                <w:lang w:val="en-US"/>
              </w:rPr>
              <w:t>)</w:t>
            </w:r>
            <w:r w:rsidRPr="00651813">
              <w:rPr>
                <w:rFonts w:ascii="Verdana" w:hAnsi="Verdana"/>
                <w:sz w:val="18"/>
                <w:szCs w:val="18"/>
              </w:rPr>
              <w:t>.</w:t>
            </w:r>
          </w:p>
          <w:p w:rsidR="00AD6BF4" w:rsidRPr="00651813" w:rsidRDefault="00AD6BF4" w:rsidP="0020114A">
            <w:pPr>
              <w:spacing w:before="20" w:after="20"/>
              <w:jc w:val="both"/>
              <w:rPr>
                <w:rFonts w:ascii="Verdana" w:hAnsi="Verdana"/>
                <w:sz w:val="18"/>
                <w:szCs w:val="18"/>
              </w:rPr>
            </w:pPr>
            <w:r w:rsidRPr="00651813">
              <w:rPr>
                <w:rFonts w:ascii="Verdana" w:hAnsi="Verdana"/>
                <w:sz w:val="18"/>
                <w:szCs w:val="18"/>
              </w:rPr>
              <w:t>Контролният орган е определен в ЗПЗП</w:t>
            </w:r>
            <w:r w:rsidR="006A3DBD" w:rsidRPr="00651813">
              <w:rPr>
                <w:rFonts w:ascii="Verdana" w:hAnsi="Verdana"/>
                <w:sz w:val="18"/>
                <w:szCs w:val="18"/>
              </w:rPr>
              <w:t>, а</w:t>
            </w:r>
            <w:r w:rsidRPr="00651813">
              <w:rPr>
                <w:rFonts w:ascii="Verdana" w:hAnsi="Verdana"/>
                <w:sz w:val="18"/>
                <w:szCs w:val="18"/>
              </w:rPr>
              <w:t xml:space="preserve"> системата за наблюдение, контрол и изчисление на санкциите е електронна за проследимост и предотвратяване на корупционни действия</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 xml:space="preserve">Чл. 22. </w:t>
            </w:r>
            <w:r w:rsidRPr="00651813">
              <w:rPr>
                <w:rFonts w:ascii="Verdana" w:hAnsi="Verdana"/>
                <w:sz w:val="18"/>
                <w:szCs w:val="18"/>
              </w:rPr>
              <w:t>(1) Санкции се прилагат само когато неспазването е резултат от действие или бездействие, за което бенефициентът е пряко отговорен, и в случай че са изпълнени едното или двете условия:</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ПРЕДЛОЖЕНИЕ: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Текстът на алинеята да се редактира.</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ОСНОВАНИЕ: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Текстът предполага субективизъм и следва да се вземат под внимание следните основания за това:</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Неопределеност на „пряка отговорност“</w:t>
            </w:r>
            <w:r w:rsidRPr="00651813">
              <w:rPr>
                <w:rFonts w:ascii="Verdana" w:hAnsi="Verdana"/>
                <w:sz w:val="18"/>
                <w:szCs w:val="18"/>
              </w:rPr>
              <w:t xml:space="preserve">: Терминът „пряка отговорност“ може да бъде неясен и може да не осигури достатъчно конкретика относно обхвата и природата на отговорността на бенефициента. Без ясно дефинирани критерии за това какво точно представлява пряката отговорност, може да се стигне до неравно прилагане на санкции и правни </w:t>
            </w:r>
            <w:proofErr w:type="spellStart"/>
            <w:r w:rsidRPr="00651813">
              <w:rPr>
                <w:rFonts w:ascii="Verdana" w:hAnsi="Verdana"/>
                <w:sz w:val="18"/>
                <w:szCs w:val="18"/>
              </w:rPr>
              <w:t>несигурности</w:t>
            </w:r>
            <w:proofErr w:type="spellEnd"/>
            <w:r w:rsidRPr="00651813">
              <w:rPr>
                <w:rFonts w:ascii="Verdana" w:hAnsi="Verdana"/>
                <w:sz w:val="18"/>
                <w:szCs w:val="18"/>
              </w:rPr>
              <w:t>.</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Индивидуална отговорност и обективни фактори</w:t>
            </w:r>
            <w:r w:rsidRPr="00651813">
              <w:rPr>
                <w:rFonts w:ascii="Verdana" w:hAnsi="Verdana"/>
                <w:sz w:val="18"/>
                <w:szCs w:val="18"/>
              </w:rPr>
              <w:t>: Санкции трябва да се прилагат с оглед на индивидуалната отговорност и възможността на бенефициента да контролира или предотврати нарушението. Съществуват случаи, когато нарушението може да е резултат от външни фактори, които не са били в контрола на бенефициента. Прилагането на санкции само на основата на пряка отговорност може да игнорира тези обективни фактори.</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lastRenderedPageBreak/>
              <w:t>Може да доведе до несправедливост</w:t>
            </w:r>
            <w:r w:rsidRPr="00651813">
              <w:rPr>
                <w:rFonts w:ascii="Verdana" w:hAnsi="Verdana"/>
                <w:sz w:val="18"/>
                <w:szCs w:val="18"/>
              </w:rPr>
              <w:t>: Ако санкциите се прилагат само на базата на пряка отговорност, може да се стигне до ситуации, в които бенефициентът получава санкции, въпреки че е действал добросъвестно или е положил всички възможни усилия за спазване на изискванията. Това може да бъде несправедливо и да наруши принципа за справедливост.</w:t>
            </w:r>
          </w:p>
        </w:tc>
        <w:tc>
          <w:tcPr>
            <w:tcW w:w="1559" w:type="dxa"/>
            <w:tcBorders>
              <w:top w:val="nil"/>
              <w:bottom w:val="nil"/>
            </w:tcBorders>
            <w:shd w:val="clear" w:color="auto" w:fill="auto"/>
          </w:tcPr>
          <w:p w:rsidR="00AA4B35" w:rsidRPr="00651813" w:rsidRDefault="00AA4B35" w:rsidP="0020114A">
            <w:pPr>
              <w:spacing w:before="20" w:after="20"/>
              <w:rPr>
                <w:rFonts w:ascii="Verdana" w:hAnsi="Verdana"/>
                <w:sz w:val="18"/>
                <w:szCs w:val="18"/>
              </w:rPr>
            </w:pPr>
            <w:r w:rsidRPr="00651813">
              <w:rPr>
                <w:rFonts w:ascii="Verdana" w:hAnsi="Verdana"/>
                <w:sz w:val="18"/>
                <w:szCs w:val="18"/>
              </w:rPr>
              <w:lastRenderedPageBreak/>
              <w:t>Не се приема</w:t>
            </w:r>
          </w:p>
        </w:tc>
        <w:tc>
          <w:tcPr>
            <w:tcW w:w="4819" w:type="dxa"/>
            <w:tcBorders>
              <w:top w:val="nil"/>
              <w:bottom w:val="nil"/>
            </w:tcBorders>
            <w:shd w:val="clear" w:color="auto" w:fill="auto"/>
          </w:tcPr>
          <w:p w:rsidR="00AA4B35" w:rsidRPr="00651813" w:rsidRDefault="007C0661" w:rsidP="0020114A">
            <w:pPr>
              <w:spacing w:before="20" w:after="20"/>
              <w:jc w:val="both"/>
              <w:rPr>
                <w:rFonts w:ascii="Verdana" w:hAnsi="Verdana"/>
                <w:sz w:val="18"/>
                <w:szCs w:val="18"/>
                <w:lang w:val="en-US"/>
              </w:rPr>
            </w:pPr>
            <w:r w:rsidRPr="00651813">
              <w:rPr>
                <w:rFonts w:ascii="Verdana" w:hAnsi="Verdana"/>
                <w:sz w:val="18"/>
                <w:szCs w:val="18"/>
              </w:rPr>
              <w:t>Индивидуалната отговорност и възможността на бенефициента да контролира или предотврати нарушението се съдържа в определението. Тук става въпрос за общите случаи на неспазване в резултат на виновно поведение на земеделския стопанин, а не за случаите на независещи от него обстоятелства – непреодолима сила и извънредни обстоятелства</w:t>
            </w:r>
            <w:r w:rsidR="003559EF" w:rsidRPr="00651813">
              <w:rPr>
                <w:rFonts w:ascii="Verdana" w:hAnsi="Verdana"/>
                <w:sz w:val="18"/>
                <w:szCs w:val="18"/>
              </w:rPr>
              <w:t xml:space="preserve"> съгласно предвидените като изключения в чл. 3 от Регламент </w:t>
            </w:r>
            <w:r w:rsidR="003559EF" w:rsidRPr="00651813">
              <w:rPr>
                <w:rFonts w:ascii="Verdana" w:hAnsi="Verdana"/>
                <w:sz w:val="18"/>
                <w:szCs w:val="18"/>
                <w:lang w:val="en-US"/>
              </w:rPr>
              <w:t>(EC) 2021/2116</w:t>
            </w:r>
          </w:p>
          <w:p w:rsidR="003559EF" w:rsidRPr="00651813" w:rsidRDefault="003559EF" w:rsidP="0020114A">
            <w:pPr>
              <w:spacing w:before="20" w:after="20"/>
              <w:jc w:val="both"/>
              <w:rPr>
                <w:rFonts w:ascii="Verdana" w:hAnsi="Verdana"/>
                <w:sz w:val="18"/>
                <w:szCs w:val="18"/>
                <w:lang w:val="en-US"/>
              </w:rPr>
            </w:pP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 xml:space="preserve">Чл. 25. </w:t>
            </w:r>
            <w:r w:rsidRPr="00651813">
              <w:rPr>
                <w:rFonts w:ascii="Verdana" w:hAnsi="Verdana"/>
                <w:sz w:val="18"/>
                <w:szCs w:val="18"/>
              </w:rPr>
              <w:t xml:space="preserve">(1) Когато едно и също неспазване продължава или се повтори веднъж в рамките на три последователни календарни години, процентното намаление е 10 % от общата сума на плащанията, посочени в чл. 85, параграф 1 от Регламент (ЕС) 2021/2116, когато </w:t>
            </w:r>
            <w:proofErr w:type="spellStart"/>
            <w:r w:rsidRPr="00651813">
              <w:rPr>
                <w:rFonts w:ascii="Verdana" w:hAnsi="Verdana"/>
                <w:sz w:val="18"/>
                <w:szCs w:val="18"/>
              </w:rPr>
              <w:t>бенефициерът</w:t>
            </w:r>
            <w:proofErr w:type="spellEnd"/>
            <w:r w:rsidRPr="00651813">
              <w:rPr>
                <w:rFonts w:ascii="Verdana" w:hAnsi="Verdana"/>
                <w:sz w:val="18"/>
                <w:szCs w:val="18"/>
              </w:rPr>
              <w:t xml:space="preserve"> е бил информиран за предишното установено неспазване. Следващи случаи на същото неспазване в рамките на три последователни календарни години без основателна причина от страна на </w:t>
            </w:r>
            <w:proofErr w:type="spellStart"/>
            <w:r w:rsidRPr="00651813">
              <w:rPr>
                <w:rFonts w:ascii="Verdana" w:hAnsi="Verdana"/>
                <w:sz w:val="18"/>
                <w:szCs w:val="18"/>
              </w:rPr>
              <w:t>бенефициера</w:t>
            </w:r>
            <w:proofErr w:type="spellEnd"/>
            <w:r w:rsidRPr="00651813">
              <w:rPr>
                <w:rFonts w:ascii="Verdana" w:hAnsi="Verdana"/>
                <w:sz w:val="18"/>
                <w:szCs w:val="18"/>
              </w:rPr>
              <w:t xml:space="preserve"> се считат за случаи на умишлено неспазване и се налага намаление от 15 %.</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ПРЕДЛОЖЕНИЕ: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Всички записани проценти в алинеите на члена да бъдат намалени с 60%</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ОСНОВАНИЕ: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Не са мотивирани в доклада, не са придружени от анализи и исторически данни, които да показват върху каква количествена база и стойностна база да изчислявани, което е липсва на реални мотиви за тяхното предлагане.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След предоставяне на ново публично обсъждане за промяна на наредбата да се коригират спрямо обективни данни.</w:t>
            </w:r>
          </w:p>
        </w:tc>
        <w:tc>
          <w:tcPr>
            <w:tcW w:w="1559" w:type="dxa"/>
            <w:tcBorders>
              <w:top w:val="nil"/>
              <w:bottom w:val="nil"/>
            </w:tcBorders>
            <w:shd w:val="clear" w:color="auto" w:fill="auto"/>
          </w:tcPr>
          <w:p w:rsidR="00AA4B35" w:rsidRPr="00651813" w:rsidRDefault="00AA4B35" w:rsidP="0020114A">
            <w:pPr>
              <w:spacing w:before="20" w:after="20"/>
              <w:rPr>
                <w:rFonts w:ascii="Verdana" w:hAnsi="Verdana"/>
                <w:sz w:val="18"/>
                <w:szCs w:val="18"/>
              </w:rPr>
            </w:pPr>
            <w:r w:rsidRPr="00651813">
              <w:rPr>
                <w:rFonts w:ascii="Verdana" w:hAnsi="Verdana"/>
                <w:sz w:val="18"/>
                <w:szCs w:val="18"/>
              </w:rPr>
              <w:t>Не се приема</w:t>
            </w:r>
          </w:p>
        </w:tc>
        <w:tc>
          <w:tcPr>
            <w:tcW w:w="4819" w:type="dxa"/>
            <w:tcBorders>
              <w:top w:val="nil"/>
              <w:bottom w:val="nil"/>
            </w:tcBorders>
            <w:shd w:val="clear" w:color="auto" w:fill="auto"/>
          </w:tcPr>
          <w:p w:rsidR="00AA4B35" w:rsidRPr="00651813" w:rsidRDefault="003559EF" w:rsidP="0020114A">
            <w:pPr>
              <w:spacing w:before="20" w:after="20"/>
              <w:jc w:val="both"/>
              <w:rPr>
                <w:rFonts w:ascii="Verdana" w:hAnsi="Verdana"/>
                <w:sz w:val="18"/>
                <w:szCs w:val="18"/>
              </w:rPr>
            </w:pPr>
            <w:r w:rsidRPr="00651813">
              <w:rPr>
                <w:rFonts w:ascii="Verdana" w:hAnsi="Verdana"/>
                <w:sz w:val="18"/>
                <w:szCs w:val="18"/>
              </w:rPr>
              <w:t>Произтича</w:t>
            </w:r>
            <w:r w:rsidR="006A3DBD" w:rsidRPr="00651813">
              <w:rPr>
                <w:rFonts w:ascii="Verdana" w:hAnsi="Verdana"/>
                <w:sz w:val="18"/>
                <w:szCs w:val="18"/>
              </w:rPr>
              <w:t>т</w:t>
            </w:r>
            <w:r w:rsidRPr="00651813">
              <w:rPr>
                <w:rFonts w:ascii="Verdana" w:hAnsi="Verdana"/>
                <w:sz w:val="18"/>
                <w:szCs w:val="18"/>
              </w:rPr>
              <w:t xml:space="preserve"> от акт</w:t>
            </w:r>
            <w:r w:rsidR="006A3DBD" w:rsidRPr="00651813">
              <w:rPr>
                <w:rFonts w:ascii="Verdana" w:hAnsi="Verdana"/>
                <w:sz w:val="18"/>
                <w:szCs w:val="18"/>
              </w:rPr>
              <w:t>ове</w:t>
            </w:r>
            <w:r w:rsidRPr="00651813">
              <w:rPr>
                <w:rFonts w:ascii="Verdana" w:hAnsi="Verdana"/>
                <w:sz w:val="18"/>
                <w:szCs w:val="18"/>
              </w:rPr>
              <w:t xml:space="preserve"> с директно прилагане –</w:t>
            </w:r>
            <w:r w:rsidR="006A3DBD" w:rsidRPr="00651813">
              <w:rPr>
                <w:rFonts w:ascii="Verdana" w:hAnsi="Verdana"/>
                <w:sz w:val="18"/>
                <w:szCs w:val="18"/>
              </w:rPr>
              <w:t xml:space="preserve"> чл. 83 – чл. 86 от</w:t>
            </w:r>
            <w:r w:rsidRPr="00651813">
              <w:rPr>
                <w:rFonts w:ascii="Verdana" w:hAnsi="Verdana"/>
                <w:sz w:val="18"/>
                <w:szCs w:val="18"/>
              </w:rPr>
              <w:t xml:space="preserve"> Регламент </w:t>
            </w:r>
            <w:r w:rsidRPr="00651813">
              <w:rPr>
                <w:rFonts w:ascii="Verdana" w:hAnsi="Verdana"/>
                <w:sz w:val="18"/>
                <w:szCs w:val="18"/>
                <w:lang w:val="en-US"/>
              </w:rPr>
              <w:t xml:space="preserve">(EC) 2021/2116 </w:t>
            </w:r>
            <w:r w:rsidRPr="00651813">
              <w:rPr>
                <w:rFonts w:ascii="Verdana" w:hAnsi="Verdana"/>
                <w:sz w:val="18"/>
                <w:szCs w:val="18"/>
              </w:rPr>
              <w:t xml:space="preserve">и </w:t>
            </w:r>
            <w:r w:rsidR="006A3DBD" w:rsidRPr="00651813">
              <w:rPr>
                <w:rFonts w:ascii="Verdana" w:hAnsi="Verdana"/>
                <w:sz w:val="18"/>
                <w:szCs w:val="18"/>
              </w:rPr>
              <w:t>чл. 9 -</w:t>
            </w:r>
            <w:r w:rsidRPr="00651813">
              <w:rPr>
                <w:rFonts w:ascii="Verdana" w:hAnsi="Verdana"/>
                <w:sz w:val="18"/>
                <w:szCs w:val="18"/>
              </w:rPr>
              <w:t xml:space="preserve"> чл. 11 от Делегиран Регламент </w:t>
            </w:r>
            <w:r w:rsidRPr="00651813">
              <w:rPr>
                <w:rFonts w:ascii="Verdana" w:hAnsi="Verdana"/>
                <w:sz w:val="18"/>
                <w:szCs w:val="18"/>
                <w:lang w:val="en-US"/>
              </w:rPr>
              <w:t>(EC) 2022/1172</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 xml:space="preserve">Чл. 27. </w:t>
            </w:r>
            <w:r w:rsidRPr="00651813">
              <w:rPr>
                <w:rFonts w:ascii="Verdana" w:hAnsi="Verdana"/>
                <w:sz w:val="18"/>
                <w:szCs w:val="18"/>
              </w:rPr>
              <w:t>(1) Когато установено неспазване на стандарт представлява и неспазване на изискване, то се счита за едно-единствено неспазване. За целите на изчисляването на намаленията неспазването се счита за част от областта на прилагане на предварителните условия за изискването.</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ПРЕДЛОЖЕНИЕ: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Всички записани проценти в алинеите на члена да бъдат намалени с 60%</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ОСНОВАНИЕ: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 xml:space="preserve">Не са мотивирани в доклада, не са придружени от анализи и исторически данни, които да показват върху каква </w:t>
            </w:r>
            <w:r w:rsidRPr="00651813">
              <w:rPr>
                <w:rFonts w:ascii="Verdana" w:hAnsi="Verdana"/>
                <w:sz w:val="18"/>
                <w:szCs w:val="18"/>
              </w:rPr>
              <w:lastRenderedPageBreak/>
              <w:t>количествена база и стойностна база да изчислявани, което е липсва на реални мотиви за тяхното предлагане.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След предоставяне на ново публично обсъждане за промяна на наредбата да се коригират спрямо обективни данни.</w:t>
            </w:r>
          </w:p>
        </w:tc>
        <w:tc>
          <w:tcPr>
            <w:tcW w:w="1559" w:type="dxa"/>
            <w:tcBorders>
              <w:top w:val="nil"/>
              <w:bottom w:val="nil"/>
            </w:tcBorders>
            <w:shd w:val="clear" w:color="auto" w:fill="auto"/>
          </w:tcPr>
          <w:p w:rsidR="00AA4B35" w:rsidRPr="00651813" w:rsidRDefault="00AA4B35" w:rsidP="0020114A">
            <w:pPr>
              <w:spacing w:before="20" w:after="20"/>
              <w:rPr>
                <w:rFonts w:ascii="Verdana" w:hAnsi="Verdana"/>
                <w:sz w:val="18"/>
                <w:szCs w:val="18"/>
              </w:rPr>
            </w:pPr>
            <w:r w:rsidRPr="00651813">
              <w:rPr>
                <w:rFonts w:ascii="Verdana" w:hAnsi="Verdana"/>
                <w:sz w:val="18"/>
                <w:szCs w:val="18"/>
              </w:rPr>
              <w:lastRenderedPageBreak/>
              <w:t>Не се приема</w:t>
            </w:r>
          </w:p>
        </w:tc>
        <w:tc>
          <w:tcPr>
            <w:tcW w:w="4819" w:type="dxa"/>
            <w:tcBorders>
              <w:top w:val="nil"/>
              <w:bottom w:val="nil"/>
            </w:tcBorders>
            <w:shd w:val="clear" w:color="auto" w:fill="auto"/>
          </w:tcPr>
          <w:p w:rsidR="00AA4B35" w:rsidRPr="00651813" w:rsidRDefault="00465311" w:rsidP="0020114A">
            <w:pPr>
              <w:spacing w:before="20" w:after="20"/>
              <w:jc w:val="both"/>
              <w:rPr>
                <w:rFonts w:ascii="Verdana" w:hAnsi="Verdana"/>
                <w:sz w:val="18"/>
                <w:szCs w:val="18"/>
              </w:rPr>
            </w:pPr>
            <w:r w:rsidRPr="00651813">
              <w:rPr>
                <w:rFonts w:ascii="Verdana" w:hAnsi="Verdana"/>
                <w:sz w:val="18"/>
                <w:szCs w:val="18"/>
              </w:rPr>
              <w:t xml:space="preserve">Произтичат от актове с директно прилагане – чл. 83 – чл. 86 от Регламент </w:t>
            </w:r>
            <w:r w:rsidRPr="00651813">
              <w:rPr>
                <w:rFonts w:ascii="Verdana" w:hAnsi="Verdana"/>
                <w:sz w:val="18"/>
                <w:szCs w:val="18"/>
                <w:lang w:val="en-US"/>
              </w:rPr>
              <w:t xml:space="preserve">(EC) 2021/2116 </w:t>
            </w:r>
            <w:r w:rsidRPr="00651813">
              <w:rPr>
                <w:rFonts w:ascii="Verdana" w:hAnsi="Verdana"/>
                <w:sz w:val="18"/>
                <w:szCs w:val="18"/>
              </w:rPr>
              <w:t xml:space="preserve">и чл. 9 - чл. 11 от Делегиран Регламент </w:t>
            </w:r>
            <w:r w:rsidRPr="00651813">
              <w:rPr>
                <w:rFonts w:ascii="Verdana" w:hAnsi="Verdana"/>
                <w:sz w:val="18"/>
                <w:szCs w:val="18"/>
                <w:lang w:val="en-US"/>
              </w:rPr>
              <w:t>(EC) 2022/1172</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651813" w:rsidRDefault="00AA4B35" w:rsidP="0020114A">
            <w:pPr>
              <w:spacing w:before="20" w:after="20"/>
              <w:jc w:val="both"/>
              <w:rPr>
                <w:rFonts w:ascii="Verdana" w:hAnsi="Verdana"/>
                <w:b/>
                <w:bCs/>
                <w:sz w:val="18"/>
                <w:szCs w:val="18"/>
              </w:rPr>
            </w:pPr>
            <w:r w:rsidRPr="00651813">
              <w:rPr>
                <w:rFonts w:ascii="Verdana" w:hAnsi="Verdana"/>
                <w:b/>
                <w:bCs/>
                <w:sz w:val="18"/>
                <w:szCs w:val="18"/>
              </w:rPr>
              <w:t>Приложение № 1: Правила относно предварителните условия</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ЗИУ: законоустановено изискване за управление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ДЗЕС: стандарт за добро земеделско и екологично състояние</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ПРЕДЛОЖЕНИЕ: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Всички записани проценти в приложението да бъдат намалени с 60%</w:t>
            </w:r>
          </w:p>
          <w:p w:rsidR="00AA4B35" w:rsidRPr="00651813" w:rsidRDefault="00AA4B35" w:rsidP="0020114A">
            <w:pPr>
              <w:spacing w:before="20" w:after="20"/>
              <w:jc w:val="both"/>
              <w:rPr>
                <w:rFonts w:ascii="Verdana" w:hAnsi="Verdana"/>
                <w:sz w:val="18"/>
                <w:szCs w:val="18"/>
              </w:rPr>
            </w:pPr>
            <w:r w:rsidRPr="00651813">
              <w:rPr>
                <w:rFonts w:ascii="Verdana" w:hAnsi="Verdana"/>
                <w:b/>
                <w:bCs/>
                <w:sz w:val="18"/>
                <w:szCs w:val="18"/>
              </w:rPr>
              <w:t>ОСНОВАНИЕ: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Не са мотивирани в доклада, не са придружени от анализи и исторически данни, които да показват върху каква количествена база и стойностна база да изчислявани, което е липсва на реални мотиви за тяхното предлагане.</w:t>
            </w:r>
          </w:p>
          <w:p w:rsidR="00AA4B35" w:rsidRPr="00651813" w:rsidRDefault="00AA4B35" w:rsidP="0020114A">
            <w:pPr>
              <w:spacing w:before="20" w:after="20"/>
              <w:jc w:val="both"/>
              <w:rPr>
                <w:rFonts w:ascii="Verdana" w:hAnsi="Verdana"/>
                <w:sz w:val="18"/>
                <w:szCs w:val="18"/>
              </w:rPr>
            </w:pPr>
            <w:r w:rsidRPr="00651813">
              <w:rPr>
                <w:rFonts w:ascii="Verdana" w:hAnsi="Verdana"/>
                <w:sz w:val="18"/>
                <w:szCs w:val="18"/>
              </w:rPr>
              <w:t>След предоставяне на ново публично обсъждане за промяна на наредбата да се коригират спрямо обективни данни.</w:t>
            </w:r>
          </w:p>
        </w:tc>
        <w:tc>
          <w:tcPr>
            <w:tcW w:w="1559" w:type="dxa"/>
            <w:tcBorders>
              <w:top w:val="nil"/>
              <w:bottom w:val="nil"/>
            </w:tcBorders>
            <w:shd w:val="clear" w:color="auto" w:fill="auto"/>
          </w:tcPr>
          <w:p w:rsidR="00AA4B35" w:rsidRPr="00651813" w:rsidRDefault="00AA4B35" w:rsidP="0020114A">
            <w:pPr>
              <w:spacing w:before="20" w:after="20"/>
              <w:rPr>
                <w:rFonts w:ascii="Verdana" w:hAnsi="Verdana"/>
                <w:sz w:val="18"/>
                <w:szCs w:val="18"/>
              </w:rPr>
            </w:pPr>
            <w:r w:rsidRPr="00651813">
              <w:rPr>
                <w:rFonts w:ascii="Verdana" w:hAnsi="Verdana"/>
                <w:sz w:val="18"/>
                <w:szCs w:val="18"/>
              </w:rPr>
              <w:t>Не се приема</w:t>
            </w:r>
          </w:p>
        </w:tc>
        <w:tc>
          <w:tcPr>
            <w:tcW w:w="4819" w:type="dxa"/>
            <w:tcBorders>
              <w:top w:val="nil"/>
              <w:bottom w:val="nil"/>
            </w:tcBorders>
            <w:shd w:val="clear" w:color="auto" w:fill="auto"/>
          </w:tcPr>
          <w:p w:rsidR="00AA4B35" w:rsidRPr="00651813" w:rsidRDefault="00465311" w:rsidP="0020114A">
            <w:pPr>
              <w:spacing w:before="20" w:after="20"/>
              <w:jc w:val="both"/>
              <w:rPr>
                <w:rFonts w:ascii="Verdana" w:hAnsi="Verdana"/>
                <w:sz w:val="18"/>
                <w:szCs w:val="18"/>
              </w:rPr>
            </w:pPr>
            <w:r w:rsidRPr="00651813">
              <w:rPr>
                <w:rFonts w:ascii="Verdana" w:hAnsi="Verdana"/>
                <w:sz w:val="18"/>
                <w:szCs w:val="18"/>
              </w:rPr>
              <w:t xml:space="preserve">Произтичат от актове с директно прилагане – чл. 83 – чл. 86 от Регламент </w:t>
            </w:r>
            <w:r w:rsidRPr="00651813">
              <w:rPr>
                <w:rFonts w:ascii="Verdana" w:hAnsi="Verdana"/>
                <w:sz w:val="18"/>
                <w:szCs w:val="18"/>
                <w:lang w:val="en-US"/>
              </w:rPr>
              <w:t xml:space="preserve">(EC) 2021/2116 </w:t>
            </w:r>
            <w:r w:rsidRPr="00651813">
              <w:rPr>
                <w:rFonts w:ascii="Verdana" w:hAnsi="Verdana"/>
                <w:sz w:val="18"/>
                <w:szCs w:val="18"/>
              </w:rPr>
              <w:t xml:space="preserve">и чл. 9 - чл. 11 от Делегиран Регламент </w:t>
            </w:r>
            <w:r w:rsidRPr="00651813">
              <w:rPr>
                <w:rFonts w:ascii="Verdana" w:hAnsi="Verdana"/>
                <w:sz w:val="18"/>
                <w:szCs w:val="18"/>
                <w:lang w:val="en-US"/>
              </w:rPr>
              <w:t>(EC) 2022/1172</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651813" w:rsidRDefault="00AA4B35" w:rsidP="006302E4">
            <w:pPr>
              <w:spacing w:before="20" w:after="20"/>
              <w:jc w:val="both"/>
              <w:rPr>
                <w:rFonts w:ascii="Verdana" w:hAnsi="Verdana"/>
                <w:b/>
                <w:bCs/>
                <w:sz w:val="18"/>
                <w:szCs w:val="18"/>
              </w:rPr>
            </w:pPr>
            <w:r w:rsidRPr="00651813">
              <w:rPr>
                <w:rFonts w:ascii="Verdana" w:hAnsi="Verdana"/>
                <w:b/>
                <w:bCs/>
                <w:sz w:val="18"/>
                <w:szCs w:val="18"/>
              </w:rPr>
              <w:t>Приложение 2: Матрица за определяне на нивото на нарушението</w:t>
            </w:r>
          </w:p>
          <w:p w:rsidR="00AA4B35" w:rsidRPr="00651813" w:rsidRDefault="00AA4B35" w:rsidP="006302E4">
            <w:pPr>
              <w:spacing w:before="20" w:after="20"/>
              <w:jc w:val="both"/>
              <w:rPr>
                <w:rFonts w:ascii="Verdana" w:hAnsi="Verdana"/>
                <w:sz w:val="18"/>
                <w:szCs w:val="18"/>
              </w:rPr>
            </w:pPr>
            <w:r w:rsidRPr="00651813">
              <w:rPr>
                <w:rFonts w:ascii="Verdana" w:hAnsi="Verdana"/>
                <w:b/>
                <w:bCs/>
                <w:sz w:val="18"/>
                <w:szCs w:val="18"/>
              </w:rPr>
              <w:t>ПРЕДЛОЖЕНИЕ:</w:t>
            </w:r>
          </w:p>
          <w:p w:rsidR="00AA4B35" w:rsidRPr="00651813" w:rsidRDefault="00AA4B35" w:rsidP="006302E4">
            <w:pPr>
              <w:spacing w:before="20" w:after="20"/>
              <w:jc w:val="both"/>
              <w:rPr>
                <w:rFonts w:ascii="Verdana" w:hAnsi="Verdana"/>
                <w:sz w:val="18"/>
                <w:szCs w:val="18"/>
              </w:rPr>
            </w:pPr>
            <w:r w:rsidRPr="00651813">
              <w:rPr>
                <w:rFonts w:ascii="Verdana" w:hAnsi="Verdana"/>
                <w:sz w:val="18"/>
                <w:szCs w:val="18"/>
              </w:rPr>
              <w:t>Всички записани проценти в приложението да бъдат намалени с 60%</w:t>
            </w:r>
          </w:p>
          <w:p w:rsidR="00AA4B35" w:rsidRPr="00651813" w:rsidRDefault="00AA4B35" w:rsidP="006302E4">
            <w:pPr>
              <w:spacing w:before="20" w:after="20"/>
              <w:jc w:val="both"/>
              <w:rPr>
                <w:rFonts w:ascii="Verdana" w:hAnsi="Verdana"/>
                <w:sz w:val="18"/>
                <w:szCs w:val="18"/>
              </w:rPr>
            </w:pPr>
            <w:r w:rsidRPr="00651813">
              <w:rPr>
                <w:rFonts w:ascii="Verdana" w:hAnsi="Verdana"/>
                <w:b/>
                <w:bCs/>
                <w:sz w:val="18"/>
                <w:szCs w:val="18"/>
              </w:rPr>
              <w:t>ОСНОВАНИЕ:</w:t>
            </w:r>
          </w:p>
          <w:p w:rsidR="00AA4B35" w:rsidRPr="00651813" w:rsidRDefault="00AA4B35" w:rsidP="006302E4">
            <w:pPr>
              <w:spacing w:before="20" w:after="20"/>
              <w:jc w:val="both"/>
              <w:rPr>
                <w:rFonts w:ascii="Verdana" w:hAnsi="Verdana"/>
                <w:sz w:val="18"/>
                <w:szCs w:val="18"/>
              </w:rPr>
            </w:pPr>
            <w:r w:rsidRPr="00651813">
              <w:rPr>
                <w:rFonts w:ascii="Verdana" w:hAnsi="Verdana"/>
                <w:sz w:val="18"/>
                <w:szCs w:val="18"/>
              </w:rPr>
              <w:t>Не са мотивирани в доклада, не са придружени от анализи и исторически данни, които да показват върху каква количествена база и стойностна база да изчислявани, което е липсва на реални мотиви за тяхното предлагане.</w:t>
            </w:r>
          </w:p>
          <w:p w:rsidR="00AA4B35" w:rsidRPr="00651813" w:rsidRDefault="00AA4B35" w:rsidP="006302E4">
            <w:pPr>
              <w:spacing w:before="20" w:after="20"/>
              <w:jc w:val="both"/>
              <w:rPr>
                <w:rFonts w:ascii="Verdana" w:hAnsi="Verdana"/>
                <w:sz w:val="18"/>
                <w:szCs w:val="18"/>
              </w:rPr>
            </w:pPr>
            <w:r w:rsidRPr="00651813">
              <w:rPr>
                <w:rFonts w:ascii="Verdana" w:hAnsi="Verdana"/>
                <w:sz w:val="18"/>
                <w:szCs w:val="18"/>
              </w:rPr>
              <w:t>След предоставяне на ново публично обсъждане за промяна на наредбата да се коригират спрямо обективни данни.</w:t>
            </w:r>
          </w:p>
        </w:tc>
        <w:tc>
          <w:tcPr>
            <w:tcW w:w="1559" w:type="dxa"/>
            <w:tcBorders>
              <w:top w:val="nil"/>
              <w:bottom w:val="nil"/>
            </w:tcBorders>
            <w:shd w:val="clear" w:color="auto" w:fill="auto"/>
          </w:tcPr>
          <w:p w:rsidR="00AA4B35" w:rsidRPr="00651813" w:rsidRDefault="00AA4B35" w:rsidP="006302E4">
            <w:pPr>
              <w:spacing w:before="20" w:after="20"/>
              <w:rPr>
                <w:rFonts w:ascii="Verdana" w:hAnsi="Verdana"/>
                <w:sz w:val="18"/>
                <w:szCs w:val="18"/>
              </w:rPr>
            </w:pPr>
            <w:r w:rsidRPr="00651813">
              <w:rPr>
                <w:rFonts w:ascii="Verdana" w:hAnsi="Verdana"/>
                <w:sz w:val="18"/>
                <w:szCs w:val="18"/>
              </w:rPr>
              <w:t>Не се приема</w:t>
            </w:r>
          </w:p>
        </w:tc>
        <w:tc>
          <w:tcPr>
            <w:tcW w:w="4819" w:type="dxa"/>
            <w:tcBorders>
              <w:top w:val="nil"/>
              <w:bottom w:val="nil"/>
            </w:tcBorders>
            <w:shd w:val="clear" w:color="auto" w:fill="auto"/>
          </w:tcPr>
          <w:p w:rsidR="00AA4B35" w:rsidRPr="00651813" w:rsidRDefault="00465311" w:rsidP="006302E4">
            <w:pPr>
              <w:spacing w:before="20" w:after="20"/>
              <w:jc w:val="both"/>
              <w:rPr>
                <w:rFonts w:ascii="Verdana" w:hAnsi="Verdana"/>
                <w:sz w:val="18"/>
                <w:szCs w:val="18"/>
              </w:rPr>
            </w:pPr>
            <w:r w:rsidRPr="00651813">
              <w:rPr>
                <w:rFonts w:ascii="Verdana" w:hAnsi="Verdana"/>
                <w:sz w:val="18"/>
                <w:szCs w:val="18"/>
              </w:rPr>
              <w:t xml:space="preserve">Произтичат от актове с директно прилагане – чл. 83 – чл. 86 от Регламент </w:t>
            </w:r>
            <w:r w:rsidRPr="00651813">
              <w:rPr>
                <w:rFonts w:ascii="Verdana" w:hAnsi="Verdana"/>
                <w:sz w:val="18"/>
                <w:szCs w:val="18"/>
                <w:lang w:val="en-US"/>
              </w:rPr>
              <w:t xml:space="preserve">(EC) 2021/2116 </w:t>
            </w:r>
            <w:r w:rsidRPr="00651813">
              <w:rPr>
                <w:rFonts w:ascii="Verdana" w:hAnsi="Verdana"/>
                <w:sz w:val="18"/>
                <w:szCs w:val="18"/>
              </w:rPr>
              <w:t xml:space="preserve">и чл. 9 - чл. 11 от Делегиран Регламент </w:t>
            </w:r>
            <w:r w:rsidRPr="00651813">
              <w:rPr>
                <w:rFonts w:ascii="Verdana" w:hAnsi="Verdana"/>
                <w:sz w:val="18"/>
                <w:szCs w:val="18"/>
                <w:lang w:val="en-US"/>
              </w:rPr>
              <w:t>(EC) 2022/1172</w:t>
            </w:r>
          </w:p>
        </w:tc>
      </w:tr>
      <w:tr w:rsidR="00AA4B35" w:rsidRPr="00870E61" w:rsidTr="00B1145F">
        <w:trPr>
          <w:trHeight w:val="200"/>
        </w:trPr>
        <w:tc>
          <w:tcPr>
            <w:tcW w:w="568" w:type="dxa"/>
            <w:vMerge/>
            <w:tcBorders>
              <w:bottom w:val="nil"/>
            </w:tcBorders>
            <w:shd w:val="clear" w:color="auto" w:fill="auto"/>
          </w:tcPr>
          <w:p w:rsidR="00AA4B35" w:rsidRPr="00870E61" w:rsidRDefault="00AA4B35" w:rsidP="00AA4B35">
            <w:pPr>
              <w:pStyle w:val="ListParagraph"/>
              <w:numPr>
                <w:ilvl w:val="0"/>
                <w:numId w:val="1"/>
              </w:numPr>
              <w:tabs>
                <w:tab w:val="left" w:pos="192"/>
              </w:tabs>
              <w:spacing w:before="80" w:after="40"/>
              <w:ind w:left="0"/>
              <w:jc w:val="center"/>
              <w:rPr>
                <w:rFonts w:ascii="Verdana" w:hAnsi="Verdana"/>
                <w:b/>
                <w:sz w:val="18"/>
                <w:szCs w:val="18"/>
              </w:rPr>
            </w:pPr>
          </w:p>
        </w:tc>
        <w:tc>
          <w:tcPr>
            <w:tcW w:w="2552" w:type="dxa"/>
            <w:vMerge/>
            <w:tcBorders>
              <w:bottom w:val="nil"/>
            </w:tcBorders>
            <w:shd w:val="clear" w:color="auto" w:fill="auto"/>
          </w:tcPr>
          <w:p w:rsidR="00AA4B35" w:rsidRPr="00870E61" w:rsidRDefault="00AA4B35" w:rsidP="00AA4B35">
            <w:pPr>
              <w:spacing w:before="80" w:after="40"/>
              <w:rPr>
                <w:rFonts w:ascii="Verdana" w:hAnsi="Verdana"/>
                <w:sz w:val="18"/>
                <w:szCs w:val="18"/>
              </w:rPr>
            </w:pPr>
          </w:p>
        </w:tc>
        <w:tc>
          <w:tcPr>
            <w:tcW w:w="6237" w:type="dxa"/>
            <w:tcBorders>
              <w:top w:val="nil"/>
              <w:bottom w:val="nil"/>
            </w:tcBorders>
            <w:shd w:val="clear" w:color="auto" w:fill="auto"/>
          </w:tcPr>
          <w:p w:rsidR="00AA4B35" w:rsidRPr="00651813" w:rsidRDefault="00AA4B35" w:rsidP="006302E4">
            <w:pPr>
              <w:spacing w:before="20" w:after="20"/>
              <w:jc w:val="both"/>
              <w:rPr>
                <w:rFonts w:ascii="Verdana" w:hAnsi="Verdana"/>
                <w:b/>
                <w:bCs/>
                <w:sz w:val="18"/>
                <w:szCs w:val="18"/>
              </w:rPr>
            </w:pPr>
            <w:r w:rsidRPr="00651813">
              <w:rPr>
                <w:rFonts w:ascii="Verdana" w:hAnsi="Verdana"/>
                <w:b/>
                <w:bCs/>
                <w:sz w:val="18"/>
                <w:szCs w:val="18"/>
              </w:rPr>
              <w:t>Приложение 2: Матрица за определяне на нивото на нарушението</w:t>
            </w:r>
          </w:p>
          <w:p w:rsidR="00AA4B35" w:rsidRPr="00651813" w:rsidRDefault="00AA4B35" w:rsidP="006302E4">
            <w:pPr>
              <w:spacing w:before="20" w:after="20"/>
              <w:jc w:val="both"/>
              <w:rPr>
                <w:rFonts w:ascii="Verdana" w:hAnsi="Verdana"/>
                <w:sz w:val="18"/>
                <w:szCs w:val="18"/>
              </w:rPr>
            </w:pPr>
            <w:r w:rsidRPr="00651813">
              <w:rPr>
                <w:rFonts w:ascii="Verdana" w:hAnsi="Verdana"/>
                <w:b/>
                <w:bCs/>
                <w:sz w:val="18"/>
                <w:szCs w:val="18"/>
              </w:rPr>
              <w:t>ПРЕДЛОЖЕНИЕ:</w:t>
            </w:r>
          </w:p>
          <w:p w:rsidR="00AA4B35" w:rsidRPr="00651813" w:rsidRDefault="00AA4B35" w:rsidP="006302E4">
            <w:pPr>
              <w:spacing w:before="20" w:after="20"/>
              <w:jc w:val="both"/>
              <w:rPr>
                <w:rFonts w:ascii="Verdana" w:hAnsi="Verdana"/>
                <w:sz w:val="18"/>
                <w:szCs w:val="18"/>
              </w:rPr>
            </w:pPr>
            <w:r w:rsidRPr="00651813">
              <w:rPr>
                <w:rFonts w:ascii="Verdana" w:hAnsi="Verdana"/>
                <w:sz w:val="18"/>
                <w:szCs w:val="18"/>
              </w:rPr>
              <w:t>Степените за „Небрежност“ следва да се ограничат в рамките на стопанството и да бъдат предефинирани.</w:t>
            </w:r>
          </w:p>
          <w:p w:rsidR="00AA4B35" w:rsidRPr="00651813" w:rsidRDefault="00AA4B35" w:rsidP="006302E4">
            <w:pPr>
              <w:spacing w:before="20" w:after="20"/>
              <w:jc w:val="both"/>
              <w:rPr>
                <w:rFonts w:ascii="Verdana" w:hAnsi="Verdana"/>
                <w:sz w:val="18"/>
                <w:szCs w:val="18"/>
              </w:rPr>
            </w:pPr>
            <w:r w:rsidRPr="00651813">
              <w:rPr>
                <w:rFonts w:ascii="Verdana" w:hAnsi="Verdana"/>
                <w:b/>
                <w:bCs/>
                <w:sz w:val="18"/>
                <w:szCs w:val="18"/>
              </w:rPr>
              <w:t>ОСНОВАНИЕ:</w:t>
            </w:r>
          </w:p>
          <w:p w:rsidR="00AA4B35" w:rsidRPr="00651813" w:rsidRDefault="00AA4B35" w:rsidP="006302E4">
            <w:pPr>
              <w:spacing w:before="20" w:after="20"/>
              <w:jc w:val="both"/>
              <w:rPr>
                <w:rFonts w:ascii="Verdana" w:hAnsi="Verdana"/>
                <w:sz w:val="18"/>
                <w:szCs w:val="18"/>
              </w:rPr>
            </w:pPr>
            <w:r w:rsidRPr="00651813">
              <w:rPr>
                <w:rFonts w:ascii="Verdana" w:hAnsi="Verdana"/>
                <w:sz w:val="18"/>
                <w:szCs w:val="18"/>
              </w:rPr>
              <w:lastRenderedPageBreak/>
              <w:t>Методиката е посочена, че се прилага за стопанство на бенефициент.</w:t>
            </w:r>
          </w:p>
        </w:tc>
        <w:tc>
          <w:tcPr>
            <w:tcW w:w="1559" w:type="dxa"/>
            <w:tcBorders>
              <w:top w:val="nil"/>
              <w:bottom w:val="nil"/>
            </w:tcBorders>
            <w:shd w:val="clear" w:color="auto" w:fill="auto"/>
          </w:tcPr>
          <w:p w:rsidR="00AA4B35" w:rsidRPr="00651813" w:rsidRDefault="00AA4B35" w:rsidP="006302E4">
            <w:pPr>
              <w:spacing w:before="20" w:after="20"/>
              <w:rPr>
                <w:rFonts w:ascii="Verdana" w:hAnsi="Verdana"/>
                <w:sz w:val="18"/>
                <w:szCs w:val="18"/>
              </w:rPr>
            </w:pPr>
            <w:r w:rsidRPr="00651813">
              <w:rPr>
                <w:rFonts w:ascii="Verdana" w:hAnsi="Verdana"/>
                <w:sz w:val="18"/>
                <w:szCs w:val="18"/>
              </w:rPr>
              <w:lastRenderedPageBreak/>
              <w:t>Не се приема</w:t>
            </w:r>
          </w:p>
        </w:tc>
        <w:tc>
          <w:tcPr>
            <w:tcW w:w="4819" w:type="dxa"/>
            <w:tcBorders>
              <w:top w:val="nil"/>
              <w:bottom w:val="nil"/>
            </w:tcBorders>
            <w:shd w:val="clear" w:color="auto" w:fill="auto"/>
          </w:tcPr>
          <w:p w:rsidR="00AA4B35" w:rsidRPr="00651813" w:rsidRDefault="007A4B86" w:rsidP="006302E4">
            <w:pPr>
              <w:spacing w:before="20" w:after="20"/>
              <w:jc w:val="both"/>
              <w:rPr>
                <w:rFonts w:ascii="Verdana" w:hAnsi="Verdana"/>
                <w:sz w:val="18"/>
                <w:szCs w:val="18"/>
              </w:rPr>
            </w:pPr>
            <w:r w:rsidRPr="00651813">
              <w:rPr>
                <w:rFonts w:ascii="Verdana" w:hAnsi="Verdana"/>
                <w:sz w:val="18"/>
                <w:szCs w:val="18"/>
              </w:rPr>
              <w:t xml:space="preserve">Обхватът се определя според степента на негативно въздействие върху околната среда, което в случаите на някои замърсявания </w:t>
            </w:r>
            <w:r w:rsidRPr="00651813">
              <w:rPr>
                <w:rFonts w:ascii="Verdana" w:hAnsi="Verdana"/>
                <w:sz w:val="18"/>
                <w:szCs w:val="18"/>
                <w:lang w:val="en-US"/>
              </w:rPr>
              <w:t>(</w:t>
            </w:r>
            <w:r w:rsidRPr="00651813">
              <w:rPr>
                <w:rFonts w:ascii="Verdana" w:hAnsi="Verdana"/>
                <w:sz w:val="18"/>
                <w:szCs w:val="18"/>
              </w:rPr>
              <w:t>напр. дифузно замърсяване на водите от земеделски стопанин, завишени над допустимите емисии на СО</w:t>
            </w:r>
            <w:r w:rsidRPr="00651813">
              <w:rPr>
                <w:rFonts w:ascii="Verdana" w:hAnsi="Verdana"/>
                <w:sz w:val="18"/>
                <w:szCs w:val="18"/>
                <w:vertAlign w:val="subscript"/>
              </w:rPr>
              <w:t>2</w:t>
            </w:r>
            <w:r w:rsidRPr="00651813">
              <w:rPr>
                <w:rFonts w:ascii="Verdana" w:hAnsi="Verdana"/>
                <w:sz w:val="18"/>
                <w:szCs w:val="18"/>
              </w:rPr>
              <w:t xml:space="preserve"> във въздуха и т.н.</w:t>
            </w:r>
            <w:r w:rsidRPr="00651813">
              <w:rPr>
                <w:rFonts w:ascii="Verdana" w:hAnsi="Verdana"/>
                <w:sz w:val="18"/>
                <w:szCs w:val="18"/>
                <w:lang w:val="en-US"/>
              </w:rPr>
              <w:t>)</w:t>
            </w:r>
            <w:r w:rsidRPr="00651813">
              <w:rPr>
                <w:rFonts w:ascii="Verdana" w:hAnsi="Verdana"/>
                <w:sz w:val="18"/>
                <w:szCs w:val="18"/>
              </w:rPr>
              <w:t>, въздействието се разпростира извън границите на стопанството</w:t>
            </w:r>
          </w:p>
        </w:tc>
      </w:tr>
      <w:tr w:rsidR="006302E4" w:rsidRPr="00870E61" w:rsidTr="00B1145F">
        <w:trPr>
          <w:trHeight w:val="200"/>
        </w:trPr>
        <w:tc>
          <w:tcPr>
            <w:tcW w:w="568" w:type="dxa"/>
            <w:tcBorders>
              <w:top w:val="nil"/>
            </w:tcBorders>
            <w:shd w:val="clear" w:color="auto" w:fill="auto"/>
          </w:tcPr>
          <w:p w:rsidR="006302E4" w:rsidRPr="00870E61" w:rsidRDefault="006302E4" w:rsidP="006302E4">
            <w:pPr>
              <w:pStyle w:val="ListParagraph"/>
              <w:tabs>
                <w:tab w:val="left" w:pos="192"/>
              </w:tabs>
              <w:spacing w:before="80" w:after="40"/>
              <w:ind w:left="0"/>
              <w:rPr>
                <w:rFonts w:ascii="Verdana" w:hAnsi="Verdana"/>
                <w:b/>
                <w:sz w:val="18"/>
                <w:szCs w:val="18"/>
              </w:rPr>
            </w:pPr>
          </w:p>
        </w:tc>
        <w:tc>
          <w:tcPr>
            <w:tcW w:w="2552" w:type="dxa"/>
            <w:tcBorders>
              <w:top w:val="nil"/>
            </w:tcBorders>
            <w:shd w:val="clear" w:color="auto" w:fill="auto"/>
          </w:tcPr>
          <w:p w:rsidR="006302E4" w:rsidRPr="00870E61" w:rsidRDefault="006302E4" w:rsidP="006302E4">
            <w:pPr>
              <w:spacing w:before="80" w:after="40"/>
              <w:rPr>
                <w:rFonts w:ascii="Verdana" w:hAnsi="Verdana"/>
                <w:sz w:val="18"/>
                <w:szCs w:val="18"/>
              </w:rPr>
            </w:pPr>
          </w:p>
        </w:tc>
        <w:tc>
          <w:tcPr>
            <w:tcW w:w="6237" w:type="dxa"/>
            <w:tcBorders>
              <w:top w:val="nil"/>
              <w:bottom w:val="single" w:sz="18" w:space="0" w:color="2E74B5"/>
            </w:tcBorders>
            <w:shd w:val="clear" w:color="auto" w:fill="auto"/>
          </w:tcPr>
          <w:p w:rsidR="006302E4" w:rsidRPr="00651813" w:rsidRDefault="006302E4" w:rsidP="006302E4">
            <w:pPr>
              <w:spacing w:before="20" w:after="20"/>
              <w:jc w:val="both"/>
              <w:rPr>
                <w:rFonts w:ascii="Verdana" w:hAnsi="Verdana"/>
                <w:bCs/>
                <w:sz w:val="18"/>
                <w:szCs w:val="18"/>
              </w:rPr>
            </w:pPr>
            <w:r w:rsidRPr="00651813">
              <w:rPr>
                <w:rFonts w:ascii="Verdana" w:hAnsi="Verdana"/>
                <w:b/>
                <w:bCs/>
                <w:sz w:val="18"/>
                <w:szCs w:val="18"/>
              </w:rPr>
              <w:t xml:space="preserve">Приложение 2: </w:t>
            </w:r>
            <w:r w:rsidRPr="00651813">
              <w:rPr>
                <w:rFonts w:ascii="Verdana" w:hAnsi="Verdana"/>
                <w:bCs/>
                <w:sz w:val="18"/>
                <w:szCs w:val="18"/>
              </w:rPr>
              <w:t>Матрица за определяне на нивото на нарушението</w:t>
            </w:r>
          </w:p>
          <w:p w:rsidR="006302E4" w:rsidRPr="00651813" w:rsidRDefault="006302E4" w:rsidP="006302E4">
            <w:pPr>
              <w:spacing w:before="20" w:after="20"/>
              <w:jc w:val="both"/>
              <w:rPr>
                <w:rFonts w:ascii="Verdana" w:hAnsi="Verdana"/>
                <w:sz w:val="18"/>
                <w:szCs w:val="18"/>
              </w:rPr>
            </w:pPr>
            <w:r w:rsidRPr="00651813">
              <w:rPr>
                <w:rFonts w:ascii="Verdana" w:hAnsi="Verdana"/>
                <w:b/>
                <w:bCs/>
                <w:sz w:val="18"/>
                <w:szCs w:val="18"/>
              </w:rPr>
              <w:t>ПРЕДЛОЖЕНИЕ:</w:t>
            </w:r>
          </w:p>
          <w:p w:rsidR="006302E4" w:rsidRPr="00651813" w:rsidRDefault="006302E4" w:rsidP="006302E4">
            <w:pPr>
              <w:spacing w:before="20" w:after="20"/>
              <w:jc w:val="both"/>
              <w:rPr>
                <w:rFonts w:ascii="Verdana" w:hAnsi="Verdana"/>
                <w:sz w:val="18"/>
                <w:szCs w:val="18"/>
              </w:rPr>
            </w:pPr>
            <w:r w:rsidRPr="00651813">
              <w:rPr>
                <w:rFonts w:ascii="Verdana" w:hAnsi="Verdana"/>
                <w:sz w:val="18"/>
                <w:szCs w:val="18"/>
              </w:rPr>
              <w:t>Степените за „Умишленост“ следва да се ограничат в рамките на стопанството и да бъдат предефинирани.</w:t>
            </w:r>
          </w:p>
          <w:p w:rsidR="006302E4" w:rsidRPr="00651813" w:rsidRDefault="006302E4" w:rsidP="006302E4">
            <w:pPr>
              <w:spacing w:before="20" w:after="20"/>
              <w:jc w:val="both"/>
              <w:rPr>
                <w:rFonts w:ascii="Verdana" w:hAnsi="Verdana"/>
                <w:sz w:val="18"/>
                <w:szCs w:val="18"/>
              </w:rPr>
            </w:pPr>
            <w:r w:rsidRPr="00651813">
              <w:rPr>
                <w:rFonts w:ascii="Verdana" w:hAnsi="Verdana"/>
                <w:b/>
                <w:bCs/>
                <w:sz w:val="18"/>
                <w:szCs w:val="18"/>
              </w:rPr>
              <w:t>ОСНОВАНИЕ:</w:t>
            </w:r>
          </w:p>
          <w:p w:rsidR="006302E4" w:rsidRPr="00651813" w:rsidRDefault="006302E4" w:rsidP="006302E4">
            <w:pPr>
              <w:spacing w:before="20" w:after="20"/>
              <w:jc w:val="both"/>
              <w:rPr>
                <w:rFonts w:ascii="Verdana" w:hAnsi="Verdana"/>
                <w:sz w:val="18"/>
                <w:szCs w:val="18"/>
              </w:rPr>
            </w:pPr>
            <w:r w:rsidRPr="00651813">
              <w:rPr>
                <w:rFonts w:ascii="Verdana" w:hAnsi="Verdana"/>
                <w:sz w:val="18"/>
                <w:szCs w:val="18"/>
              </w:rPr>
              <w:t>Методиката е посочена, че се прилага за стопанство на бенефициент.</w:t>
            </w:r>
          </w:p>
        </w:tc>
        <w:tc>
          <w:tcPr>
            <w:tcW w:w="1559" w:type="dxa"/>
            <w:tcBorders>
              <w:top w:val="nil"/>
              <w:bottom w:val="single" w:sz="18" w:space="0" w:color="2E74B5"/>
            </w:tcBorders>
            <w:shd w:val="clear" w:color="auto" w:fill="auto"/>
          </w:tcPr>
          <w:p w:rsidR="006302E4" w:rsidRPr="00651813" w:rsidRDefault="006302E4" w:rsidP="006302E4">
            <w:pPr>
              <w:spacing w:before="20" w:after="20"/>
              <w:rPr>
                <w:rFonts w:ascii="Verdana" w:hAnsi="Verdana"/>
                <w:sz w:val="18"/>
                <w:szCs w:val="18"/>
              </w:rPr>
            </w:pPr>
            <w:r w:rsidRPr="00651813">
              <w:rPr>
                <w:rFonts w:ascii="Verdana" w:hAnsi="Verdana"/>
                <w:sz w:val="18"/>
                <w:szCs w:val="18"/>
              </w:rPr>
              <w:t>Не се приема</w:t>
            </w:r>
          </w:p>
        </w:tc>
        <w:tc>
          <w:tcPr>
            <w:tcW w:w="4819" w:type="dxa"/>
            <w:tcBorders>
              <w:top w:val="nil"/>
              <w:bottom w:val="single" w:sz="18" w:space="0" w:color="2E74B5"/>
            </w:tcBorders>
            <w:shd w:val="clear" w:color="auto" w:fill="auto"/>
          </w:tcPr>
          <w:p w:rsidR="006302E4" w:rsidRPr="00651813" w:rsidRDefault="006302E4" w:rsidP="006302E4">
            <w:pPr>
              <w:spacing w:before="20" w:after="20"/>
              <w:jc w:val="both"/>
              <w:rPr>
                <w:rFonts w:ascii="Verdana" w:hAnsi="Verdana"/>
                <w:sz w:val="18"/>
                <w:szCs w:val="18"/>
              </w:rPr>
            </w:pPr>
            <w:r w:rsidRPr="00651813">
              <w:rPr>
                <w:rFonts w:ascii="Verdana" w:hAnsi="Verdana"/>
                <w:sz w:val="18"/>
                <w:szCs w:val="18"/>
              </w:rPr>
              <w:t xml:space="preserve">Обхватът се определя според степента на негативно въздействие върху околната среда, което в случаите на някои замърсявания </w:t>
            </w:r>
            <w:r w:rsidRPr="00651813">
              <w:rPr>
                <w:rFonts w:ascii="Verdana" w:hAnsi="Verdana"/>
                <w:sz w:val="18"/>
                <w:szCs w:val="18"/>
                <w:lang w:val="en-US"/>
              </w:rPr>
              <w:t>(</w:t>
            </w:r>
            <w:r w:rsidRPr="00651813">
              <w:rPr>
                <w:rFonts w:ascii="Verdana" w:hAnsi="Verdana"/>
                <w:sz w:val="18"/>
                <w:szCs w:val="18"/>
              </w:rPr>
              <w:t>напр. на водите, въздуха</w:t>
            </w:r>
            <w:r w:rsidRPr="00651813">
              <w:rPr>
                <w:rFonts w:ascii="Verdana" w:hAnsi="Verdana"/>
                <w:sz w:val="18"/>
                <w:szCs w:val="18"/>
                <w:lang w:val="en-US"/>
              </w:rPr>
              <w:t>)</w:t>
            </w:r>
            <w:r w:rsidRPr="00651813">
              <w:rPr>
                <w:rFonts w:ascii="Verdana" w:hAnsi="Verdana"/>
                <w:sz w:val="18"/>
                <w:szCs w:val="18"/>
              </w:rPr>
              <w:t>, въздействието се разпростира извън границите на стопанството</w:t>
            </w:r>
          </w:p>
        </w:tc>
      </w:tr>
    </w:tbl>
    <w:p w:rsidR="00BE3F35" w:rsidRDefault="00BE3F35" w:rsidP="009339E1">
      <w:pPr>
        <w:spacing w:line="360" w:lineRule="auto"/>
        <w:ind w:left="284"/>
        <w:rPr>
          <w:rFonts w:ascii="Verdana" w:hAnsi="Verdana"/>
          <w:bCs/>
          <w:caps/>
          <w:sz w:val="20"/>
          <w:szCs w:val="20"/>
        </w:rPr>
      </w:pPr>
    </w:p>
    <w:p w:rsidR="0020114A" w:rsidRPr="00870E61" w:rsidRDefault="0020114A" w:rsidP="009339E1">
      <w:pPr>
        <w:spacing w:line="360" w:lineRule="auto"/>
        <w:ind w:left="284"/>
        <w:rPr>
          <w:rFonts w:ascii="Verdana" w:hAnsi="Verdana"/>
          <w:bCs/>
          <w:caps/>
          <w:sz w:val="20"/>
          <w:szCs w:val="20"/>
        </w:rPr>
      </w:pPr>
      <w:bookmarkStart w:id="0" w:name="_GoBack"/>
      <w:bookmarkEnd w:id="0"/>
    </w:p>
    <w:sectPr w:rsidR="0020114A" w:rsidRPr="00870E61" w:rsidSect="00565493">
      <w:footerReference w:type="even" r:id="rId9"/>
      <w:footerReference w:type="default" r:id="rId10"/>
      <w:headerReference w:type="first" r:id="rId11"/>
      <w:pgSz w:w="16838" w:h="11906" w:orient="landscape" w:code="9"/>
      <w:pgMar w:top="136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3E" w:rsidRDefault="00AF553E">
      <w:r>
        <w:separator/>
      </w:r>
    </w:p>
  </w:endnote>
  <w:endnote w:type="continuationSeparator" w:id="0">
    <w:p w:rsidR="00AF553E" w:rsidRDefault="00AF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1F" w:rsidRDefault="0094721F"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721F" w:rsidRDefault="0094721F"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94721F" w:rsidRPr="00AF12B7" w:rsidRDefault="0094721F"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B54ED1">
          <w:rPr>
            <w:noProof/>
            <w:sz w:val="18"/>
            <w:szCs w:val="18"/>
          </w:rPr>
          <w:t>14</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3E" w:rsidRDefault="00AF553E">
      <w:r>
        <w:separator/>
      </w:r>
    </w:p>
  </w:footnote>
  <w:footnote w:type="continuationSeparator" w:id="0">
    <w:p w:rsidR="00AF553E" w:rsidRDefault="00AF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1F" w:rsidRPr="001A64F2" w:rsidRDefault="0094721F" w:rsidP="004674B8">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1A64F2">
      <w:rPr>
        <w:rFonts w:ascii="Verdana" w:hAnsi="Verdana"/>
        <w:sz w:val="16"/>
        <w:szCs w:val="16"/>
        <w:lang w:eastAsia="en-US"/>
      </w:rPr>
      <w:t>Класификация на информацията:</w:t>
    </w:r>
  </w:p>
  <w:p w:rsidR="0094721F" w:rsidRPr="001A64F2" w:rsidRDefault="0094721F" w:rsidP="004674B8">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1A64F2">
      <w:rPr>
        <w:rFonts w:ascii="Verdana" w:hAnsi="Verdana"/>
        <w:sz w:val="16"/>
        <w:szCs w:val="16"/>
        <w:lang w:eastAsia="en-US"/>
      </w:rPr>
      <w:t>Ниво 0, TLP-</w:t>
    </w:r>
    <w:r w:rsidRPr="001A64F2">
      <w:rPr>
        <w:rFonts w:ascii="Verdana" w:hAnsi="Verdana"/>
        <w:sz w:val="16"/>
        <w:szCs w:val="16"/>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1E8"/>
    <w:multiLevelType w:val="multilevel"/>
    <w:tmpl w:val="4B6CBD1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3CD3"/>
    <w:multiLevelType w:val="multilevel"/>
    <w:tmpl w:val="931AAF3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510A"/>
    <w:multiLevelType w:val="multilevel"/>
    <w:tmpl w:val="FE9C739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E74F0"/>
    <w:multiLevelType w:val="multilevel"/>
    <w:tmpl w:val="453443A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F25E0"/>
    <w:multiLevelType w:val="multilevel"/>
    <w:tmpl w:val="6520FEF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865DF"/>
    <w:multiLevelType w:val="multilevel"/>
    <w:tmpl w:val="91CCCF3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1666"/>
    <w:multiLevelType w:val="multilevel"/>
    <w:tmpl w:val="6822509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B2A0F"/>
    <w:multiLevelType w:val="multilevel"/>
    <w:tmpl w:val="73D4F79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B56BE"/>
    <w:multiLevelType w:val="multilevel"/>
    <w:tmpl w:val="CA8AC3B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81A3B"/>
    <w:multiLevelType w:val="multilevel"/>
    <w:tmpl w:val="FB0E044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838AB"/>
    <w:multiLevelType w:val="multilevel"/>
    <w:tmpl w:val="908AA36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01155"/>
    <w:multiLevelType w:val="multilevel"/>
    <w:tmpl w:val="FEDCC60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C0190"/>
    <w:multiLevelType w:val="multilevel"/>
    <w:tmpl w:val="62A8455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74050"/>
    <w:multiLevelType w:val="multilevel"/>
    <w:tmpl w:val="837E16E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37EA4"/>
    <w:multiLevelType w:val="multilevel"/>
    <w:tmpl w:val="661801C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360D79"/>
    <w:multiLevelType w:val="multilevel"/>
    <w:tmpl w:val="5DFE5D1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93480"/>
    <w:multiLevelType w:val="multilevel"/>
    <w:tmpl w:val="6B6C86B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B144A"/>
    <w:multiLevelType w:val="multilevel"/>
    <w:tmpl w:val="D42C4B20"/>
    <w:lvl w:ilvl="0">
      <w:start w:val="1"/>
      <w:numFmt w:val="decimal"/>
      <w:suff w:val="space"/>
      <w:lvlText w:val="%1."/>
      <w:lvlJc w:val="right"/>
      <w:pPr>
        <w:ind w:left="170"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num w:numId="1">
    <w:abstractNumId w:val="17"/>
  </w:num>
  <w:num w:numId="2">
    <w:abstractNumId w:val="12"/>
  </w:num>
  <w:num w:numId="3">
    <w:abstractNumId w:val="7"/>
  </w:num>
  <w:num w:numId="4">
    <w:abstractNumId w:val="1"/>
  </w:num>
  <w:num w:numId="5">
    <w:abstractNumId w:val="8"/>
  </w:num>
  <w:num w:numId="6">
    <w:abstractNumId w:val="14"/>
  </w:num>
  <w:num w:numId="7">
    <w:abstractNumId w:val="4"/>
  </w:num>
  <w:num w:numId="8">
    <w:abstractNumId w:val="11"/>
  </w:num>
  <w:num w:numId="9">
    <w:abstractNumId w:val="6"/>
  </w:num>
  <w:num w:numId="10">
    <w:abstractNumId w:val="16"/>
  </w:num>
  <w:num w:numId="11">
    <w:abstractNumId w:val="9"/>
  </w:num>
  <w:num w:numId="12">
    <w:abstractNumId w:val="5"/>
  </w:num>
  <w:num w:numId="13">
    <w:abstractNumId w:val="10"/>
  </w:num>
  <w:num w:numId="14">
    <w:abstractNumId w:val="15"/>
  </w:num>
  <w:num w:numId="15">
    <w:abstractNumId w:val="0"/>
  </w:num>
  <w:num w:numId="16">
    <w:abstractNumId w:val="3"/>
  </w:num>
  <w:num w:numId="17">
    <w:abstractNumId w:val="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0D14"/>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6C4"/>
    <w:rsid w:val="00033183"/>
    <w:rsid w:val="00033713"/>
    <w:rsid w:val="000357B4"/>
    <w:rsid w:val="00040AE0"/>
    <w:rsid w:val="00040F76"/>
    <w:rsid w:val="000414AB"/>
    <w:rsid w:val="000414B6"/>
    <w:rsid w:val="00043D50"/>
    <w:rsid w:val="00043ECF"/>
    <w:rsid w:val="0004413D"/>
    <w:rsid w:val="000446AF"/>
    <w:rsid w:val="00044E65"/>
    <w:rsid w:val="0004610E"/>
    <w:rsid w:val="00046AB8"/>
    <w:rsid w:val="00046C3E"/>
    <w:rsid w:val="00051CC2"/>
    <w:rsid w:val="00052350"/>
    <w:rsid w:val="0005435E"/>
    <w:rsid w:val="0005470C"/>
    <w:rsid w:val="00054803"/>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73CE"/>
    <w:rsid w:val="00067918"/>
    <w:rsid w:val="00067C92"/>
    <w:rsid w:val="00070496"/>
    <w:rsid w:val="000708B1"/>
    <w:rsid w:val="000718C7"/>
    <w:rsid w:val="000737E5"/>
    <w:rsid w:val="000741C8"/>
    <w:rsid w:val="00075594"/>
    <w:rsid w:val="0007570E"/>
    <w:rsid w:val="000757FC"/>
    <w:rsid w:val="000769B1"/>
    <w:rsid w:val="0008079F"/>
    <w:rsid w:val="00081D6F"/>
    <w:rsid w:val="00082171"/>
    <w:rsid w:val="000836C6"/>
    <w:rsid w:val="00084700"/>
    <w:rsid w:val="0008525A"/>
    <w:rsid w:val="00085345"/>
    <w:rsid w:val="00086434"/>
    <w:rsid w:val="000902D1"/>
    <w:rsid w:val="00090401"/>
    <w:rsid w:val="000932F1"/>
    <w:rsid w:val="000937D4"/>
    <w:rsid w:val="00093F30"/>
    <w:rsid w:val="000946DC"/>
    <w:rsid w:val="00094AB2"/>
    <w:rsid w:val="000953A8"/>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EFE"/>
    <w:rsid w:val="000C036A"/>
    <w:rsid w:val="000C0D7A"/>
    <w:rsid w:val="000C1697"/>
    <w:rsid w:val="000C46A7"/>
    <w:rsid w:val="000C5247"/>
    <w:rsid w:val="000C5E61"/>
    <w:rsid w:val="000C6233"/>
    <w:rsid w:val="000C65D0"/>
    <w:rsid w:val="000D0414"/>
    <w:rsid w:val="000D1E2E"/>
    <w:rsid w:val="000D2F9F"/>
    <w:rsid w:val="000D31EF"/>
    <w:rsid w:val="000D3F6C"/>
    <w:rsid w:val="000D3F7C"/>
    <w:rsid w:val="000D4198"/>
    <w:rsid w:val="000E0BDA"/>
    <w:rsid w:val="000E145B"/>
    <w:rsid w:val="000E3570"/>
    <w:rsid w:val="000E38E0"/>
    <w:rsid w:val="000E6A80"/>
    <w:rsid w:val="000E782D"/>
    <w:rsid w:val="000F02C5"/>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708"/>
    <w:rsid w:val="00116995"/>
    <w:rsid w:val="00116FC6"/>
    <w:rsid w:val="001171CC"/>
    <w:rsid w:val="001201A9"/>
    <w:rsid w:val="00120ABA"/>
    <w:rsid w:val="00121BA5"/>
    <w:rsid w:val="001251BE"/>
    <w:rsid w:val="00125F9E"/>
    <w:rsid w:val="001260EA"/>
    <w:rsid w:val="001311AD"/>
    <w:rsid w:val="00131D33"/>
    <w:rsid w:val="00131DA5"/>
    <w:rsid w:val="0013312A"/>
    <w:rsid w:val="001333AE"/>
    <w:rsid w:val="00133A14"/>
    <w:rsid w:val="001343C0"/>
    <w:rsid w:val="001345AD"/>
    <w:rsid w:val="00134692"/>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1E6F"/>
    <w:rsid w:val="00162248"/>
    <w:rsid w:val="00165EA7"/>
    <w:rsid w:val="001668E1"/>
    <w:rsid w:val="00167D39"/>
    <w:rsid w:val="00167F77"/>
    <w:rsid w:val="00170505"/>
    <w:rsid w:val="0017183E"/>
    <w:rsid w:val="00172CCB"/>
    <w:rsid w:val="001736EE"/>
    <w:rsid w:val="00174167"/>
    <w:rsid w:val="00175004"/>
    <w:rsid w:val="00175410"/>
    <w:rsid w:val="001765E7"/>
    <w:rsid w:val="00177AA6"/>
    <w:rsid w:val="00177CAC"/>
    <w:rsid w:val="00177D2B"/>
    <w:rsid w:val="001808B4"/>
    <w:rsid w:val="00181DF2"/>
    <w:rsid w:val="00184E49"/>
    <w:rsid w:val="0018509E"/>
    <w:rsid w:val="001869D8"/>
    <w:rsid w:val="0019192E"/>
    <w:rsid w:val="00192D6A"/>
    <w:rsid w:val="001948B0"/>
    <w:rsid w:val="00195AD0"/>
    <w:rsid w:val="00195DA3"/>
    <w:rsid w:val="00196671"/>
    <w:rsid w:val="001A02C9"/>
    <w:rsid w:val="001A0680"/>
    <w:rsid w:val="001A1452"/>
    <w:rsid w:val="001A29AE"/>
    <w:rsid w:val="001A3975"/>
    <w:rsid w:val="001A3D29"/>
    <w:rsid w:val="001A4E1F"/>
    <w:rsid w:val="001A64F2"/>
    <w:rsid w:val="001B344A"/>
    <w:rsid w:val="001B4CD8"/>
    <w:rsid w:val="001C0980"/>
    <w:rsid w:val="001C23BF"/>
    <w:rsid w:val="001C5BF3"/>
    <w:rsid w:val="001C6E95"/>
    <w:rsid w:val="001D09AF"/>
    <w:rsid w:val="001D0D81"/>
    <w:rsid w:val="001D23F0"/>
    <w:rsid w:val="001D2756"/>
    <w:rsid w:val="001D362A"/>
    <w:rsid w:val="001D60F3"/>
    <w:rsid w:val="001D64F8"/>
    <w:rsid w:val="001E13F5"/>
    <w:rsid w:val="001E174B"/>
    <w:rsid w:val="001E317C"/>
    <w:rsid w:val="001E320B"/>
    <w:rsid w:val="001E4FB9"/>
    <w:rsid w:val="001E4FE9"/>
    <w:rsid w:val="001E4FEC"/>
    <w:rsid w:val="001E64F2"/>
    <w:rsid w:val="001F0567"/>
    <w:rsid w:val="001F0866"/>
    <w:rsid w:val="001F1BB7"/>
    <w:rsid w:val="001F1F60"/>
    <w:rsid w:val="001F22A3"/>
    <w:rsid w:val="001F2736"/>
    <w:rsid w:val="001F314D"/>
    <w:rsid w:val="001F4710"/>
    <w:rsid w:val="001F6BC2"/>
    <w:rsid w:val="001F718C"/>
    <w:rsid w:val="00200292"/>
    <w:rsid w:val="0020103A"/>
    <w:rsid w:val="0020114A"/>
    <w:rsid w:val="00201455"/>
    <w:rsid w:val="00201739"/>
    <w:rsid w:val="0020584E"/>
    <w:rsid w:val="00205CE1"/>
    <w:rsid w:val="00206678"/>
    <w:rsid w:val="0020716E"/>
    <w:rsid w:val="00210233"/>
    <w:rsid w:val="0021035B"/>
    <w:rsid w:val="00212D43"/>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3C04"/>
    <w:rsid w:val="002348DC"/>
    <w:rsid w:val="00235708"/>
    <w:rsid w:val="0023576F"/>
    <w:rsid w:val="002366C8"/>
    <w:rsid w:val="002369C8"/>
    <w:rsid w:val="002375B3"/>
    <w:rsid w:val="0023770C"/>
    <w:rsid w:val="00237A17"/>
    <w:rsid w:val="00240DCE"/>
    <w:rsid w:val="00241F4C"/>
    <w:rsid w:val="00243442"/>
    <w:rsid w:val="002440AF"/>
    <w:rsid w:val="0024444A"/>
    <w:rsid w:val="00245B94"/>
    <w:rsid w:val="00245FCD"/>
    <w:rsid w:val="002472CF"/>
    <w:rsid w:val="0024734A"/>
    <w:rsid w:val="002500BD"/>
    <w:rsid w:val="002501F0"/>
    <w:rsid w:val="002536A8"/>
    <w:rsid w:val="00254CE4"/>
    <w:rsid w:val="002552EF"/>
    <w:rsid w:val="002561B8"/>
    <w:rsid w:val="00257983"/>
    <w:rsid w:val="00260E4E"/>
    <w:rsid w:val="00260F55"/>
    <w:rsid w:val="002614AB"/>
    <w:rsid w:val="002632C1"/>
    <w:rsid w:val="00263E76"/>
    <w:rsid w:val="002640E1"/>
    <w:rsid w:val="00264B95"/>
    <w:rsid w:val="0026789A"/>
    <w:rsid w:val="0027125E"/>
    <w:rsid w:val="0027210E"/>
    <w:rsid w:val="00272EE3"/>
    <w:rsid w:val="00273219"/>
    <w:rsid w:val="00273678"/>
    <w:rsid w:val="00273CAC"/>
    <w:rsid w:val="0027620A"/>
    <w:rsid w:val="002804CF"/>
    <w:rsid w:val="002808F3"/>
    <w:rsid w:val="002820C6"/>
    <w:rsid w:val="00282A08"/>
    <w:rsid w:val="00283263"/>
    <w:rsid w:val="002854C9"/>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50DD"/>
    <w:rsid w:val="002A5290"/>
    <w:rsid w:val="002A59D9"/>
    <w:rsid w:val="002A5A11"/>
    <w:rsid w:val="002A67D5"/>
    <w:rsid w:val="002A7C77"/>
    <w:rsid w:val="002B15C2"/>
    <w:rsid w:val="002B2268"/>
    <w:rsid w:val="002B2A08"/>
    <w:rsid w:val="002B4A91"/>
    <w:rsid w:val="002C03AF"/>
    <w:rsid w:val="002C128A"/>
    <w:rsid w:val="002C1BB7"/>
    <w:rsid w:val="002C2EEA"/>
    <w:rsid w:val="002C3BA2"/>
    <w:rsid w:val="002C475B"/>
    <w:rsid w:val="002C5123"/>
    <w:rsid w:val="002C54D6"/>
    <w:rsid w:val="002C5843"/>
    <w:rsid w:val="002C65BA"/>
    <w:rsid w:val="002C6C0A"/>
    <w:rsid w:val="002C7F10"/>
    <w:rsid w:val="002D083C"/>
    <w:rsid w:val="002D18C0"/>
    <w:rsid w:val="002D18C3"/>
    <w:rsid w:val="002D1A6C"/>
    <w:rsid w:val="002D2176"/>
    <w:rsid w:val="002D4904"/>
    <w:rsid w:val="002D629F"/>
    <w:rsid w:val="002E0082"/>
    <w:rsid w:val="002E03DD"/>
    <w:rsid w:val="002E4664"/>
    <w:rsid w:val="002E4EDB"/>
    <w:rsid w:val="002E537C"/>
    <w:rsid w:val="002E57D4"/>
    <w:rsid w:val="002E5E3F"/>
    <w:rsid w:val="002E6ADF"/>
    <w:rsid w:val="002E73FF"/>
    <w:rsid w:val="002F0752"/>
    <w:rsid w:val="002F2B61"/>
    <w:rsid w:val="002F375C"/>
    <w:rsid w:val="002F49F3"/>
    <w:rsid w:val="002F4AF6"/>
    <w:rsid w:val="002F5053"/>
    <w:rsid w:val="002F7B2A"/>
    <w:rsid w:val="003009B2"/>
    <w:rsid w:val="00300B99"/>
    <w:rsid w:val="00300D63"/>
    <w:rsid w:val="003034CD"/>
    <w:rsid w:val="003039A5"/>
    <w:rsid w:val="003041CC"/>
    <w:rsid w:val="00306298"/>
    <w:rsid w:val="003069CF"/>
    <w:rsid w:val="00312FB3"/>
    <w:rsid w:val="00314B98"/>
    <w:rsid w:val="00314F63"/>
    <w:rsid w:val="003154C2"/>
    <w:rsid w:val="00316618"/>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40212"/>
    <w:rsid w:val="00341C1E"/>
    <w:rsid w:val="00341F5C"/>
    <w:rsid w:val="00344138"/>
    <w:rsid w:val="003441CF"/>
    <w:rsid w:val="00345060"/>
    <w:rsid w:val="003459A5"/>
    <w:rsid w:val="00345B9F"/>
    <w:rsid w:val="00346856"/>
    <w:rsid w:val="00350610"/>
    <w:rsid w:val="00350965"/>
    <w:rsid w:val="00351063"/>
    <w:rsid w:val="00351EC7"/>
    <w:rsid w:val="00352461"/>
    <w:rsid w:val="003555CD"/>
    <w:rsid w:val="003559EF"/>
    <w:rsid w:val="00356131"/>
    <w:rsid w:val="00360CF8"/>
    <w:rsid w:val="003628A2"/>
    <w:rsid w:val="003640F0"/>
    <w:rsid w:val="003645F1"/>
    <w:rsid w:val="00364B97"/>
    <w:rsid w:val="00367DA5"/>
    <w:rsid w:val="003716A9"/>
    <w:rsid w:val="0037191E"/>
    <w:rsid w:val="00371937"/>
    <w:rsid w:val="003737F2"/>
    <w:rsid w:val="00377A96"/>
    <w:rsid w:val="00377FE2"/>
    <w:rsid w:val="003827A6"/>
    <w:rsid w:val="00382966"/>
    <w:rsid w:val="003845BB"/>
    <w:rsid w:val="00384B8B"/>
    <w:rsid w:val="00387130"/>
    <w:rsid w:val="00387162"/>
    <w:rsid w:val="003903E2"/>
    <w:rsid w:val="00390D8E"/>
    <w:rsid w:val="0039116F"/>
    <w:rsid w:val="00395655"/>
    <w:rsid w:val="003A060F"/>
    <w:rsid w:val="003A374D"/>
    <w:rsid w:val="003A48EE"/>
    <w:rsid w:val="003A7841"/>
    <w:rsid w:val="003B23E6"/>
    <w:rsid w:val="003B4449"/>
    <w:rsid w:val="003B5BFA"/>
    <w:rsid w:val="003B629A"/>
    <w:rsid w:val="003C0119"/>
    <w:rsid w:val="003C12C5"/>
    <w:rsid w:val="003C1F1E"/>
    <w:rsid w:val="003C2DC3"/>
    <w:rsid w:val="003C3996"/>
    <w:rsid w:val="003C557F"/>
    <w:rsid w:val="003C563D"/>
    <w:rsid w:val="003C5C7B"/>
    <w:rsid w:val="003C7D91"/>
    <w:rsid w:val="003D0C7F"/>
    <w:rsid w:val="003D138A"/>
    <w:rsid w:val="003D3240"/>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6D72"/>
    <w:rsid w:val="00407815"/>
    <w:rsid w:val="00414F26"/>
    <w:rsid w:val="00415D7B"/>
    <w:rsid w:val="00417315"/>
    <w:rsid w:val="00417618"/>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4FDE"/>
    <w:rsid w:val="00435BAC"/>
    <w:rsid w:val="004361F2"/>
    <w:rsid w:val="004376C2"/>
    <w:rsid w:val="004427B2"/>
    <w:rsid w:val="00442824"/>
    <w:rsid w:val="00443899"/>
    <w:rsid w:val="004444E8"/>
    <w:rsid w:val="004444F4"/>
    <w:rsid w:val="00446865"/>
    <w:rsid w:val="00446B9E"/>
    <w:rsid w:val="00446EC1"/>
    <w:rsid w:val="004477E7"/>
    <w:rsid w:val="00450BCC"/>
    <w:rsid w:val="00450EC7"/>
    <w:rsid w:val="0045180F"/>
    <w:rsid w:val="00452217"/>
    <w:rsid w:val="00453C28"/>
    <w:rsid w:val="00453E7F"/>
    <w:rsid w:val="00453E85"/>
    <w:rsid w:val="004546B0"/>
    <w:rsid w:val="00455A80"/>
    <w:rsid w:val="00455D0B"/>
    <w:rsid w:val="00456843"/>
    <w:rsid w:val="004604F1"/>
    <w:rsid w:val="00461920"/>
    <w:rsid w:val="004646DE"/>
    <w:rsid w:val="00465311"/>
    <w:rsid w:val="004665BC"/>
    <w:rsid w:val="004674B8"/>
    <w:rsid w:val="0046759A"/>
    <w:rsid w:val="00467C52"/>
    <w:rsid w:val="00467EBC"/>
    <w:rsid w:val="00470D89"/>
    <w:rsid w:val="004713FE"/>
    <w:rsid w:val="004719B1"/>
    <w:rsid w:val="0047261C"/>
    <w:rsid w:val="00472885"/>
    <w:rsid w:val="004739BA"/>
    <w:rsid w:val="004739E7"/>
    <w:rsid w:val="004741D2"/>
    <w:rsid w:val="00475298"/>
    <w:rsid w:val="00477170"/>
    <w:rsid w:val="00483378"/>
    <w:rsid w:val="00483594"/>
    <w:rsid w:val="00484204"/>
    <w:rsid w:val="00487E51"/>
    <w:rsid w:val="00490845"/>
    <w:rsid w:val="00491C76"/>
    <w:rsid w:val="00493B7A"/>
    <w:rsid w:val="004942CA"/>
    <w:rsid w:val="0049486D"/>
    <w:rsid w:val="00495A4A"/>
    <w:rsid w:val="00496618"/>
    <w:rsid w:val="004972E2"/>
    <w:rsid w:val="004A0A82"/>
    <w:rsid w:val="004A207E"/>
    <w:rsid w:val="004A27CC"/>
    <w:rsid w:val="004A285F"/>
    <w:rsid w:val="004A4F42"/>
    <w:rsid w:val="004A55AC"/>
    <w:rsid w:val="004A5E2A"/>
    <w:rsid w:val="004A6AE4"/>
    <w:rsid w:val="004A70C4"/>
    <w:rsid w:val="004B047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5FF9"/>
    <w:rsid w:val="004D7CF3"/>
    <w:rsid w:val="004E0260"/>
    <w:rsid w:val="004E16EE"/>
    <w:rsid w:val="004E3F53"/>
    <w:rsid w:val="004E4897"/>
    <w:rsid w:val="004E6D10"/>
    <w:rsid w:val="004F09FD"/>
    <w:rsid w:val="004F11C4"/>
    <w:rsid w:val="004F17EA"/>
    <w:rsid w:val="004F219E"/>
    <w:rsid w:val="004F275F"/>
    <w:rsid w:val="004F2B1B"/>
    <w:rsid w:val="004F3765"/>
    <w:rsid w:val="004F4B94"/>
    <w:rsid w:val="004F5BEA"/>
    <w:rsid w:val="004F70FF"/>
    <w:rsid w:val="004F7237"/>
    <w:rsid w:val="004F77AB"/>
    <w:rsid w:val="004F7953"/>
    <w:rsid w:val="0050084D"/>
    <w:rsid w:val="00501E0F"/>
    <w:rsid w:val="00501E65"/>
    <w:rsid w:val="00504D1C"/>
    <w:rsid w:val="00506006"/>
    <w:rsid w:val="005061E4"/>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24B9"/>
    <w:rsid w:val="00543E05"/>
    <w:rsid w:val="005462B1"/>
    <w:rsid w:val="00550BC0"/>
    <w:rsid w:val="005525EA"/>
    <w:rsid w:val="005531AA"/>
    <w:rsid w:val="00554B28"/>
    <w:rsid w:val="00554CC1"/>
    <w:rsid w:val="00560A43"/>
    <w:rsid w:val="00563FA3"/>
    <w:rsid w:val="005644C8"/>
    <w:rsid w:val="00564500"/>
    <w:rsid w:val="00564E98"/>
    <w:rsid w:val="00565493"/>
    <w:rsid w:val="00565E93"/>
    <w:rsid w:val="00566018"/>
    <w:rsid w:val="0056688A"/>
    <w:rsid w:val="00567397"/>
    <w:rsid w:val="00572F83"/>
    <w:rsid w:val="00573E06"/>
    <w:rsid w:val="005778C6"/>
    <w:rsid w:val="00577AC1"/>
    <w:rsid w:val="005818DD"/>
    <w:rsid w:val="0058277B"/>
    <w:rsid w:val="00583A7E"/>
    <w:rsid w:val="005840B0"/>
    <w:rsid w:val="00586A0B"/>
    <w:rsid w:val="00586CF4"/>
    <w:rsid w:val="005913D0"/>
    <w:rsid w:val="00591B69"/>
    <w:rsid w:val="00593FD2"/>
    <w:rsid w:val="00597BAA"/>
    <w:rsid w:val="00597D5D"/>
    <w:rsid w:val="005A1896"/>
    <w:rsid w:val="005A224A"/>
    <w:rsid w:val="005A28D2"/>
    <w:rsid w:val="005A2D03"/>
    <w:rsid w:val="005A338B"/>
    <w:rsid w:val="005A3AC5"/>
    <w:rsid w:val="005A3BFE"/>
    <w:rsid w:val="005A407D"/>
    <w:rsid w:val="005A4A9A"/>
    <w:rsid w:val="005A5DAE"/>
    <w:rsid w:val="005A6A09"/>
    <w:rsid w:val="005A6C42"/>
    <w:rsid w:val="005B19E3"/>
    <w:rsid w:val="005B1C24"/>
    <w:rsid w:val="005B5ADE"/>
    <w:rsid w:val="005B6646"/>
    <w:rsid w:val="005B7002"/>
    <w:rsid w:val="005C2DFD"/>
    <w:rsid w:val="005C43C6"/>
    <w:rsid w:val="005C4BE7"/>
    <w:rsid w:val="005C61F4"/>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1B64"/>
    <w:rsid w:val="005F21A3"/>
    <w:rsid w:val="005F421E"/>
    <w:rsid w:val="005F53D2"/>
    <w:rsid w:val="005F630F"/>
    <w:rsid w:val="005F69DF"/>
    <w:rsid w:val="0060094C"/>
    <w:rsid w:val="00600B63"/>
    <w:rsid w:val="00601137"/>
    <w:rsid w:val="006040E1"/>
    <w:rsid w:val="006047B5"/>
    <w:rsid w:val="006047CE"/>
    <w:rsid w:val="0060491C"/>
    <w:rsid w:val="00604A61"/>
    <w:rsid w:val="00610231"/>
    <w:rsid w:val="00611211"/>
    <w:rsid w:val="006124CF"/>
    <w:rsid w:val="00612D7F"/>
    <w:rsid w:val="00617D55"/>
    <w:rsid w:val="00617F06"/>
    <w:rsid w:val="006222B2"/>
    <w:rsid w:val="006240D8"/>
    <w:rsid w:val="00624738"/>
    <w:rsid w:val="00626132"/>
    <w:rsid w:val="006302E4"/>
    <w:rsid w:val="00630B4C"/>
    <w:rsid w:val="006310A1"/>
    <w:rsid w:val="006317AC"/>
    <w:rsid w:val="0063318F"/>
    <w:rsid w:val="00633884"/>
    <w:rsid w:val="00634DDD"/>
    <w:rsid w:val="006361E3"/>
    <w:rsid w:val="00636320"/>
    <w:rsid w:val="00636689"/>
    <w:rsid w:val="0063730A"/>
    <w:rsid w:val="00637FB0"/>
    <w:rsid w:val="00641DE7"/>
    <w:rsid w:val="00641EF4"/>
    <w:rsid w:val="00642470"/>
    <w:rsid w:val="00642D90"/>
    <w:rsid w:val="00645DFC"/>
    <w:rsid w:val="0065019C"/>
    <w:rsid w:val="00651813"/>
    <w:rsid w:val="00653E67"/>
    <w:rsid w:val="00656642"/>
    <w:rsid w:val="00656BDA"/>
    <w:rsid w:val="0066109E"/>
    <w:rsid w:val="00661A0C"/>
    <w:rsid w:val="00662188"/>
    <w:rsid w:val="00662BFF"/>
    <w:rsid w:val="00663337"/>
    <w:rsid w:val="006662D4"/>
    <w:rsid w:val="006712A6"/>
    <w:rsid w:val="00671910"/>
    <w:rsid w:val="00671E4E"/>
    <w:rsid w:val="00673257"/>
    <w:rsid w:val="0067456E"/>
    <w:rsid w:val="00675133"/>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40E7"/>
    <w:rsid w:val="00694141"/>
    <w:rsid w:val="006941C8"/>
    <w:rsid w:val="00697863"/>
    <w:rsid w:val="006A0CE3"/>
    <w:rsid w:val="006A0D8A"/>
    <w:rsid w:val="006A19E9"/>
    <w:rsid w:val="006A237D"/>
    <w:rsid w:val="006A343F"/>
    <w:rsid w:val="006A36D7"/>
    <w:rsid w:val="006A3AD5"/>
    <w:rsid w:val="006A3DBD"/>
    <w:rsid w:val="006A512F"/>
    <w:rsid w:val="006A5395"/>
    <w:rsid w:val="006A6D9B"/>
    <w:rsid w:val="006A70E2"/>
    <w:rsid w:val="006B054D"/>
    <w:rsid w:val="006B0FEE"/>
    <w:rsid w:val="006B1D26"/>
    <w:rsid w:val="006B20EC"/>
    <w:rsid w:val="006B4070"/>
    <w:rsid w:val="006B4A0C"/>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46A3"/>
    <w:rsid w:val="006E4DC3"/>
    <w:rsid w:val="006E52C5"/>
    <w:rsid w:val="006E58C1"/>
    <w:rsid w:val="006E7487"/>
    <w:rsid w:val="006E7B3B"/>
    <w:rsid w:val="006F282A"/>
    <w:rsid w:val="006F33DD"/>
    <w:rsid w:val="006F35F8"/>
    <w:rsid w:val="006F4526"/>
    <w:rsid w:val="006F5502"/>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54E"/>
    <w:rsid w:val="00714423"/>
    <w:rsid w:val="00715FC7"/>
    <w:rsid w:val="007160B3"/>
    <w:rsid w:val="00716B72"/>
    <w:rsid w:val="00717394"/>
    <w:rsid w:val="00717743"/>
    <w:rsid w:val="007201DC"/>
    <w:rsid w:val="00720625"/>
    <w:rsid w:val="0072098B"/>
    <w:rsid w:val="00721291"/>
    <w:rsid w:val="00723D89"/>
    <w:rsid w:val="00724DC0"/>
    <w:rsid w:val="00725FD9"/>
    <w:rsid w:val="007261CF"/>
    <w:rsid w:val="007273E6"/>
    <w:rsid w:val="0072791E"/>
    <w:rsid w:val="00731B88"/>
    <w:rsid w:val="00732DEB"/>
    <w:rsid w:val="00733CC2"/>
    <w:rsid w:val="007362EB"/>
    <w:rsid w:val="00736B76"/>
    <w:rsid w:val="00736C03"/>
    <w:rsid w:val="007377F2"/>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6242"/>
    <w:rsid w:val="00756290"/>
    <w:rsid w:val="00756A19"/>
    <w:rsid w:val="0076058A"/>
    <w:rsid w:val="0076108C"/>
    <w:rsid w:val="00761B5E"/>
    <w:rsid w:val="0076408A"/>
    <w:rsid w:val="007645C5"/>
    <w:rsid w:val="0076648E"/>
    <w:rsid w:val="007701A2"/>
    <w:rsid w:val="00773DD9"/>
    <w:rsid w:val="00774BE7"/>
    <w:rsid w:val="00775304"/>
    <w:rsid w:val="007762CC"/>
    <w:rsid w:val="00776A84"/>
    <w:rsid w:val="00777754"/>
    <w:rsid w:val="00777B84"/>
    <w:rsid w:val="007806A8"/>
    <w:rsid w:val="00781306"/>
    <w:rsid w:val="00781635"/>
    <w:rsid w:val="007836C8"/>
    <w:rsid w:val="007851BB"/>
    <w:rsid w:val="00790ADA"/>
    <w:rsid w:val="007934F1"/>
    <w:rsid w:val="00794229"/>
    <w:rsid w:val="00795A1B"/>
    <w:rsid w:val="00795F47"/>
    <w:rsid w:val="007963A5"/>
    <w:rsid w:val="007970F0"/>
    <w:rsid w:val="007971F3"/>
    <w:rsid w:val="00797C76"/>
    <w:rsid w:val="007A1BCA"/>
    <w:rsid w:val="007A30DD"/>
    <w:rsid w:val="007A3401"/>
    <w:rsid w:val="007A4157"/>
    <w:rsid w:val="007A4B86"/>
    <w:rsid w:val="007B06E8"/>
    <w:rsid w:val="007B1141"/>
    <w:rsid w:val="007B24F7"/>
    <w:rsid w:val="007B3D33"/>
    <w:rsid w:val="007B47A9"/>
    <w:rsid w:val="007B4CFC"/>
    <w:rsid w:val="007B5C10"/>
    <w:rsid w:val="007B6D83"/>
    <w:rsid w:val="007B6FFE"/>
    <w:rsid w:val="007C0484"/>
    <w:rsid w:val="007C0661"/>
    <w:rsid w:val="007C157E"/>
    <w:rsid w:val="007C2423"/>
    <w:rsid w:val="007C393A"/>
    <w:rsid w:val="007C546D"/>
    <w:rsid w:val="007C6C8E"/>
    <w:rsid w:val="007D0525"/>
    <w:rsid w:val="007D09DC"/>
    <w:rsid w:val="007D4566"/>
    <w:rsid w:val="007D6B06"/>
    <w:rsid w:val="007D6FD8"/>
    <w:rsid w:val="007D76D7"/>
    <w:rsid w:val="007E11C0"/>
    <w:rsid w:val="007E249E"/>
    <w:rsid w:val="007E2D26"/>
    <w:rsid w:val="007E437D"/>
    <w:rsid w:val="007E4DF7"/>
    <w:rsid w:val="007E5ED7"/>
    <w:rsid w:val="007E6242"/>
    <w:rsid w:val="007E633B"/>
    <w:rsid w:val="007E6AD6"/>
    <w:rsid w:val="007F130B"/>
    <w:rsid w:val="007F135A"/>
    <w:rsid w:val="007F1CED"/>
    <w:rsid w:val="007F3109"/>
    <w:rsid w:val="007F4563"/>
    <w:rsid w:val="007F48FB"/>
    <w:rsid w:val="007F5275"/>
    <w:rsid w:val="00800079"/>
    <w:rsid w:val="008013FD"/>
    <w:rsid w:val="0080232E"/>
    <w:rsid w:val="00803A16"/>
    <w:rsid w:val="00803CA0"/>
    <w:rsid w:val="008053FB"/>
    <w:rsid w:val="008059AC"/>
    <w:rsid w:val="00807EF1"/>
    <w:rsid w:val="008125C1"/>
    <w:rsid w:val="00812789"/>
    <w:rsid w:val="00813EBF"/>
    <w:rsid w:val="00816EA1"/>
    <w:rsid w:val="00817D17"/>
    <w:rsid w:val="00821662"/>
    <w:rsid w:val="00824BA3"/>
    <w:rsid w:val="00825F4B"/>
    <w:rsid w:val="00826F86"/>
    <w:rsid w:val="00827624"/>
    <w:rsid w:val="00827C86"/>
    <w:rsid w:val="00831124"/>
    <w:rsid w:val="00831D3C"/>
    <w:rsid w:val="00831E9A"/>
    <w:rsid w:val="008327F5"/>
    <w:rsid w:val="00833124"/>
    <w:rsid w:val="0083397B"/>
    <w:rsid w:val="0083418B"/>
    <w:rsid w:val="008360A1"/>
    <w:rsid w:val="008360E0"/>
    <w:rsid w:val="0083623B"/>
    <w:rsid w:val="00841034"/>
    <w:rsid w:val="00841854"/>
    <w:rsid w:val="00842C8D"/>
    <w:rsid w:val="008434D2"/>
    <w:rsid w:val="00844CC3"/>
    <w:rsid w:val="00845BC3"/>
    <w:rsid w:val="00846E8D"/>
    <w:rsid w:val="008476BF"/>
    <w:rsid w:val="00847CFC"/>
    <w:rsid w:val="008508D5"/>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0E61"/>
    <w:rsid w:val="00872A86"/>
    <w:rsid w:val="00873354"/>
    <w:rsid w:val="00874481"/>
    <w:rsid w:val="00875D88"/>
    <w:rsid w:val="008760C6"/>
    <w:rsid w:val="008773A5"/>
    <w:rsid w:val="00881967"/>
    <w:rsid w:val="008835B5"/>
    <w:rsid w:val="0088605D"/>
    <w:rsid w:val="008869FA"/>
    <w:rsid w:val="00887913"/>
    <w:rsid w:val="00890675"/>
    <w:rsid w:val="0089123B"/>
    <w:rsid w:val="00891BE7"/>
    <w:rsid w:val="00893267"/>
    <w:rsid w:val="00894526"/>
    <w:rsid w:val="00894946"/>
    <w:rsid w:val="0089506D"/>
    <w:rsid w:val="0089615E"/>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B48E6"/>
    <w:rsid w:val="008B5558"/>
    <w:rsid w:val="008B6A6F"/>
    <w:rsid w:val="008C01F4"/>
    <w:rsid w:val="008C0503"/>
    <w:rsid w:val="008C09DD"/>
    <w:rsid w:val="008C4A55"/>
    <w:rsid w:val="008C4E10"/>
    <w:rsid w:val="008C5E5E"/>
    <w:rsid w:val="008C65EC"/>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7705"/>
    <w:rsid w:val="008E77F4"/>
    <w:rsid w:val="008E7AF3"/>
    <w:rsid w:val="008E7E4D"/>
    <w:rsid w:val="008F0992"/>
    <w:rsid w:val="008F1D1A"/>
    <w:rsid w:val="008F3218"/>
    <w:rsid w:val="008F3571"/>
    <w:rsid w:val="008F35DB"/>
    <w:rsid w:val="008F39D3"/>
    <w:rsid w:val="008F4969"/>
    <w:rsid w:val="008F5129"/>
    <w:rsid w:val="008F540F"/>
    <w:rsid w:val="008F6393"/>
    <w:rsid w:val="008F6748"/>
    <w:rsid w:val="00900967"/>
    <w:rsid w:val="009010E9"/>
    <w:rsid w:val="00901E19"/>
    <w:rsid w:val="00901F49"/>
    <w:rsid w:val="00902FF9"/>
    <w:rsid w:val="00904B60"/>
    <w:rsid w:val="00905EB8"/>
    <w:rsid w:val="00905F3A"/>
    <w:rsid w:val="009066B0"/>
    <w:rsid w:val="0090679B"/>
    <w:rsid w:val="0090782D"/>
    <w:rsid w:val="00912765"/>
    <w:rsid w:val="00913A84"/>
    <w:rsid w:val="0091523F"/>
    <w:rsid w:val="0091558A"/>
    <w:rsid w:val="0091560C"/>
    <w:rsid w:val="009167F2"/>
    <w:rsid w:val="00917058"/>
    <w:rsid w:val="00923C45"/>
    <w:rsid w:val="00924391"/>
    <w:rsid w:val="00924F7D"/>
    <w:rsid w:val="009258F9"/>
    <w:rsid w:val="0092693D"/>
    <w:rsid w:val="00927F32"/>
    <w:rsid w:val="0093024B"/>
    <w:rsid w:val="00931102"/>
    <w:rsid w:val="009312BE"/>
    <w:rsid w:val="00932D4A"/>
    <w:rsid w:val="009339E1"/>
    <w:rsid w:val="00936B7F"/>
    <w:rsid w:val="00937544"/>
    <w:rsid w:val="00937CB9"/>
    <w:rsid w:val="009415CD"/>
    <w:rsid w:val="0094334A"/>
    <w:rsid w:val="00943E2F"/>
    <w:rsid w:val="00944EC7"/>
    <w:rsid w:val="0094721F"/>
    <w:rsid w:val="009472AA"/>
    <w:rsid w:val="00950B0F"/>
    <w:rsid w:val="00950B10"/>
    <w:rsid w:val="00952D0A"/>
    <w:rsid w:val="00953FD7"/>
    <w:rsid w:val="00954732"/>
    <w:rsid w:val="009551F9"/>
    <w:rsid w:val="00956BD2"/>
    <w:rsid w:val="0096092A"/>
    <w:rsid w:val="00962715"/>
    <w:rsid w:val="00963058"/>
    <w:rsid w:val="009634F8"/>
    <w:rsid w:val="00963AE2"/>
    <w:rsid w:val="00963E96"/>
    <w:rsid w:val="00966C16"/>
    <w:rsid w:val="00966D12"/>
    <w:rsid w:val="00972F4C"/>
    <w:rsid w:val="00975F5E"/>
    <w:rsid w:val="00977612"/>
    <w:rsid w:val="009827FE"/>
    <w:rsid w:val="00983B09"/>
    <w:rsid w:val="00984646"/>
    <w:rsid w:val="00984CA4"/>
    <w:rsid w:val="0098541A"/>
    <w:rsid w:val="00987752"/>
    <w:rsid w:val="00990860"/>
    <w:rsid w:val="00990E6F"/>
    <w:rsid w:val="00990FC4"/>
    <w:rsid w:val="00991FDD"/>
    <w:rsid w:val="00992009"/>
    <w:rsid w:val="00992B9B"/>
    <w:rsid w:val="0099450E"/>
    <w:rsid w:val="009949C9"/>
    <w:rsid w:val="0099513B"/>
    <w:rsid w:val="00995D64"/>
    <w:rsid w:val="009965B4"/>
    <w:rsid w:val="00996B48"/>
    <w:rsid w:val="00996FBD"/>
    <w:rsid w:val="0099794C"/>
    <w:rsid w:val="009A1269"/>
    <w:rsid w:val="009A19C4"/>
    <w:rsid w:val="009A453C"/>
    <w:rsid w:val="009B1744"/>
    <w:rsid w:val="009B1EE9"/>
    <w:rsid w:val="009B1FDC"/>
    <w:rsid w:val="009B3DAC"/>
    <w:rsid w:val="009B568A"/>
    <w:rsid w:val="009C01D3"/>
    <w:rsid w:val="009C08B5"/>
    <w:rsid w:val="009C0D35"/>
    <w:rsid w:val="009C4545"/>
    <w:rsid w:val="009C4DFC"/>
    <w:rsid w:val="009C6075"/>
    <w:rsid w:val="009D0944"/>
    <w:rsid w:val="009D281A"/>
    <w:rsid w:val="009D4D71"/>
    <w:rsid w:val="009D6D2E"/>
    <w:rsid w:val="009D753B"/>
    <w:rsid w:val="009E0CEB"/>
    <w:rsid w:val="009E206F"/>
    <w:rsid w:val="009E60E1"/>
    <w:rsid w:val="009E63B6"/>
    <w:rsid w:val="009E6C5E"/>
    <w:rsid w:val="009E7717"/>
    <w:rsid w:val="009E7FF1"/>
    <w:rsid w:val="009F142B"/>
    <w:rsid w:val="009F23CB"/>
    <w:rsid w:val="009F399F"/>
    <w:rsid w:val="009F3DBD"/>
    <w:rsid w:val="009F5722"/>
    <w:rsid w:val="009F7176"/>
    <w:rsid w:val="009F7299"/>
    <w:rsid w:val="00A02072"/>
    <w:rsid w:val="00A0334B"/>
    <w:rsid w:val="00A04A98"/>
    <w:rsid w:val="00A05A91"/>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2258"/>
    <w:rsid w:val="00A325A6"/>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50CD4"/>
    <w:rsid w:val="00A52FAE"/>
    <w:rsid w:val="00A53909"/>
    <w:rsid w:val="00A54A4A"/>
    <w:rsid w:val="00A5623C"/>
    <w:rsid w:val="00A577E9"/>
    <w:rsid w:val="00A57A10"/>
    <w:rsid w:val="00A57F06"/>
    <w:rsid w:val="00A600FC"/>
    <w:rsid w:val="00A6068D"/>
    <w:rsid w:val="00A606F7"/>
    <w:rsid w:val="00A60884"/>
    <w:rsid w:val="00A610CB"/>
    <w:rsid w:val="00A63BA3"/>
    <w:rsid w:val="00A643D6"/>
    <w:rsid w:val="00A64DC1"/>
    <w:rsid w:val="00A65FDC"/>
    <w:rsid w:val="00A6623B"/>
    <w:rsid w:val="00A669EE"/>
    <w:rsid w:val="00A67068"/>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6B91"/>
    <w:rsid w:val="00A9750F"/>
    <w:rsid w:val="00AA138C"/>
    <w:rsid w:val="00AA4B35"/>
    <w:rsid w:val="00AA599A"/>
    <w:rsid w:val="00AA5E2F"/>
    <w:rsid w:val="00AB2360"/>
    <w:rsid w:val="00AB33F2"/>
    <w:rsid w:val="00AB5812"/>
    <w:rsid w:val="00AB5BFC"/>
    <w:rsid w:val="00AB66D3"/>
    <w:rsid w:val="00AB7845"/>
    <w:rsid w:val="00AC001F"/>
    <w:rsid w:val="00AC135D"/>
    <w:rsid w:val="00AC2072"/>
    <w:rsid w:val="00AC40DC"/>
    <w:rsid w:val="00AC4ECB"/>
    <w:rsid w:val="00AD3F9D"/>
    <w:rsid w:val="00AD42EA"/>
    <w:rsid w:val="00AD4746"/>
    <w:rsid w:val="00AD4E9B"/>
    <w:rsid w:val="00AD5010"/>
    <w:rsid w:val="00AD671F"/>
    <w:rsid w:val="00AD6BF4"/>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553E"/>
    <w:rsid w:val="00AF73A4"/>
    <w:rsid w:val="00B00BAD"/>
    <w:rsid w:val="00B00DA4"/>
    <w:rsid w:val="00B035F4"/>
    <w:rsid w:val="00B03860"/>
    <w:rsid w:val="00B04D19"/>
    <w:rsid w:val="00B05A10"/>
    <w:rsid w:val="00B0677C"/>
    <w:rsid w:val="00B0691A"/>
    <w:rsid w:val="00B07C49"/>
    <w:rsid w:val="00B10FCB"/>
    <w:rsid w:val="00B11252"/>
    <w:rsid w:val="00B1145F"/>
    <w:rsid w:val="00B1153E"/>
    <w:rsid w:val="00B1358E"/>
    <w:rsid w:val="00B145B3"/>
    <w:rsid w:val="00B152AE"/>
    <w:rsid w:val="00B15A62"/>
    <w:rsid w:val="00B16649"/>
    <w:rsid w:val="00B17C41"/>
    <w:rsid w:val="00B17FDB"/>
    <w:rsid w:val="00B24B51"/>
    <w:rsid w:val="00B2577E"/>
    <w:rsid w:val="00B26069"/>
    <w:rsid w:val="00B2760F"/>
    <w:rsid w:val="00B31B92"/>
    <w:rsid w:val="00B320D9"/>
    <w:rsid w:val="00B32135"/>
    <w:rsid w:val="00B321D4"/>
    <w:rsid w:val="00B32676"/>
    <w:rsid w:val="00B330B9"/>
    <w:rsid w:val="00B33559"/>
    <w:rsid w:val="00B341A3"/>
    <w:rsid w:val="00B3495F"/>
    <w:rsid w:val="00B34AF6"/>
    <w:rsid w:val="00B34CBF"/>
    <w:rsid w:val="00B3632A"/>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4ED1"/>
    <w:rsid w:val="00B556DA"/>
    <w:rsid w:val="00B560AF"/>
    <w:rsid w:val="00B5758A"/>
    <w:rsid w:val="00B6338C"/>
    <w:rsid w:val="00B6355E"/>
    <w:rsid w:val="00B64471"/>
    <w:rsid w:val="00B65A06"/>
    <w:rsid w:val="00B65B84"/>
    <w:rsid w:val="00B67AE2"/>
    <w:rsid w:val="00B7272A"/>
    <w:rsid w:val="00B728C8"/>
    <w:rsid w:val="00B72D31"/>
    <w:rsid w:val="00B73133"/>
    <w:rsid w:val="00B74629"/>
    <w:rsid w:val="00B75F90"/>
    <w:rsid w:val="00B8036D"/>
    <w:rsid w:val="00B803D5"/>
    <w:rsid w:val="00B82C78"/>
    <w:rsid w:val="00B84A5C"/>
    <w:rsid w:val="00B87124"/>
    <w:rsid w:val="00B922C5"/>
    <w:rsid w:val="00B92D10"/>
    <w:rsid w:val="00B930F9"/>
    <w:rsid w:val="00B93671"/>
    <w:rsid w:val="00B93841"/>
    <w:rsid w:val="00B948D2"/>
    <w:rsid w:val="00B94908"/>
    <w:rsid w:val="00B95598"/>
    <w:rsid w:val="00BA302B"/>
    <w:rsid w:val="00BA34A2"/>
    <w:rsid w:val="00BA3657"/>
    <w:rsid w:val="00BA4635"/>
    <w:rsid w:val="00BA478A"/>
    <w:rsid w:val="00BA66F5"/>
    <w:rsid w:val="00BA726F"/>
    <w:rsid w:val="00BB5958"/>
    <w:rsid w:val="00BC09A4"/>
    <w:rsid w:val="00BC0C36"/>
    <w:rsid w:val="00BC2111"/>
    <w:rsid w:val="00BC61FD"/>
    <w:rsid w:val="00BC6272"/>
    <w:rsid w:val="00BD0FA0"/>
    <w:rsid w:val="00BD0FD6"/>
    <w:rsid w:val="00BD284B"/>
    <w:rsid w:val="00BD2B98"/>
    <w:rsid w:val="00BD2F6E"/>
    <w:rsid w:val="00BD7382"/>
    <w:rsid w:val="00BD7BD3"/>
    <w:rsid w:val="00BE0D0E"/>
    <w:rsid w:val="00BE0D4F"/>
    <w:rsid w:val="00BE1037"/>
    <w:rsid w:val="00BE379A"/>
    <w:rsid w:val="00BE395D"/>
    <w:rsid w:val="00BE3A78"/>
    <w:rsid w:val="00BE3F35"/>
    <w:rsid w:val="00BE4037"/>
    <w:rsid w:val="00BE482D"/>
    <w:rsid w:val="00BE5DB7"/>
    <w:rsid w:val="00BE6BFB"/>
    <w:rsid w:val="00BF0159"/>
    <w:rsid w:val="00BF13C9"/>
    <w:rsid w:val="00BF1BAE"/>
    <w:rsid w:val="00BF3308"/>
    <w:rsid w:val="00BF4B9B"/>
    <w:rsid w:val="00BF5709"/>
    <w:rsid w:val="00BF5B8B"/>
    <w:rsid w:val="00BF5D30"/>
    <w:rsid w:val="00BF6075"/>
    <w:rsid w:val="00BF6D71"/>
    <w:rsid w:val="00C00CF3"/>
    <w:rsid w:val="00C01B41"/>
    <w:rsid w:val="00C02FA6"/>
    <w:rsid w:val="00C03495"/>
    <w:rsid w:val="00C039E1"/>
    <w:rsid w:val="00C104FE"/>
    <w:rsid w:val="00C118F2"/>
    <w:rsid w:val="00C11946"/>
    <w:rsid w:val="00C1385A"/>
    <w:rsid w:val="00C20CDA"/>
    <w:rsid w:val="00C20DC3"/>
    <w:rsid w:val="00C20DC6"/>
    <w:rsid w:val="00C20F03"/>
    <w:rsid w:val="00C216FA"/>
    <w:rsid w:val="00C221F5"/>
    <w:rsid w:val="00C2421A"/>
    <w:rsid w:val="00C24A6A"/>
    <w:rsid w:val="00C24BED"/>
    <w:rsid w:val="00C274E7"/>
    <w:rsid w:val="00C278DE"/>
    <w:rsid w:val="00C27D33"/>
    <w:rsid w:val="00C31286"/>
    <w:rsid w:val="00C31A5B"/>
    <w:rsid w:val="00C32478"/>
    <w:rsid w:val="00C34C0E"/>
    <w:rsid w:val="00C35EF2"/>
    <w:rsid w:val="00C403B4"/>
    <w:rsid w:val="00C406DE"/>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5D3"/>
    <w:rsid w:val="00C57F0D"/>
    <w:rsid w:val="00C6176A"/>
    <w:rsid w:val="00C6242D"/>
    <w:rsid w:val="00C63AA7"/>
    <w:rsid w:val="00C666AF"/>
    <w:rsid w:val="00C711DA"/>
    <w:rsid w:val="00C71863"/>
    <w:rsid w:val="00C718DA"/>
    <w:rsid w:val="00C72BBA"/>
    <w:rsid w:val="00C73873"/>
    <w:rsid w:val="00C75FCC"/>
    <w:rsid w:val="00C80322"/>
    <w:rsid w:val="00C8433A"/>
    <w:rsid w:val="00C85C00"/>
    <w:rsid w:val="00C86431"/>
    <w:rsid w:val="00C87262"/>
    <w:rsid w:val="00C8786E"/>
    <w:rsid w:val="00C907DB"/>
    <w:rsid w:val="00C90C24"/>
    <w:rsid w:val="00C91224"/>
    <w:rsid w:val="00C9316D"/>
    <w:rsid w:val="00C934F2"/>
    <w:rsid w:val="00C9387E"/>
    <w:rsid w:val="00C948FD"/>
    <w:rsid w:val="00C975B4"/>
    <w:rsid w:val="00C97FB9"/>
    <w:rsid w:val="00CA031B"/>
    <w:rsid w:val="00CA1129"/>
    <w:rsid w:val="00CA155E"/>
    <w:rsid w:val="00CA1E20"/>
    <w:rsid w:val="00CA2E10"/>
    <w:rsid w:val="00CA3668"/>
    <w:rsid w:val="00CA3D9D"/>
    <w:rsid w:val="00CA6A60"/>
    <w:rsid w:val="00CA7999"/>
    <w:rsid w:val="00CB14EE"/>
    <w:rsid w:val="00CB28AF"/>
    <w:rsid w:val="00CB4E0C"/>
    <w:rsid w:val="00CB65A4"/>
    <w:rsid w:val="00CB6814"/>
    <w:rsid w:val="00CB7797"/>
    <w:rsid w:val="00CB7943"/>
    <w:rsid w:val="00CC0DD8"/>
    <w:rsid w:val="00CC233B"/>
    <w:rsid w:val="00CC749B"/>
    <w:rsid w:val="00CD02E0"/>
    <w:rsid w:val="00CD056E"/>
    <w:rsid w:val="00CD0B50"/>
    <w:rsid w:val="00CD1405"/>
    <w:rsid w:val="00CD518F"/>
    <w:rsid w:val="00CD66B4"/>
    <w:rsid w:val="00CE192F"/>
    <w:rsid w:val="00CE2A7F"/>
    <w:rsid w:val="00CE3610"/>
    <w:rsid w:val="00CE5CE6"/>
    <w:rsid w:val="00CE63A3"/>
    <w:rsid w:val="00CF00CF"/>
    <w:rsid w:val="00CF020D"/>
    <w:rsid w:val="00CF24CD"/>
    <w:rsid w:val="00CF2922"/>
    <w:rsid w:val="00CF3D00"/>
    <w:rsid w:val="00CF4046"/>
    <w:rsid w:val="00CF4EF2"/>
    <w:rsid w:val="00CF5221"/>
    <w:rsid w:val="00CF5822"/>
    <w:rsid w:val="00CF5841"/>
    <w:rsid w:val="00CF5A9B"/>
    <w:rsid w:val="00CF61A2"/>
    <w:rsid w:val="00CF6672"/>
    <w:rsid w:val="00D01B92"/>
    <w:rsid w:val="00D03870"/>
    <w:rsid w:val="00D03A5F"/>
    <w:rsid w:val="00D03C40"/>
    <w:rsid w:val="00D049A7"/>
    <w:rsid w:val="00D04F6A"/>
    <w:rsid w:val="00D068D3"/>
    <w:rsid w:val="00D07E6A"/>
    <w:rsid w:val="00D11E74"/>
    <w:rsid w:val="00D11FEB"/>
    <w:rsid w:val="00D13DED"/>
    <w:rsid w:val="00D144A4"/>
    <w:rsid w:val="00D15823"/>
    <w:rsid w:val="00D20423"/>
    <w:rsid w:val="00D20698"/>
    <w:rsid w:val="00D20F99"/>
    <w:rsid w:val="00D22308"/>
    <w:rsid w:val="00D22435"/>
    <w:rsid w:val="00D2304E"/>
    <w:rsid w:val="00D23711"/>
    <w:rsid w:val="00D25823"/>
    <w:rsid w:val="00D2649F"/>
    <w:rsid w:val="00D2742F"/>
    <w:rsid w:val="00D309E0"/>
    <w:rsid w:val="00D34D79"/>
    <w:rsid w:val="00D36CA4"/>
    <w:rsid w:val="00D37896"/>
    <w:rsid w:val="00D3789A"/>
    <w:rsid w:val="00D400D4"/>
    <w:rsid w:val="00D4181C"/>
    <w:rsid w:val="00D41A30"/>
    <w:rsid w:val="00D469E3"/>
    <w:rsid w:val="00D47ACD"/>
    <w:rsid w:val="00D50A41"/>
    <w:rsid w:val="00D52ABB"/>
    <w:rsid w:val="00D5313C"/>
    <w:rsid w:val="00D532DC"/>
    <w:rsid w:val="00D53C2C"/>
    <w:rsid w:val="00D53C62"/>
    <w:rsid w:val="00D6078A"/>
    <w:rsid w:val="00D62F5A"/>
    <w:rsid w:val="00D63557"/>
    <w:rsid w:val="00D63B71"/>
    <w:rsid w:val="00D63E4A"/>
    <w:rsid w:val="00D63E9B"/>
    <w:rsid w:val="00D6455A"/>
    <w:rsid w:val="00D71C75"/>
    <w:rsid w:val="00D76AAD"/>
    <w:rsid w:val="00D76DCC"/>
    <w:rsid w:val="00D8241E"/>
    <w:rsid w:val="00D82A70"/>
    <w:rsid w:val="00D82B55"/>
    <w:rsid w:val="00D83702"/>
    <w:rsid w:val="00D838C4"/>
    <w:rsid w:val="00D8516E"/>
    <w:rsid w:val="00D85B99"/>
    <w:rsid w:val="00D863D3"/>
    <w:rsid w:val="00D86E6E"/>
    <w:rsid w:val="00D95213"/>
    <w:rsid w:val="00D96355"/>
    <w:rsid w:val="00D9659F"/>
    <w:rsid w:val="00D96BC4"/>
    <w:rsid w:val="00D96DF5"/>
    <w:rsid w:val="00D97D6D"/>
    <w:rsid w:val="00DA01F4"/>
    <w:rsid w:val="00DA0F8B"/>
    <w:rsid w:val="00DA2103"/>
    <w:rsid w:val="00DA4C8E"/>
    <w:rsid w:val="00DA704B"/>
    <w:rsid w:val="00DB1EB6"/>
    <w:rsid w:val="00DB4FE0"/>
    <w:rsid w:val="00DB5EFB"/>
    <w:rsid w:val="00DB75E1"/>
    <w:rsid w:val="00DC60E2"/>
    <w:rsid w:val="00DC61A2"/>
    <w:rsid w:val="00DD0B73"/>
    <w:rsid w:val="00DD139E"/>
    <w:rsid w:val="00DD4DA6"/>
    <w:rsid w:val="00DD5BC5"/>
    <w:rsid w:val="00DD644E"/>
    <w:rsid w:val="00DD7AA4"/>
    <w:rsid w:val="00DE0BB6"/>
    <w:rsid w:val="00DE1C7B"/>
    <w:rsid w:val="00DE33B8"/>
    <w:rsid w:val="00DE370C"/>
    <w:rsid w:val="00DE48BE"/>
    <w:rsid w:val="00DE4ACD"/>
    <w:rsid w:val="00DE5489"/>
    <w:rsid w:val="00DE5503"/>
    <w:rsid w:val="00DF25A4"/>
    <w:rsid w:val="00DF32C0"/>
    <w:rsid w:val="00DF40F8"/>
    <w:rsid w:val="00DF4AC7"/>
    <w:rsid w:val="00DF568A"/>
    <w:rsid w:val="00DF5E31"/>
    <w:rsid w:val="00DF5EF4"/>
    <w:rsid w:val="00DF6105"/>
    <w:rsid w:val="00DF6F8B"/>
    <w:rsid w:val="00DF72F3"/>
    <w:rsid w:val="00E00230"/>
    <w:rsid w:val="00E003B7"/>
    <w:rsid w:val="00E00442"/>
    <w:rsid w:val="00E015B8"/>
    <w:rsid w:val="00E02445"/>
    <w:rsid w:val="00E02889"/>
    <w:rsid w:val="00E02F88"/>
    <w:rsid w:val="00E043C4"/>
    <w:rsid w:val="00E047E9"/>
    <w:rsid w:val="00E04CF7"/>
    <w:rsid w:val="00E0521D"/>
    <w:rsid w:val="00E06367"/>
    <w:rsid w:val="00E067C5"/>
    <w:rsid w:val="00E074E3"/>
    <w:rsid w:val="00E0795A"/>
    <w:rsid w:val="00E12CA3"/>
    <w:rsid w:val="00E13B7B"/>
    <w:rsid w:val="00E13C9A"/>
    <w:rsid w:val="00E142EC"/>
    <w:rsid w:val="00E146EF"/>
    <w:rsid w:val="00E158DF"/>
    <w:rsid w:val="00E168A6"/>
    <w:rsid w:val="00E2037B"/>
    <w:rsid w:val="00E219F5"/>
    <w:rsid w:val="00E2203D"/>
    <w:rsid w:val="00E220AD"/>
    <w:rsid w:val="00E222BB"/>
    <w:rsid w:val="00E22517"/>
    <w:rsid w:val="00E23F30"/>
    <w:rsid w:val="00E26258"/>
    <w:rsid w:val="00E26A33"/>
    <w:rsid w:val="00E27FFC"/>
    <w:rsid w:val="00E3155B"/>
    <w:rsid w:val="00E335F8"/>
    <w:rsid w:val="00E33CB4"/>
    <w:rsid w:val="00E3454D"/>
    <w:rsid w:val="00E352D8"/>
    <w:rsid w:val="00E36D56"/>
    <w:rsid w:val="00E3757A"/>
    <w:rsid w:val="00E377AA"/>
    <w:rsid w:val="00E404A7"/>
    <w:rsid w:val="00E41613"/>
    <w:rsid w:val="00E4166F"/>
    <w:rsid w:val="00E41BB3"/>
    <w:rsid w:val="00E42966"/>
    <w:rsid w:val="00E44F64"/>
    <w:rsid w:val="00E47313"/>
    <w:rsid w:val="00E47E16"/>
    <w:rsid w:val="00E52B88"/>
    <w:rsid w:val="00E52BB0"/>
    <w:rsid w:val="00E53B43"/>
    <w:rsid w:val="00E53BC4"/>
    <w:rsid w:val="00E54558"/>
    <w:rsid w:val="00E55296"/>
    <w:rsid w:val="00E5760E"/>
    <w:rsid w:val="00E603BE"/>
    <w:rsid w:val="00E61871"/>
    <w:rsid w:val="00E61C1E"/>
    <w:rsid w:val="00E61E3D"/>
    <w:rsid w:val="00E61F16"/>
    <w:rsid w:val="00E6244B"/>
    <w:rsid w:val="00E64428"/>
    <w:rsid w:val="00E65C58"/>
    <w:rsid w:val="00E66186"/>
    <w:rsid w:val="00E66781"/>
    <w:rsid w:val="00E6688E"/>
    <w:rsid w:val="00E67755"/>
    <w:rsid w:val="00E67830"/>
    <w:rsid w:val="00E67A45"/>
    <w:rsid w:val="00E721A2"/>
    <w:rsid w:val="00E72CDA"/>
    <w:rsid w:val="00E76004"/>
    <w:rsid w:val="00E76BD1"/>
    <w:rsid w:val="00E77098"/>
    <w:rsid w:val="00E7793E"/>
    <w:rsid w:val="00E7794B"/>
    <w:rsid w:val="00E77A8F"/>
    <w:rsid w:val="00E804F0"/>
    <w:rsid w:val="00E845EB"/>
    <w:rsid w:val="00E8474D"/>
    <w:rsid w:val="00E87046"/>
    <w:rsid w:val="00E87FB2"/>
    <w:rsid w:val="00E932E8"/>
    <w:rsid w:val="00E9569E"/>
    <w:rsid w:val="00E959BD"/>
    <w:rsid w:val="00E96851"/>
    <w:rsid w:val="00E96C91"/>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59D0"/>
    <w:rsid w:val="00EB5B00"/>
    <w:rsid w:val="00EB648A"/>
    <w:rsid w:val="00EB6C95"/>
    <w:rsid w:val="00EB6E90"/>
    <w:rsid w:val="00EB71B3"/>
    <w:rsid w:val="00EC103F"/>
    <w:rsid w:val="00EC10EC"/>
    <w:rsid w:val="00EC18A9"/>
    <w:rsid w:val="00EC1E11"/>
    <w:rsid w:val="00EC25F1"/>
    <w:rsid w:val="00EC2608"/>
    <w:rsid w:val="00EC2DD4"/>
    <w:rsid w:val="00EC2FD2"/>
    <w:rsid w:val="00EC388A"/>
    <w:rsid w:val="00EC3C48"/>
    <w:rsid w:val="00EC4A7C"/>
    <w:rsid w:val="00EC4CF4"/>
    <w:rsid w:val="00EC5DBC"/>
    <w:rsid w:val="00EC5DE7"/>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E7EB4"/>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A79"/>
    <w:rsid w:val="00F05DE8"/>
    <w:rsid w:val="00F06310"/>
    <w:rsid w:val="00F12F9E"/>
    <w:rsid w:val="00F138D2"/>
    <w:rsid w:val="00F15297"/>
    <w:rsid w:val="00F20732"/>
    <w:rsid w:val="00F21CF6"/>
    <w:rsid w:val="00F228CA"/>
    <w:rsid w:val="00F23427"/>
    <w:rsid w:val="00F25518"/>
    <w:rsid w:val="00F26EAA"/>
    <w:rsid w:val="00F30D37"/>
    <w:rsid w:val="00F334DB"/>
    <w:rsid w:val="00F37E2C"/>
    <w:rsid w:val="00F40E0B"/>
    <w:rsid w:val="00F413E2"/>
    <w:rsid w:val="00F426EE"/>
    <w:rsid w:val="00F43176"/>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57BD5"/>
    <w:rsid w:val="00F6176E"/>
    <w:rsid w:val="00F61E91"/>
    <w:rsid w:val="00F73987"/>
    <w:rsid w:val="00F759B7"/>
    <w:rsid w:val="00F75DFC"/>
    <w:rsid w:val="00F7694A"/>
    <w:rsid w:val="00F774F1"/>
    <w:rsid w:val="00F80721"/>
    <w:rsid w:val="00F80CD3"/>
    <w:rsid w:val="00F80FDF"/>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6A0"/>
    <w:rsid w:val="00FA2D8D"/>
    <w:rsid w:val="00FA3B4C"/>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2A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 w:type="paragraph" w:styleId="FootnoteText">
    <w:name w:val="footnote text"/>
    <w:basedOn w:val="Normal"/>
    <w:link w:val="FootnoteTextChar"/>
    <w:uiPriority w:val="99"/>
    <w:semiHidden/>
    <w:unhideWhenUsed/>
    <w:rsid w:val="00116708"/>
    <w:rPr>
      <w:rFonts w:ascii="Verdana" w:eastAsia="Calibri" w:hAnsi="Verdana"/>
      <w:sz w:val="20"/>
      <w:szCs w:val="20"/>
      <w:lang w:val="en-GB" w:eastAsia="en-US"/>
    </w:rPr>
  </w:style>
  <w:style w:type="character" w:customStyle="1" w:styleId="FootnoteTextChar">
    <w:name w:val="Footnote Text Char"/>
    <w:basedOn w:val="DefaultParagraphFont"/>
    <w:link w:val="FootnoteText"/>
    <w:uiPriority w:val="99"/>
    <w:semiHidden/>
    <w:rsid w:val="00116708"/>
    <w:rPr>
      <w:rFonts w:ascii="Verdana" w:eastAsia="Calibri" w:hAnsi="Verdana"/>
      <w:lang w:val="en-GB" w:eastAsia="en-US"/>
    </w:rPr>
  </w:style>
  <w:style w:type="character" w:styleId="FootnoteReference">
    <w:name w:val="footnote reference"/>
    <w:basedOn w:val="DefaultParagraphFont"/>
    <w:uiPriority w:val="99"/>
    <w:semiHidden/>
    <w:unhideWhenUsed/>
    <w:rsid w:val="0011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48">
      <w:bodyDiv w:val="1"/>
      <w:marLeft w:val="0"/>
      <w:marRight w:val="0"/>
      <w:marTop w:val="0"/>
      <w:marBottom w:val="0"/>
      <w:divBdr>
        <w:top w:val="none" w:sz="0" w:space="0" w:color="auto"/>
        <w:left w:val="none" w:sz="0" w:space="0" w:color="auto"/>
        <w:bottom w:val="none" w:sz="0" w:space="0" w:color="auto"/>
        <w:right w:val="none" w:sz="0" w:space="0" w:color="auto"/>
      </w:divBdr>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510824">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46005193">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597636212">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53264467">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789932515">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880356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19953788">
      <w:bodyDiv w:val="1"/>
      <w:marLeft w:val="0"/>
      <w:marRight w:val="0"/>
      <w:marTop w:val="0"/>
      <w:marBottom w:val="0"/>
      <w:divBdr>
        <w:top w:val="none" w:sz="0" w:space="0" w:color="auto"/>
        <w:left w:val="none" w:sz="0" w:space="0" w:color="auto"/>
        <w:bottom w:val="none" w:sz="0" w:space="0" w:color="auto"/>
        <w:right w:val="none" w:sz="0" w:space="0" w:color="auto"/>
      </w:divBdr>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15583223">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352494586">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50585419">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48944065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3907710">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1982419735">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government.bg/uploads/2020/12/&#1055;&#1088;&#1080;&#1083;&#1086;&#1078;&#1077;&#1085;&#1080;&#1077;_5_-&#1050;&#1048;&#10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DCA3-3A27-4DE1-8006-E2EEF676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4787</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32556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2024-09-03T06:11:00Z</dcterms:created>
  <dcterms:modified xsi:type="dcterms:W3CDTF">2024-09-05T09:46:00Z</dcterms:modified>
</cp:coreProperties>
</file>