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AFE" w:rsidRPr="007D0AFE" w:rsidRDefault="007D0AFE" w:rsidP="000B6AE5">
      <w:pPr>
        <w:widowControl w:val="0"/>
        <w:autoSpaceDE w:val="0"/>
        <w:autoSpaceDN w:val="0"/>
        <w:adjustRightInd w:val="0"/>
        <w:ind w:left="283"/>
        <w:rPr>
          <w:rFonts w:ascii="Verdana" w:hAnsi="Verdana" w:cs="Verdana"/>
          <w:bCs/>
          <w:smallCaps/>
          <w:sz w:val="18"/>
          <w:szCs w:val="18"/>
        </w:rPr>
      </w:pPr>
    </w:p>
    <w:p w:rsidR="007D0AFE" w:rsidRPr="007D0AFE" w:rsidRDefault="007D0AFE" w:rsidP="000B6AE5">
      <w:pPr>
        <w:widowControl w:val="0"/>
        <w:autoSpaceDE w:val="0"/>
        <w:autoSpaceDN w:val="0"/>
        <w:adjustRightInd w:val="0"/>
        <w:ind w:left="283"/>
        <w:rPr>
          <w:rFonts w:ascii="Verdana" w:hAnsi="Verdana" w:cs="Verdana"/>
          <w:bCs/>
          <w:smallCaps/>
          <w:sz w:val="18"/>
          <w:szCs w:val="18"/>
        </w:rPr>
      </w:pPr>
    </w:p>
    <w:p w:rsidR="009F14AB" w:rsidRDefault="009F14AB" w:rsidP="009F14AB">
      <w:pPr>
        <w:rPr>
          <w:rFonts w:ascii="Verdana" w:hAnsi="Verdana"/>
          <w:sz w:val="20"/>
          <w:szCs w:val="20"/>
        </w:rPr>
      </w:pPr>
    </w:p>
    <w:p w:rsidR="005D2DF0" w:rsidRDefault="005D2DF0" w:rsidP="009F14AB">
      <w:pPr>
        <w:rPr>
          <w:rFonts w:ascii="Verdana" w:hAnsi="Verdana"/>
          <w:sz w:val="20"/>
          <w:szCs w:val="20"/>
        </w:rPr>
      </w:pPr>
    </w:p>
    <w:p w:rsidR="005D2DF0" w:rsidRDefault="005D2DF0" w:rsidP="009F14AB">
      <w:pPr>
        <w:rPr>
          <w:rFonts w:ascii="Verdana" w:hAnsi="Verdana"/>
          <w:sz w:val="20"/>
          <w:szCs w:val="20"/>
        </w:rPr>
      </w:pPr>
    </w:p>
    <w:p w:rsidR="007D0AFE" w:rsidRPr="007D0AFE" w:rsidRDefault="007D0AFE" w:rsidP="007D0AFE">
      <w:pPr>
        <w:rPr>
          <w:rFonts w:ascii="Verdana" w:hAnsi="Verdana"/>
          <w:sz w:val="20"/>
          <w:szCs w:val="20"/>
        </w:rPr>
      </w:pPr>
    </w:p>
    <w:tbl>
      <w:tblPr>
        <w:tblW w:w="15650" w:type="dxa"/>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650"/>
      </w:tblGrid>
      <w:tr w:rsidR="007D0AFE" w:rsidRPr="007D0AFE" w:rsidTr="007D0AFE">
        <w:trPr>
          <w:trHeight w:val="958"/>
        </w:trPr>
        <w:tc>
          <w:tcPr>
            <w:tcW w:w="15650" w:type="dxa"/>
            <w:shd w:val="clear" w:color="auto" w:fill="BDD6EE"/>
          </w:tcPr>
          <w:p w:rsidR="007D0AFE" w:rsidRPr="007D0AFE" w:rsidRDefault="007D0AFE" w:rsidP="00632D68">
            <w:pPr>
              <w:tabs>
                <w:tab w:val="left" w:pos="2190"/>
              </w:tabs>
              <w:spacing w:before="120" w:after="120" w:line="360" w:lineRule="auto"/>
              <w:ind w:left="283" w:right="283"/>
              <w:jc w:val="center"/>
              <w:rPr>
                <w:rFonts w:ascii="Verdana" w:hAnsi="Verdana"/>
                <w:b/>
                <w:sz w:val="20"/>
                <w:szCs w:val="20"/>
              </w:rPr>
            </w:pPr>
            <w:r w:rsidRPr="007D0AFE">
              <w:rPr>
                <w:rFonts w:ascii="Verdana" w:hAnsi="Verdana"/>
                <w:b/>
                <w:spacing w:val="70"/>
              </w:rPr>
              <w:t>СПРАВКА</w:t>
            </w:r>
            <w:r>
              <w:rPr>
                <w:rFonts w:ascii="Verdana" w:hAnsi="Verdana"/>
                <w:b/>
                <w:spacing w:val="70"/>
              </w:rPr>
              <w:br/>
            </w:r>
            <w:r w:rsidRPr="007D0AFE">
              <w:rPr>
                <w:rFonts w:ascii="Verdana" w:hAnsi="Verdana"/>
                <w:b/>
                <w:sz w:val="20"/>
                <w:szCs w:val="20"/>
              </w:rPr>
              <w:t xml:space="preserve">ЗА ОТРАЗЯВАНЕ НА ПОСТЪПИЛИТЕ ПРЕДЛОЖЕНИЯ И СТАНОВИЩА ОТ ОБЩЕСТВЕНИТЕ КОНСУЛТАЦИИ ПО ПРОЕКТА НА </w:t>
            </w:r>
            <w:r w:rsidR="00103860" w:rsidRPr="00103860">
              <w:rPr>
                <w:rFonts w:ascii="Verdana" w:hAnsi="Verdana"/>
                <w:b/>
                <w:sz w:val="20"/>
                <w:szCs w:val="20"/>
              </w:rPr>
              <w:t>НАРЕДБА ЗА ИЗМЕНЕНИЕ И ДОПЪЛНЕНИЕ НА НАРЕДБА № 14 ОТ 2023 Г. ЗА УСЛОВИЯТА И РЕДА ЗА ПРЕДОСТАВЯНЕ НА ФИНАНСОВА ПОМОЩ ПО ИНТЕРВЕНЦИИТЕ В ЛОЗАРО-ВИНАРСКИЯ СЕКТОР, ВКЛЮЧЕНИ В СТРАТЕГИЧЕСКИЯ ПЛАН ЗА РАЗВИТИЕ НА ЗЕМЕДЕЛИЕТО И СЕЛСКИТЕ РАЙОНИ ЗА ПЕРИОДА 2023 – 2027 ГОДИНА</w:t>
            </w:r>
          </w:p>
        </w:tc>
      </w:tr>
    </w:tbl>
    <w:p w:rsidR="007D0AFE" w:rsidRPr="0068327D" w:rsidRDefault="007D0AFE" w:rsidP="0068327D">
      <w:pPr>
        <w:rPr>
          <w:rFonts w:ascii="Verdana" w:hAnsi="Verdana"/>
          <w:sz w:val="20"/>
          <w:szCs w:val="20"/>
        </w:rPr>
      </w:pPr>
    </w:p>
    <w:tbl>
      <w:tblPr>
        <w:tblW w:w="15650" w:type="dxa"/>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624"/>
        <w:gridCol w:w="3243"/>
        <w:gridCol w:w="5347"/>
        <w:gridCol w:w="1650"/>
        <w:gridCol w:w="4786"/>
      </w:tblGrid>
      <w:tr w:rsidR="007D0AFE" w:rsidRPr="00834EA9" w:rsidTr="00632D68">
        <w:trPr>
          <w:tblHeader/>
        </w:trPr>
        <w:tc>
          <w:tcPr>
            <w:tcW w:w="622" w:type="dxa"/>
            <w:tcBorders>
              <w:top w:val="single" w:sz="24" w:space="0" w:color="2E74B5"/>
              <w:left w:val="single" w:sz="24" w:space="0" w:color="2E74B5"/>
              <w:bottom w:val="single" w:sz="24" w:space="0" w:color="2E74B5"/>
              <w:right w:val="single" w:sz="12" w:space="0" w:color="2E74B5"/>
            </w:tcBorders>
            <w:shd w:val="clear" w:color="auto" w:fill="DEEAF6"/>
            <w:vAlign w:val="center"/>
          </w:tcPr>
          <w:p w:rsidR="007D0AFE" w:rsidRPr="00834EA9" w:rsidRDefault="007D0AFE" w:rsidP="004F669B">
            <w:pPr>
              <w:tabs>
                <w:tab w:val="left" w:pos="192"/>
              </w:tabs>
              <w:jc w:val="center"/>
              <w:rPr>
                <w:rFonts w:ascii="Verdana" w:hAnsi="Verdana"/>
                <w:b/>
                <w:sz w:val="20"/>
                <w:szCs w:val="20"/>
              </w:rPr>
            </w:pPr>
            <w:r w:rsidRPr="00834EA9">
              <w:rPr>
                <w:rFonts w:ascii="Verdana" w:hAnsi="Verdana"/>
                <w:b/>
                <w:sz w:val="20"/>
                <w:szCs w:val="20"/>
              </w:rPr>
              <w:t>№</w:t>
            </w:r>
          </w:p>
        </w:tc>
        <w:tc>
          <w:tcPr>
            <w:tcW w:w="3232" w:type="dxa"/>
            <w:tcBorders>
              <w:top w:val="single" w:sz="24" w:space="0" w:color="2E74B5"/>
              <w:left w:val="single" w:sz="12" w:space="0" w:color="2E74B5"/>
              <w:bottom w:val="single" w:sz="24" w:space="0" w:color="2E74B5"/>
              <w:right w:val="single" w:sz="12" w:space="0" w:color="2E74B5"/>
            </w:tcBorders>
            <w:shd w:val="clear" w:color="auto" w:fill="DEEAF6"/>
            <w:vAlign w:val="center"/>
          </w:tcPr>
          <w:p w:rsidR="007D0AFE" w:rsidRPr="00834EA9" w:rsidRDefault="007D0AFE" w:rsidP="004F669B">
            <w:pPr>
              <w:spacing w:before="60"/>
              <w:jc w:val="center"/>
              <w:rPr>
                <w:rFonts w:ascii="Verdana" w:hAnsi="Verdana"/>
                <w:b/>
                <w:sz w:val="20"/>
                <w:szCs w:val="20"/>
              </w:rPr>
            </w:pPr>
            <w:r w:rsidRPr="00834EA9">
              <w:rPr>
                <w:rFonts w:ascii="Verdana" w:hAnsi="Verdana"/>
                <w:b/>
                <w:sz w:val="20"/>
                <w:szCs w:val="20"/>
              </w:rPr>
              <w:t>Организация/потребител</w:t>
            </w:r>
          </w:p>
          <w:p w:rsidR="007D0AFE" w:rsidRPr="00632D68" w:rsidRDefault="007D0AFE" w:rsidP="004F669B">
            <w:pPr>
              <w:spacing w:after="40"/>
              <w:jc w:val="center"/>
              <w:rPr>
                <w:rFonts w:ascii="Verdana" w:hAnsi="Verdana"/>
                <w:b/>
                <w:sz w:val="14"/>
                <w:szCs w:val="14"/>
              </w:rPr>
            </w:pPr>
            <w:r w:rsidRPr="00632D68">
              <w:rPr>
                <w:rFonts w:ascii="Verdana" w:hAnsi="Verdana"/>
                <w:b/>
                <w:sz w:val="14"/>
                <w:szCs w:val="14"/>
              </w:rPr>
              <w:t>(вкл. начина на получаване на предложението)</w:t>
            </w:r>
          </w:p>
        </w:tc>
        <w:tc>
          <w:tcPr>
            <w:tcW w:w="5329" w:type="dxa"/>
            <w:tcBorders>
              <w:top w:val="single" w:sz="24" w:space="0" w:color="2E74B5"/>
              <w:left w:val="single" w:sz="12" w:space="0" w:color="2E74B5"/>
              <w:bottom w:val="single" w:sz="24" w:space="0" w:color="2E74B5"/>
              <w:right w:val="single" w:sz="12" w:space="0" w:color="2E74B5"/>
            </w:tcBorders>
            <w:shd w:val="clear" w:color="auto" w:fill="DEEAF6"/>
            <w:vAlign w:val="center"/>
          </w:tcPr>
          <w:p w:rsidR="007D0AFE" w:rsidRPr="00834EA9" w:rsidRDefault="007D0AFE" w:rsidP="004F669B">
            <w:pPr>
              <w:jc w:val="center"/>
              <w:rPr>
                <w:rFonts w:ascii="Verdana" w:hAnsi="Verdana"/>
                <w:b/>
                <w:sz w:val="20"/>
                <w:szCs w:val="20"/>
              </w:rPr>
            </w:pPr>
            <w:r w:rsidRPr="00834EA9">
              <w:rPr>
                <w:rFonts w:ascii="Verdana" w:hAnsi="Verdana"/>
                <w:b/>
                <w:sz w:val="20"/>
                <w:szCs w:val="20"/>
              </w:rPr>
              <w:t>Предложения и становища</w:t>
            </w:r>
          </w:p>
        </w:tc>
        <w:tc>
          <w:tcPr>
            <w:tcW w:w="1644" w:type="dxa"/>
            <w:tcBorders>
              <w:top w:val="single" w:sz="24" w:space="0" w:color="2E74B5"/>
              <w:left w:val="single" w:sz="12" w:space="0" w:color="2E74B5"/>
              <w:bottom w:val="single" w:sz="24" w:space="0" w:color="2E74B5"/>
              <w:right w:val="single" w:sz="12" w:space="0" w:color="2E74B5"/>
            </w:tcBorders>
            <w:shd w:val="clear" w:color="auto" w:fill="DEEAF6"/>
            <w:vAlign w:val="center"/>
          </w:tcPr>
          <w:p w:rsidR="007D0AFE" w:rsidRPr="00834EA9" w:rsidRDefault="007D0AFE" w:rsidP="004F669B">
            <w:pPr>
              <w:jc w:val="center"/>
              <w:rPr>
                <w:rFonts w:ascii="Verdana" w:hAnsi="Verdana"/>
                <w:b/>
                <w:sz w:val="20"/>
                <w:szCs w:val="20"/>
              </w:rPr>
            </w:pPr>
            <w:r w:rsidRPr="00834EA9">
              <w:rPr>
                <w:rFonts w:ascii="Verdana" w:hAnsi="Verdana"/>
                <w:b/>
                <w:sz w:val="20"/>
                <w:szCs w:val="20"/>
              </w:rPr>
              <w:t>Приети/</w:t>
            </w:r>
          </w:p>
          <w:p w:rsidR="007D0AFE" w:rsidRPr="00834EA9" w:rsidRDefault="007D0AFE" w:rsidP="004F669B">
            <w:pPr>
              <w:jc w:val="center"/>
              <w:rPr>
                <w:rFonts w:ascii="Verdana" w:hAnsi="Verdana"/>
                <w:b/>
                <w:sz w:val="20"/>
                <w:szCs w:val="20"/>
              </w:rPr>
            </w:pPr>
            <w:r w:rsidRPr="00834EA9">
              <w:rPr>
                <w:rFonts w:ascii="Verdana" w:hAnsi="Verdana"/>
                <w:b/>
                <w:sz w:val="20"/>
                <w:szCs w:val="20"/>
              </w:rPr>
              <w:t>неприети</w:t>
            </w:r>
          </w:p>
        </w:tc>
        <w:tc>
          <w:tcPr>
            <w:tcW w:w="4769" w:type="dxa"/>
            <w:tcBorders>
              <w:top w:val="single" w:sz="24" w:space="0" w:color="2E74B5"/>
              <w:left w:val="single" w:sz="12" w:space="0" w:color="2E74B5"/>
              <w:bottom w:val="single" w:sz="24" w:space="0" w:color="2E74B5"/>
              <w:right w:val="single" w:sz="24" w:space="0" w:color="2E74B5"/>
            </w:tcBorders>
            <w:shd w:val="clear" w:color="auto" w:fill="DEEAF6"/>
            <w:vAlign w:val="center"/>
          </w:tcPr>
          <w:p w:rsidR="007D0AFE" w:rsidRPr="00834EA9" w:rsidRDefault="007D0AFE" w:rsidP="004F669B">
            <w:pPr>
              <w:jc w:val="center"/>
              <w:rPr>
                <w:rFonts w:ascii="Verdana" w:hAnsi="Verdana"/>
                <w:sz w:val="20"/>
                <w:szCs w:val="20"/>
              </w:rPr>
            </w:pPr>
            <w:r w:rsidRPr="00834EA9">
              <w:rPr>
                <w:rFonts w:ascii="Verdana" w:hAnsi="Verdana"/>
                <w:b/>
                <w:sz w:val="20"/>
                <w:szCs w:val="20"/>
              </w:rPr>
              <w:t>Мотиви</w:t>
            </w:r>
          </w:p>
        </w:tc>
      </w:tr>
      <w:tr w:rsidR="007D0AFE" w:rsidRPr="00834EA9" w:rsidTr="00632D68">
        <w:trPr>
          <w:trHeight w:val="459"/>
        </w:trPr>
        <w:tc>
          <w:tcPr>
            <w:tcW w:w="622" w:type="dxa"/>
            <w:vMerge w:val="restart"/>
            <w:tcBorders>
              <w:top w:val="single" w:sz="24" w:space="0" w:color="2E74B5"/>
              <w:left w:val="single" w:sz="24" w:space="0" w:color="2E74B5"/>
              <w:bottom w:val="single" w:sz="18" w:space="0" w:color="2E74B5"/>
              <w:right w:val="single" w:sz="12" w:space="0" w:color="2E74B5"/>
            </w:tcBorders>
            <w:shd w:val="clear" w:color="auto" w:fill="auto"/>
          </w:tcPr>
          <w:p w:rsidR="007D0AFE" w:rsidRPr="00834EA9" w:rsidRDefault="007D0AFE" w:rsidP="004F669B">
            <w:pPr>
              <w:pStyle w:val="ListParagraph"/>
              <w:numPr>
                <w:ilvl w:val="0"/>
                <w:numId w:val="6"/>
              </w:numPr>
              <w:tabs>
                <w:tab w:val="left" w:pos="192"/>
              </w:tabs>
              <w:jc w:val="center"/>
              <w:rPr>
                <w:rFonts w:ascii="Verdana" w:hAnsi="Verdana"/>
                <w:b/>
                <w:sz w:val="20"/>
                <w:szCs w:val="20"/>
              </w:rPr>
            </w:pPr>
          </w:p>
        </w:tc>
        <w:tc>
          <w:tcPr>
            <w:tcW w:w="3232" w:type="dxa"/>
            <w:vMerge w:val="restart"/>
            <w:tcBorders>
              <w:top w:val="single" w:sz="24" w:space="0" w:color="2E74B5"/>
              <w:left w:val="single" w:sz="12" w:space="0" w:color="2E74B5"/>
              <w:bottom w:val="single" w:sz="18" w:space="0" w:color="2E74B5"/>
              <w:right w:val="single" w:sz="18" w:space="0" w:color="2E74B5"/>
            </w:tcBorders>
            <w:shd w:val="clear" w:color="auto" w:fill="auto"/>
          </w:tcPr>
          <w:p w:rsidR="00C25E26" w:rsidRPr="00834EA9" w:rsidRDefault="00C25E26" w:rsidP="007B1C70">
            <w:pPr>
              <w:rPr>
                <w:rFonts w:ascii="Verdana" w:hAnsi="Verdana"/>
                <w:sz w:val="20"/>
                <w:szCs w:val="20"/>
              </w:rPr>
            </w:pPr>
            <w:r w:rsidRPr="00834EA9">
              <w:rPr>
                <w:rFonts w:ascii="Verdana" w:hAnsi="Verdana"/>
                <w:sz w:val="20"/>
                <w:szCs w:val="20"/>
              </w:rPr>
              <w:t>Българска асоциация биопродукти</w:t>
            </w:r>
          </w:p>
          <w:p w:rsidR="007D0AFE" w:rsidRPr="00834EA9" w:rsidRDefault="00C25E26" w:rsidP="00632D68">
            <w:pPr>
              <w:rPr>
                <w:rFonts w:ascii="Verdana" w:hAnsi="Verdana"/>
                <w:b/>
                <w:sz w:val="20"/>
                <w:szCs w:val="20"/>
              </w:rPr>
            </w:pPr>
            <w:r w:rsidRPr="00834EA9">
              <w:rPr>
                <w:rFonts w:ascii="Verdana" w:hAnsi="Verdana"/>
                <w:sz w:val="20"/>
                <w:szCs w:val="20"/>
              </w:rPr>
              <w:t xml:space="preserve">регистрирано в МЗХ с </w:t>
            </w:r>
            <w:r w:rsidR="00632D68">
              <w:rPr>
                <w:rFonts w:ascii="Verdana" w:hAnsi="Verdana"/>
                <w:sz w:val="20"/>
                <w:szCs w:val="20"/>
              </w:rPr>
              <w:br/>
              <w:t xml:space="preserve">№ </w:t>
            </w:r>
            <w:r w:rsidRPr="00834EA9">
              <w:rPr>
                <w:rFonts w:ascii="Verdana" w:hAnsi="Verdana"/>
                <w:sz w:val="20"/>
                <w:szCs w:val="20"/>
              </w:rPr>
              <w:t>15-353 от 17.07.2024 г.</w:t>
            </w:r>
          </w:p>
        </w:tc>
        <w:tc>
          <w:tcPr>
            <w:tcW w:w="5329" w:type="dxa"/>
            <w:tcBorders>
              <w:top w:val="single" w:sz="24" w:space="0" w:color="2E74B5"/>
              <w:left w:val="single" w:sz="18" w:space="0" w:color="2E74B5"/>
              <w:bottom w:val="nil"/>
              <w:right w:val="single" w:sz="12" w:space="0" w:color="2E74B5"/>
            </w:tcBorders>
            <w:shd w:val="clear" w:color="auto" w:fill="auto"/>
          </w:tcPr>
          <w:p w:rsidR="007D0AFE" w:rsidRPr="00834EA9" w:rsidRDefault="00C25E26" w:rsidP="00C25E26">
            <w:pPr>
              <w:jc w:val="both"/>
              <w:rPr>
                <w:rFonts w:ascii="Verdana" w:hAnsi="Verdana"/>
                <w:sz w:val="20"/>
                <w:szCs w:val="20"/>
              </w:rPr>
            </w:pPr>
            <w:r w:rsidRPr="00834EA9">
              <w:rPr>
                <w:rFonts w:ascii="Verdana" w:hAnsi="Verdana"/>
                <w:sz w:val="20"/>
                <w:szCs w:val="20"/>
              </w:rPr>
              <w:t>1. Подкрепяме текстовете, предложени е проекта.</w:t>
            </w:r>
          </w:p>
        </w:tc>
        <w:tc>
          <w:tcPr>
            <w:tcW w:w="1644" w:type="dxa"/>
            <w:tcBorders>
              <w:top w:val="single" w:sz="24" w:space="0" w:color="2E74B5"/>
              <w:left w:val="single" w:sz="12" w:space="0" w:color="2E74B5"/>
              <w:bottom w:val="nil"/>
              <w:right w:val="single" w:sz="12" w:space="0" w:color="2E74B5"/>
            </w:tcBorders>
            <w:shd w:val="clear" w:color="auto" w:fill="auto"/>
          </w:tcPr>
          <w:p w:rsidR="007D0AFE" w:rsidRPr="00834EA9" w:rsidRDefault="007D0AFE" w:rsidP="004F669B">
            <w:pPr>
              <w:rPr>
                <w:rFonts w:ascii="Verdana" w:hAnsi="Verdana"/>
                <w:sz w:val="20"/>
                <w:szCs w:val="20"/>
              </w:rPr>
            </w:pPr>
          </w:p>
        </w:tc>
        <w:tc>
          <w:tcPr>
            <w:tcW w:w="4769" w:type="dxa"/>
            <w:tcBorders>
              <w:top w:val="single" w:sz="24" w:space="0" w:color="2E74B5"/>
              <w:left w:val="single" w:sz="12" w:space="0" w:color="2E74B5"/>
              <w:bottom w:val="nil"/>
              <w:right w:val="single" w:sz="24" w:space="0" w:color="2E74B5"/>
            </w:tcBorders>
            <w:shd w:val="clear" w:color="auto" w:fill="auto"/>
          </w:tcPr>
          <w:p w:rsidR="007D0AFE" w:rsidRPr="00834EA9" w:rsidRDefault="007D0AFE" w:rsidP="004F669B">
            <w:pPr>
              <w:rPr>
                <w:rFonts w:ascii="Verdana" w:hAnsi="Verdana"/>
                <w:sz w:val="20"/>
                <w:szCs w:val="20"/>
              </w:rPr>
            </w:pPr>
          </w:p>
        </w:tc>
      </w:tr>
      <w:tr w:rsidR="007B1C70" w:rsidRPr="00834EA9" w:rsidTr="00632D68">
        <w:trPr>
          <w:trHeight w:val="596"/>
        </w:trPr>
        <w:tc>
          <w:tcPr>
            <w:tcW w:w="622" w:type="dxa"/>
            <w:vMerge/>
            <w:tcBorders>
              <w:top w:val="single" w:sz="12" w:space="0" w:color="2E74B5"/>
              <w:left w:val="single" w:sz="24" w:space="0" w:color="2E74B5"/>
              <w:bottom w:val="single" w:sz="18" w:space="0" w:color="2E74B5"/>
              <w:right w:val="single" w:sz="12" w:space="0" w:color="2E74B5"/>
            </w:tcBorders>
            <w:shd w:val="clear" w:color="auto" w:fill="auto"/>
          </w:tcPr>
          <w:p w:rsidR="007B1C70" w:rsidRPr="00834EA9" w:rsidRDefault="007B1C70" w:rsidP="007B1C70">
            <w:pPr>
              <w:numPr>
                <w:ilvl w:val="0"/>
                <w:numId w:val="5"/>
              </w:numPr>
              <w:tabs>
                <w:tab w:val="left" w:pos="192"/>
              </w:tabs>
              <w:ind w:left="0" w:firstLine="0"/>
              <w:jc w:val="center"/>
              <w:rPr>
                <w:rFonts w:ascii="Verdana" w:hAnsi="Verdana"/>
                <w:b/>
                <w:sz w:val="20"/>
                <w:szCs w:val="20"/>
              </w:rPr>
            </w:pPr>
          </w:p>
        </w:tc>
        <w:tc>
          <w:tcPr>
            <w:tcW w:w="3232" w:type="dxa"/>
            <w:vMerge/>
            <w:tcBorders>
              <w:top w:val="single" w:sz="12" w:space="0" w:color="2E74B5"/>
              <w:left w:val="single" w:sz="12" w:space="0" w:color="2E74B5"/>
              <w:bottom w:val="single" w:sz="18" w:space="0" w:color="2E74B5"/>
              <w:right w:val="single" w:sz="18" w:space="0" w:color="2E74B5"/>
            </w:tcBorders>
            <w:shd w:val="clear" w:color="auto" w:fill="auto"/>
          </w:tcPr>
          <w:p w:rsidR="007B1C70" w:rsidRPr="00834EA9" w:rsidRDefault="007B1C70" w:rsidP="007B1C70">
            <w:pPr>
              <w:rPr>
                <w:rFonts w:ascii="Verdana" w:hAnsi="Verdana"/>
                <w:b/>
                <w:sz w:val="20"/>
                <w:szCs w:val="20"/>
              </w:rPr>
            </w:pPr>
          </w:p>
        </w:tc>
        <w:tc>
          <w:tcPr>
            <w:tcW w:w="5329" w:type="dxa"/>
            <w:tcBorders>
              <w:top w:val="nil"/>
              <w:left w:val="single" w:sz="18" w:space="0" w:color="2E74B5"/>
              <w:bottom w:val="single" w:sz="18" w:space="0" w:color="2E74B5"/>
              <w:right w:val="single" w:sz="12" w:space="0" w:color="2E74B5"/>
            </w:tcBorders>
            <w:shd w:val="clear" w:color="auto" w:fill="auto"/>
          </w:tcPr>
          <w:p w:rsidR="007B1C70" w:rsidRPr="00834EA9" w:rsidRDefault="007B1C70" w:rsidP="007B1C70">
            <w:pPr>
              <w:jc w:val="both"/>
              <w:rPr>
                <w:rFonts w:ascii="Verdana" w:hAnsi="Verdana"/>
                <w:sz w:val="20"/>
                <w:szCs w:val="20"/>
              </w:rPr>
            </w:pPr>
            <w:r w:rsidRPr="00834EA9">
              <w:rPr>
                <w:rFonts w:ascii="Verdana" w:hAnsi="Verdana"/>
                <w:sz w:val="20"/>
                <w:szCs w:val="20"/>
              </w:rPr>
              <w:t>2. Внасяме конкретно предложение за изменение на текста в чл. 8.(1), т. 12, като предлагаме да придобие следния вид:</w:t>
            </w:r>
          </w:p>
          <w:p w:rsidR="007B1C70" w:rsidRPr="00834EA9" w:rsidRDefault="007B1C70" w:rsidP="007B1C70">
            <w:pPr>
              <w:jc w:val="both"/>
              <w:rPr>
                <w:rFonts w:ascii="Verdana" w:hAnsi="Verdana"/>
                <w:sz w:val="20"/>
                <w:szCs w:val="20"/>
              </w:rPr>
            </w:pPr>
            <w:r w:rsidRPr="00834EA9">
              <w:rPr>
                <w:rFonts w:ascii="Verdana" w:hAnsi="Verdana"/>
                <w:sz w:val="20"/>
                <w:szCs w:val="20"/>
              </w:rPr>
              <w:t>- т. 12. По чл. 7, ал. 1, т. 1 и 2 за лозя, в размер до 100 дка, създадени по програми на ЕС преди по-малко от 5 години, следващи годината на засаждането им. За разликата над 100 дка срокът е 10 години;</w:t>
            </w:r>
          </w:p>
          <w:p w:rsidR="00E74070" w:rsidRDefault="007B1C70" w:rsidP="007B1C70">
            <w:pPr>
              <w:jc w:val="both"/>
              <w:rPr>
                <w:rFonts w:ascii="Verdana" w:hAnsi="Verdana"/>
                <w:sz w:val="20"/>
                <w:szCs w:val="20"/>
              </w:rPr>
            </w:pPr>
            <w:r w:rsidRPr="00834EA9">
              <w:rPr>
                <w:rFonts w:ascii="Verdana" w:hAnsi="Verdana"/>
                <w:sz w:val="20"/>
                <w:szCs w:val="20"/>
              </w:rPr>
              <w:t>- вместо досегашния текст - т. 12. - По чл. 7, ал. 1, т. 1 и 2 за лозя, създадени по програми на ЕС преди по-малко от 10 години, следващи годината на засаждането им;</w:t>
            </w:r>
          </w:p>
          <w:p w:rsidR="007B1C70" w:rsidRPr="00834EA9" w:rsidRDefault="007B1C70" w:rsidP="007B1C70">
            <w:pPr>
              <w:jc w:val="both"/>
              <w:rPr>
                <w:rFonts w:ascii="Verdana" w:hAnsi="Verdana"/>
                <w:sz w:val="20"/>
                <w:szCs w:val="20"/>
              </w:rPr>
            </w:pPr>
            <w:r w:rsidRPr="00834EA9">
              <w:rPr>
                <w:rFonts w:ascii="Verdana" w:hAnsi="Verdana"/>
                <w:sz w:val="20"/>
                <w:szCs w:val="20"/>
              </w:rPr>
              <w:t xml:space="preserve">Мотивите за това наше предложение са следните: </w:t>
            </w:r>
          </w:p>
          <w:p w:rsidR="007B1C70" w:rsidRPr="00834EA9" w:rsidRDefault="007B1C70" w:rsidP="007B1C70">
            <w:pPr>
              <w:jc w:val="both"/>
              <w:rPr>
                <w:rFonts w:ascii="Verdana" w:hAnsi="Verdana"/>
                <w:sz w:val="20"/>
                <w:szCs w:val="20"/>
              </w:rPr>
            </w:pPr>
            <w:r w:rsidRPr="00834EA9">
              <w:rPr>
                <w:rFonts w:ascii="Verdana" w:hAnsi="Verdana"/>
                <w:sz w:val="20"/>
                <w:szCs w:val="20"/>
              </w:rPr>
              <w:t xml:space="preserve">1. При обявяване на настоящия прием при нас достигнаха доста сигнали от членове на Българска асоциация Биопродукти, засаждали лозя по програми на ЕС преди по-малко от 10 години, но голяма част от насажденията им са изгубени, поради лоши климатични условия. По </w:t>
            </w:r>
            <w:r w:rsidRPr="00834EA9">
              <w:rPr>
                <w:rFonts w:ascii="Verdana" w:hAnsi="Verdana"/>
                <w:sz w:val="20"/>
                <w:szCs w:val="20"/>
              </w:rPr>
              <w:lastRenderedPageBreak/>
              <w:t>тази причина не могат да кандидатстват по сега обявения прием.</w:t>
            </w:r>
          </w:p>
        </w:tc>
        <w:tc>
          <w:tcPr>
            <w:tcW w:w="1644" w:type="dxa"/>
            <w:tcBorders>
              <w:top w:val="nil"/>
              <w:left w:val="single" w:sz="12" w:space="0" w:color="2E74B5"/>
              <w:bottom w:val="single" w:sz="18" w:space="0" w:color="2E74B5"/>
              <w:right w:val="single" w:sz="12" w:space="0" w:color="2E74B5"/>
            </w:tcBorders>
            <w:shd w:val="clear" w:color="auto" w:fill="auto"/>
          </w:tcPr>
          <w:p w:rsidR="007B1C70" w:rsidRPr="003B6DA8" w:rsidRDefault="007B1C70" w:rsidP="007B1C70">
            <w:pPr>
              <w:rPr>
                <w:rFonts w:ascii="Verdana" w:hAnsi="Verdana"/>
                <w:sz w:val="20"/>
                <w:szCs w:val="20"/>
              </w:rPr>
            </w:pPr>
            <w:r>
              <w:rPr>
                <w:rFonts w:ascii="Verdana" w:hAnsi="Verdana"/>
                <w:sz w:val="20"/>
                <w:szCs w:val="20"/>
              </w:rPr>
              <w:lastRenderedPageBreak/>
              <w:t>Приема се частично</w:t>
            </w:r>
          </w:p>
        </w:tc>
        <w:tc>
          <w:tcPr>
            <w:tcW w:w="4769" w:type="dxa"/>
            <w:tcBorders>
              <w:top w:val="nil"/>
              <w:left w:val="single" w:sz="12" w:space="0" w:color="2E74B5"/>
              <w:bottom w:val="single" w:sz="18" w:space="0" w:color="2E74B5"/>
              <w:right w:val="single" w:sz="24" w:space="0" w:color="2E74B5"/>
            </w:tcBorders>
            <w:shd w:val="clear" w:color="auto" w:fill="auto"/>
          </w:tcPr>
          <w:p w:rsidR="007B1C70" w:rsidRPr="00834EA9" w:rsidRDefault="007B1C70" w:rsidP="007B1C70">
            <w:pPr>
              <w:jc w:val="both"/>
              <w:rPr>
                <w:rFonts w:ascii="Verdana" w:hAnsi="Verdana"/>
                <w:sz w:val="20"/>
                <w:szCs w:val="20"/>
              </w:rPr>
            </w:pPr>
            <w:r>
              <w:rPr>
                <w:rFonts w:ascii="Verdana" w:hAnsi="Verdana"/>
                <w:sz w:val="20"/>
                <w:szCs w:val="20"/>
              </w:rPr>
              <w:t xml:space="preserve">Срокът от 10 години е намален на 5 години без ограничение на размера на площта. Проблемите пред </w:t>
            </w:r>
            <w:proofErr w:type="spellStart"/>
            <w:r>
              <w:rPr>
                <w:rFonts w:ascii="Verdana" w:hAnsi="Verdana"/>
                <w:sz w:val="20"/>
                <w:szCs w:val="20"/>
              </w:rPr>
              <w:t>гроздопроизводителите</w:t>
            </w:r>
            <w:proofErr w:type="spellEnd"/>
            <w:r>
              <w:rPr>
                <w:rFonts w:ascii="Verdana" w:hAnsi="Verdana"/>
                <w:sz w:val="20"/>
                <w:szCs w:val="20"/>
              </w:rPr>
              <w:t xml:space="preserve"> са идентични, независимо от площта на насаждението.</w:t>
            </w:r>
          </w:p>
        </w:tc>
      </w:tr>
      <w:tr w:rsidR="007B1C70" w:rsidRPr="00834EA9" w:rsidTr="00632D68">
        <w:trPr>
          <w:trHeight w:val="596"/>
        </w:trPr>
        <w:tc>
          <w:tcPr>
            <w:tcW w:w="622" w:type="dxa"/>
            <w:tcBorders>
              <w:top w:val="single" w:sz="18" w:space="0" w:color="2E74B5"/>
              <w:left w:val="single" w:sz="24" w:space="0" w:color="2E74B5"/>
              <w:bottom w:val="single" w:sz="18" w:space="0" w:color="2E74B5"/>
              <w:right w:val="single" w:sz="12" w:space="0" w:color="2E74B5"/>
            </w:tcBorders>
            <w:shd w:val="clear" w:color="auto" w:fill="auto"/>
          </w:tcPr>
          <w:p w:rsidR="007B1C70" w:rsidRPr="00834EA9" w:rsidRDefault="007B1C70" w:rsidP="007B1C70">
            <w:pPr>
              <w:pStyle w:val="ListParagraph"/>
              <w:numPr>
                <w:ilvl w:val="0"/>
                <w:numId w:val="6"/>
              </w:numPr>
              <w:tabs>
                <w:tab w:val="left" w:pos="192"/>
              </w:tabs>
              <w:jc w:val="center"/>
              <w:rPr>
                <w:rFonts w:ascii="Verdana" w:hAnsi="Verdana"/>
                <w:b/>
                <w:sz w:val="20"/>
                <w:szCs w:val="20"/>
              </w:rPr>
            </w:pPr>
          </w:p>
        </w:tc>
        <w:tc>
          <w:tcPr>
            <w:tcW w:w="3232" w:type="dxa"/>
            <w:tcBorders>
              <w:top w:val="single" w:sz="18" w:space="0" w:color="2E74B5"/>
              <w:left w:val="single" w:sz="12" w:space="0" w:color="2E74B5"/>
              <w:bottom w:val="single" w:sz="18" w:space="0" w:color="2E74B5"/>
              <w:right w:val="single" w:sz="18" w:space="0" w:color="2E74B5"/>
            </w:tcBorders>
            <w:shd w:val="clear" w:color="auto" w:fill="auto"/>
          </w:tcPr>
          <w:p w:rsidR="007B1C70" w:rsidRPr="00834EA9" w:rsidRDefault="007B1C70" w:rsidP="00632D68">
            <w:pPr>
              <w:rPr>
                <w:rFonts w:ascii="Verdana" w:hAnsi="Verdana"/>
                <w:b/>
                <w:sz w:val="20"/>
                <w:szCs w:val="20"/>
              </w:rPr>
            </w:pPr>
            <w:r w:rsidRPr="00834EA9">
              <w:rPr>
                <w:rFonts w:ascii="Verdana" w:hAnsi="Verdana"/>
                <w:sz w:val="20"/>
                <w:szCs w:val="20"/>
              </w:rPr>
              <w:t xml:space="preserve">Национална </w:t>
            </w:r>
            <w:proofErr w:type="spellStart"/>
            <w:r w:rsidRPr="00834EA9">
              <w:rPr>
                <w:rFonts w:ascii="Verdana" w:hAnsi="Verdana"/>
                <w:sz w:val="20"/>
                <w:szCs w:val="20"/>
              </w:rPr>
              <w:t>лозаро</w:t>
            </w:r>
            <w:proofErr w:type="spellEnd"/>
            <w:r w:rsidRPr="00834EA9">
              <w:rPr>
                <w:rFonts w:ascii="Verdana" w:hAnsi="Verdana"/>
                <w:sz w:val="20"/>
                <w:szCs w:val="20"/>
              </w:rPr>
              <w:t xml:space="preserve">-винарска камара регистрирано в МЗХ с </w:t>
            </w:r>
            <w:r w:rsidR="00632D68">
              <w:rPr>
                <w:rFonts w:ascii="Verdana" w:hAnsi="Verdana"/>
                <w:sz w:val="20"/>
                <w:szCs w:val="20"/>
              </w:rPr>
              <w:br/>
              <w:t xml:space="preserve">№ </w:t>
            </w:r>
            <w:r w:rsidRPr="00834EA9">
              <w:rPr>
                <w:rFonts w:ascii="Verdana" w:hAnsi="Verdana"/>
                <w:sz w:val="20"/>
                <w:szCs w:val="20"/>
              </w:rPr>
              <w:t>17-112 от 23.07.2024 г.</w:t>
            </w:r>
          </w:p>
        </w:tc>
        <w:tc>
          <w:tcPr>
            <w:tcW w:w="5329" w:type="dxa"/>
            <w:tcBorders>
              <w:top w:val="single" w:sz="18" w:space="0" w:color="2E74B5"/>
              <w:left w:val="single" w:sz="18" w:space="0" w:color="2E74B5"/>
              <w:bottom w:val="nil"/>
              <w:right w:val="single" w:sz="12" w:space="0" w:color="2E74B5"/>
            </w:tcBorders>
            <w:shd w:val="clear" w:color="auto" w:fill="auto"/>
          </w:tcPr>
          <w:p w:rsidR="007B1C70" w:rsidRDefault="007B1C70" w:rsidP="007B1C70">
            <w:pPr>
              <w:jc w:val="both"/>
              <w:rPr>
                <w:rFonts w:ascii="Verdana" w:hAnsi="Verdana"/>
                <w:sz w:val="20"/>
                <w:szCs w:val="20"/>
              </w:rPr>
            </w:pPr>
            <w:r w:rsidRPr="00834EA9">
              <w:rPr>
                <w:rFonts w:ascii="Verdana" w:hAnsi="Verdana"/>
                <w:sz w:val="20"/>
                <w:szCs w:val="20"/>
              </w:rPr>
              <w:t xml:space="preserve">От името на Националната лозаро-винарска камара (НЛВК), в качеството й на национална представителна, </w:t>
            </w:r>
            <w:proofErr w:type="spellStart"/>
            <w:r w:rsidRPr="00834EA9">
              <w:rPr>
                <w:rFonts w:ascii="Verdana" w:hAnsi="Verdana"/>
                <w:sz w:val="20"/>
                <w:szCs w:val="20"/>
              </w:rPr>
              <w:t>междупрофесионална</w:t>
            </w:r>
            <w:proofErr w:type="spellEnd"/>
            <w:r w:rsidRPr="00834EA9">
              <w:rPr>
                <w:rFonts w:ascii="Verdana" w:hAnsi="Verdana"/>
                <w:sz w:val="20"/>
                <w:szCs w:val="20"/>
              </w:rPr>
              <w:t xml:space="preserve"> организация в едноименния сектор, чийто статут е скрепен и дефиниран в чл. 5 - 8 от Закона за виното и спиртните напитки (ЗВСН), по повод на </w:t>
            </w:r>
            <w:proofErr w:type="spellStart"/>
            <w:r w:rsidRPr="00834EA9">
              <w:rPr>
                <w:rFonts w:ascii="Verdana" w:hAnsi="Verdana"/>
                <w:sz w:val="20"/>
                <w:szCs w:val="20"/>
              </w:rPr>
              <w:t>гореупоменатия</w:t>
            </w:r>
            <w:proofErr w:type="spellEnd"/>
            <w:r w:rsidRPr="00834EA9">
              <w:rPr>
                <w:rFonts w:ascii="Verdana" w:hAnsi="Verdana"/>
                <w:sz w:val="20"/>
                <w:szCs w:val="20"/>
              </w:rPr>
              <w:t xml:space="preserve"> проект на НИД на Наредба №14 изразяваме следното становище:</w:t>
            </w:r>
          </w:p>
          <w:p w:rsidR="007B1C70" w:rsidRPr="007B1C70" w:rsidRDefault="007B1C70" w:rsidP="007B1C70">
            <w:pPr>
              <w:jc w:val="both"/>
              <w:rPr>
                <w:rFonts w:ascii="Verdana" w:hAnsi="Verdana"/>
                <w:sz w:val="20"/>
                <w:szCs w:val="20"/>
              </w:rPr>
            </w:pPr>
            <w:r w:rsidRPr="007B1C70">
              <w:rPr>
                <w:rFonts w:ascii="Verdana" w:hAnsi="Verdana"/>
                <w:sz w:val="20"/>
                <w:szCs w:val="20"/>
              </w:rPr>
              <w:t xml:space="preserve">Принципно подкрепяме предложените изменения в Наредба №14, които до голяма степен отразяват въпроси, обсъждани в рамките на институционалния диалог между Министерството на земеделието и храните и браншовите организации в сектора. </w:t>
            </w:r>
          </w:p>
          <w:p w:rsidR="007B1C70" w:rsidRPr="007B1C70" w:rsidRDefault="007B1C70" w:rsidP="007B1C70">
            <w:pPr>
              <w:jc w:val="both"/>
              <w:rPr>
                <w:rFonts w:ascii="Verdana" w:hAnsi="Verdana"/>
                <w:sz w:val="20"/>
                <w:szCs w:val="20"/>
              </w:rPr>
            </w:pPr>
            <w:r w:rsidRPr="007B1C70">
              <w:rPr>
                <w:rFonts w:ascii="Verdana" w:hAnsi="Verdana"/>
                <w:sz w:val="20"/>
                <w:szCs w:val="20"/>
              </w:rPr>
              <w:t xml:space="preserve">При все това считаме, че проекта в своя параграф 5, въвеждаш промяна в чл. 8, ал. 1 от наредбата следва да бъде допълнен, като освен т.11 към въпросната разпоредба бъде изменена и т. 12 от нея по следния начин: </w:t>
            </w:r>
          </w:p>
          <w:p w:rsidR="007B1C70" w:rsidRPr="007B1C70" w:rsidRDefault="007B1C70" w:rsidP="007B1C70">
            <w:pPr>
              <w:jc w:val="both"/>
              <w:rPr>
                <w:rFonts w:ascii="Verdana" w:hAnsi="Verdana"/>
                <w:sz w:val="20"/>
                <w:szCs w:val="20"/>
              </w:rPr>
            </w:pPr>
            <w:r w:rsidRPr="007B1C70">
              <w:rPr>
                <w:rFonts w:ascii="Verdana" w:hAnsi="Verdana"/>
                <w:sz w:val="20"/>
                <w:szCs w:val="20"/>
              </w:rPr>
              <w:t>„12. по чл. 7, ал. 1, т. 1 и 2 за лозя, създадени по програми на ЕС преди по-малко от 5 години, следващи годината на засаждането им;“</w:t>
            </w:r>
          </w:p>
          <w:p w:rsidR="007B1C70" w:rsidRPr="007B1C70" w:rsidRDefault="007B1C70" w:rsidP="007B1C70">
            <w:pPr>
              <w:jc w:val="both"/>
              <w:rPr>
                <w:rFonts w:ascii="Verdana" w:hAnsi="Verdana"/>
                <w:sz w:val="20"/>
                <w:szCs w:val="20"/>
              </w:rPr>
            </w:pPr>
            <w:r w:rsidRPr="007B1C70">
              <w:rPr>
                <w:rFonts w:ascii="Verdana" w:hAnsi="Verdana"/>
                <w:sz w:val="20"/>
                <w:szCs w:val="20"/>
              </w:rPr>
              <w:t xml:space="preserve">Аргументите ни за това са следните: </w:t>
            </w:r>
          </w:p>
          <w:p w:rsidR="007B1C70" w:rsidRPr="007B1C70" w:rsidRDefault="007B1C70" w:rsidP="007B1C70">
            <w:pPr>
              <w:jc w:val="both"/>
              <w:rPr>
                <w:rFonts w:ascii="Verdana" w:hAnsi="Verdana"/>
                <w:sz w:val="20"/>
                <w:szCs w:val="20"/>
              </w:rPr>
            </w:pPr>
            <w:r w:rsidRPr="007B1C70">
              <w:rPr>
                <w:rFonts w:ascii="Verdana" w:hAnsi="Verdana"/>
                <w:sz w:val="20"/>
                <w:szCs w:val="20"/>
              </w:rPr>
              <w:t xml:space="preserve">Действащото към настоящия момент ограничение (забрана) за извършване на дейности по конверсия на лозя или за промяна на предназначението им за период от 10 години не се римува с нито едно ограничение, предвидено в тази или сходна посока в приложимото европейско законодателство, визирайки разпоредбите на: </w:t>
            </w:r>
          </w:p>
          <w:p w:rsidR="007B1C70" w:rsidRPr="007B1C70" w:rsidRDefault="007B1C70" w:rsidP="007B1C70">
            <w:pPr>
              <w:jc w:val="both"/>
              <w:rPr>
                <w:rFonts w:ascii="Verdana" w:hAnsi="Verdana"/>
                <w:sz w:val="20"/>
                <w:szCs w:val="20"/>
              </w:rPr>
            </w:pPr>
            <w:r w:rsidRPr="007B1C70">
              <w:rPr>
                <w:rFonts w:ascii="Verdana" w:hAnsi="Verdana"/>
                <w:sz w:val="20"/>
                <w:szCs w:val="20"/>
              </w:rPr>
              <w:t xml:space="preserve">- Регламент (ЕС) 2021/2115 на Европейския парламент и на Съвета от 2 декември 2021 г. за установяване на правила за подпомагане за </w:t>
            </w:r>
            <w:r w:rsidRPr="007B1C70">
              <w:rPr>
                <w:rFonts w:ascii="Verdana" w:hAnsi="Verdana"/>
                <w:sz w:val="20"/>
                <w:szCs w:val="20"/>
              </w:rPr>
              <w:lastRenderedPageBreak/>
              <w:t xml:space="preserve">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 6.12.2021 г.) и; </w:t>
            </w:r>
          </w:p>
          <w:p w:rsidR="007B1C70" w:rsidRPr="007B1C70" w:rsidRDefault="007B1C70" w:rsidP="007B1C70">
            <w:pPr>
              <w:jc w:val="both"/>
              <w:rPr>
                <w:rFonts w:ascii="Verdana" w:hAnsi="Verdana"/>
                <w:sz w:val="20"/>
                <w:szCs w:val="20"/>
              </w:rPr>
            </w:pPr>
            <w:r w:rsidRPr="007B1C70">
              <w:rPr>
                <w:rFonts w:ascii="Verdana" w:hAnsi="Verdana"/>
                <w:sz w:val="20"/>
                <w:szCs w:val="20"/>
              </w:rPr>
              <w:t>- Регламент (ЕС) 2021/2116 на Европейския парламент и на Съвета от 2 декември 2021 г. относно финансирането, управлението и мониторинга на общата селскостопанска политика и за отмяна на Регламент (ЕС) № 1306/2013 (OB, L 435, 6.12.2021 г.);</w:t>
            </w:r>
          </w:p>
          <w:p w:rsidR="007B1C70" w:rsidRPr="007B1C70" w:rsidRDefault="007B1C70" w:rsidP="007B1C70">
            <w:pPr>
              <w:jc w:val="both"/>
              <w:rPr>
                <w:rFonts w:ascii="Verdana" w:hAnsi="Verdana"/>
                <w:sz w:val="20"/>
                <w:szCs w:val="20"/>
              </w:rPr>
            </w:pPr>
            <w:r w:rsidRPr="007B1C70">
              <w:rPr>
                <w:rFonts w:ascii="Verdana" w:hAnsi="Verdana"/>
                <w:sz w:val="20"/>
                <w:szCs w:val="20"/>
              </w:rPr>
              <w:t xml:space="preserve">В този смисъл, освен че не е обосновано от никакви специфични изисквания на правото на ЕС, ограничението за период от 10 години не отговаря по никакъв начин на обективни предпоставки, свързани с отглеждането на лозя и в частност на </w:t>
            </w:r>
            <w:proofErr w:type="spellStart"/>
            <w:r w:rsidRPr="007B1C70">
              <w:rPr>
                <w:rFonts w:ascii="Verdana" w:hAnsi="Verdana"/>
                <w:sz w:val="20"/>
                <w:szCs w:val="20"/>
              </w:rPr>
              <w:t>новозасадени</w:t>
            </w:r>
            <w:proofErr w:type="spellEnd"/>
            <w:r w:rsidRPr="007B1C70">
              <w:rPr>
                <w:rFonts w:ascii="Verdana" w:hAnsi="Verdana"/>
                <w:sz w:val="20"/>
                <w:szCs w:val="20"/>
              </w:rPr>
              <w:t xml:space="preserve"> такива, при които рискът от пропадане на част от новите насаждания през първите години е изключително голям.</w:t>
            </w:r>
          </w:p>
          <w:p w:rsidR="007B1C70" w:rsidRPr="00834EA9" w:rsidRDefault="007B1C70" w:rsidP="007B1C70">
            <w:pPr>
              <w:jc w:val="both"/>
              <w:rPr>
                <w:rFonts w:ascii="Verdana" w:hAnsi="Verdana"/>
                <w:sz w:val="20"/>
                <w:szCs w:val="20"/>
              </w:rPr>
            </w:pPr>
            <w:r w:rsidRPr="007B1C70">
              <w:rPr>
                <w:rFonts w:ascii="Verdana" w:hAnsi="Verdana"/>
                <w:sz w:val="20"/>
                <w:szCs w:val="20"/>
              </w:rPr>
              <w:t xml:space="preserve">В тази връзка считаме, че предложеният от нас 5 годишен (вместо 10 годишен) ограничителен срок, освен че напълно отговаря на европейските изисквания за проследимост и мониторинг, е в съответствие с допустимите практики при отглеждане на </w:t>
            </w:r>
            <w:proofErr w:type="spellStart"/>
            <w:r w:rsidRPr="007B1C70">
              <w:rPr>
                <w:rFonts w:ascii="Verdana" w:hAnsi="Verdana"/>
                <w:sz w:val="20"/>
                <w:szCs w:val="20"/>
              </w:rPr>
              <w:t>новозасадени</w:t>
            </w:r>
            <w:proofErr w:type="spellEnd"/>
            <w:r w:rsidRPr="007B1C70">
              <w:rPr>
                <w:rFonts w:ascii="Verdana" w:hAnsi="Verdana"/>
                <w:sz w:val="20"/>
                <w:szCs w:val="20"/>
              </w:rPr>
              <w:t xml:space="preserve"> лозови насаждения.</w:t>
            </w:r>
          </w:p>
        </w:tc>
        <w:tc>
          <w:tcPr>
            <w:tcW w:w="1644" w:type="dxa"/>
            <w:tcBorders>
              <w:top w:val="single" w:sz="18" w:space="0" w:color="2E74B5"/>
              <w:left w:val="single" w:sz="12" w:space="0" w:color="2E74B5"/>
              <w:bottom w:val="nil"/>
              <w:right w:val="single" w:sz="12" w:space="0" w:color="2E74B5"/>
            </w:tcBorders>
            <w:shd w:val="clear" w:color="auto" w:fill="auto"/>
          </w:tcPr>
          <w:p w:rsidR="007B1C70" w:rsidRPr="00834EA9" w:rsidRDefault="007B1C70" w:rsidP="007B1C70">
            <w:pPr>
              <w:rPr>
                <w:rFonts w:ascii="Verdana" w:hAnsi="Verdana"/>
                <w:sz w:val="20"/>
                <w:szCs w:val="20"/>
              </w:rPr>
            </w:pPr>
            <w:r>
              <w:rPr>
                <w:rFonts w:ascii="Verdana" w:hAnsi="Verdana"/>
                <w:sz w:val="20"/>
                <w:szCs w:val="20"/>
              </w:rPr>
              <w:lastRenderedPageBreak/>
              <w:t>Приема се</w:t>
            </w:r>
          </w:p>
        </w:tc>
        <w:tc>
          <w:tcPr>
            <w:tcW w:w="4769" w:type="dxa"/>
            <w:tcBorders>
              <w:top w:val="single" w:sz="18" w:space="0" w:color="2E74B5"/>
              <w:left w:val="single" w:sz="12" w:space="0" w:color="2E74B5"/>
              <w:bottom w:val="nil"/>
              <w:right w:val="single" w:sz="24" w:space="0" w:color="2E74B5"/>
            </w:tcBorders>
            <w:shd w:val="clear" w:color="auto" w:fill="auto"/>
          </w:tcPr>
          <w:p w:rsidR="007B1C70" w:rsidRPr="00834EA9" w:rsidRDefault="007B1C70" w:rsidP="007B1C70">
            <w:pPr>
              <w:rPr>
                <w:rFonts w:ascii="Verdana" w:hAnsi="Verdana"/>
                <w:sz w:val="20"/>
                <w:szCs w:val="20"/>
              </w:rPr>
            </w:pPr>
          </w:p>
        </w:tc>
      </w:tr>
      <w:tr w:rsidR="007B1C70" w:rsidRPr="00834EA9" w:rsidTr="00632D68">
        <w:trPr>
          <w:trHeight w:val="596"/>
        </w:trPr>
        <w:tc>
          <w:tcPr>
            <w:tcW w:w="622" w:type="dxa"/>
            <w:tcBorders>
              <w:top w:val="single" w:sz="18" w:space="0" w:color="2E74B5"/>
              <w:left w:val="single" w:sz="24" w:space="0" w:color="2E74B5"/>
              <w:bottom w:val="single" w:sz="18" w:space="0" w:color="2E74B5"/>
              <w:right w:val="single" w:sz="12" w:space="0" w:color="2E74B5"/>
            </w:tcBorders>
            <w:shd w:val="clear" w:color="auto" w:fill="auto"/>
          </w:tcPr>
          <w:p w:rsidR="007B1C70" w:rsidRPr="00834EA9" w:rsidRDefault="007B1C70" w:rsidP="007B1C70">
            <w:pPr>
              <w:pStyle w:val="ListParagraph"/>
              <w:numPr>
                <w:ilvl w:val="0"/>
                <w:numId w:val="6"/>
              </w:numPr>
              <w:tabs>
                <w:tab w:val="left" w:pos="192"/>
              </w:tabs>
              <w:jc w:val="center"/>
              <w:rPr>
                <w:rFonts w:ascii="Verdana" w:hAnsi="Verdana"/>
                <w:b/>
                <w:sz w:val="20"/>
                <w:szCs w:val="20"/>
              </w:rPr>
            </w:pPr>
          </w:p>
        </w:tc>
        <w:tc>
          <w:tcPr>
            <w:tcW w:w="3232" w:type="dxa"/>
            <w:tcBorders>
              <w:top w:val="single" w:sz="18" w:space="0" w:color="2E74B5"/>
              <w:left w:val="single" w:sz="12" w:space="0" w:color="2E74B5"/>
              <w:bottom w:val="single" w:sz="18" w:space="0" w:color="2E74B5"/>
              <w:right w:val="single" w:sz="18" w:space="0" w:color="2E74B5"/>
            </w:tcBorders>
            <w:shd w:val="clear" w:color="auto" w:fill="auto"/>
          </w:tcPr>
          <w:p w:rsidR="007B1C70" w:rsidRPr="00834EA9" w:rsidRDefault="007B1C70" w:rsidP="00632D68">
            <w:pPr>
              <w:rPr>
                <w:rFonts w:ascii="Verdana" w:hAnsi="Verdana"/>
                <w:b/>
                <w:sz w:val="20"/>
                <w:szCs w:val="20"/>
              </w:rPr>
            </w:pPr>
            <w:r w:rsidRPr="00834EA9">
              <w:rPr>
                <w:rFonts w:ascii="Verdana" w:hAnsi="Verdana"/>
                <w:sz w:val="20"/>
                <w:szCs w:val="20"/>
              </w:rPr>
              <w:t xml:space="preserve">Национално сдружение на българските лозари регистрирано в МЗХ с </w:t>
            </w:r>
            <w:r w:rsidR="00632D68">
              <w:rPr>
                <w:rFonts w:ascii="Verdana" w:hAnsi="Verdana"/>
                <w:sz w:val="20"/>
                <w:szCs w:val="20"/>
              </w:rPr>
              <w:br/>
              <w:t xml:space="preserve">№ </w:t>
            </w:r>
            <w:r w:rsidRPr="00834EA9">
              <w:rPr>
                <w:rFonts w:ascii="Verdana" w:hAnsi="Verdana"/>
                <w:sz w:val="20"/>
                <w:szCs w:val="20"/>
              </w:rPr>
              <w:t>62-299 от 25.07.2024 г.</w:t>
            </w:r>
          </w:p>
        </w:tc>
        <w:tc>
          <w:tcPr>
            <w:tcW w:w="5329" w:type="dxa"/>
            <w:tcBorders>
              <w:top w:val="single" w:sz="18" w:space="0" w:color="2E74B5"/>
              <w:left w:val="single" w:sz="18" w:space="0" w:color="2E74B5"/>
              <w:bottom w:val="nil"/>
              <w:right w:val="single" w:sz="12" w:space="0" w:color="2E74B5"/>
            </w:tcBorders>
            <w:shd w:val="clear" w:color="auto" w:fill="auto"/>
          </w:tcPr>
          <w:p w:rsidR="007B1C70" w:rsidRPr="00834EA9" w:rsidRDefault="007B1C70" w:rsidP="007B1C70">
            <w:pPr>
              <w:jc w:val="both"/>
              <w:rPr>
                <w:rFonts w:ascii="Verdana" w:hAnsi="Verdana"/>
                <w:b/>
                <w:sz w:val="20"/>
                <w:szCs w:val="20"/>
                <w:lang w:val="en-US"/>
              </w:rPr>
            </w:pPr>
            <w:r w:rsidRPr="00834EA9">
              <w:rPr>
                <w:rFonts w:ascii="Verdana" w:hAnsi="Verdana"/>
                <w:sz w:val="20"/>
                <w:szCs w:val="20"/>
              </w:rPr>
              <w:t xml:space="preserve">Изразявайки желанието на голяма част от нашите членове, Ви молим да бъде изменена т, 12 от § 5 от Проекта на НИД на Наредба № 14/2023 г. за условията и реда за предоставяне </w:t>
            </w:r>
            <w:r w:rsidRPr="00834EA9">
              <w:rPr>
                <w:rFonts w:ascii="Verdana" w:hAnsi="Verdana"/>
                <w:sz w:val="20"/>
                <w:szCs w:val="20"/>
              </w:rPr>
              <w:lastRenderedPageBreak/>
              <w:t xml:space="preserve">на финансова помощ по интервенциите в </w:t>
            </w:r>
            <w:proofErr w:type="spellStart"/>
            <w:r w:rsidRPr="00834EA9">
              <w:rPr>
                <w:rFonts w:ascii="Verdana" w:hAnsi="Verdana"/>
                <w:sz w:val="20"/>
                <w:szCs w:val="20"/>
              </w:rPr>
              <w:t>лозаро</w:t>
            </w:r>
            <w:proofErr w:type="spellEnd"/>
            <w:r w:rsidRPr="00834EA9">
              <w:rPr>
                <w:rFonts w:ascii="Verdana" w:hAnsi="Verdana"/>
                <w:sz w:val="20"/>
                <w:szCs w:val="20"/>
              </w:rPr>
              <w:t xml:space="preserve">-винарския сектор, включени в Стратегическия план за развитие на земеделието и селските райони за периода 2023 г., с който се прави изменение в чл. 8, ал. 1 от същата, като разпоредбата придобие следната редакция: </w:t>
            </w:r>
            <w:r w:rsidRPr="00834EA9">
              <w:rPr>
                <w:rFonts w:ascii="Verdana" w:hAnsi="Verdana"/>
                <w:b/>
                <w:sz w:val="20"/>
                <w:szCs w:val="20"/>
              </w:rPr>
              <w:t>„по чл. 7, ал. 1, т. 1 и 2 за лозя, създадени по програми на ЕС преди по-малко от 5 години, следващи годината на засаждането им“.</w:t>
            </w:r>
          </w:p>
          <w:p w:rsidR="007B1C70" w:rsidRDefault="007B1C70" w:rsidP="007B1C70">
            <w:pPr>
              <w:jc w:val="both"/>
              <w:rPr>
                <w:rFonts w:ascii="Verdana" w:hAnsi="Verdana"/>
                <w:sz w:val="20"/>
                <w:szCs w:val="20"/>
              </w:rPr>
            </w:pPr>
            <w:r w:rsidRPr="00834EA9">
              <w:rPr>
                <w:rFonts w:ascii="Verdana" w:hAnsi="Verdana"/>
                <w:sz w:val="20"/>
                <w:szCs w:val="20"/>
              </w:rPr>
              <w:t xml:space="preserve">Предвиденото в проекта на НИД на Наредба № 14/2023 г. ограничение от 10 години не кореспондира с приложимото европейско законодателство, което има приоритет над националното такова. Отделно рискът от пропадане през първите години от засаждане е изключително голям, като това ограничение принуждава в тази хипотеза </w:t>
            </w:r>
            <w:proofErr w:type="spellStart"/>
            <w:r w:rsidRPr="00834EA9">
              <w:rPr>
                <w:rFonts w:ascii="Verdana" w:hAnsi="Verdana"/>
                <w:sz w:val="20"/>
                <w:szCs w:val="20"/>
              </w:rPr>
              <w:t>бенефициерите</w:t>
            </w:r>
            <w:proofErr w:type="spellEnd"/>
            <w:r w:rsidRPr="00834EA9">
              <w:rPr>
                <w:rFonts w:ascii="Verdana" w:hAnsi="Verdana"/>
                <w:sz w:val="20"/>
                <w:szCs w:val="20"/>
              </w:rPr>
              <w:t xml:space="preserve"> в продължение на 10 години да отглеждат в добро агротехническо състояние лозя, които нямат икономически смисъл за тях. </w:t>
            </w:r>
            <w:proofErr w:type="spellStart"/>
            <w:r w:rsidRPr="00834EA9">
              <w:rPr>
                <w:rFonts w:ascii="Verdana" w:hAnsi="Verdana"/>
                <w:sz w:val="20"/>
                <w:szCs w:val="20"/>
              </w:rPr>
              <w:t>Подсаждането</w:t>
            </w:r>
            <w:proofErr w:type="spellEnd"/>
            <w:r w:rsidRPr="00834EA9">
              <w:rPr>
                <w:rFonts w:ascii="Verdana" w:hAnsi="Verdana"/>
                <w:sz w:val="20"/>
                <w:szCs w:val="20"/>
              </w:rPr>
              <w:t xml:space="preserve"> за собствена сметка много често не води до желания резултат, тъй като вече </w:t>
            </w:r>
            <w:proofErr w:type="spellStart"/>
            <w:r w:rsidRPr="00834EA9">
              <w:rPr>
                <w:rFonts w:ascii="Verdana" w:hAnsi="Verdana"/>
                <w:sz w:val="20"/>
                <w:szCs w:val="20"/>
              </w:rPr>
              <w:t>резвитите</w:t>
            </w:r>
            <w:proofErr w:type="spellEnd"/>
            <w:r w:rsidRPr="00834EA9">
              <w:rPr>
                <w:rFonts w:ascii="Verdana" w:hAnsi="Verdana"/>
                <w:sz w:val="20"/>
                <w:szCs w:val="20"/>
              </w:rPr>
              <w:t xml:space="preserve"> лози потискат </w:t>
            </w:r>
            <w:proofErr w:type="spellStart"/>
            <w:r w:rsidRPr="00834EA9">
              <w:rPr>
                <w:rFonts w:ascii="Verdana" w:hAnsi="Verdana"/>
                <w:sz w:val="20"/>
                <w:szCs w:val="20"/>
              </w:rPr>
              <w:t>подсадените</w:t>
            </w:r>
            <w:proofErr w:type="spellEnd"/>
            <w:r w:rsidRPr="00834EA9">
              <w:rPr>
                <w:rFonts w:ascii="Verdana" w:hAnsi="Verdana"/>
                <w:sz w:val="20"/>
                <w:szCs w:val="20"/>
              </w:rPr>
              <w:t xml:space="preserve"> такива. </w:t>
            </w:r>
          </w:p>
          <w:p w:rsidR="007B1C70" w:rsidRPr="00834EA9" w:rsidRDefault="007B1C70" w:rsidP="007B1C70">
            <w:pPr>
              <w:jc w:val="both"/>
              <w:rPr>
                <w:rFonts w:ascii="Verdana" w:hAnsi="Verdana"/>
                <w:sz w:val="20"/>
                <w:szCs w:val="20"/>
              </w:rPr>
            </w:pPr>
            <w:r w:rsidRPr="00834EA9">
              <w:rPr>
                <w:rFonts w:ascii="Verdana" w:hAnsi="Verdana"/>
                <w:sz w:val="20"/>
                <w:szCs w:val="20"/>
              </w:rPr>
              <w:t>С оглед на гореизложеното и отчитайки практическия аспект на проблема, както и липсата на противоречие с европейското законодателство, считаме, че предложената от нас промяна няма да се отрази и да попречи на мониторинга по интервенцията.</w:t>
            </w:r>
          </w:p>
        </w:tc>
        <w:tc>
          <w:tcPr>
            <w:tcW w:w="1644" w:type="dxa"/>
            <w:tcBorders>
              <w:top w:val="single" w:sz="18" w:space="0" w:color="2E74B5"/>
              <w:left w:val="single" w:sz="12" w:space="0" w:color="2E74B5"/>
              <w:bottom w:val="nil"/>
              <w:right w:val="single" w:sz="12" w:space="0" w:color="2E74B5"/>
            </w:tcBorders>
            <w:shd w:val="clear" w:color="auto" w:fill="auto"/>
          </w:tcPr>
          <w:p w:rsidR="007B1C70" w:rsidRPr="00834EA9" w:rsidRDefault="007B1C70" w:rsidP="007B1C70">
            <w:pPr>
              <w:rPr>
                <w:rFonts w:ascii="Verdana" w:hAnsi="Verdana"/>
                <w:sz w:val="20"/>
                <w:szCs w:val="20"/>
              </w:rPr>
            </w:pPr>
            <w:r>
              <w:rPr>
                <w:rFonts w:ascii="Verdana" w:hAnsi="Verdana"/>
                <w:sz w:val="20"/>
                <w:szCs w:val="20"/>
              </w:rPr>
              <w:lastRenderedPageBreak/>
              <w:t>Приема се</w:t>
            </w:r>
          </w:p>
        </w:tc>
        <w:tc>
          <w:tcPr>
            <w:tcW w:w="4769" w:type="dxa"/>
            <w:tcBorders>
              <w:top w:val="single" w:sz="18" w:space="0" w:color="2E74B5"/>
              <w:left w:val="single" w:sz="12" w:space="0" w:color="2E74B5"/>
              <w:bottom w:val="nil"/>
              <w:right w:val="single" w:sz="24" w:space="0" w:color="2E74B5"/>
            </w:tcBorders>
            <w:shd w:val="clear" w:color="auto" w:fill="auto"/>
          </w:tcPr>
          <w:p w:rsidR="007B1C70" w:rsidRPr="00834EA9" w:rsidRDefault="007B1C70" w:rsidP="007B1C70">
            <w:pPr>
              <w:rPr>
                <w:rFonts w:ascii="Verdana" w:hAnsi="Verdana"/>
                <w:sz w:val="20"/>
                <w:szCs w:val="20"/>
              </w:rPr>
            </w:pPr>
          </w:p>
        </w:tc>
      </w:tr>
      <w:tr w:rsidR="007B1C70" w:rsidRPr="00834EA9" w:rsidTr="00632D68">
        <w:trPr>
          <w:trHeight w:val="596"/>
        </w:trPr>
        <w:tc>
          <w:tcPr>
            <w:tcW w:w="622" w:type="dxa"/>
            <w:tcBorders>
              <w:top w:val="single" w:sz="18" w:space="0" w:color="2E74B5"/>
              <w:left w:val="single" w:sz="24" w:space="0" w:color="2E74B5"/>
              <w:bottom w:val="single" w:sz="24" w:space="0" w:color="2E74B5"/>
              <w:right w:val="single" w:sz="12" w:space="0" w:color="2E74B5"/>
            </w:tcBorders>
            <w:shd w:val="clear" w:color="auto" w:fill="auto"/>
          </w:tcPr>
          <w:p w:rsidR="007B1C70" w:rsidRPr="00834EA9" w:rsidRDefault="007B1C70" w:rsidP="007B1C70">
            <w:pPr>
              <w:tabs>
                <w:tab w:val="left" w:pos="192"/>
              </w:tabs>
              <w:rPr>
                <w:rFonts w:ascii="Verdana" w:hAnsi="Verdana"/>
                <w:b/>
                <w:sz w:val="20"/>
                <w:szCs w:val="20"/>
                <w:lang w:val="en-US"/>
              </w:rPr>
            </w:pPr>
            <w:r w:rsidRPr="00834EA9">
              <w:rPr>
                <w:rFonts w:ascii="Verdana" w:hAnsi="Verdana"/>
                <w:b/>
                <w:sz w:val="20"/>
                <w:szCs w:val="20"/>
              </w:rPr>
              <w:t>4.</w:t>
            </w:r>
          </w:p>
        </w:tc>
        <w:tc>
          <w:tcPr>
            <w:tcW w:w="3232" w:type="dxa"/>
            <w:tcBorders>
              <w:top w:val="single" w:sz="18" w:space="0" w:color="2E74B5"/>
              <w:left w:val="single" w:sz="12" w:space="0" w:color="2E74B5"/>
              <w:bottom w:val="single" w:sz="24" w:space="0" w:color="2E74B5"/>
              <w:right w:val="single" w:sz="12" w:space="0" w:color="2E74B5"/>
            </w:tcBorders>
            <w:shd w:val="clear" w:color="auto" w:fill="auto"/>
          </w:tcPr>
          <w:p w:rsidR="007B1C70" w:rsidRPr="00834EA9" w:rsidRDefault="007B1C70" w:rsidP="007B1C70">
            <w:pPr>
              <w:rPr>
                <w:rFonts w:ascii="Verdana" w:hAnsi="Verdana"/>
                <w:sz w:val="20"/>
                <w:szCs w:val="20"/>
              </w:rPr>
            </w:pPr>
            <w:r w:rsidRPr="00834EA9">
              <w:rPr>
                <w:rFonts w:ascii="Verdana" w:hAnsi="Verdana"/>
                <w:sz w:val="20"/>
                <w:szCs w:val="20"/>
              </w:rPr>
              <w:t>„</w:t>
            </w:r>
            <w:proofErr w:type="spellStart"/>
            <w:r w:rsidRPr="00834EA9">
              <w:rPr>
                <w:rFonts w:ascii="Verdana" w:hAnsi="Verdana"/>
                <w:sz w:val="20"/>
                <w:szCs w:val="20"/>
              </w:rPr>
              <w:t>Менада</w:t>
            </w:r>
            <w:proofErr w:type="spellEnd"/>
            <w:r w:rsidRPr="00834EA9">
              <w:rPr>
                <w:rFonts w:ascii="Verdana" w:hAnsi="Verdana"/>
                <w:sz w:val="20"/>
                <w:szCs w:val="20"/>
              </w:rPr>
              <w:t xml:space="preserve"> </w:t>
            </w:r>
            <w:proofErr w:type="spellStart"/>
            <w:r w:rsidRPr="00834EA9">
              <w:rPr>
                <w:rFonts w:ascii="Verdana" w:hAnsi="Verdana"/>
                <w:sz w:val="20"/>
                <w:szCs w:val="20"/>
              </w:rPr>
              <w:t>Винеярдс</w:t>
            </w:r>
            <w:proofErr w:type="spellEnd"/>
            <w:r w:rsidRPr="00834EA9">
              <w:rPr>
                <w:rFonts w:ascii="Verdana" w:hAnsi="Verdana"/>
                <w:sz w:val="20"/>
                <w:szCs w:val="20"/>
              </w:rPr>
              <w:t xml:space="preserve">“ ЕООД </w:t>
            </w:r>
          </w:p>
          <w:p w:rsidR="007B1C70" w:rsidRPr="00834EA9" w:rsidRDefault="007B1C70" w:rsidP="007B1C70">
            <w:pPr>
              <w:rPr>
                <w:rFonts w:ascii="Verdana" w:hAnsi="Verdana"/>
                <w:sz w:val="20"/>
                <w:szCs w:val="20"/>
              </w:rPr>
            </w:pPr>
            <w:r w:rsidRPr="00834EA9">
              <w:rPr>
                <w:rFonts w:ascii="Verdana" w:hAnsi="Verdana"/>
                <w:sz w:val="20"/>
                <w:szCs w:val="20"/>
              </w:rPr>
              <w:t>Петя Кьосева</w:t>
            </w:r>
            <w:r w:rsidRPr="00834EA9">
              <w:rPr>
                <w:rFonts w:ascii="Verdana" w:hAnsi="Verdana"/>
                <w:sz w:val="20"/>
                <w:szCs w:val="20"/>
                <w:lang w:val="en-US"/>
              </w:rPr>
              <w:t xml:space="preserve"> </w:t>
            </w:r>
            <w:hyperlink r:id="rId8" w:history="1">
              <w:r w:rsidRPr="00834EA9">
                <w:rPr>
                  <w:rStyle w:val="Hyperlink"/>
                  <w:rFonts w:ascii="Verdana" w:hAnsi="Verdana"/>
                  <w:spacing w:val="-16"/>
                  <w:sz w:val="20"/>
                  <w:szCs w:val="20"/>
                </w:rPr>
                <w:t>Petya.KYOSEVA@mbws.com</w:t>
              </w:r>
            </w:hyperlink>
          </w:p>
          <w:p w:rsidR="007B1C70" w:rsidRPr="00834EA9" w:rsidRDefault="007B1C70" w:rsidP="007B1C70">
            <w:pPr>
              <w:rPr>
                <w:rFonts w:ascii="Verdana" w:hAnsi="Verdana"/>
                <w:sz w:val="20"/>
                <w:szCs w:val="20"/>
              </w:rPr>
            </w:pPr>
            <w:r w:rsidRPr="00834EA9">
              <w:rPr>
                <w:rFonts w:ascii="Verdana" w:hAnsi="Verdana"/>
                <w:sz w:val="20"/>
                <w:szCs w:val="20"/>
              </w:rPr>
              <w:t>09.08.2024 г.</w:t>
            </w:r>
          </w:p>
          <w:p w:rsidR="007B1C70" w:rsidRPr="00834EA9" w:rsidRDefault="007B1C70" w:rsidP="007B1C70">
            <w:pPr>
              <w:rPr>
                <w:rFonts w:ascii="Verdana" w:hAnsi="Verdana"/>
                <w:b/>
                <w:sz w:val="20"/>
                <w:szCs w:val="20"/>
              </w:rPr>
            </w:pPr>
            <w:r w:rsidRPr="00834EA9">
              <w:rPr>
                <w:rFonts w:ascii="Verdana" w:hAnsi="Verdana"/>
                <w:sz w:val="20"/>
                <w:szCs w:val="20"/>
              </w:rPr>
              <w:t>(по електронен път)</w:t>
            </w:r>
          </w:p>
        </w:tc>
        <w:tc>
          <w:tcPr>
            <w:tcW w:w="5329" w:type="dxa"/>
            <w:tcBorders>
              <w:top w:val="single" w:sz="18" w:space="0" w:color="2E74B5"/>
              <w:left w:val="single" w:sz="12" w:space="0" w:color="2E74B5"/>
              <w:bottom w:val="nil"/>
              <w:right w:val="single" w:sz="12" w:space="0" w:color="2E74B5"/>
            </w:tcBorders>
            <w:shd w:val="clear" w:color="auto" w:fill="auto"/>
          </w:tcPr>
          <w:p w:rsidR="007B1C70" w:rsidRDefault="007B1C70" w:rsidP="007B1C70">
            <w:pPr>
              <w:jc w:val="both"/>
              <w:rPr>
                <w:rFonts w:ascii="Verdana" w:hAnsi="Verdana"/>
                <w:sz w:val="20"/>
                <w:szCs w:val="20"/>
              </w:rPr>
            </w:pPr>
            <w:r w:rsidRPr="00834EA9">
              <w:rPr>
                <w:rFonts w:ascii="Verdana" w:hAnsi="Verdana"/>
                <w:sz w:val="20"/>
                <w:szCs w:val="20"/>
              </w:rPr>
              <w:t xml:space="preserve">С настоящото искаме да изразим становище относно и препоръка за допълнение на публикувания на страницата за обществени консултации на 12-ти юли 2024 година Проект на Наредба за изменение и допълнение на Наредба № 14 от 2023 г. за условията и реда за </w:t>
            </w:r>
            <w:r w:rsidRPr="00834EA9">
              <w:rPr>
                <w:rFonts w:ascii="Verdana" w:hAnsi="Verdana"/>
                <w:sz w:val="20"/>
                <w:szCs w:val="20"/>
              </w:rPr>
              <w:lastRenderedPageBreak/>
              <w:t xml:space="preserve">предоставяне на финансова помощ по интервенциите в </w:t>
            </w:r>
            <w:proofErr w:type="spellStart"/>
            <w:r w:rsidRPr="00834EA9">
              <w:rPr>
                <w:rFonts w:ascii="Verdana" w:hAnsi="Verdana"/>
                <w:sz w:val="20"/>
                <w:szCs w:val="20"/>
              </w:rPr>
              <w:t>лозаро</w:t>
            </w:r>
            <w:proofErr w:type="spellEnd"/>
            <w:r w:rsidRPr="00834EA9">
              <w:rPr>
                <w:rFonts w:ascii="Verdana" w:hAnsi="Verdana"/>
                <w:sz w:val="20"/>
                <w:szCs w:val="20"/>
              </w:rPr>
              <w:t xml:space="preserve">-винарския сектор, включени в Стратегическия план за развитие на земеделието и селските райони за периода 2023 – 2027 година („Проект“), като заинтересована страна: </w:t>
            </w:r>
          </w:p>
          <w:p w:rsidR="007B1C70" w:rsidRDefault="007B1C70" w:rsidP="007B1C70">
            <w:pPr>
              <w:jc w:val="both"/>
              <w:rPr>
                <w:rFonts w:ascii="Verdana" w:hAnsi="Verdana"/>
                <w:sz w:val="20"/>
                <w:szCs w:val="20"/>
              </w:rPr>
            </w:pPr>
            <w:r w:rsidRPr="00834EA9">
              <w:rPr>
                <w:rFonts w:ascii="Verdana" w:hAnsi="Verdana"/>
                <w:sz w:val="20"/>
                <w:szCs w:val="20"/>
              </w:rPr>
              <w:t xml:space="preserve">Отправяме предложение да се допълни § 7 от Проекта, като се измени чл. 11, ал. 2, т. 1 от Наредба № 14 от 2023 г. за условията и реда за предоставяне на финансова помощ по интервенциите в </w:t>
            </w:r>
            <w:proofErr w:type="spellStart"/>
            <w:r w:rsidRPr="00834EA9">
              <w:rPr>
                <w:rFonts w:ascii="Verdana" w:hAnsi="Verdana"/>
                <w:sz w:val="20"/>
                <w:szCs w:val="20"/>
              </w:rPr>
              <w:t>лозаро</w:t>
            </w:r>
            <w:proofErr w:type="spellEnd"/>
            <w:r w:rsidRPr="00834EA9">
              <w:rPr>
                <w:rFonts w:ascii="Verdana" w:hAnsi="Verdana"/>
                <w:sz w:val="20"/>
                <w:szCs w:val="20"/>
              </w:rPr>
              <w:t xml:space="preserve">-винарския сектор, включени в Стратегическия план за развитие на земеделието и селските райони за периода 2023 – 2027 година („Наредба“), с уточнение, че декларация по чл. 4а, ал. 1 от ЗМСП по образец, утвърден от министъра на икономиката, следва да се прилага само от лицата, които отговарят на условията на чл. 3 и чл. 4 от ЗМСП и изрично бъде изключена от обхвата на задължителните документи, които следва да се предоставят от големите предприятия или изцяло да отпадне по отношение на всички кандидати. Намираме, че в настоящата редакция разпоредбата вменява на всички кандидати, включително и на такива, които са големите предприятия, задължение да декларират обстоятелства, които не са </w:t>
            </w:r>
            <w:proofErr w:type="spellStart"/>
            <w:r w:rsidRPr="00834EA9">
              <w:rPr>
                <w:rFonts w:ascii="Verdana" w:hAnsi="Verdana"/>
                <w:sz w:val="20"/>
                <w:szCs w:val="20"/>
              </w:rPr>
              <w:t>относими</w:t>
            </w:r>
            <w:proofErr w:type="spellEnd"/>
            <w:r w:rsidRPr="00834EA9">
              <w:rPr>
                <w:rFonts w:ascii="Verdana" w:hAnsi="Verdana"/>
                <w:sz w:val="20"/>
                <w:szCs w:val="20"/>
              </w:rPr>
              <w:t xml:space="preserve"> към тях, а в случай на </w:t>
            </w:r>
            <w:proofErr w:type="spellStart"/>
            <w:r w:rsidRPr="00834EA9">
              <w:rPr>
                <w:rFonts w:ascii="Verdana" w:hAnsi="Verdana"/>
                <w:sz w:val="20"/>
                <w:szCs w:val="20"/>
              </w:rPr>
              <w:t>непредставяне</w:t>
            </w:r>
            <w:proofErr w:type="spellEnd"/>
            <w:r w:rsidRPr="00834EA9">
              <w:rPr>
                <w:rFonts w:ascii="Verdana" w:hAnsi="Verdana"/>
                <w:sz w:val="20"/>
                <w:szCs w:val="20"/>
              </w:rPr>
              <w:t xml:space="preserve"> на съответната декларация за големите предприятия възниква риск при извършване на автоматични проверки от електронната система за удостоверяване допустимостта на кандидата, да бъде възприето, че е налице нередовност в приложените документи и на кандидата да бъде отказано финансиране. Интервенцията „Преструктуриране и конверсия на лозя“ не е ограничена само до МСП, за да бъде приложима за всички декларация по чл. 4а, ал. 1 от</w:t>
            </w:r>
            <w:r w:rsidRPr="00834EA9">
              <w:rPr>
                <w:rFonts w:ascii="Verdana" w:hAnsi="Verdana"/>
                <w:sz w:val="20"/>
                <w:szCs w:val="20"/>
                <w:lang w:val="en-US"/>
              </w:rPr>
              <w:t xml:space="preserve"> </w:t>
            </w:r>
            <w:r w:rsidRPr="00834EA9">
              <w:rPr>
                <w:rFonts w:ascii="Verdana" w:hAnsi="Verdana"/>
                <w:sz w:val="20"/>
                <w:szCs w:val="20"/>
              </w:rPr>
              <w:t xml:space="preserve">ЗМСП, </w:t>
            </w:r>
            <w:r w:rsidRPr="00834EA9">
              <w:rPr>
                <w:rFonts w:ascii="Verdana" w:hAnsi="Verdana"/>
                <w:sz w:val="20"/>
                <w:szCs w:val="20"/>
              </w:rPr>
              <w:lastRenderedPageBreak/>
              <w:t xml:space="preserve">още повече че в утвърдения образец не е предвидена графа, в която да се отбележи </w:t>
            </w:r>
            <w:proofErr w:type="spellStart"/>
            <w:r w:rsidRPr="00834EA9">
              <w:rPr>
                <w:rFonts w:ascii="Verdana" w:hAnsi="Verdana"/>
                <w:sz w:val="20"/>
                <w:szCs w:val="20"/>
              </w:rPr>
              <w:t>непринадлежност</w:t>
            </w:r>
            <w:proofErr w:type="spellEnd"/>
            <w:r w:rsidRPr="00834EA9">
              <w:rPr>
                <w:rFonts w:ascii="Verdana" w:hAnsi="Verdana"/>
                <w:sz w:val="20"/>
                <w:szCs w:val="20"/>
              </w:rPr>
              <w:t xml:space="preserve"> към МСП. </w:t>
            </w:r>
          </w:p>
          <w:p w:rsidR="007B1C70" w:rsidRPr="00834EA9" w:rsidRDefault="007B1C70" w:rsidP="007B1C70">
            <w:pPr>
              <w:jc w:val="both"/>
              <w:rPr>
                <w:rFonts w:ascii="Verdana" w:hAnsi="Verdana"/>
                <w:sz w:val="20"/>
                <w:szCs w:val="20"/>
              </w:rPr>
            </w:pPr>
            <w:r w:rsidRPr="00834EA9">
              <w:rPr>
                <w:rFonts w:ascii="Verdana" w:hAnsi="Verdana"/>
                <w:sz w:val="20"/>
                <w:szCs w:val="20"/>
              </w:rPr>
              <w:t>Надяваме се, че предложените от нас препоръки ще бъдат взети предвид и ако същите бъдат приети, вярваме, че ще подобрят нормативната рамка относно прилагането на Интервенция „Преструктуриране и конверсия на лозя“.</w:t>
            </w:r>
          </w:p>
        </w:tc>
        <w:tc>
          <w:tcPr>
            <w:tcW w:w="1644" w:type="dxa"/>
            <w:tcBorders>
              <w:top w:val="single" w:sz="18" w:space="0" w:color="2E74B5"/>
              <w:left w:val="single" w:sz="12" w:space="0" w:color="2E74B5"/>
              <w:bottom w:val="nil"/>
              <w:right w:val="single" w:sz="12" w:space="0" w:color="2E74B5"/>
            </w:tcBorders>
            <w:shd w:val="clear" w:color="auto" w:fill="auto"/>
          </w:tcPr>
          <w:p w:rsidR="007B1C70" w:rsidRPr="00834EA9" w:rsidRDefault="007B1C70" w:rsidP="007B1C70">
            <w:pPr>
              <w:rPr>
                <w:rFonts w:ascii="Verdana" w:hAnsi="Verdana"/>
                <w:sz w:val="20"/>
                <w:szCs w:val="20"/>
              </w:rPr>
            </w:pPr>
            <w:r>
              <w:rPr>
                <w:rFonts w:ascii="Verdana" w:hAnsi="Verdana"/>
                <w:sz w:val="20"/>
                <w:szCs w:val="20"/>
              </w:rPr>
              <w:lastRenderedPageBreak/>
              <w:t xml:space="preserve">Приема се </w:t>
            </w:r>
          </w:p>
        </w:tc>
        <w:tc>
          <w:tcPr>
            <w:tcW w:w="4769" w:type="dxa"/>
            <w:tcBorders>
              <w:top w:val="single" w:sz="18" w:space="0" w:color="2E74B5"/>
              <w:left w:val="single" w:sz="12" w:space="0" w:color="2E74B5"/>
              <w:bottom w:val="nil"/>
              <w:right w:val="single" w:sz="24" w:space="0" w:color="2E74B5"/>
            </w:tcBorders>
            <w:shd w:val="clear" w:color="auto" w:fill="auto"/>
          </w:tcPr>
          <w:p w:rsidR="007B1C70" w:rsidRPr="00834EA9" w:rsidRDefault="007B1C70" w:rsidP="007B1C70">
            <w:pPr>
              <w:rPr>
                <w:rFonts w:ascii="Verdana" w:hAnsi="Verdana"/>
                <w:sz w:val="20"/>
                <w:szCs w:val="20"/>
              </w:rPr>
            </w:pPr>
          </w:p>
        </w:tc>
      </w:tr>
      <w:tr w:rsidR="007B1C70" w:rsidRPr="00834EA9" w:rsidTr="00632D68">
        <w:trPr>
          <w:trHeight w:val="596"/>
        </w:trPr>
        <w:tc>
          <w:tcPr>
            <w:tcW w:w="622" w:type="dxa"/>
            <w:vMerge w:val="restart"/>
            <w:tcBorders>
              <w:top w:val="single" w:sz="18" w:space="0" w:color="2E74B5"/>
              <w:left w:val="single" w:sz="24" w:space="0" w:color="2E74B5"/>
              <w:bottom w:val="single" w:sz="24" w:space="0" w:color="2E74B5"/>
              <w:right w:val="single" w:sz="12" w:space="0" w:color="2E74B5"/>
            </w:tcBorders>
            <w:shd w:val="clear" w:color="auto" w:fill="auto"/>
          </w:tcPr>
          <w:p w:rsidR="007B1C70" w:rsidRPr="00834EA9" w:rsidRDefault="007B1C70" w:rsidP="007B1C70">
            <w:pPr>
              <w:tabs>
                <w:tab w:val="left" w:pos="192"/>
              </w:tabs>
              <w:rPr>
                <w:rFonts w:ascii="Verdana" w:hAnsi="Verdana"/>
                <w:b/>
                <w:sz w:val="20"/>
                <w:szCs w:val="20"/>
              </w:rPr>
            </w:pPr>
            <w:r w:rsidRPr="00834EA9">
              <w:rPr>
                <w:rFonts w:ascii="Verdana" w:hAnsi="Verdana"/>
                <w:b/>
                <w:sz w:val="20"/>
                <w:szCs w:val="20"/>
                <w:lang w:val="en-US"/>
              </w:rPr>
              <w:lastRenderedPageBreak/>
              <w:t>5</w:t>
            </w:r>
            <w:r w:rsidRPr="00834EA9">
              <w:rPr>
                <w:rFonts w:ascii="Verdana" w:hAnsi="Verdana"/>
                <w:b/>
                <w:sz w:val="20"/>
                <w:szCs w:val="20"/>
              </w:rPr>
              <w:t>.</w:t>
            </w:r>
          </w:p>
        </w:tc>
        <w:tc>
          <w:tcPr>
            <w:tcW w:w="3232" w:type="dxa"/>
            <w:vMerge w:val="restart"/>
            <w:tcBorders>
              <w:top w:val="single" w:sz="18" w:space="0" w:color="2E74B5"/>
              <w:left w:val="single" w:sz="12" w:space="0" w:color="2E74B5"/>
              <w:bottom w:val="single" w:sz="24" w:space="0" w:color="2E74B5"/>
              <w:right w:val="single" w:sz="12" w:space="0" w:color="2E74B5"/>
            </w:tcBorders>
            <w:shd w:val="clear" w:color="auto" w:fill="auto"/>
          </w:tcPr>
          <w:p w:rsidR="007B1C70" w:rsidRPr="00834EA9" w:rsidRDefault="007B1C70" w:rsidP="007B1C70">
            <w:pPr>
              <w:rPr>
                <w:rFonts w:ascii="Verdana" w:hAnsi="Verdana"/>
                <w:sz w:val="20"/>
                <w:szCs w:val="20"/>
              </w:rPr>
            </w:pPr>
            <w:proofErr w:type="spellStart"/>
            <w:r w:rsidRPr="005E053F">
              <w:rPr>
                <w:rFonts w:ascii="Verdana" w:hAnsi="Verdana"/>
                <w:sz w:val="20"/>
                <w:szCs w:val="20"/>
              </w:rPr>
              <w:t>tzviatkov</w:t>
            </w:r>
            <w:proofErr w:type="spellEnd"/>
            <w:r w:rsidRPr="005E053F">
              <w:rPr>
                <w:rFonts w:ascii="Verdana" w:hAnsi="Verdana"/>
                <w:sz w:val="20"/>
                <w:szCs w:val="20"/>
              </w:rPr>
              <w:t xml:space="preserve"> </w:t>
            </w:r>
            <w:r w:rsidRPr="00834EA9">
              <w:rPr>
                <w:rFonts w:ascii="Verdana" w:hAnsi="Verdana"/>
                <w:sz w:val="20"/>
                <w:szCs w:val="20"/>
              </w:rPr>
              <w:t xml:space="preserve">– </w:t>
            </w:r>
          </w:p>
          <w:p w:rsidR="007B1C70" w:rsidRPr="00834EA9" w:rsidRDefault="00632D68" w:rsidP="00632D68">
            <w:pPr>
              <w:rPr>
                <w:rFonts w:ascii="Verdana" w:hAnsi="Verdana"/>
                <w:b/>
                <w:sz w:val="20"/>
                <w:szCs w:val="20"/>
              </w:rPr>
            </w:pPr>
            <w:r w:rsidRPr="00632D68">
              <w:rPr>
                <w:rFonts w:ascii="Verdana" w:hAnsi="Verdana"/>
                <w:spacing w:val="-2"/>
                <w:sz w:val="20"/>
                <w:szCs w:val="20"/>
              </w:rPr>
              <w:t>12.08.2024 г.</w:t>
            </w:r>
            <w:r>
              <w:rPr>
                <w:rFonts w:ascii="Verdana" w:hAnsi="Verdana"/>
                <w:spacing w:val="-2"/>
                <w:sz w:val="20"/>
                <w:szCs w:val="20"/>
              </w:rPr>
              <w:t xml:space="preserve"> – </w:t>
            </w:r>
            <w:r w:rsidR="007B1C70" w:rsidRPr="00834EA9">
              <w:rPr>
                <w:rFonts w:ascii="Verdana" w:hAnsi="Verdana"/>
                <w:sz w:val="20"/>
                <w:szCs w:val="20"/>
              </w:rPr>
              <w:t>Портал</w:t>
            </w:r>
            <w:r w:rsidR="007B1C70">
              <w:rPr>
                <w:rFonts w:ascii="Verdana" w:hAnsi="Verdana"/>
                <w:sz w:val="20"/>
                <w:szCs w:val="20"/>
              </w:rPr>
              <w:t xml:space="preserve"> за обществена </w:t>
            </w:r>
            <w:r w:rsidR="007B1C70" w:rsidRPr="00632D68">
              <w:rPr>
                <w:rFonts w:ascii="Verdana" w:hAnsi="Verdana"/>
                <w:spacing w:val="-2"/>
                <w:sz w:val="20"/>
                <w:szCs w:val="20"/>
              </w:rPr>
              <w:t xml:space="preserve">консултация на </w:t>
            </w:r>
          </w:p>
        </w:tc>
        <w:tc>
          <w:tcPr>
            <w:tcW w:w="5329" w:type="dxa"/>
            <w:tcBorders>
              <w:top w:val="single" w:sz="18" w:space="0" w:color="2E74B5"/>
              <w:left w:val="single" w:sz="12" w:space="0" w:color="2E74B5"/>
              <w:bottom w:val="nil"/>
              <w:right w:val="single" w:sz="12" w:space="0" w:color="2E74B5"/>
            </w:tcBorders>
            <w:shd w:val="clear" w:color="auto" w:fill="auto"/>
          </w:tcPr>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w:t>
            </w:r>
          </w:p>
          <w:p w:rsidR="007B1C70" w:rsidRPr="00834EA9" w:rsidRDefault="007B1C70" w:rsidP="007B1C70">
            <w:pPr>
              <w:jc w:val="both"/>
              <w:rPr>
                <w:rFonts w:ascii="Verdana" w:hAnsi="Verdana"/>
                <w:sz w:val="20"/>
                <w:szCs w:val="20"/>
              </w:rPr>
            </w:pPr>
            <w:r w:rsidRPr="00834EA9">
              <w:rPr>
                <w:rFonts w:ascii="Verdana" w:hAnsi="Verdana"/>
                <w:sz w:val="20"/>
                <w:szCs w:val="20"/>
              </w:rPr>
              <w:t>§ 2. В чл. 5 се правят следните допълнения:</w:t>
            </w:r>
          </w:p>
          <w:p w:rsidR="007B1C70" w:rsidRPr="00834EA9" w:rsidRDefault="007B1C70" w:rsidP="007B1C70">
            <w:pPr>
              <w:jc w:val="both"/>
              <w:rPr>
                <w:rFonts w:ascii="Verdana" w:hAnsi="Verdana"/>
                <w:sz w:val="20"/>
                <w:szCs w:val="20"/>
              </w:rPr>
            </w:pPr>
            <w:r w:rsidRPr="00834EA9">
              <w:rPr>
                <w:rFonts w:ascii="Verdana" w:hAnsi="Verdana"/>
                <w:sz w:val="20"/>
                <w:szCs w:val="20"/>
              </w:rPr>
              <w:t xml:space="preserve">1. В ал. 6, т. 2 след думите „друга интервенция“ се добавя „или в случаите на прехвърляне към интервенция „Инвестиции в </w:t>
            </w:r>
            <w:proofErr w:type="spellStart"/>
            <w:r w:rsidRPr="00834EA9">
              <w:rPr>
                <w:rFonts w:ascii="Verdana" w:hAnsi="Verdana"/>
                <w:sz w:val="20"/>
                <w:szCs w:val="20"/>
              </w:rPr>
              <w:t>лозаро</w:t>
            </w:r>
            <w:proofErr w:type="spellEnd"/>
            <w:r w:rsidRPr="00834EA9">
              <w:rPr>
                <w:rFonts w:ascii="Verdana" w:hAnsi="Verdana"/>
                <w:sz w:val="20"/>
                <w:szCs w:val="20"/>
              </w:rPr>
              <w:t>-винарския сектор“ – към дейност или дейности по чл. 27, ал. 1 и 1а“;</w:t>
            </w:r>
          </w:p>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w:t>
            </w:r>
          </w:p>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Предложението да отпадне.</w:t>
            </w:r>
          </w:p>
          <w:p w:rsidR="007B1C70" w:rsidRPr="00834EA9" w:rsidRDefault="007B1C70" w:rsidP="007B1C70">
            <w:pPr>
              <w:jc w:val="both"/>
              <w:rPr>
                <w:rFonts w:ascii="Verdana" w:hAnsi="Verdana"/>
                <w:sz w:val="20"/>
                <w:szCs w:val="20"/>
              </w:rPr>
            </w:pPr>
            <w:r w:rsidRPr="00834EA9">
              <w:rPr>
                <w:rFonts w:ascii="Verdana" w:hAnsi="Verdana"/>
                <w:sz w:val="20"/>
                <w:szCs w:val="20"/>
              </w:rPr>
              <w:t xml:space="preserve">Точката да се приведе в съответствие със задълженията на </w:t>
            </w:r>
            <w:proofErr w:type="spellStart"/>
            <w:r w:rsidRPr="00834EA9">
              <w:rPr>
                <w:rFonts w:ascii="Verdana" w:hAnsi="Verdana"/>
                <w:sz w:val="20"/>
                <w:szCs w:val="20"/>
              </w:rPr>
              <w:t>Мониторингов</w:t>
            </w:r>
            <w:proofErr w:type="spellEnd"/>
            <w:r w:rsidRPr="00834EA9">
              <w:rPr>
                <w:rFonts w:ascii="Verdana" w:hAnsi="Verdana"/>
                <w:sz w:val="20"/>
                <w:szCs w:val="20"/>
              </w:rPr>
              <w:t xml:space="preserve"> комитет.</w:t>
            </w:r>
          </w:p>
          <w:p w:rsidR="007B1C70" w:rsidRPr="00834EA9" w:rsidRDefault="007B1C70" w:rsidP="007B1C70">
            <w:pPr>
              <w:jc w:val="both"/>
              <w:rPr>
                <w:rFonts w:ascii="Verdana" w:hAnsi="Verdana"/>
                <w:sz w:val="20"/>
                <w:szCs w:val="20"/>
              </w:rPr>
            </w:pPr>
            <w:r w:rsidRPr="00834EA9">
              <w:rPr>
                <w:rFonts w:ascii="Verdana" w:hAnsi="Verdana"/>
                <w:sz w:val="20"/>
                <w:szCs w:val="20"/>
              </w:rPr>
              <w:t>ОСНОВАНИЕ:</w:t>
            </w:r>
          </w:p>
          <w:p w:rsidR="007B1C70" w:rsidRPr="00834EA9" w:rsidRDefault="007B1C70" w:rsidP="007B1C70">
            <w:pPr>
              <w:jc w:val="both"/>
              <w:rPr>
                <w:rFonts w:ascii="Verdana" w:hAnsi="Verdana"/>
                <w:sz w:val="20"/>
                <w:szCs w:val="20"/>
              </w:rPr>
            </w:pPr>
            <w:r w:rsidRPr="00834EA9">
              <w:rPr>
                <w:rFonts w:ascii="Verdana" w:hAnsi="Verdana"/>
                <w:sz w:val="20"/>
                <w:szCs w:val="20"/>
              </w:rPr>
              <w:t xml:space="preserve">Всяка интервенция е с одобрен финансов план в Стратегическия план и само с решение на </w:t>
            </w:r>
            <w:proofErr w:type="spellStart"/>
            <w:r w:rsidRPr="00834EA9">
              <w:rPr>
                <w:rFonts w:ascii="Verdana" w:hAnsi="Verdana"/>
                <w:sz w:val="20"/>
                <w:szCs w:val="20"/>
              </w:rPr>
              <w:t>Мониторингов</w:t>
            </w:r>
            <w:proofErr w:type="spellEnd"/>
            <w:r w:rsidRPr="00834EA9">
              <w:rPr>
                <w:rFonts w:ascii="Verdana" w:hAnsi="Verdana"/>
                <w:sz w:val="20"/>
                <w:szCs w:val="20"/>
              </w:rPr>
              <w:t xml:space="preserve"> комитет може да се извърши промяна в тези планове.</w:t>
            </w:r>
          </w:p>
        </w:tc>
        <w:tc>
          <w:tcPr>
            <w:tcW w:w="1644" w:type="dxa"/>
            <w:tcBorders>
              <w:top w:val="single" w:sz="18" w:space="0" w:color="2E74B5"/>
              <w:left w:val="single" w:sz="12" w:space="0" w:color="2E74B5"/>
              <w:bottom w:val="nil"/>
              <w:right w:val="single" w:sz="12" w:space="0" w:color="2E74B5"/>
            </w:tcBorders>
            <w:shd w:val="clear" w:color="auto" w:fill="auto"/>
          </w:tcPr>
          <w:p w:rsidR="007B1C70" w:rsidRPr="00834EA9" w:rsidRDefault="007B1C70" w:rsidP="007B1C70">
            <w:pPr>
              <w:rPr>
                <w:rFonts w:ascii="Verdana" w:hAnsi="Verdana"/>
                <w:sz w:val="20"/>
                <w:szCs w:val="20"/>
              </w:rPr>
            </w:pPr>
            <w:r>
              <w:rPr>
                <w:rFonts w:ascii="Verdana" w:hAnsi="Verdana"/>
                <w:sz w:val="20"/>
                <w:szCs w:val="20"/>
              </w:rPr>
              <w:t>Не се приема</w:t>
            </w:r>
          </w:p>
        </w:tc>
        <w:tc>
          <w:tcPr>
            <w:tcW w:w="4769" w:type="dxa"/>
            <w:tcBorders>
              <w:top w:val="single" w:sz="18" w:space="0" w:color="2E74B5"/>
              <w:left w:val="single" w:sz="12" w:space="0" w:color="2E74B5"/>
              <w:bottom w:val="nil"/>
              <w:right w:val="single" w:sz="24" w:space="0" w:color="2E74B5"/>
            </w:tcBorders>
            <w:shd w:val="clear" w:color="auto" w:fill="auto"/>
          </w:tcPr>
          <w:p w:rsidR="007B1C70" w:rsidRPr="00834EA9" w:rsidRDefault="007B1C70" w:rsidP="007B1C70">
            <w:pPr>
              <w:jc w:val="both"/>
              <w:rPr>
                <w:rFonts w:ascii="Verdana" w:hAnsi="Verdana"/>
                <w:sz w:val="20"/>
                <w:szCs w:val="20"/>
              </w:rPr>
            </w:pPr>
            <w:r>
              <w:rPr>
                <w:rFonts w:ascii="Verdana" w:hAnsi="Verdana"/>
                <w:sz w:val="20"/>
                <w:szCs w:val="20"/>
              </w:rPr>
              <w:t>Възможностите за прехвърляне на средства между интервенциите и насочването на средства към цяла интервенция или определени дейности към нея, следва да бъдат нормативно уредени. Нормата на чл. 5 няма отношение към задълженията на Комитета за наблюдение на СП, а урежда приемите по интервенциите и производството по издаване на съответния административен акт за определяне на бюджет и в някои случаи на период на съответния прием.</w:t>
            </w:r>
          </w:p>
        </w:tc>
      </w:tr>
      <w:tr w:rsidR="007B1C70" w:rsidRPr="00834EA9" w:rsidTr="00632D68">
        <w:trPr>
          <w:trHeight w:val="596"/>
        </w:trPr>
        <w:tc>
          <w:tcPr>
            <w:tcW w:w="622" w:type="dxa"/>
            <w:vMerge/>
            <w:tcBorders>
              <w:top w:val="single" w:sz="12" w:space="0" w:color="2E74B5"/>
              <w:left w:val="single" w:sz="24" w:space="0" w:color="2E74B5"/>
              <w:bottom w:val="single" w:sz="24" w:space="0" w:color="2E74B5"/>
              <w:right w:val="single" w:sz="12" w:space="0" w:color="2E74B5"/>
            </w:tcBorders>
            <w:shd w:val="clear" w:color="auto" w:fill="auto"/>
          </w:tcPr>
          <w:p w:rsidR="007B1C70" w:rsidRPr="00834EA9" w:rsidRDefault="007B1C70" w:rsidP="007B1C70">
            <w:pPr>
              <w:numPr>
                <w:ilvl w:val="0"/>
                <w:numId w:val="5"/>
              </w:numPr>
              <w:tabs>
                <w:tab w:val="left" w:pos="192"/>
              </w:tabs>
              <w:ind w:left="0" w:firstLine="0"/>
              <w:jc w:val="center"/>
              <w:rPr>
                <w:rFonts w:ascii="Verdana" w:hAnsi="Verdana"/>
                <w:b/>
                <w:sz w:val="20"/>
                <w:szCs w:val="20"/>
              </w:rPr>
            </w:pPr>
          </w:p>
        </w:tc>
        <w:tc>
          <w:tcPr>
            <w:tcW w:w="3232" w:type="dxa"/>
            <w:vMerge/>
            <w:tcBorders>
              <w:top w:val="single" w:sz="12" w:space="0" w:color="2E74B5"/>
              <w:left w:val="single" w:sz="12" w:space="0" w:color="2E74B5"/>
              <w:bottom w:val="single" w:sz="24" w:space="0" w:color="2E74B5"/>
              <w:right w:val="single" w:sz="12" w:space="0" w:color="2E74B5"/>
            </w:tcBorders>
            <w:shd w:val="clear" w:color="auto" w:fill="auto"/>
          </w:tcPr>
          <w:p w:rsidR="007B1C70" w:rsidRPr="00834EA9" w:rsidRDefault="007B1C70" w:rsidP="007B1C70">
            <w:pPr>
              <w:rPr>
                <w:rFonts w:ascii="Verdana" w:hAnsi="Verdana"/>
                <w:b/>
                <w:sz w:val="20"/>
                <w:szCs w:val="20"/>
              </w:rPr>
            </w:pPr>
          </w:p>
        </w:tc>
        <w:tc>
          <w:tcPr>
            <w:tcW w:w="5329" w:type="dxa"/>
            <w:tcBorders>
              <w:top w:val="nil"/>
              <w:left w:val="single" w:sz="12" w:space="0" w:color="2E74B5"/>
              <w:bottom w:val="nil"/>
              <w:right w:val="single" w:sz="12" w:space="0" w:color="2E74B5"/>
            </w:tcBorders>
            <w:shd w:val="clear" w:color="auto" w:fill="auto"/>
          </w:tcPr>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w:t>
            </w:r>
          </w:p>
          <w:p w:rsidR="007B1C70" w:rsidRPr="00834EA9" w:rsidRDefault="007B1C70" w:rsidP="007B1C70">
            <w:pPr>
              <w:jc w:val="both"/>
              <w:rPr>
                <w:rFonts w:ascii="Verdana" w:hAnsi="Verdana"/>
                <w:sz w:val="20"/>
                <w:szCs w:val="20"/>
              </w:rPr>
            </w:pPr>
            <w:r w:rsidRPr="00834EA9">
              <w:rPr>
                <w:rFonts w:ascii="Verdana" w:hAnsi="Verdana"/>
                <w:sz w:val="20"/>
                <w:szCs w:val="20"/>
              </w:rPr>
              <w:t>§ 4. Създава се чл. 6а:</w:t>
            </w:r>
          </w:p>
          <w:p w:rsidR="007B1C70" w:rsidRDefault="007B1C70" w:rsidP="007B1C70">
            <w:pPr>
              <w:jc w:val="both"/>
              <w:rPr>
                <w:rFonts w:ascii="Verdana" w:hAnsi="Verdana"/>
                <w:sz w:val="20"/>
                <w:szCs w:val="20"/>
              </w:rPr>
            </w:pPr>
            <w:r w:rsidRPr="00834EA9">
              <w:rPr>
                <w:rFonts w:ascii="Verdana" w:hAnsi="Verdana"/>
                <w:sz w:val="20"/>
                <w:szCs w:val="20"/>
              </w:rPr>
              <w:t>„Чл. 6а. В случаите на непреодолима сила и/или извънредни обстоятелства, които възпрепятстват изпълнението на задължение на кандидат/</w:t>
            </w:r>
            <w:proofErr w:type="spellStart"/>
            <w:r w:rsidRPr="00834EA9">
              <w:rPr>
                <w:rFonts w:ascii="Verdana" w:hAnsi="Verdana"/>
                <w:sz w:val="20"/>
                <w:szCs w:val="20"/>
              </w:rPr>
              <w:t>бенефициер</w:t>
            </w:r>
            <w:proofErr w:type="spellEnd"/>
            <w:r w:rsidRPr="00834EA9">
              <w:rPr>
                <w:rFonts w:ascii="Verdana" w:hAnsi="Verdana"/>
                <w:sz w:val="20"/>
                <w:szCs w:val="20"/>
              </w:rPr>
              <w:t xml:space="preserve"> по тази наредба, същият следва да уведоми за събитието ДФЗ през СЕУ, лично или чрез упълномощено от него лице, в 15-дневен срок от настъпване на събитието. Към уведомлението се прилагат съответните доказателства за наличието на непреодолима сила и/или извънредни обстоятелства, </w:t>
            </w:r>
            <w:r w:rsidRPr="00834EA9">
              <w:rPr>
                <w:rFonts w:ascii="Verdana" w:hAnsi="Verdana"/>
                <w:sz w:val="20"/>
                <w:szCs w:val="20"/>
              </w:rPr>
              <w:lastRenderedPageBreak/>
              <w:t>включително, когато е приложимо – документи, заверени/издадени от компетентен орган.“.</w:t>
            </w:r>
          </w:p>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w:t>
            </w:r>
          </w:p>
          <w:p w:rsidR="007B1C70" w:rsidRPr="00834EA9" w:rsidRDefault="007B1C70" w:rsidP="007B1C70">
            <w:pPr>
              <w:jc w:val="both"/>
              <w:rPr>
                <w:rFonts w:ascii="Verdana" w:hAnsi="Verdana"/>
                <w:sz w:val="20"/>
                <w:szCs w:val="20"/>
              </w:rPr>
            </w:pPr>
            <w:r w:rsidRPr="00834EA9">
              <w:rPr>
                <w:rFonts w:ascii="Verdana" w:hAnsi="Verdana"/>
                <w:sz w:val="20"/>
                <w:szCs w:val="20"/>
              </w:rPr>
              <w:t>„</w:t>
            </w:r>
            <w:proofErr w:type="spellStart"/>
            <w:r w:rsidRPr="00834EA9">
              <w:rPr>
                <w:rFonts w:ascii="Verdana" w:hAnsi="Verdana"/>
                <w:sz w:val="20"/>
                <w:szCs w:val="20"/>
              </w:rPr>
              <w:t>бенефициер</w:t>
            </w:r>
            <w:proofErr w:type="spellEnd"/>
            <w:r w:rsidRPr="00834EA9">
              <w:rPr>
                <w:rFonts w:ascii="Verdana" w:hAnsi="Verdana"/>
                <w:sz w:val="20"/>
                <w:szCs w:val="20"/>
              </w:rPr>
              <w:t>“ да се замени с „бенефициент“.</w:t>
            </w:r>
          </w:p>
          <w:p w:rsidR="007B1C70" w:rsidRPr="00834EA9" w:rsidRDefault="007B1C70" w:rsidP="007B1C70">
            <w:pPr>
              <w:jc w:val="both"/>
              <w:rPr>
                <w:rFonts w:ascii="Verdana" w:hAnsi="Verdana"/>
                <w:sz w:val="20"/>
                <w:szCs w:val="20"/>
              </w:rPr>
            </w:pPr>
            <w:r w:rsidRPr="00834EA9">
              <w:rPr>
                <w:rFonts w:ascii="Verdana" w:hAnsi="Verdana"/>
                <w:sz w:val="20"/>
                <w:szCs w:val="20"/>
              </w:rPr>
              <w:t>Предлагам същото да се направи и в чл. 37, ал. 3, т.7, чл. 37, ал. 6, чл. 38, ал. 7, т. 8, чл. 47, ал. 3, т. 1 , чл. 68, ал. 8, чл. 71, ал. 3 и 4, чл. 81, ал. 9.</w:t>
            </w:r>
          </w:p>
          <w:p w:rsidR="007B1C70" w:rsidRPr="00834EA9" w:rsidRDefault="007B1C70" w:rsidP="007B1C70">
            <w:pPr>
              <w:jc w:val="both"/>
              <w:rPr>
                <w:rFonts w:ascii="Verdana" w:hAnsi="Verdana"/>
                <w:sz w:val="20"/>
                <w:szCs w:val="20"/>
              </w:rPr>
            </w:pPr>
            <w:r w:rsidRPr="00834EA9">
              <w:rPr>
                <w:rFonts w:ascii="Verdana" w:hAnsi="Verdana"/>
                <w:sz w:val="20"/>
                <w:szCs w:val="20"/>
              </w:rPr>
              <w:t>ОСНОВАНИЕ:</w:t>
            </w:r>
          </w:p>
          <w:p w:rsidR="007B1C70" w:rsidRPr="00834EA9" w:rsidRDefault="007B1C70" w:rsidP="007B1C70">
            <w:pPr>
              <w:jc w:val="both"/>
              <w:rPr>
                <w:rFonts w:ascii="Verdana" w:hAnsi="Verdana"/>
                <w:sz w:val="20"/>
                <w:szCs w:val="20"/>
              </w:rPr>
            </w:pPr>
            <w:r w:rsidRPr="00834EA9">
              <w:rPr>
                <w:rFonts w:ascii="Verdana" w:hAnsi="Verdana"/>
                <w:sz w:val="20"/>
                <w:szCs w:val="20"/>
              </w:rPr>
              <w:t>В останалия текст на наредбата се ползва „бенефициент“ и по този начин ще се уеднакви ползвания термин в нея.</w:t>
            </w:r>
          </w:p>
        </w:tc>
        <w:tc>
          <w:tcPr>
            <w:tcW w:w="1644" w:type="dxa"/>
            <w:tcBorders>
              <w:top w:val="nil"/>
              <w:left w:val="single" w:sz="12" w:space="0" w:color="2E74B5"/>
              <w:bottom w:val="nil"/>
              <w:right w:val="single" w:sz="12" w:space="0" w:color="2E74B5"/>
            </w:tcBorders>
            <w:shd w:val="clear" w:color="auto" w:fill="auto"/>
          </w:tcPr>
          <w:p w:rsidR="007B1C70" w:rsidRPr="00834EA9" w:rsidRDefault="007B1C70" w:rsidP="007B1C70">
            <w:pPr>
              <w:rPr>
                <w:rFonts w:ascii="Verdana" w:hAnsi="Verdana"/>
                <w:sz w:val="20"/>
                <w:szCs w:val="20"/>
              </w:rPr>
            </w:pPr>
            <w:r>
              <w:rPr>
                <w:rFonts w:ascii="Verdana" w:hAnsi="Verdana"/>
                <w:sz w:val="20"/>
                <w:szCs w:val="20"/>
              </w:rPr>
              <w:lastRenderedPageBreak/>
              <w:t>Не се приема</w:t>
            </w:r>
          </w:p>
        </w:tc>
        <w:tc>
          <w:tcPr>
            <w:tcW w:w="4769" w:type="dxa"/>
            <w:tcBorders>
              <w:top w:val="nil"/>
              <w:left w:val="single" w:sz="12" w:space="0" w:color="2E74B5"/>
              <w:bottom w:val="nil"/>
              <w:right w:val="single" w:sz="24" w:space="0" w:color="2E74B5"/>
            </w:tcBorders>
            <w:shd w:val="clear" w:color="auto" w:fill="auto"/>
          </w:tcPr>
          <w:p w:rsidR="007B1C70" w:rsidRPr="00834EA9" w:rsidRDefault="007B1C70" w:rsidP="007B1C70">
            <w:pPr>
              <w:rPr>
                <w:rFonts w:ascii="Verdana" w:hAnsi="Verdana"/>
                <w:sz w:val="20"/>
                <w:szCs w:val="20"/>
              </w:rPr>
            </w:pPr>
            <w:r>
              <w:rPr>
                <w:rFonts w:ascii="Verdana" w:hAnsi="Verdana"/>
                <w:sz w:val="20"/>
                <w:szCs w:val="20"/>
              </w:rPr>
              <w:t>Двата термина са идентични смислово.</w:t>
            </w:r>
          </w:p>
        </w:tc>
      </w:tr>
      <w:tr w:rsidR="007B1C70" w:rsidRPr="00834EA9" w:rsidTr="00632D68">
        <w:trPr>
          <w:trHeight w:val="233"/>
        </w:trPr>
        <w:tc>
          <w:tcPr>
            <w:tcW w:w="622" w:type="dxa"/>
            <w:vMerge/>
            <w:tcBorders>
              <w:top w:val="single" w:sz="12" w:space="0" w:color="2E74B5"/>
              <w:left w:val="single" w:sz="24" w:space="0" w:color="2E74B5"/>
              <w:bottom w:val="single" w:sz="24" w:space="0" w:color="2E74B5"/>
              <w:right w:val="single" w:sz="12" w:space="0" w:color="2E74B5"/>
            </w:tcBorders>
            <w:shd w:val="clear" w:color="auto" w:fill="auto"/>
          </w:tcPr>
          <w:p w:rsidR="007B1C70" w:rsidRPr="00834EA9" w:rsidRDefault="007B1C70" w:rsidP="007B1C70">
            <w:pPr>
              <w:numPr>
                <w:ilvl w:val="0"/>
                <w:numId w:val="5"/>
              </w:numPr>
              <w:tabs>
                <w:tab w:val="left" w:pos="192"/>
              </w:tabs>
              <w:ind w:left="0" w:firstLine="0"/>
              <w:jc w:val="center"/>
              <w:rPr>
                <w:rFonts w:ascii="Verdana" w:hAnsi="Verdana"/>
                <w:b/>
                <w:sz w:val="20"/>
                <w:szCs w:val="20"/>
              </w:rPr>
            </w:pPr>
          </w:p>
        </w:tc>
        <w:tc>
          <w:tcPr>
            <w:tcW w:w="3232" w:type="dxa"/>
            <w:vMerge/>
            <w:tcBorders>
              <w:top w:val="single" w:sz="12" w:space="0" w:color="2E74B5"/>
              <w:left w:val="single" w:sz="12" w:space="0" w:color="2E74B5"/>
              <w:bottom w:val="single" w:sz="24" w:space="0" w:color="2E74B5"/>
              <w:right w:val="single" w:sz="12" w:space="0" w:color="2E74B5"/>
            </w:tcBorders>
            <w:shd w:val="clear" w:color="auto" w:fill="auto"/>
          </w:tcPr>
          <w:p w:rsidR="007B1C70" w:rsidRPr="00834EA9" w:rsidRDefault="007B1C70" w:rsidP="007B1C70">
            <w:pPr>
              <w:rPr>
                <w:rFonts w:ascii="Verdana" w:hAnsi="Verdana"/>
                <w:b/>
                <w:sz w:val="20"/>
                <w:szCs w:val="20"/>
              </w:rPr>
            </w:pPr>
          </w:p>
        </w:tc>
        <w:tc>
          <w:tcPr>
            <w:tcW w:w="5329" w:type="dxa"/>
            <w:tcBorders>
              <w:top w:val="nil"/>
              <w:left w:val="single" w:sz="12" w:space="0" w:color="2E74B5"/>
              <w:bottom w:val="nil"/>
              <w:right w:val="single" w:sz="12" w:space="0" w:color="2E74B5"/>
            </w:tcBorders>
            <w:shd w:val="clear" w:color="auto" w:fill="auto"/>
          </w:tcPr>
          <w:p w:rsidR="007B1C70" w:rsidRPr="00834EA9" w:rsidRDefault="007B1C70" w:rsidP="007B1C70">
            <w:pPr>
              <w:jc w:val="both"/>
              <w:rPr>
                <w:rFonts w:ascii="Verdana" w:hAnsi="Verdana"/>
                <w:sz w:val="20"/>
                <w:szCs w:val="20"/>
              </w:rPr>
            </w:pPr>
            <w:r w:rsidRPr="00834EA9">
              <w:rPr>
                <w:rFonts w:ascii="Verdana" w:hAnsi="Verdana"/>
                <w:sz w:val="20"/>
                <w:szCs w:val="20"/>
              </w:rPr>
              <w:t>§ 8. В чл. 14 се правят следните изменения и допълнения:</w:t>
            </w:r>
          </w:p>
          <w:p w:rsidR="007B1C70" w:rsidRPr="00834EA9" w:rsidRDefault="007B1C70" w:rsidP="007B1C70">
            <w:pPr>
              <w:jc w:val="both"/>
              <w:rPr>
                <w:rFonts w:ascii="Verdana" w:hAnsi="Verdana"/>
                <w:sz w:val="20"/>
                <w:szCs w:val="20"/>
              </w:rPr>
            </w:pPr>
            <w:r w:rsidRPr="00834EA9">
              <w:rPr>
                <w:rFonts w:ascii="Verdana" w:hAnsi="Verdana"/>
                <w:sz w:val="20"/>
                <w:szCs w:val="20"/>
              </w:rPr>
              <w:t>2. В ал. 4 изречение второ се заличава.</w:t>
            </w:r>
          </w:p>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w:t>
            </w:r>
          </w:p>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Предложението да отпадне.</w:t>
            </w:r>
          </w:p>
          <w:p w:rsidR="007B1C70" w:rsidRPr="00834EA9" w:rsidRDefault="007B1C70" w:rsidP="007B1C70">
            <w:pPr>
              <w:jc w:val="both"/>
              <w:rPr>
                <w:rFonts w:ascii="Verdana" w:hAnsi="Verdana"/>
                <w:sz w:val="20"/>
                <w:szCs w:val="20"/>
              </w:rPr>
            </w:pPr>
            <w:r w:rsidRPr="00834EA9">
              <w:rPr>
                <w:rFonts w:ascii="Verdana" w:hAnsi="Verdana"/>
                <w:sz w:val="20"/>
                <w:szCs w:val="20"/>
              </w:rPr>
              <w:t>ОСНОВАНИЕ:</w:t>
            </w:r>
          </w:p>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Предложението не е мотивирано в доклада към НИД.</w:t>
            </w:r>
          </w:p>
          <w:p w:rsidR="007B1C70" w:rsidRPr="00834EA9" w:rsidRDefault="007B1C70" w:rsidP="007B1C70">
            <w:pPr>
              <w:jc w:val="both"/>
              <w:rPr>
                <w:rFonts w:ascii="Verdana" w:hAnsi="Verdana"/>
                <w:sz w:val="20"/>
                <w:szCs w:val="20"/>
              </w:rPr>
            </w:pPr>
            <w:r w:rsidRPr="00834EA9">
              <w:rPr>
                <w:rFonts w:ascii="Verdana" w:hAnsi="Verdana"/>
                <w:sz w:val="20"/>
                <w:szCs w:val="20"/>
              </w:rPr>
              <w:t>Системата се ползва по чл. 23, ал. 2</w:t>
            </w:r>
          </w:p>
          <w:p w:rsidR="007B1C70" w:rsidRPr="00834EA9" w:rsidRDefault="007B1C70" w:rsidP="007B1C70">
            <w:pPr>
              <w:jc w:val="both"/>
              <w:rPr>
                <w:rFonts w:ascii="Verdana" w:hAnsi="Verdana"/>
                <w:sz w:val="20"/>
                <w:szCs w:val="20"/>
              </w:rPr>
            </w:pPr>
            <w:r w:rsidRPr="00834EA9">
              <w:rPr>
                <w:rFonts w:ascii="Verdana" w:hAnsi="Verdana"/>
                <w:sz w:val="20"/>
                <w:szCs w:val="20"/>
              </w:rPr>
              <w:t>Системата се ползва при схеми за площ по реда на Глава 8 от НАРЕДБА№ 105 ОТ 22 АВГУСТ 2006Г. ЗА УСЛОВИЯТА И РЕДА ЗА СЪЗДАВАНЕ, ПОДДЪРЖАНЕ, ДОСТЪП И ПОЛЗВАНЕ НА ИНТЕГРИРАНАТА СИСТЕМА ЗА АДМИНИСТРИРАНЕ И КОНТРОЛ</w:t>
            </w:r>
          </w:p>
        </w:tc>
        <w:tc>
          <w:tcPr>
            <w:tcW w:w="1644" w:type="dxa"/>
            <w:tcBorders>
              <w:top w:val="nil"/>
              <w:left w:val="single" w:sz="12" w:space="0" w:color="2E74B5"/>
              <w:bottom w:val="nil"/>
              <w:right w:val="single" w:sz="12" w:space="0" w:color="2E74B5"/>
            </w:tcBorders>
            <w:shd w:val="clear" w:color="auto" w:fill="auto"/>
          </w:tcPr>
          <w:p w:rsidR="007B1C70" w:rsidRPr="00834EA9" w:rsidRDefault="007B1C70" w:rsidP="007B1C70">
            <w:pPr>
              <w:rPr>
                <w:rFonts w:ascii="Verdana" w:hAnsi="Verdana"/>
                <w:sz w:val="20"/>
                <w:szCs w:val="20"/>
              </w:rPr>
            </w:pPr>
            <w:r>
              <w:rPr>
                <w:rFonts w:ascii="Verdana" w:hAnsi="Verdana"/>
                <w:sz w:val="20"/>
                <w:szCs w:val="20"/>
              </w:rPr>
              <w:t>Не се приема</w:t>
            </w:r>
          </w:p>
        </w:tc>
        <w:tc>
          <w:tcPr>
            <w:tcW w:w="4769" w:type="dxa"/>
            <w:tcBorders>
              <w:top w:val="nil"/>
              <w:left w:val="single" w:sz="12" w:space="0" w:color="2E74B5"/>
              <w:bottom w:val="nil"/>
              <w:right w:val="single" w:sz="24" w:space="0" w:color="2E74B5"/>
            </w:tcBorders>
            <w:shd w:val="clear" w:color="auto" w:fill="auto"/>
          </w:tcPr>
          <w:p w:rsidR="007B1C70" w:rsidRPr="00834EA9" w:rsidRDefault="007B1C70" w:rsidP="007B1C70">
            <w:pPr>
              <w:jc w:val="both"/>
              <w:rPr>
                <w:rFonts w:ascii="Verdana" w:hAnsi="Verdana"/>
                <w:sz w:val="20"/>
                <w:szCs w:val="20"/>
              </w:rPr>
            </w:pPr>
            <w:r>
              <w:rPr>
                <w:rFonts w:ascii="Verdana" w:hAnsi="Verdana"/>
                <w:sz w:val="20"/>
                <w:szCs w:val="20"/>
              </w:rPr>
              <w:t>Отпадането текста е съобразено с прилагането на интервенциите и осъществявания по тях контрол.</w:t>
            </w:r>
          </w:p>
        </w:tc>
      </w:tr>
      <w:tr w:rsidR="007B1C70" w:rsidRPr="00834EA9" w:rsidTr="00632D68">
        <w:trPr>
          <w:trHeight w:val="596"/>
        </w:trPr>
        <w:tc>
          <w:tcPr>
            <w:tcW w:w="622" w:type="dxa"/>
            <w:vMerge/>
            <w:tcBorders>
              <w:top w:val="single" w:sz="12" w:space="0" w:color="2E74B5"/>
              <w:left w:val="single" w:sz="24" w:space="0" w:color="2E74B5"/>
              <w:bottom w:val="single" w:sz="24" w:space="0" w:color="2E74B5"/>
              <w:right w:val="single" w:sz="12" w:space="0" w:color="2E74B5"/>
            </w:tcBorders>
            <w:shd w:val="clear" w:color="auto" w:fill="auto"/>
          </w:tcPr>
          <w:p w:rsidR="007B1C70" w:rsidRPr="00834EA9" w:rsidRDefault="007B1C70" w:rsidP="007B1C70">
            <w:pPr>
              <w:numPr>
                <w:ilvl w:val="0"/>
                <w:numId w:val="5"/>
              </w:numPr>
              <w:tabs>
                <w:tab w:val="left" w:pos="192"/>
              </w:tabs>
              <w:ind w:left="0" w:firstLine="0"/>
              <w:jc w:val="center"/>
              <w:rPr>
                <w:rFonts w:ascii="Verdana" w:hAnsi="Verdana"/>
                <w:b/>
                <w:sz w:val="20"/>
                <w:szCs w:val="20"/>
              </w:rPr>
            </w:pPr>
          </w:p>
        </w:tc>
        <w:tc>
          <w:tcPr>
            <w:tcW w:w="3232" w:type="dxa"/>
            <w:vMerge/>
            <w:tcBorders>
              <w:top w:val="single" w:sz="12" w:space="0" w:color="2E74B5"/>
              <w:left w:val="single" w:sz="12" w:space="0" w:color="2E74B5"/>
              <w:bottom w:val="single" w:sz="24" w:space="0" w:color="2E74B5"/>
              <w:right w:val="single" w:sz="12" w:space="0" w:color="2E74B5"/>
            </w:tcBorders>
            <w:shd w:val="clear" w:color="auto" w:fill="auto"/>
          </w:tcPr>
          <w:p w:rsidR="007B1C70" w:rsidRPr="00834EA9" w:rsidRDefault="007B1C70" w:rsidP="007B1C70">
            <w:pPr>
              <w:rPr>
                <w:rFonts w:ascii="Verdana" w:hAnsi="Verdana"/>
                <w:b/>
                <w:sz w:val="20"/>
                <w:szCs w:val="20"/>
              </w:rPr>
            </w:pPr>
          </w:p>
        </w:tc>
        <w:tc>
          <w:tcPr>
            <w:tcW w:w="5329" w:type="dxa"/>
            <w:tcBorders>
              <w:top w:val="nil"/>
              <w:left w:val="single" w:sz="12" w:space="0" w:color="2E74B5"/>
              <w:bottom w:val="single" w:sz="24" w:space="0" w:color="2E74B5"/>
              <w:right w:val="single" w:sz="12" w:space="0" w:color="2E74B5"/>
            </w:tcBorders>
            <w:shd w:val="clear" w:color="auto" w:fill="auto"/>
          </w:tcPr>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w:t>
            </w:r>
          </w:p>
          <w:p w:rsidR="007B1C70" w:rsidRPr="00834EA9" w:rsidRDefault="007B1C70" w:rsidP="007B1C70">
            <w:pPr>
              <w:jc w:val="both"/>
              <w:rPr>
                <w:rFonts w:ascii="Verdana" w:hAnsi="Verdana"/>
                <w:sz w:val="20"/>
                <w:szCs w:val="20"/>
              </w:rPr>
            </w:pPr>
            <w:r w:rsidRPr="00834EA9">
              <w:rPr>
                <w:rFonts w:ascii="Verdana" w:hAnsi="Verdana"/>
                <w:sz w:val="20"/>
                <w:szCs w:val="20"/>
              </w:rPr>
              <w:t>§ 22. В чл. 31 се правят следните изменения и допълнения:</w:t>
            </w:r>
          </w:p>
          <w:p w:rsidR="007B1C70" w:rsidRPr="00834EA9" w:rsidRDefault="007B1C70" w:rsidP="007B1C70">
            <w:pPr>
              <w:jc w:val="both"/>
              <w:rPr>
                <w:rFonts w:ascii="Verdana" w:hAnsi="Verdana"/>
                <w:sz w:val="20"/>
                <w:szCs w:val="20"/>
              </w:rPr>
            </w:pPr>
            <w:r w:rsidRPr="00834EA9">
              <w:rPr>
                <w:rFonts w:ascii="Verdana" w:hAnsi="Verdana"/>
                <w:sz w:val="20"/>
                <w:szCs w:val="20"/>
              </w:rPr>
              <w:t>2. В ал. 2:</w:t>
            </w:r>
          </w:p>
          <w:p w:rsidR="007B1C70" w:rsidRDefault="007B1C70" w:rsidP="007B1C70">
            <w:pPr>
              <w:jc w:val="both"/>
              <w:rPr>
                <w:rFonts w:ascii="Verdana" w:hAnsi="Verdana"/>
                <w:sz w:val="20"/>
                <w:szCs w:val="20"/>
              </w:rPr>
            </w:pPr>
            <w:r w:rsidRPr="00834EA9">
              <w:rPr>
                <w:rFonts w:ascii="Verdana" w:hAnsi="Verdana"/>
                <w:sz w:val="20"/>
                <w:szCs w:val="20"/>
              </w:rPr>
              <w:t>г) в т. 5 след абревиатурата „ЗМСП“ се добавя „за период от 2 години“;</w:t>
            </w:r>
          </w:p>
          <w:p w:rsidR="007B1C70" w:rsidRPr="00834EA9" w:rsidRDefault="007B1C70" w:rsidP="007B1C70">
            <w:pPr>
              <w:jc w:val="both"/>
              <w:rPr>
                <w:rFonts w:ascii="Verdana" w:hAnsi="Verdana"/>
                <w:sz w:val="20"/>
                <w:szCs w:val="20"/>
              </w:rPr>
            </w:pPr>
            <w:r w:rsidRPr="00834EA9">
              <w:rPr>
                <w:rFonts w:ascii="Verdana" w:hAnsi="Verdana"/>
                <w:sz w:val="20"/>
                <w:szCs w:val="20"/>
              </w:rPr>
              <w:t>ПРЕДЛОЖЕНИЕ:</w:t>
            </w:r>
          </w:p>
          <w:p w:rsidR="007B1C70" w:rsidRPr="00834EA9" w:rsidRDefault="007B1C70" w:rsidP="007B1C70">
            <w:pPr>
              <w:jc w:val="both"/>
              <w:rPr>
                <w:rFonts w:ascii="Verdana" w:hAnsi="Verdana"/>
                <w:sz w:val="20"/>
                <w:szCs w:val="20"/>
              </w:rPr>
            </w:pPr>
            <w:r w:rsidRPr="00834EA9">
              <w:rPr>
                <w:rFonts w:ascii="Verdana" w:hAnsi="Verdana"/>
                <w:sz w:val="20"/>
                <w:szCs w:val="20"/>
              </w:rPr>
              <w:lastRenderedPageBreak/>
              <w:t>Да се промени на „за последните две приключени години, преди годината на кандидатстване“</w:t>
            </w:r>
          </w:p>
          <w:p w:rsidR="007B1C70" w:rsidRPr="00834EA9" w:rsidRDefault="007B1C70" w:rsidP="007B1C70">
            <w:pPr>
              <w:jc w:val="both"/>
              <w:rPr>
                <w:rFonts w:ascii="Verdana" w:hAnsi="Verdana"/>
                <w:sz w:val="20"/>
                <w:szCs w:val="20"/>
              </w:rPr>
            </w:pPr>
            <w:r w:rsidRPr="00834EA9">
              <w:rPr>
                <w:rFonts w:ascii="Verdana" w:hAnsi="Verdana"/>
                <w:sz w:val="20"/>
                <w:szCs w:val="20"/>
              </w:rPr>
              <w:t>ОСНОВАНИЕ:</w:t>
            </w:r>
          </w:p>
          <w:p w:rsidR="007B1C70" w:rsidRPr="00834EA9" w:rsidRDefault="007B1C70" w:rsidP="007B1C70">
            <w:pPr>
              <w:jc w:val="both"/>
              <w:rPr>
                <w:rFonts w:ascii="Verdana" w:hAnsi="Verdana"/>
                <w:sz w:val="20"/>
                <w:szCs w:val="20"/>
              </w:rPr>
            </w:pPr>
            <w:r w:rsidRPr="00834EA9">
              <w:rPr>
                <w:rFonts w:ascii="Verdana" w:hAnsi="Verdana"/>
                <w:sz w:val="20"/>
                <w:szCs w:val="20"/>
              </w:rPr>
              <w:t>Декларацията е за една приключена година, а не за период от две години.</w:t>
            </w:r>
          </w:p>
        </w:tc>
        <w:tc>
          <w:tcPr>
            <w:tcW w:w="1644" w:type="dxa"/>
            <w:tcBorders>
              <w:top w:val="nil"/>
              <w:left w:val="single" w:sz="12" w:space="0" w:color="2E74B5"/>
              <w:bottom w:val="single" w:sz="24" w:space="0" w:color="2E74B5"/>
              <w:right w:val="single" w:sz="12" w:space="0" w:color="2E74B5"/>
            </w:tcBorders>
            <w:shd w:val="clear" w:color="auto" w:fill="auto"/>
          </w:tcPr>
          <w:p w:rsidR="007B1C70" w:rsidRPr="00834EA9" w:rsidRDefault="007B1C70" w:rsidP="007B1C70">
            <w:pPr>
              <w:rPr>
                <w:rFonts w:ascii="Verdana" w:hAnsi="Verdana"/>
                <w:sz w:val="20"/>
                <w:szCs w:val="20"/>
              </w:rPr>
            </w:pPr>
            <w:r>
              <w:rPr>
                <w:rFonts w:ascii="Verdana" w:hAnsi="Verdana"/>
                <w:sz w:val="20"/>
                <w:szCs w:val="20"/>
              </w:rPr>
              <w:lastRenderedPageBreak/>
              <w:t>Не се приема</w:t>
            </w:r>
          </w:p>
        </w:tc>
        <w:tc>
          <w:tcPr>
            <w:tcW w:w="4769" w:type="dxa"/>
            <w:tcBorders>
              <w:top w:val="nil"/>
              <w:left w:val="single" w:sz="12" w:space="0" w:color="2E74B5"/>
              <w:bottom w:val="single" w:sz="24" w:space="0" w:color="2E74B5"/>
              <w:right w:val="single" w:sz="24" w:space="0" w:color="2E74B5"/>
            </w:tcBorders>
            <w:shd w:val="clear" w:color="auto" w:fill="auto"/>
          </w:tcPr>
          <w:p w:rsidR="007B1C70" w:rsidRPr="00834EA9" w:rsidRDefault="007B1C70" w:rsidP="007B1C70">
            <w:pPr>
              <w:jc w:val="both"/>
              <w:rPr>
                <w:rFonts w:ascii="Verdana" w:hAnsi="Verdana"/>
                <w:sz w:val="20"/>
                <w:szCs w:val="20"/>
              </w:rPr>
            </w:pPr>
            <w:r>
              <w:rPr>
                <w:rFonts w:ascii="Verdana" w:hAnsi="Verdana"/>
                <w:sz w:val="20"/>
                <w:szCs w:val="20"/>
              </w:rPr>
              <w:t xml:space="preserve">Въпросът е уреден в ЗМСП и предложения текст в наредбата не противоречи на закона. </w:t>
            </w:r>
          </w:p>
        </w:tc>
      </w:tr>
    </w:tbl>
    <w:p w:rsidR="007D0AFE" w:rsidRDefault="007D0AFE" w:rsidP="007D0AFE">
      <w:pPr>
        <w:rPr>
          <w:rFonts w:ascii="Verdana" w:hAnsi="Verdana"/>
          <w:sz w:val="20"/>
          <w:szCs w:val="20"/>
        </w:rPr>
      </w:pPr>
      <w:bookmarkStart w:id="0" w:name="_GoBack"/>
      <w:bookmarkEnd w:id="0"/>
    </w:p>
    <w:sectPr w:rsidR="007D0AFE" w:rsidSect="003A02F6">
      <w:footerReference w:type="even" r:id="rId9"/>
      <w:footerReference w:type="default" r:id="rId10"/>
      <w:headerReference w:type="first" r:id="rId11"/>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06E" w:rsidRDefault="0017706E">
      <w:r>
        <w:separator/>
      </w:r>
    </w:p>
  </w:endnote>
  <w:endnote w:type="continuationSeparator" w:id="0">
    <w:p w:rsidR="0017706E" w:rsidRDefault="0017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6"/>
        <w:szCs w:val="16"/>
      </w:rPr>
    </w:sdtEndPr>
    <w:sdtContent>
      <w:p w:rsidR="00D56BB2" w:rsidRPr="0068327D" w:rsidRDefault="00D56BB2" w:rsidP="00D56BB2">
        <w:pPr>
          <w:pStyle w:val="Footer"/>
          <w:jc w:val="right"/>
          <w:rPr>
            <w:rFonts w:ascii="Verdana" w:hAnsi="Verdana"/>
            <w:sz w:val="16"/>
            <w:szCs w:val="16"/>
          </w:rPr>
        </w:pPr>
        <w:r w:rsidRPr="0068327D">
          <w:rPr>
            <w:rFonts w:ascii="Verdana" w:hAnsi="Verdana"/>
            <w:sz w:val="16"/>
            <w:szCs w:val="16"/>
          </w:rPr>
          <w:fldChar w:fldCharType="begin"/>
        </w:r>
        <w:r w:rsidRPr="0068327D">
          <w:rPr>
            <w:rFonts w:ascii="Verdana" w:hAnsi="Verdana"/>
            <w:sz w:val="16"/>
            <w:szCs w:val="16"/>
          </w:rPr>
          <w:instrText xml:space="preserve"> PAGE   \* MERGEFORMAT </w:instrText>
        </w:r>
        <w:r w:rsidRPr="0068327D">
          <w:rPr>
            <w:rFonts w:ascii="Verdana" w:hAnsi="Verdana"/>
            <w:sz w:val="16"/>
            <w:szCs w:val="16"/>
          </w:rPr>
          <w:fldChar w:fldCharType="separate"/>
        </w:r>
        <w:r w:rsidR="005D2DF0">
          <w:rPr>
            <w:rFonts w:ascii="Verdana" w:hAnsi="Verdana"/>
            <w:noProof/>
            <w:sz w:val="16"/>
            <w:szCs w:val="16"/>
          </w:rPr>
          <w:t>2</w:t>
        </w:r>
        <w:r w:rsidRPr="0068327D">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06E" w:rsidRDefault="0017706E">
      <w:r>
        <w:separator/>
      </w:r>
    </w:p>
  </w:footnote>
  <w:footnote w:type="continuationSeparator" w:id="0">
    <w:p w:rsidR="0017706E" w:rsidRDefault="0017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C3A"/>
    <w:multiLevelType w:val="multilevel"/>
    <w:tmpl w:val="098A458C"/>
    <w:lvl w:ilvl="0">
      <w:start w:val="1"/>
      <w:numFmt w:val="decimal"/>
      <w:suff w:val="space"/>
      <w:lvlText w:val="%1."/>
      <w:lvlJc w:val="right"/>
      <w:pPr>
        <w:ind w:left="28" w:firstLine="397"/>
      </w:pPr>
      <w:rPr>
        <w:rFonts w:hint="default"/>
      </w:rPr>
    </w:lvl>
    <w:lvl w:ilvl="1">
      <w:start w:val="1"/>
      <w:numFmt w:val="lowerLetter"/>
      <w:lvlText w:val="%2."/>
      <w:lvlJc w:val="left"/>
      <w:pPr>
        <w:ind w:left="1468" w:hanging="360"/>
      </w:pPr>
      <w:rPr>
        <w:rFonts w:hint="default"/>
      </w:rPr>
    </w:lvl>
    <w:lvl w:ilvl="2">
      <w:start w:val="1"/>
      <w:numFmt w:val="lowerRoman"/>
      <w:lvlText w:val="%3."/>
      <w:lvlJc w:val="right"/>
      <w:pPr>
        <w:ind w:left="2188" w:hanging="180"/>
      </w:pPr>
      <w:rPr>
        <w:rFonts w:hint="default"/>
      </w:rPr>
    </w:lvl>
    <w:lvl w:ilvl="3">
      <w:start w:val="1"/>
      <w:numFmt w:val="decimal"/>
      <w:lvlText w:val="%4."/>
      <w:lvlJc w:val="left"/>
      <w:pPr>
        <w:ind w:left="2908" w:hanging="360"/>
      </w:pPr>
      <w:rPr>
        <w:rFonts w:hint="default"/>
      </w:rPr>
    </w:lvl>
    <w:lvl w:ilvl="4">
      <w:start w:val="1"/>
      <w:numFmt w:val="lowerLetter"/>
      <w:lvlText w:val="%5."/>
      <w:lvlJc w:val="left"/>
      <w:pPr>
        <w:ind w:left="3628" w:hanging="360"/>
      </w:pPr>
      <w:rPr>
        <w:rFonts w:hint="default"/>
      </w:rPr>
    </w:lvl>
    <w:lvl w:ilvl="5">
      <w:start w:val="1"/>
      <w:numFmt w:val="lowerRoman"/>
      <w:lvlText w:val="%6."/>
      <w:lvlJc w:val="right"/>
      <w:pPr>
        <w:ind w:left="4348" w:hanging="180"/>
      </w:pPr>
      <w:rPr>
        <w:rFonts w:hint="default"/>
      </w:rPr>
    </w:lvl>
    <w:lvl w:ilvl="6">
      <w:start w:val="1"/>
      <w:numFmt w:val="decimal"/>
      <w:lvlText w:val="%7."/>
      <w:lvlJc w:val="left"/>
      <w:pPr>
        <w:ind w:left="5068" w:hanging="360"/>
      </w:pPr>
      <w:rPr>
        <w:rFonts w:hint="default"/>
      </w:rPr>
    </w:lvl>
    <w:lvl w:ilvl="7">
      <w:start w:val="1"/>
      <w:numFmt w:val="lowerLetter"/>
      <w:lvlText w:val="%8."/>
      <w:lvlJc w:val="left"/>
      <w:pPr>
        <w:ind w:left="5788" w:hanging="360"/>
      </w:pPr>
      <w:rPr>
        <w:rFonts w:hint="default"/>
      </w:rPr>
    </w:lvl>
    <w:lvl w:ilvl="8">
      <w:start w:val="1"/>
      <w:numFmt w:val="lowerRoman"/>
      <w:lvlText w:val="%9."/>
      <w:lvlJc w:val="right"/>
      <w:pPr>
        <w:ind w:left="6508" w:hanging="180"/>
      </w:pPr>
      <w:rPr>
        <w:rFonts w:hint="default"/>
      </w:rPr>
    </w:lvl>
  </w:abstractNum>
  <w:abstractNum w:abstractNumId="1"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3489"/>
    <w:rsid w:val="000042F6"/>
    <w:rsid w:val="0000470F"/>
    <w:rsid w:val="00005688"/>
    <w:rsid w:val="000101A6"/>
    <w:rsid w:val="000115D5"/>
    <w:rsid w:val="000138AE"/>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A36AB"/>
    <w:rsid w:val="000B298E"/>
    <w:rsid w:val="000B2EB1"/>
    <w:rsid w:val="000B3D5F"/>
    <w:rsid w:val="000B5A9D"/>
    <w:rsid w:val="000B6AE5"/>
    <w:rsid w:val="000B6D57"/>
    <w:rsid w:val="000C46A7"/>
    <w:rsid w:val="000C5E61"/>
    <w:rsid w:val="000C6E52"/>
    <w:rsid w:val="000D361C"/>
    <w:rsid w:val="000D4198"/>
    <w:rsid w:val="000E3570"/>
    <w:rsid w:val="000F02C5"/>
    <w:rsid w:val="000F2B15"/>
    <w:rsid w:val="000F31C8"/>
    <w:rsid w:val="000F3490"/>
    <w:rsid w:val="00103860"/>
    <w:rsid w:val="00103FA5"/>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06E"/>
    <w:rsid w:val="00177AA6"/>
    <w:rsid w:val="001808B4"/>
    <w:rsid w:val="0018509E"/>
    <w:rsid w:val="00191645"/>
    <w:rsid w:val="001948B0"/>
    <w:rsid w:val="001A0680"/>
    <w:rsid w:val="001B4CD8"/>
    <w:rsid w:val="001D362A"/>
    <w:rsid w:val="001E4FE9"/>
    <w:rsid w:val="001E64F2"/>
    <w:rsid w:val="001F0567"/>
    <w:rsid w:val="001F1F60"/>
    <w:rsid w:val="001F314D"/>
    <w:rsid w:val="00200E63"/>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9749C"/>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6298"/>
    <w:rsid w:val="0031111D"/>
    <w:rsid w:val="00312FB3"/>
    <w:rsid w:val="00314F63"/>
    <w:rsid w:val="003154C2"/>
    <w:rsid w:val="00316618"/>
    <w:rsid w:val="00321BD0"/>
    <w:rsid w:val="00326B58"/>
    <w:rsid w:val="0032726C"/>
    <w:rsid w:val="003336CE"/>
    <w:rsid w:val="00333BD7"/>
    <w:rsid w:val="00346856"/>
    <w:rsid w:val="00351063"/>
    <w:rsid w:val="00357018"/>
    <w:rsid w:val="003640F0"/>
    <w:rsid w:val="003701A9"/>
    <w:rsid w:val="0037191E"/>
    <w:rsid w:val="00377A96"/>
    <w:rsid w:val="00377FE2"/>
    <w:rsid w:val="00384B8B"/>
    <w:rsid w:val="00387130"/>
    <w:rsid w:val="00387162"/>
    <w:rsid w:val="00395655"/>
    <w:rsid w:val="003A02F6"/>
    <w:rsid w:val="003A060F"/>
    <w:rsid w:val="003B15FD"/>
    <w:rsid w:val="003B6DA8"/>
    <w:rsid w:val="003C1F1E"/>
    <w:rsid w:val="003C563D"/>
    <w:rsid w:val="003C5C7B"/>
    <w:rsid w:val="003D6231"/>
    <w:rsid w:val="003E0EFB"/>
    <w:rsid w:val="003E361D"/>
    <w:rsid w:val="003F2026"/>
    <w:rsid w:val="003F3728"/>
    <w:rsid w:val="003F7612"/>
    <w:rsid w:val="003F77C7"/>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5643"/>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5F40"/>
    <w:rsid w:val="005260B9"/>
    <w:rsid w:val="00534E66"/>
    <w:rsid w:val="00540C53"/>
    <w:rsid w:val="005424B9"/>
    <w:rsid w:val="00543E05"/>
    <w:rsid w:val="005462B1"/>
    <w:rsid w:val="005531AA"/>
    <w:rsid w:val="00554B28"/>
    <w:rsid w:val="00554CC1"/>
    <w:rsid w:val="00560873"/>
    <w:rsid w:val="00563FA3"/>
    <w:rsid w:val="005644C8"/>
    <w:rsid w:val="00564E98"/>
    <w:rsid w:val="00583A7E"/>
    <w:rsid w:val="00585BBF"/>
    <w:rsid w:val="005913D0"/>
    <w:rsid w:val="00597D5D"/>
    <w:rsid w:val="005A338B"/>
    <w:rsid w:val="005A6C42"/>
    <w:rsid w:val="005B7252"/>
    <w:rsid w:val="005C2DFD"/>
    <w:rsid w:val="005C43C6"/>
    <w:rsid w:val="005D04BC"/>
    <w:rsid w:val="005D06F0"/>
    <w:rsid w:val="005D094A"/>
    <w:rsid w:val="005D276C"/>
    <w:rsid w:val="005D2ABC"/>
    <w:rsid w:val="005D2DF0"/>
    <w:rsid w:val="005D3B47"/>
    <w:rsid w:val="005D5B4B"/>
    <w:rsid w:val="005D72C5"/>
    <w:rsid w:val="005D733F"/>
    <w:rsid w:val="005E053F"/>
    <w:rsid w:val="005E08BD"/>
    <w:rsid w:val="005E0F94"/>
    <w:rsid w:val="005E316C"/>
    <w:rsid w:val="005E36D5"/>
    <w:rsid w:val="005E4874"/>
    <w:rsid w:val="005E4CF0"/>
    <w:rsid w:val="005F0C39"/>
    <w:rsid w:val="005F421E"/>
    <w:rsid w:val="005F5D85"/>
    <w:rsid w:val="0060094C"/>
    <w:rsid w:val="00600B63"/>
    <w:rsid w:val="006040E1"/>
    <w:rsid w:val="00604A61"/>
    <w:rsid w:val="00610231"/>
    <w:rsid w:val="00617D55"/>
    <w:rsid w:val="006240D8"/>
    <w:rsid w:val="00626132"/>
    <w:rsid w:val="006324A1"/>
    <w:rsid w:val="00632D68"/>
    <w:rsid w:val="00633E91"/>
    <w:rsid w:val="00634DDD"/>
    <w:rsid w:val="006361E3"/>
    <w:rsid w:val="0063730A"/>
    <w:rsid w:val="00637EB8"/>
    <w:rsid w:val="00642470"/>
    <w:rsid w:val="00642D90"/>
    <w:rsid w:val="00645DFC"/>
    <w:rsid w:val="00651488"/>
    <w:rsid w:val="00656642"/>
    <w:rsid w:val="006570D3"/>
    <w:rsid w:val="006712A6"/>
    <w:rsid w:val="00671E4E"/>
    <w:rsid w:val="0067456E"/>
    <w:rsid w:val="00675133"/>
    <w:rsid w:val="006802C1"/>
    <w:rsid w:val="0068327D"/>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5901"/>
    <w:rsid w:val="007475FE"/>
    <w:rsid w:val="007516D1"/>
    <w:rsid w:val="00756290"/>
    <w:rsid w:val="00756A19"/>
    <w:rsid w:val="0076108C"/>
    <w:rsid w:val="00761B5E"/>
    <w:rsid w:val="0076408A"/>
    <w:rsid w:val="00766938"/>
    <w:rsid w:val="00767FFA"/>
    <w:rsid w:val="00774BE7"/>
    <w:rsid w:val="00777754"/>
    <w:rsid w:val="00780EAB"/>
    <w:rsid w:val="00781306"/>
    <w:rsid w:val="007836C8"/>
    <w:rsid w:val="007934F1"/>
    <w:rsid w:val="00794229"/>
    <w:rsid w:val="007A0610"/>
    <w:rsid w:val="007A76C5"/>
    <w:rsid w:val="007B1141"/>
    <w:rsid w:val="007B1C70"/>
    <w:rsid w:val="007B24F7"/>
    <w:rsid w:val="007C6C8E"/>
    <w:rsid w:val="007D0AFE"/>
    <w:rsid w:val="007D6B06"/>
    <w:rsid w:val="007E249E"/>
    <w:rsid w:val="007E633B"/>
    <w:rsid w:val="007E6AD6"/>
    <w:rsid w:val="007F135A"/>
    <w:rsid w:val="007F4201"/>
    <w:rsid w:val="0080232E"/>
    <w:rsid w:val="00812789"/>
    <w:rsid w:val="00815CDE"/>
    <w:rsid w:val="00826D8F"/>
    <w:rsid w:val="00826F86"/>
    <w:rsid w:val="00831124"/>
    <w:rsid w:val="00831D3C"/>
    <w:rsid w:val="00831E9A"/>
    <w:rsid w:val="00833124"/>
    <w:rsid w:val="00834EA9"/>
    <w:rsid w:val="00842C8D"/>
    <w:rsid w:val="00844CC3"/>
    <w:rsid w:val="00845BC3"/>
    <w:rsid w:val="008476BF"/>
    <w:rsid w:val="008508D5"/>
    <w:rsid w:val="00851796"/>
    <w:rsid w:val="0085319B"/>
    <w:rsid w:val="00854E7C"/>
    <w:rsid w:val="00855317"/>
    <w:rsid w:val="00855962"/>
    <w:rsid w:val="00860FE7"/>
    <w:rsid w:val="00861CE5"/>
    <w:rsid w:val="0086226E"/>
    <w:rsid w:val="008625A0"/>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5F5E"/>
    <w:rsid w:val="00977612"/>
    <w:rsid w:val="0098015F"/>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C5C97"/>
    <w:rsid w:val="009D0944"/>
    <w:rsid w:val="009D6D2E"/>
    <w:rsid w:val="009D753B"/>
    <w:rsid w:val="009E0CEB"/>
    <w:rsid w:val="009E6C5E"/>
    <w:rsid w:val="009E7717"/>
    <w:rsid w:val="009E7FF1"/>
    <w:rsid w:val="009F14AB"/>
    <w:rsid w:val="00A02072"/>
    <w:rsid w:val="00A05C6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87CC9"/>
    <w:rsid w:val="00A90530"/>
    <w:rsid w:val="00A917A9"/>
    <w:rsid w:val="00A94B87"/>
    <w:rsid w:val="00A9750F"/>
    <w:rsid w:val="00AA599A"/>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10CA"/>
    <w:rsid w:val="00B7272A"/>
    <w:rsid w:val="00B73133"/>
    <w:rsid w:val="00B74629"/>
    <w:rsid w:val="00B75F90"/>
    <w:rsid w:val="00B8036D"/>
    <w:rsid w:val="00B84A5C"/>
    <w:rsid w:val="00B87124"/>
    <w:rsid w:val="00B90C96"/>
    <w:rsid w:val="00B9145A"/>
    <w:rsid w:val="00B948D2"/>
    <w:rsid w:val="00BA478A"/>
    <w:rsid w:val="00BA66F5"/>
    <w:rsid w:val="00BA726F"/>
    <w:rsid w:val="00BB13DA"/>
    <w:rsid w:val="00BB2597"/>
    <w:rsid w:val="00BD068F"/>
    <w:rsid w:val="00BD0FA0"/>
    <w:rsid w:val="00BD2B98"/>
    <w:rsid w:val="00BD7BD3"/>
    <w:rsid w:val="00BE0D0E"/>
    <w:rsid w:val="00BE395D"/>
    <w:rsid w:val="00BE482D"/>
    <w:rsid w:val="00BF0159"/>
    <w:rsid w:val="00C00A4C"/>
    <w:rsid w:val="00C03495"/>
    <w:rsid w:val="00C1385A"/>
    <w:rsid w:val="00C2421A"/>
    <w:rsid w:val="00C25E26"/>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0085"/>
    <w:rsid w:val="00C9316D"/>
    <w:rsid w:val="00C975B4"/>
    <w:rsid w:val="00C97FB9"/>
    <w:rsid w:val="00CA155E"/>
    <w:rsid w:val="00CA292D"/>
    <w:rsid w:val="00CA2E10"/>
    <w:rsid w:val="00CA7999"/>
    <w:rsid w:val="00CB4E0C"/>
    <w:rsid w:val="00CB6814"/>
    <w:rsid w:val="00CD1405"/>
    <w:rsid w:val="00CE3610"/>
    <w:rsid w:val="00CF24CD"/>
    <w:rsid w:val="00CF4B16"/>
    <w:rsid w:val="00CF5221"/>
    <w:rsid w:val="00CF5822"/>
    <w:rsid w:val="00CF5A9B"/>
    <w:rsid w:val="00CF61A2"/>
    <w:rsid w:val="00CF6672"/>
    <w:rsid w:val="00D01668"/>
    <w:rsid w:val="00D03A5F"/>
    <w:rsid w:val="00D11E74"/>
    <w:rsid w:val="00D11FEB"/>
    <w:rsid w:val="00D144A4"/>
    <w:rsid w:val="00D14A2E"/>
    <w:rsid w:val="00D22435"/>
    <w:rsid w:val="00D23711"/>
    <w:rsid w:val="00D25823"/>
    <w:rsid w:val="00D2649F"/>
    <w:rsid w:val="00D349DC"/>
    <w:rsid w:val="00D36CA4"/>
    <w:rsid w:val="00D37896"/>
    <w:rsid w:val="00D41A30"/>
    <w:rsid w:val="00D447B4"/>
    <w:rsid w:val="00D469E3"/>
    <w:rsid w:val="00D532DC"/>
    <w:rsid w:val="00D56BB2"/>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7755"/>
    <w:rsid w:val="00E72CDA"/>
    <w:rsid w:val="00E74070"/>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18FE"/>
    <w:rsid w:val="00EC2608"/>
    <w:rsid w:val="00EC5557"/>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76AD7"/>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C3975"/>
    <w:rsid w:val="00FC75AC"/>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6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45A"/>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uiPriority w:val="99"/>
    <w:rsid w:val="00780EAB"/>
    <w:pPr>
      <w:widowControl w:val="0"/>
      <w:autoSpaceDE w:val="0"/>
      <w:autoSpaceDN w:val="0"/>
      <w:adjustRightInd w:val="0"/>
    </w:pPr>
    <w:rPr>
      <w:sz w:val="24"/>
      <w:szCs w:val="24"/>
      <w:lang w:val="bg-BG"/>
    </w:rPr>
  </w:style>
  <w:style w:type="paragraph" w:styleId="BodyText">
    <w:name w:val="Body Text"/>
    <w:basedOn w:val="Normal"/>
    <w:link w:val="BodyTextChar"/>
    <w:rsid w:val="007D0AFE"/>
    <w:pPr>
      <w:spacing w:after="120"/>
    </w:pPr>
  </w:style>
  <w:style w:type="character" w:customStyle="1" w:styleId="BodyTextChar">
    <w:name w:val="Body Text Char"/>
    <w:basedOn w:val="DefaultParagraphFont"/>
    <w:link w:val="BodyText"/>
    <w:rsid w:val="007D0AFE"/>
    <w:rPr>
      <w:sz w:val="24"/>
      <w:szCs w:val="24"/>
      <w:lang w:val="bg-BG" w:eastAsia="bg-BG"/>
    </w:rPr>
  </w:style>
  <w:style w:type="paragraph" w:styleId="ListParagraph">
    <w:name w:val="List Paragraph"/>
    <w:basedOn w:val="Normal"/>
    <w:uiPriority w:val="34"/>
    <w:qFormat/>
    <w:rsid w:val="007D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ya.KYOSEVA@mbw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E472-9F8E-4ADA-9C58-EE182BB2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2024-08-13T08:07:00Z</dcterms:created>
  <dcterms:modified xsi:type="dcterms:W3CDTF">2024-08-20T10:41:00Z</dcterms:modified>
</cp:coreProperties>
</file>