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1B9" w:rsidRDefault="002C51B9" w:rsidP="003148E8">
      <w:pPr>
        <w:spacing w:after="0" w:line="276" w:lineRule="auto"/>
        <w:ind w:left="8647" w:hanging="850"/>
        <w:jc w:val="both"/>
        <w:rPr>
          <w:rFonts w:ascii="Times New Roman" w:eastAsia="Times New Roman" w:hAnsi="Times New Roman" w:cs="Times New Roman"/>
          <w:b/>
          <w:sz w:val="24"/>
          <w:szCs w:val="24"/>
          <w:lang w:val="bg-BG" w:eastAsia="bg-BG"/>
        </w:rPr>
      </w:pPr>
    </w:p>
    <w:p w:rsidR="002C51B9" w:rsidRDefault="002C51B9" w:rsidP="003148E8">
      <w:pPr>
        <w:spacing w:after="0" w:line="276" w:lineRule="auto"/>
        <w:ind w:left="8647" w:hanging="850"/>
        <w:jc w:val="both"/>
        <w:rPr>
          <w:rFonts w:ascii="Times New Roman" w:eastAsia="Times New Roman" w:hAnsi="Times New Roman" w:cs="Times New Roman"/>
          <w:b/>
          <w:sz w:val="24"/>
          <w:szCs w:val="24"/>
          <w:lang w:val="bg-BG" w:eastAsia="bg-BG"/>
        </w:rPr>
      </w:pPr>
    </w:p>
    <w:p w:rsidR="002C51B9" w:rsidRDefault="002C51B9" w:rsidP="003148E8">
      <w:pPr>
        <w:spacing w:after="0" w:line="276" w:lineRule="auto"/>
        <w:ind w:left="8647" w:hanging="850"/>
        <w:jc w:val="both"/>
        <w:rPr>
          <w:rFonts w:ascii="Times New Roman" w:eastAsia="Times New Roman" w:hAnsi="Times New Roman" w:cs="Times New Roman"/>
          <w:b/>
          <w:sz w:val="24"/>
          <w:szCs w:val="24"/>
          <w:lang w:val="bg-BG" w:eastAsia="bg-BG"/>
        </w:rPr>
      </w:pPr>
      <w:r w:rsidRPr="002C51B9">
        <w:rPr>
          <w:rFonts w:ascii="Times New Roman" w:eastAsia="Times New Roman" w:hAnsi="Times New Roman" w:cs="Times New Roman"/>
          <w:b/>
          <w:sz w:val="24"/>
          <w:szCs w:val="24"/>
          <w:lang w:val="bg-BG" w:eastAsia="bg-BG"/>
        </w:rPr>
        <w:t>Утвърдил:</w:t>
      </w:r>
    </w:p>
    <w:p w:rsidR="002C51B9" w:rsidRPr="004750C1" w:rsidRDefault="002C51B9" w:rsidP="002C51B9">
      <w:pPr>
        <w:spacing w:after="0" w:line="276" w:lineRule="auto"/>
        <w:ind w:left="7797"/>
        <w:jc w:val="both"/>
        <w:rPr>
          <w:rFonts w:ascii="Times New Roman" w:eastAsia="Times New Roman" w:hAnsi="Times New Roman" w:cs="Times New Roman"/>
          <w:b/>
          <w:sz w:val="24"/>
          <w:szCs w:val="24"/>
          <w:lang w:val="bg-BG" w:eastAsia="bg-BG"/>
        </w:rPr>
      </w:pPr>
      <w:r w:rsidRPr="004750C1">
        <w:rPr>
          <w:rFonts w:ascii="Times New Roman" w:eastAsia="Times New Roman" w:hAnsi="Times New Roman" w:cs="Times New Roman"/>
          <w:b/>
          <w:sz w:val="24"/>
          <w:szCs w:val="24"/>
          <w:lang w:val="bg-BG" w:eastAsia="bg-BG"/>
        </w:rPr>
        <w:t>Ръководител на УО на ПРСР:</w:t>
      </w:r>
    </w:p>
    <w:p w:rsidR="004750C1" w:rsidRPr="004750C1" w:rsidRDefault="00F856CF" w:rsidP="003148E8">
      <w:pPr>
        <w:spacing w:after="0" w:line="276" w:lineRule="auto"/>
        <w:ind w:left="8647" w:hanging="85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62.75pt;height:80.25pt">
            <v:imagedata r:id="rId7" o:title=""/>
            <o:lock v:ext="edit" ungrouping="t" rotation="t" cropping="t" verticies="t" text="t" grouping="t"/>
            <o:signatureline v:ext="edit" id="{F11D8876-01A5-4792-87F1-544A5A0802B6}" provid="{00000000-0000-0000-0000-000000000000}" issignatureline="t"/>
          </v:shape>
        </w:pict>
      </w:r>
    </w:p>
    <w:p w:rsidR="004750C1" w:rsidRPr="004750C1" w:rsidRDefault="004750C1" w:rsidP="003148E8">
      <w:pPr>
        <w:spacing w:after="0" w:line="276" w:lineRule="auto"/>
        <w:ind w:left="7797"/>
        <w:jc w:val="both"/>
        <w:rPr>
          <w:rFonts w:ascii="Times New Roman" w:eastAsia="Times New Roman" w:hAnsi="Times New Roman" w:cs="Times New Roman"/>
          <w:b/>
          <w:sz w:val="24"/>
          <w:szCs w:val="24"/>
          <w:lang w:val="bg-BG" w:eastAsia="bg-BG"/>
        </w:rPr>
      </w:pPr>
      <w:r w:rsidRPr="004750C1">
        <w:rPr>
          <w:rFonts w:ascii="Times New Roman" w:eastAsia="Times New Roman" w:hAnsi="Times New Roman" w:cs="Times New Roman"/>
          <w:b/>
          <w:sz w:val="24"/>
          <w:szCs w:val="24"/>
          <w:lang w:val="bg-BG" w:eastAsia="bg-BG"/>
        </w:rPr>
        <w:t>Таня Георгиева</w:t>
      </w:r>
    </w:p>
    <w:p w:rsidR="004750C1" w:rsidRPr="004750C1" w:rsidRDefault="004750C1" w:rsidP="003148E8">
      <w:pPr>
        <w:spacing w:after="0" w:line="276" w:lineRule="auto"/>
        <w:ind w:left="7797"/>
        <w:jc w:val="both"/>
        <w:rPr>
          <w:rFonts w:ascii="Times New Roman" w:eastAsia="Times New Roman" w:hAnsi="Times New Roman" w:cs="Times New Roman"/>
          <w:b/>
          <w:i/>
          <w:sz w:val="24"/>
          <w:szCs w:val="24"/>
          <w:lang w:val="bg-BG" w:eastAsia="bg-BG"/>
        </w:rPr>
      </w:pPr>
      <w:r w:rsidRPr="004750C1">
        <w:rPr>
          <w:rFonts w:ascii="Times New Roman" w:eastAsia="Times New Roman" w:hAnsi="Times New Roman" w:cs="Times New Roman"/>
          <w:b/>
          <w:i/>
          <w:sz w:val="24"/>
          <w:szCs w:val="24"/>
          <w:lang w:val="bg-BG" w:eastAsia="bg-BG"/>
        </w:rPr>
        <w:t>Заместник-министър на земеделието и</w:t>
      </w:r>
      <w:r w:rsidR="00326ADF">
        <w:rPr>
          <w:rFonts w:ascii="Times New Roman" w:eastAsia="Times New Roman" w:hAnsi="Times New Roman" w:cs="Times New Roman"/>
          <w:b/>
          <w:i/>
          <w:sz w:val="24"/>
          <w:szCs w:val="24"/>
          <w:lang w:val="bg-BG" w:eastAsia="bg-BG"/>
        </w:rPr>
        <w:t xml:space="preserve"> </w:t>
      </w:r>
      <w:r w:rsidRPr="004750C1">
        <w:rPr>
          <w:rFonts w:ascii="Times New Roman" w:eastAsia="Times New Roman" w:hAnsi="Times New Roman" w:cs="Times New Roman"/>
          <w:b/>
          <w:i/>
          <w:sz w:val="24"/>
          <w:szCs w:val="24"/>
          <w:lang w:val="bg-BG" w:eastAsia="bg-BG"/>
        </w:rPr>
        <w:t xml:space="preserve">храните </w:t>
      </w:r>
    </w:p>
    <w:p w:rsidR="004750C1" w:rsidRPr="004750C1" w:rsidRDefault="004750C1" w:rsidP="003148E8">
      <w:pPr>
        <w:spacing w:after="0" w:line="276" w:lineRule="auto"/>
        <w:jc w:val="both"/>
        <w:rPr>
          <w:rFonts w:ascii="Times New Roman" w:eastAsia="Times New Roman" w:hAnsi="Times New Roman" w:cs="Times New Roman"/>
          <w:b/>
          <w:sz w:val="24"/>
          <w:szCs w:val="24"/>
          <w:lang w:val="bg-BG" w:eastAsia="bg-BG"/>
        </w:rPr>
      </w:pPr>
    </w:p>
    <w:tbl>
      <w:tblPr>
        <w:tblStyle w:val="TableGrid"/>
        <w:tblW w:w="5184" w:type="pct"/>
        <w:tblInd w:w="-318" w:type="dxa"/>
        <w:tblLook w:val="04A0" w:firstRow="1" w:lastRow="0" w:firstColumn="1" w:lastColumn="0" w:noHBand="0" w:noVBand="1"/>
      </w:tblPr>
      <w:tblGrid>
        <w:gridCol w:w="14246"/>
      </w:tblGrid>
      <w:tr w:rsidR="004750C1" w:rsidRPr="004750C1" w:rsidTr="004750C1">
        <w:tc>
          <w:tcPr>
            <w:tcW w:w="5000" w:type="pct"/>
            <w:shd w:val="clear" w:color="auto" w:fill="D6E3BC"/>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p>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 xml:space="preserve">Таблица за направените предложения и възражения в процеса на </w:t>
            </w:r>
            <w:r w:rsidR="00E60F2D">
              <w:rPr>
                <w:rFonts w:ascii="Times New Roman" w:eastAsia="Times New Roman" w:hAnsi="Times New Roman" w:cs="Times New Roman"/>
                <w:b/>
                <w:sz w:val="24"/>
                <w:szCs w:val="24"/>
                <w:lang w:eastAsia="bg-BG"/>
              </w:rPr>
              <w:t xml:space="preserve">повторно </w:t>
            </w:r>
            <w:r w:rsidRPr="004750C1">
              <w:rPr>
                <w:rFonts w:ascii="Times New Roman" w:eastAsia="Times New Roman" w:hAnsi="Times New Roman" w:cs="Times New Roman"/>
                <w:b/>
                <w:sz w:val="24"/>
                <w:szCs w:val="24"/>
                <w:lang w:eastAsia="bg-BG"/>
              </w:rPr>
              <w:t>обществено обсъждане на проект на условия за кандидатстване, условия за изпълнение и пакет за процедура чрез подбор на проектни предложения № BG06RDNP001-4.017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rsidR="004750C1" w:rsidRPr="004750C1" w:rsidRDefault="004750C1" w:rsidP="003148E8">
            <w:pPr>
              <w:spacing w:line="276" w:lineRule="auto"/>
              <w:jc w:val="center"/>
              <w:rPr>
                <w:rFonts w:ascii="Times New Roman" w:eastAsia="Times New Roman" w:hAnsi="Times New Roman" w:cs="Times New Roman"/>
                <w:sz w:val="24"/>
                <w:szCs w:val="24"/>
                <w:lang w:eastAsia="bg-BG"/>
              </w:rPr>
            </w:pPr>
          </w:p>
        </w:tc>
      </w:tr>
    </w:tbl>
    <w:p w:rsidR="004750C1" w:rsidRPr="004750C1" w:rsidRDefault="004750C1" w:rsidP="003148E8">
      <w:pPr>
        <w:spacing w:after="0" w:line="276" w:lineRule="auto"/>
        <w:jc w:val="center"/>
        <w:rPr>
          <w:rFonts w:ascii="Times New Roman" w:eastAsia="Times New Roman" w:hAnsi="Times New Roman" w:cs="Times New Roman"/>
          <w:sz w:val="24"/>
          <w:szCs w:val="24"/>
          <w:lang w:val="bg-BG" w:eastAsia="bg-BG"/>
        </w:rPr>
      </w:pPr>
    </w:p>
    <w:tbl>
      <w:tblPr>
        <w:tblStyle w:val="TableGrid"/>
        <w:tblW w:w="14176" w:type="dxa"/>
        <w:tblInd w:w="-289" w:type="dxa"/>
        <w:tblLayout w:type="fixed"/>
        <w:tblLook w:val="04A0" w:firstRow="1" w:lastRow="0" w:firstColumn="1" w:lastColumn="0" w:noHBand="0" w:noVBand="1"/>
      </w:tblPr>
      <w:tblGrid>
        <w:gridCol w:w="534"/>
        <w:gridCol w:w="1735"/>
        <w:gridCol w:w="1531"/>
        <w:gridCol w:w="6378"/>
        <w:gridCol w:w="3998"/>
      </w:tblGrid>
      <w:tr w:rsidR="004750C1" w:rsidRPr="004750C1" w:rsidTr="00701002">
        <w:tc>
          <w:tcPr>
            <w:tcW w:w="534"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w:t>
            </w:r>
          </w:p>
        </w:tc>
        <w:tc>
          <w:tcPr>
            <w:tcW w:w="1735" w:type="dxa"/>
            <w:vAlign w:val="center"/>
          </w:tcPr>
          <w:p w:rsidR="004750C1" w:rsidRPr="004750C1" w:rsidRDefault="004750C1" w:rsidP="0085609D">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Данни на подателя</w:t>
            </w:r>
          </w:p>
        </w:tc>
        <w:tc>
          <w:tcPr>
            <w:tcW w:w="1531"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Дата на получаване</w:t>
            </w:r>
          </w:p>
        </w:tc>
        <w:tc>
          <w:tcPr>
            <w:tcW w:w="6378"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Коментар/Предложение</w:t>
            </w:r>
          </w:p>
        </w:tc>
        <w:tc>
          <w:tcPr>
            <w:tcW w:w="3998"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Становище на УО на ПРСР</w:t>
            </w:r>
          </w:p>
        </w:tc>
      </w:tr>
      <w:tr w:rsidR="00E60F2D" w:rsidRPr="007D51EA" w:rsidTr="00701002">
        <w:tc>
          <w:tcPr>
            <w:tcW w:w="534"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w:t>
            </w:r>
          </w:p>
        </w:tc>
        <w:tc>
          <w:tcPr>
            <w:tcW w:w="1735"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Българска аграрна камара</w:t>
            </w:r>
          </w:p>
        </w:tc>
        <w:tc>
          <w:tcPr>
            <w:tcW w:w="1531"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16.07.2024 г.</w:t>
            </w:r>
          </w:p>
        </w:tc>
        <w:tc>
          <w:tcPr>
            <w:tcW w:w="6378" w:type="dxa"/>
            <w:vAlign w:val="center"/>
          </w:tcPr>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УВАЖАЕМИ Д-Р ТАХОВ,</w:t>
            </w:r>
          </w:p>
          <w:p w:rsidR="00E60F2D"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 xml:space="preserve">В срока на повторното обществено обсъждане на проект на насоки по процедура чрез подбор № BG06RDNP001-4.017 „Целеви прием за проектни предложения за повишаване на ефективността при потреблението на вода в селското стопанство“ по подмярка 4.1 „Инвестиции в земеделски стопанства“ от мярка 4 „Инвестиции в материални активи“ от Програмата за развитие на селските райони за периода 2014-2020 г. от Българска аграрна камара (БАК) категорично се противопоставяме срещу отварянето на този прием във вида предложен на повторно обществено обсъждане. Основната причина за нашата позиция е предвиденото в Условията за кандидатстване изискване, че инвестиции за напоителни системи, свързани с нетно увеличение на напояваната площ, не са допустими за подпомагане. С това изискване </w:t>
            </w:r>
            <w:r w:rsidRPr="007D51EA">
              <w:rPr>
                <w:rFonts w:ascii="Times New Roman" w:eastAsia="Times New Roman" w:hAnsi="Times New Roman" w:cs="Times New Roman"/>
                <w:sz w:val="20"/>
                <w:szCs w:val="20"/>
                <w:lang w:eastAsia="bg-BG"/>
              </w:rPr>
              <w:lastRenderedPageBreak/>
              <w:t>ние категорично не сме съгласни, защото то ще ощети голяма част от земеделските производители от сектора на растениевъдството и считаме, че докато не бъде намерено решение в полза на земеделските производители, не следва да се отваря въпросния целеви прием.</w:t>
            </w:r>
          </w:p>
          <w:p w:rsidR="0085609D" w:rsidRPr="0085609D" w:rsidRDefault="0085609D" w:rsidP="0085609D">
            <w:pPr>
              <w:spacing w:line="276" w:lineRule="auto"/>
              <w:jc w:val="both"/>
              <w:rPr>
                <w:rFonts w:ascii="Times New Roman" w:eastAsia="Times New Roman" w:hAnsi="Times New Roman" w:cs="Times New Roman"/>
                <w:sz w:val="20"/>
                <w:szCs w:val="20"/>
                <w:lang w:eastAsia="bg-BG"/>
              </w:rPr>
            </w:pPr>
            <w:r w:rsidRPr="0085609D">
              <w:rPr>
                <w:rFonts w:ascii="Times New Roman" w:eastAsia="Times New Roman" w:hAnsi="Times New Roman" w:cs="Times New Roman"/>
                <w:sz w:val="20"/>
                <w:szCs w:val="20"/>
                <w:lang w:eastAsia="bg-BG"/>
              </w:rPr>
              <w:t>С уважение,</w:t>
            </w:r>
          </w:p>
          <w:p w:rsidR="0085609D" w:rsidRPr="007D51EA" w:rsidRDefault="0085609D" w:rsidP="0085609D">
            <w:pPr>
              <w:spacing w:line="276" w:lineRule="auto"/>
              <w:jc w:val="both"/>
              <w:rPr>
                <w:rFonts w:ascii="Times New Roman" w:eastAsia="Times New Roman" w:hAnsi="Times New Roman" w:cs="Times New Roman"/>
                <w:sz w:val="20"/>
                <w:szCs w:val="20"/>
                <w:lang w:eastAsia="bg-BG"/>
              </w:rPr>
            </w:pPr>
            <w:r w:rsidRPr="0085609D">
              <w:rPr>
                <w:rFonts w:ascii="Times New Roman" w:eastAsia="Times New Roman" w:hAnsi="Times New Roman" w:cs="Times New Roman"/>
                <w:sz w:val="20"/>
                <w:szCs w:val="20"/>
                <w:lang w:eastAsia="bg-BG"/>
              </w:rPr>
              <w:t>Председател на УС на</w:t>
            </w:r>
            <w:r>
              <w:rPr>
                <w:rFonts w:ascii="Times New Roman" w:eastAsia="Times New Roman" w:hAnsi="Times New Roman" w:cs="Times New Roman"/>
                <w:sz w:val="20"/>
                <w:szCs w:val="20"/>
                <w:lang w:eastAsia="bg-BG"/>
              </w:rPr>
              <w:t xml:space="preserve"> БАК</w:t>
            </w:r>
          </w:p>
        </w:tc>
        <w:tc>
          <w:tcPr>
            <w:tcW w:w="3998" w:type="dxa"/>
            <w:vAlign w:val="center"/>
          </w:tcPr>
          <w:p w:rsidR="003A0BBE" w:rsidRDefault="003A0BBE" w:rsidP="007329AF">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lastRenderedPageBreak/>
              <w:t>Приема се частично.</w:t>
            </w:r>
          </w:p>
          <w:p w:rsidR="00E60F2D" w:rsidRDefault="007329AF" w:rsidP="007329AF">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П</w:t>
            </w:r>
            <w:r w:rsidRPr="007329AF">
              <w:rPr>
                <w:rFonts w:ascii="Times New Roman" w:eastAsia="Times New Roman" w:hAnsi="Times New Roman" w:cs="Times New Roman"/>
                <w:sz w:val="20"/>
                <w:szCs w:val="20"/>
                <w:lang w:eastAsia="bg-BG"/>
              </w:rPr>
              <w:t>одготвено</w:t>
            </w:r>
            <w:r>
              <w:rPr>
                <w:rFonts w:ascii="Times New Roman" w:eastAsia="Times New Roman" w:hAnsi="Times New Roman" w:cs="Times New Roman"/>
                <w:sz w:val="20"/>
                <w:szCs w:val="20"/>
                <w:lang w:eastAsia="bg-BG"/>
              </w:rPr>
              <w:t>то</w:t>
            </w:r>
            <w:r w:rsidRPr="007329AF">
              <w:rPr>
                <w:rFonts w:ascii="Times New Roman" w:eastAsia="Times New Roman" w:hAnsi="Times New Roman" w:cs="Times New Roman"/>
                <w:sz w:val="20"/>
                <w:szCs w:val="20"/>
                <w:lang w:eastAsia="bg-BG"/>
              </w:rPr>
              <w:t xml:space="preserve"> седемнадесето изменение на Програмата с</w:t>
            </w:r>
            <w:r>
              <w:rPr>
                <w:rFonts w:ascii="Times New Roman" w:eastAsia="Times New Roman" w:hAnsi="Times New Roman" w:cs="Times New Roman"/>
                <w:sz w:val="20"/>
                <w:szCs w:val="20"/>
                <w:lang w:eastAsia="bg-BG"/>
              </w:rPr>
              <w:t>ъдържа</w:t>
            </w:r>
            <w:r w:rsidRPr="007329AF">
              <w:rPr>
                <w:rFonts w:ascii="Times New Roman" w:eastAsia="Times New Roman" w:hAnsi="Times New Roman" w:cs="Times New Roman"/>
                <w:sz w:val="20"/>
                <w:szCs w:val="20"/>
                <w:lang w:eastAsia="bg-BG"/>
              </w:rPr>
              <w:t xml:space="preserve"> предложение </w:t>
            </w:r>
            <w:r>
              <w:rPr>
                <w:rFonts w:ascii="Times New Roman" w:eastAsia="Times New Roman" w:hAnsi="Times New Roman" w:cs="Times New Roman"/>
                <w:sz w:val="20"/>
                <w:szCs w:val="20"/>
                <w:lang w:eastAsia="bg-BG"/>
              </w:rPr>
              <w:t xml:space="preserve">за </w:t>
            </w:r>
            <w:r w:rsidRPr="007329AF">
              <w:rPr>
                <w:rFonts w:ascii="Times New Roman" w:eastAsia="Times New Roman" w:hAnsi="Times New Roman" w:cs="Times New Roman"/>
                <w:sz w:val="20"/>
                <w:szCs w:val="20"/>
                <w:lang w:eastAsia="bg-BG"/>
              </w:rPr>
              <w:t>прехвърл</w:t>
            </w:r>
            <w:r>
              <w:rPr>
                <w:rFonts w:ascii="Times New Roman" w:eastAsia="Times New Roman" w:hAnsi="Times New Roman" w:cs="Times New Roman"/>
                <w:sz w:val="20"/>
                <w:szCs w:val="20"/>
                <w:lang w:eastAsia="bg-BG"/>
              </w:rPr>
              <w:t>ян</w:t>
            </w:r>
            <w:r w:rsidRPr="007329AF">
              <w:rPr>
                <w:rFonts w:ascii="Times New Roman" w:eastAsia="Times New Roman" w:hAnsi="Times New Roman" w:cs="Times New Roman"/>
                <w:sz w:val="20"/>
                <w:szCs w:val="20"/>
                <w:lang w:eastAsia="bg-BG"/>
              </w:rPr>
              <w:t>е</w:t>
            </w:r>
            <w:r>
              <w:rPr>
                <w:rFonts w:ascii="Times New Roman" w:eastAsia="Times New Roman" w:hAnsi="Times New Roman" w:cs="Times New Roman"/>
                <w:sz w:val="20"/>
                <w:szCs w:val="20"/>
                <w:lang w:eastAsia="bg-BG"/>
              </w:rPr>
              <w:t xml:space="preserve"> на</w:t>
            </w:r>
            <w:r w:rsidRPr="007329AF">
              <w:rPr>
                <w:rFonts w:ascii="Times New Roman" w:eastAsia="Times New Roman" w:hAnsi="Times New Roman" w:cs="Times New Roman"/>
                <w:sz w:val="20"/>
                <w:szCs w:val="20"/>
                <w:lang w:eastAsia="bg-BG"/>
              </w:rPr>
              <w:t xml:space="preserve"> средства от мерки 10 и 11</w:t>
            </w:r>
            <w:r w:rsidR="007E2FEA">
              <w:rPr>
                <w:rFonts w:ascii="Times New Roman" w:eastAsia="Times New Roman" w:hAnsi="Times New Roman" w:cs="Times New Roman"/>
                <w:sz w:val="20"/>
                <w:szCs w:val="20"/>
                <w:lang w:eastAsia="bg-BG"/>
              </w:rPr>
              <w:t xml:space="preserve"> към подмярка 4.1, които</w:t>
            </w:r>
            <w:r w:rsidRPr="007329AF">
              <w:rPr>
                <w:rFonts w:ascii="Times New Roman" w:eastAsia="Times New Roman" w:hAnsi="Times New Roman" w:cs="Times New Roman"/>
                <w:sz w:val="20"/>
                <w:szCs w:val="20"/>
                <w:lang w:eastAsia="bg-BG"/>
              </w:rPr>
              <w:t xml:space="preserve"> да бъдат използвани за целеви прием на проектни предложения за повишаване на ефективността при потреблението на вода в селското стопанство</w:t>
            </w:r>
            <w:r w:rsidR="002C51B9">
              <w:rPr>
                <w:rFonts w:ascii="Times New Roman" w:eastAsia="Times New Roman" w:hAnsi="Times New Roman" w:cs="Times New Roman"/>
                <w:sz w:val="20"/>
                <w:szCs w:val="20"/>
                <w:lang w:eastAsia="bg-BG"/>
              </w:rPr>
              <w:t xml:space="preserve">. Финансовите средства по мярка 10 и 11 </w:t>
            </w:r>
            <w:r w:rsidR="005950D4">
              <w:rPr>
                <w:rFonts w:ascii="Times New Roman" w:eastAsia="Times New Roman" w:hAnsi="Times New Roman" w:cs="Times New Roman"/>
                <w:sz w:val="20"/>
                <w:szCs w:val="20"/>
                <w:lang w:eastAsia="bg-BG"/>
              </w:rPr>
              <w:t>са</w:t>
            </w:r>
            <w:r w:rsidR="002C51B9">
              <w:rPr>
                <w:rFonts w:ascii="Times New Roman" w:eastAsia="Times New Roman" w:hAnsi="Times New Roman" w:cs="Times New Roman"/>
                <w:sz w:val="20"/>
                <w:szCs w:val="20"/>
                <w:lang w:eastAsia="bg-BG"/>
              </w:rPr>
              <w:t xml:space="preserve"> обхванати от ограничението </w:t>
            </w:r>
            <w:r w:rsidRPr="007329AF">
              <w:rPr>
                <w:rFonts w:ascii="Times New Roman" w:eastAsia="Times New Roman" w:hAnsi="Times New Roman" w:cs="Times New Roman"/>
                <w:sz w:val="20"/>
                <w:szCs w:val="20"/>
                <w:lang w:eastAsia="bg-BG"/>
              </w:rPr>
              <w:t>на чл. 59, параграф 6 от Регламент (ЕС) № 1305/2013,</w:t>
            </w:r>
            <w:r w:rsidR="002C51B9">
              <w:rPr>
                <w:rFonts w:ascii="Times New Roman" w:eastAsia="Times New Roman" w:hAnsi="Times New Roman" w:cs="Times New Roman"/>
                <w:sz w:val="20"/>
                <w:szCs w:val="20"/>
                <w:lang w:eastAsia="bg-BG"/>
              </w:rPr>
              <w:t xml:space="preserve"> съгласно което всяка страна членки следва да запази </w:t>
            </w:r>
            <w:r w:rsidR="002C51B9">
              <w:rPr>
                <w:rFonts w:ascii="Times New Roman" w:eastAsia="Times New Roman" w:hAnsi="Times New Roman" w:cs="Times New Roman"/>
                <w:sz w:val="20"/>
                <w:szCs w:val="20"/>
                <w:lang w:eastAsia="bg-BG"/>
              </w:rPr>
              <w:lastRenderedPageBreak/>
              <w:t>30 % от участието на ЕЗФРСР за инвестиции по чл. 17, свързани с околната среда</w:t>
            </w:r>
            <w:r w:rsidR="005950D4">
              <w:rPr>
                <w:rFonts w:ascii="Times New Roman" w:eastAsia="Times New Roman" w:hAnsi="Times New Roman" w:cs="Times New Roman"/>
                <w:sz w:val="20"/>
                <w:szCs w:val="20"/>
                <w:lang w:eastAsia="bg-BG"/>
              </w:rPr>
              <w:t xml:space="preserve"> и климат и мерки по чл. 21, 28, 29, 30, 31, 32 и 34. Поради което, инвестициите, за които се предоставя финансова помощ по предстоящия прием следва да </w:t>
            </w:r>
            <w:r w:rsidRPr="007329AF">
              <w:rPr>
                <w:rFonts w:ascii="Times New Roman" w:eastAsia="Times New Roman" w:hAnsi="Times New Roman" w:cs="Times New Roman"/>
                <w:sz w:val="20"/>
                <w:szCs w:val="20"/>
                <w:lang w:eastAsia="bg-BG"/>
              </w:rPr>
              <w:t>допринасят за постигане на екологичните цели. В хода на комуникацията по отношение на предложените изменения, Европейската комисия изрази становище, че инвестиции в разширяване</w:t>
            </w:r>
            <w:r w:rsidR="007E2FEA">
              <w:rPr>
                <w:rFonts w:ascii="Times New Roman" w:eastAsia="Times New Roman" w:hAnsi="Times New Roman" w:cs="Times New Roman"/>
                <w:sz w:val="20"/>
                <w:szCs w:val="20"/>
                <w:lang w:eastAsia="bg-BG"/>
              </w:rPr>
              <w:t xml:space="preserve"> (нетно увеличение)</w:t>
            </w:r>
            <w:r w:rsidRPr="007329AF">
              <w:rPr>
                <w:rFonts w:ascii="Times New Roman" w:eastAsia="Times New Roman" w:hAnsi="Times New Roman" w:cs="Times New Roman"/>
                <w:sz w:val="20"/>
                <w:szCs w:val="20"/>
                <w:lang w:eastAsia="bg-BG"/>
              </w:rPr>
              <w:t xml:space="preserve"> на напояваните площи не се считат за допринасящи опазването на околната среда, а и липсата на актуализирани ПУРБ също ги прави проблематични.</w:t>
            </w:r>
          </w:p>
          <w:p w:rsidR="007E2FEA" w:rsidRDefault="007E2FEA" w:rsidP="007329AF">
            <w:pPr>
              <w:spacing w:line="276" w:lineRule="auto"/>
              <w:jc w:val="both"/>
              <w:rPr>
                <w:rFonts w:ascii="Times New Roman" w:eastAsia="Times New Roman" w:hAnsi="Times New Roman" w:cs="Times New Roman"/>
                <w:sz w:val="20"/>
                <w:szCs w:val="20"/>
                <w:lang w:eastAsia="bg-BG"/>
              </w:rPr>
            </w:pPr>
            <w:r w:rsidRPr="007E2FEA">
              <w:rPr>
                <w:rFonts w:ascii="Times New Roman" w:eastAsia="Times New Roman" w:hAnsi="Times New Roman" w:cs="Times New Roman"/>
                <w:sz w:val="20"/>
                <w:szCs w:val="20"/>
                <w:lang w:eastAsia="bg-BG"/>
              </w:rPr>
              <w:t>На проведените срещи нееднократно беше подчертано от представителите на ЕК, че инвестициите в разширяването на напояването не могат да се считат за допринасящи за екологичните цели и от България се изисква да ограничи поканата само до инвестиции в подобряването на съществуващи инсталации.</w:t>
            </w:r>
          </w:p>
          <w:p w:rsidR="007E2FEA" w:rsidRDefault="007E2FEA" w:rsidP="007329AF">
            <w:pPr>
              <w:spacing w:line="276" w:lineRule="auto"/>
              <w:jc w:val="both"/>
              <w:rPr>
                <w:rFonts w:ascii="Times New Roman" w:eastAsia="Times New Roman" w:hAnsi="Times New Roman" w:cs="Times New Roman"/>
                <w:sz w:val="20"/>
                <w:szCs w:val="20"/>
                <w:lang w:eastAsia="bg-BG"/>
              </w:rPr>
            </w:pPr>
            <w:r w:rsidRPr="007E2FEA">
              <w:rPr>
                <w:rFonts w:ascii="Times New Roman" w:eastAsia="Times New Roman" w:hAnsi="Times New Roman" w:cs="Times New Roman"/>
                <w:sz w:val="20"/>
                <w:szCs w:val="20"/>
                <w:lang w:eastAsia="bg-BG"/>
              </w:rPr>
              <w:t xml:space="preserve">Отчитайки изразената от службите на ЕК </w:t>
            </w:r>
            <w:r>
              <w:rPr>
                <w:rFonts w:ascii="Times New Roman" w:eastAsia="Times New Roman" w:hAnsi="Times New Roman" w:cs="Times New Roman"/>
                <w:sz w:val="20"/>
                <w:szCs w:val="20"/>
                <w:lang w:eastAsia="bg-BG"/>
              </w:rPr>
              <w:t xml:space="preserve">категорична </w:t>
            </w:r>
            <w:r w:rsidRPr="007E2FEA">
              <w:rPr>
                <w:rFonts w:ascii="Times New Roman" w:eastAsia="Times New Roman" w:hAnsi="Times New Roman" w:cs="Times New Roman"/>
                <w:sz w:val="20"/>
                <w:szCs w:val="20"/>
                <w:lang w:eastAsia="bg-BG"/>
              </w:rPr>
              <w:t xml:space="preserve">позиция в хода на проведените дискусии, МЗХ се съобрази с отправените препоръки за ограничаване на обхвата на целевия прием и представи за повторно обществено обсъждане насоките </w:t>
            </w:r>
            <w:r w:rsidR="003A0BBE">
              <w:rPr>
                <w:rFonts w:ascii="Times New Roman" w:eastAsia="Times New Roman" w:hAnsi="Times New Roman" w:cs="Times New Roman"/>
                <w:sz w:val="20"/>
                <w:szCs w:val="20"/>
                <w:lang w:eastAsia="bg-BG"/>
              </w:rPr>
              <w:t>за кандидатстване по подмярката.</w:t>
            </w:r>
          </w:p>
          <w:p w:rsidR="00085B88" w:rsidRPr="007D51EA" w:rsidRDefault="003A0BBE" w:rsidP="00085B88">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Като се съобразява с препоръките на ЕК и с</w:t>
            </w:r>
            <w:r w:rsidRPr="003A0BBE">
              <w:rPr>
                <w:rFonts w:ascii="Times New Roman" w:eastAsia="Times New Roman" w:hAnsi="Times New Roman" w:cs="Times New Roman"/>
                <w:sz w:val="20"/>
                <w:szCs w:val="20"/>
                <w:lang w:eastAsia="bg-BG"/>
              </w:rPr>
              <w:t>ле</w:t>
            </w:r>
            <w:r w:rsidR="00F44D90">
              <w:rPr>
                <w:rFonts w:ascii="Times New Roman" w:eastAsia="Times New Roman" w:hAnsi="Times New Roman" w:cs="Times New Roman"/>
                <w:sz w:val="20"/>
                <w:szCs w:val="20"/>
                <w:lang w:eastAsia="bg-BG"/>
              </w:rPr>
              <w:t>д обстоен анализ на нормативната уредба</w:t>
            </w:r>
            <w:r>
              <w:rPr>
                <w:rFonts w:ascii="Times New Roman" w:eastAsia="Times New Roman" w:hAnsi="Times New Roman" w:cs="Times New Roman"/>
                <w:sz w:val="20"/>
                <w:szCs w:val="20"/>
                <w:lang w:eastAsia="bg-BG"/>
              </w:rPr>
              <w:t>,</w:t>
            </w:r>
            <w:r w:rsidRPr="003A0BBE">
              <w:rPr>
                <w:rFonts w:ascii="Times New Roman" w:eastAsia="Times New Roman" w:hAnsi="Times New Roman" w:cs="Times New Roman"/>
                <w:sz w:val="20"/>
                <w:szCs w:val="20"/>
                <w:lang w:eastAsia="bg-BG"/>
              </w:rPr>
              <w:t xml:space="preserve"> УО ревизира обхвата на</w:t>
            </w:r>
            <w:r>
              <w:rPr>
                <w:rFonts w:ascii="Times New Roman" w:eastAsia="Times New Roman" w:hAnsi="Times New Roman" w:cs="Times New Roman"/>
                <w:sz w:val="20"/>
                <w:szCs w:val="20"/>
                <w:lang w:eastAsia="bg-BG"/>
              </w:rPr>
              <w:t xml:space="preserve"> понятието „напоявани площи“, така че да бъде по-пълно съответствие</w:t>
            </w:r>
            <w:r w:rsidR="007E2C43">
              <w:rPr>
                <w:rFonts w:ascii="Times New Roman" w:eastAsia="Times New Roman" w:hAnsi="Times New Roman" w:cs="Times New Roman"/>
                <w:sz w:val="20"/>
                <w:szCs w:val="20"/>
                <w:lang w:eastAsia="bg-BG"/>
              </w:rPr>
              <w:t>то</w:t>
            </w:r>
            <w:r>
              <w:rPr>
                <w:rFonts w:ascii="Times New Roman" w:eastAsia="Times New Roman" w:hAnsi="Times New Roman" w:cs="Times New Roman"/>
                <w:sz w:val="20"/>
                <w:szCs w:val="20"/>
                <w:lang w:eastAsia="bg-BG"/>
              </w:rPr>
              <w:t xml:space="preserve"> с площите, в които </w:t>
            </w:r>
            <w:r w:rsidRPr="003A0BBE">
              <w:rPr>
                <w:rFonts w:ascii="Times New Roman" w:eastAsia="Times New Roman" w:hAnsi="Times New Roman" w:cs="Times New Roman"/>
                <w:sz w:val="20"/>
                <w:szCs w:val="20"/>
                <w:lang w:eastAsia="bg-BG"/>
              </w:rPr>
              <w:t>съществува</w:t>
            </w:r>
            <w:r>
              <w:rPr>
                <w:rFonts w:ascii="Times New Roman" w:eastAsia="Times New Roman" w:hAnsi="Times New Roman" w:cs="Times New Roman"/>
                <w:sz w:val="20"/>
                <w:szCs w:val="20"/>
                <w:lang w:eastAsia="bg-BG"/>
              </w:rPr>
              <w:t>т</w:t>
            </w:r>
            <w:r w:rsidRPr="003A0BBE">
              <w:rPr>
                <w:rFonts w:ascii="Times New Roman" w:eastAsia="Times New Roman" w:hAnsi="Times New Roman" w:cs="Times New Roman"/>
                <w:sz w:val="20"/>
                <w:szCs w:val="20"/>
                <w:lang w:eastAsia="bg-BG"/>
              </w:rPr>
              <w:t xml:space="preserve"> напоителни инсталации</w:t>
            </w:r>
            <w:r w:rsidR="00085B88">
              <w:t xml:space="preserve"> </w:t>
            </w:r>
            <w:r w:rsidR="00085B88" w:rsidRPr="00085B88">
              <w:rPr>
                <w:rFonts w:ascii="Times New Roman" w:eastAsia="Times New Roman" w:hAnsi="Times New Roman" w:cs="Times New Roman"/>
                <w:sz w:val="20"/>
                <w:szCs w:val="20"/>
                <w:lang w:eastAsia="bg-BG"/>
              </w:rPr>
              <w:t>и повече потенциални кандидати да могат да се възп</w:t>
            </w:r>
            <w:r w:rsidR="00085B88">
              <w:rPr>
                <w:rFonts w:ascii="Times New Roman" w:eastAsia="Times New Roman" w:hAnsi="Times New Roman" w:cs="Times New Roman"/>
                <w:sz w:val="20"/>
                <w:szCs w:val="20"/>
                <w:lang w:eastAsia="bg-BG"/>
              </w:rPr>
              <w:t>олзват от подпомагане по</w:t>
            </w:r>
            <w:r w:rsidR="00085B88">
              <w:t xml:space="preserve"> </w:t>
            </w:r>
            <w:r w:rsidR="00085B88" w:rsidRPr="00085B88">
              <w:rPr>
                <w:rFonts w:ascii="Times New Roman" w:eastAsia="Times New Roman" w:hAnsi="Times New Roman" w:cs="Times New Roman"/>
                <w:sz w:val="20"/>
                <w:szCs w:val="20"/>
                <w:lang w:eastAsia="bg-BG"/>
              </w:rPr>
              <w:t>процедурата</w:t>
            </w:r>
            <w:r>
              <w:rPr>
                <w:rFonts w:ascii="Times New Roman" w:eastAsia="Times New Roman" w:hAnsi="Times New Roman" w:cs="Times New Roman"/>
                <w:sz w:val="20"/>
                <w:szCs w:val="20"/>
                <w:lang w:eastAsia="bg-BG"/>
              </w:rPr>
              <w:t xml:space="preserve">. Това респективно води до </w:t>
            </w:r>
            <w:r>
              <w:rPr>
                <w:rFonts w:ascii="Times New Roman" w:eastAsia="Times New Roman" w:hAnsi="Times New Roman" w:cs="Times New Roman"/>
                <w:sz w:val="20"/>
                <w:szCs w:val="20"/>
                <w:lang w:eastAsia="bg-BG"/>
              </w:rPr>
              <w:lastRenderedPageBreak/>
              <w:t>промяна и в обхвата на понятието „нетно увеличение на напояваните площи“</w:t>
            </w:r>
            <w:r w:rsidR="00F44D90">
              <w:rPr>
                <w:rFonts w:ascii="Times New Roman" w:eastAsia="Times New Roman" w:hAnsi="Times New Roman" w:cs="Times New Roman"/>
                <w:sz w:val="20"/>
                <w:szCs w:val="20"/>
                <w:lang w:eastAsia="bg-BG"/>
              </w:rPr>
              <w:t>, което е недопустимо за подпомагане по настоящата процедура</w:t>
            </w:r>
            <w:r>
              <w:rPr>
                <w:rFonts w:ascii="Times New Roman" w:eastAsia="Times New Roman" w:hAnsi="Times New Roman" w:cs="Times New Roman"/>
                <w:sz w:val="20"/>
                <w:szCs w:val="20"/>
                <w:lang w:eastAsia="bg-BG"/>
              </w:rPr>
              <w:t>.</w:t>
            </w:r>
            <w:r w:rsidR="005B11CB">
              <w:rPr>
                <w:rFonts w:ascii="Times New Roman" w:eastAsia="Times New Roman" w:hAnsi="Times New Roman" w:cs="Times New Roman"/>
                <w:sz w:val="20"/>
                <w:szCs w:val="20"/>
                <w:lang w:eastAsia="bg-BG"/>
              </w:rPr>
              <w:t xml:space="preserve"> В рамките на преговорите по 17-то изменение на ПРСР 2014-2020 г. УО успя да договори промяната в обхвата на понятието със службите на ЕК.</w:t>
            </w:r>
          </w:p>
        </w:tc>
      </w:tr>
      <w:tr w:rsidR="00E60F2D" w:rsidRPr="007D51EA" w:rsidTr="00701002">
        <w:tc>
          <w:tcPr>
            <w:tcW w:w="534"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lastRenderedPageBreak/>
              <w:t>2.</w:t>
            </w:r>
          </w:p>
        </w:tc>
        <w:tc>
          <w:tcPr>
            <w:tcW w:w="1735"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Н</w:t>
            </w:r>
            <w:r w:rsidRPr="007D51EA">
              <w:rPr>
                <w:rFonts w:ascii="Times New Roman" w:eastAsia="Times New Roman" w:hAnsi="Times New Roman" w:cs="Times New Roman"/>
                <w:sz w:val="20"/>
                <w:szCs w:val="20"/>
                <w:lang w:eastAsia="bg-BG"/>
              </w:rPr>
              <w:t>ационална асоциация на зърнопроизводителите</w:t>
            </w:r>
          </w:p>
        </w:tc>
        <w:tc>
          <w:tcPr>
            <w:tcW w:w="1531" w:type="dxa"/>
            <w:vAlign w:val="center"/>
          </w:tcPr>
          <w:p w:rsidR="00E60F2D" w:rsidRPr="007D51EA" w:rsidRDefault="007D51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УВАЖАЕМИ Г-Н МИНИСТЪР,</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УВАЖАЕМА Г-ЖО ЗАМЕСТНИК-МИНИСТЪР,</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Във връзка с текущото обществено обсъждане на проект на насоки по процедура чрез подбор № BG06RDNP001-4.017 „Целеви прием за проектни предложения за повишаване на ефективността при потреблението на вода в селското стопанство“ по подмярка 4.1 „Инвестиции в земеделски стопанства“ от мярка 4 „Инвестиции в материални активи“ от Програмата за развитие на селските райони за периода 2014-2020 г. от Национална асоциация на зърнопроизводителите (НАЗ) категорично се противопоставяме на стартирането на приема по подмярката във вида предложен на повторно обществено обсъждане.</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 xml:space="preserve">Като основен проблем в подготвяния целеви прием по подмярка 4.1 НАЗ посочва предвиденото в Условията за кандидатстване изискване, че инвестиции за напоителни системи, свързани с нетно увеличение на напояваната площ, не са допустими за подпомагане. Преди броени дни в сайта на Напоителни системи ЕАД беше качена информация относно ЕКАТТЕ, масиви и имоти, които попадат в регистъра на поливните площи в страната и при които е допустимо извършването на инвестиция по предстоящия прием по подмярка 4.1. След извършена проверка от страна на земеделските стопани, членове на НАЗ, в качения на сайта на НС регистър, става ясно, че никой от потенциалните кандидати по приема, които имат проектна готовност за кандидатстване, не попадат в обхвата на съответния регистър на поливните площи. Наличието на това крайно ограничаващо условие за кандидатстване и допустимост, ще е причина за липсата на сериозен интерес по подмярката от страна на земеделските производители и ще доведе до риск от загуба на средства. </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 xml:space="preserve">Също така, НАЗ би искала да припомни, че съгласно разпоредбите на чл. 159, ал. 3 от Закона за водите приетите планове за управление на речните басейни се прилагат до приемането на актуализирани планове. В този смисъл, НАЗ определя аргумента на МЗХ и ЕК, че инвестициите по подмярката следва да не водят до нетно увеличение на поливните </w:t>
            </w:r>
            <w:r w:rsidRPr="007D51EA">
              <w:rPr>
                <w:rFonts w:ascii="Times New Roman" w:eastAsia="Times New Roman" w:hAnsi="Times New Roman" w:cs="Times New Roman"/>
                <w:sz w:val="20"/>
                <w:szCs w:val="20"/>
                <w:lang w:eastAsia="bg-BG"/>
              </w:rPr>
              <w:lastRenderedPageBreak/>
              <w:t>площи, поради неактуализирани планове за управление на речните басейни, като неоснователен от законова гледна точка, тъй като и към днешна дата страната разполага с действащи ПУРБ.</w:t>
            </w:r>
          </w:p>
          <w:p w:rsidR="00E60F2D"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Във връзка с всичко гореизложено, НАЗ категорично не може да се съгласи с упоменатото изискване, защото то ще ощети голяма част от земеделските производители от сектора на растениевъдството и считаме, че докато не бъде намерено решение в полза на земеделските производители, не следва да се отваря целевият прием по процедура № BG06RDNP001-4.017.</w:t>
            </w:r>
          </w:p>
          <w:p w:rsidR="00ED28D8" w:rsidRDefault="00ED28D8"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С уважение,</w:t>
            </w:r>
          </w:p>
          <w:p w:rsidR="00ED28D8" w:rsidRPr="007D51EA" w:rsidRDefault="00ED28D8"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Председател на УС на НАЗ</w:t>
            </w:r>
          </w:p>
        </w:tc>
        <w:tc>
          <w:tcPr>
            <w:tcW w:w="3998" w:type="dxa"/>
            <w:vAlign w:val="center"/>
          </w:tcPr>
          <w:p w:rsidR="00E60F2D" w:rsidRPr="007D51EA" w:rsidRDefault="007E2F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Моля да се запознаете със становището на УО на ПРСР 2014-2020 г. по коментар 1.</w:t>
            </w:r>
          </w:p>
        </w:tc>
      </w:tr>
      <w:tr w:rsidR="007D51EA" w:rsidRPr="007D51EA" w:rsidTr="00701002">
        <w:tc>
          <w:tcPr>
            <w:tcW w:w="534" w:type="dxa"/>
            <w:vAlign w:val="center"/>
          </w:tcPr>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3.</w:t>
            </w:r>
          </w:p>
        </w:tc>
        <w:tc>
          <w:tcPr>
            <w:tcW w:w="1735" w:type="dxa"/>
            <w:vAlign w:val="center"/>
          </w:tcPr>
          <w:p w:rsidR="007D51EA" w:rsidRPr="004750C1" w:rsidRDefault="007D51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Държавен фонд „Земеделие“</w:t>
            </w:r>
          </w:p>
        </w:tc>
        <w:tc>
          <w:tcPr>
            <w:tcW w:w="1531" w:type="dxa"/>
            <w:vAlign w:val="center"/>
          </w:tcPr>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УВАЖАЕМА Г-ЖО ГЕОРГИЕВА,</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Във връзка с повторно публикувани в ИСУН 2020 Насоки за кандидатстване по процедура чрез подбор № BG06RDNP001-4.017 Целеви прием за проектни предложения за повишаване на ефективността при потреблението на вода в селското стопанство по подмярка 4.1 „Инвестиции в земеделски стопанства“ от мярка 4 „Инвестиции в материални активи“ на Програма за развитие на селските райони за периода 2014-2020 г., ДФ „</w:t>
            </w:r>
            <w:r w:rsidR="00701002">
              <w:rPr>
                <w:rFonts w:ascii="Times New Roman" w:eastAsia="Times New Roman" w:hAnsi="Times New Roman" w:cs="Times New Roman"/>
                <w:sz w:val="20"/>
                <w:szCs w:val="20"/>
                <w:lang w:eastAsia="bg-BG"/>
              </w:rPr>
              <w:t xml:space="preserve"> </w:t>
            </w:r>
            <w:r w:rsidRPr="007D51EA">
              <w:rPr>
                <w:rFonts w:ascii="Times New Roman" w:eastAsia="Times New Roman" w:hAnsi="Times New Roman" w:cs="Times New Roman"/>
                <w:sz w:val="20"/>
                <w:szCs w:val="20"/>
                <w:lang w:eastAsia="bg-BG"/>
              </w:rPr>
              <w:t>Земеделие“ отправя следните бележки и допълнения:</w:t>
            </w:r>
          </w:p>
          <w:p w:rsidR="007D51EA" w:rsidRPr="00F44FA6" w:rsidRDefault="007D51EA" w:rsidP="007D51EA">
            <w:pPr>
              <w:spacing w:line="276" w:lineRule="auto"/>
              <w:jc w:val="both"/>
              <w:rPr>
                <w:rFonts w:ascii="Times New Roman" w:eastAsia="Times New Roman" w:hAnsi="Times New Roman" w:cs="Times New Roman"/>
                <w:b/>
                <w:sz w:val="20"/>
                <w:szCs w:val="20"/>
                <w:lang w:eastAsia="bg-BG"/>
              </w:rPr>
            </w:pPr>
            <w:r w:rsidRPr="00F44FA6">
              <w:rPr>
                <w:rFonts w:ascii="Times New Roman" w:eastAsia="Times New Roman" w:hAnsi="Times New Roman" w:cs="Times New Roman"/>
                <w:b/>
                <w:sz w:val="20"/>
                <w:szCs w:val="20"/>
                <w:lang w:eastAsia="bg-BG"/>
              </w:rPr>
              <w:t>I.</w:t>
            </w:r>
            <w:r w:rsidRPr="00F44FA6">
              <w:rPr>
                <w:rFonts w:ascii="Times New Roman" w:eastAsia="Times New Roman" w:hAnsi="Times New Roman" w:cs="Times New Roman"/>
                <w:b/>
                <w:sz w:val="20"/>
                <w:szCs w:val="20"/>
                <w:lang w:eastAsia="bg-BG"/>
              </w:rPr>
              <w:tab/>
              <w:t>По Условия за кандидатстване:</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w:t>
            </w:r>
            <w:r w:rsidRPr="007D51EA">
              <w:rPr>
                <w:rFonts w:ascii="Times New Roman" w:eastAsia="Times New Roman" w:hAnsi="Times New Roman" w:cs="Times New Roman"/>
                <w:sz w:val="20"/>
                <w:szCs w:val="20"/>
                <w:lang w:eastAsia="bg-BG"/>
              </w:rPr>
              <w:tab/>
              <w:t>Предлагаме в таблицата с „Основни термини и дефиниции за целите на процедурата“ да бъде дадено определение за „рециклирани води“.</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2.</w:t>
            </w:r>
            <w:r w:rsidRPr="007D51EA">
              <w:rPr>
                <w:rFonts w:ascii="Times New Roman" w:eastAsia="Times New Roman" w:hAnsi="Times New Roman" w:cs="Times New Roman"/>
                <w:sz w:val="20"/>
                <w:szCs w:val="20"/>
                <w:lang w:eastAsia="bg-BG"/>
              </w:rPr>
              <w:tab/>
              <w:t>С цел по-голяма яснота, предлагаме към текста в т. 15.1, букви „а“ и „б“ от Раздел 13.2. „Условия за допустимост на дейностите“ да бъде добавен текста: „за съответната стопанска година“</w:t>
            </w:r>
            <w:bookmarkStart w:id="0" w:name="_GoBack"/>
            <w:bookmarkEnd w:id="0"/>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3.</w:t>
            </w:r>
            <w:r w:rsidRPr="007D51EA">
              <w:rPr>
                <w:rFonts w:ascii="Times New Roman" w:eastAsia="Times New Roman" w:hAnsi="Times New Roman" w:cs="Times New Roman"/>
                <w:sz w:val="20"/>
                <w:szCs w:val="20"/>
                <w:lang w:eastAsia="bg-BG"/>
              </w:rPr>
              <w:tab/>
              <w:t>Предлагаме изречение второ на т. 22.2 от Раздел 13.2. „Условия за допустимост на дейностите“ да бъде допълнено по следния начин: „Анализът следва да съдържа и изрична информация за кои от заявените за финансиране и/или наличните в стопанството на кандидата активи/оборудване/инсталации за пестене на вода е предвидена фотоволтаичната инсталация, включена в проект“.</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4.</w:t>
            </w:r>
            <w:r w:rsidRPr="007D51EA">
              <w:rPr>
                <w:rFonts w:ascii="Times New Roman" w:eastAsia="Times New Roman" w:hAnsi="Times New Roman" w:cs="Times New Roman"/>
                <w:sz w:val="20"/>
                <w:szCs w:val="20"/>
                <w:lang w:eastAsia="bg-BG"/>
              </w:rPr>
              <w:tab/>
              <w:t xml:space="preserve">С цел внасяне на яснота считаме за необходимо да бъде изяснено какво се визира с понятието „инвестиции за подобряване на съществуващи напоителни системи“ в т. 24 от Раздел 13.2. „Условия за допустимост на дейностите“. Поради липсата на определение, не става ясно следното: в случай, че при проверка за принадлежност на даден поземлен имот към напояваните площи се установи, че има пресичане, </w:t>
            </w:r>
            <w:r w:rsidRPr="007D51EA">
              <w:rPr>
                <w:rFonts w:ascii="Times New Roman" w:eastAsia="Times New Roman" w:hAnsi="Times New Roman" w:cs="Times New Roman"/>
                <w:sz w:val="20"/>
                <w:szCs w:val="20"/>
                <w:lang w:eastAsia="bg-BG"/>
              </w:rPr>
              <w:lastRenderedPageBreak/>
              <w:t>означава ли това автоматично, че инвестицията е за подобрение на съществуващи напоителни системи (т. 24 от Раздел 13.2). В случай, че умишлено е направено разграничение между вида на инвестициите по т. 23 и т. 24, то не става ясно дали изискванията на т. 24.1 и 24.2 следва да се прилагат за инвестиции по т. 23. Съгласно чл. 46, параграф 4 от Регламент (ЕС) № 1305/2013, инвестиция в подобрение на съществуваща напоителна инсталация или елемент от напоителна инфраструктура е допустима само ако е оценена предварително като предлагаща потенциални икономии на вода от минимум между 5 % и 25 % според техническите параметри на съществуващата инсталация или инфраструктура. Считаме, че с въвеждането на определение за „инвестиции за подобряване на съществуващи напоителни системи“ ще се внесе яснота по отношение на допустимите дейности.</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5.</w:t>
            </w:r>
            <w:r w:rsidRPr="007D51EA">
              <w:rPr>
                <w:rFonts w:ascii="Times New Roman" w:eastAsia="Times New Roman" w:hAnsi="Times New Roman" w:cs="Times New Roman"/>
                <w:sz w:val="20"/>
                <w:szCs w:val="20"/>
                <w:lang w:eastAsia="bg-BG"/>
              </w:rPr>
              <w:tab/>
              <w:t>В т. 27 от Раздел 13.2. „Условия за допустимост на дейностите“ е посочено, че „За всяко проектно предложение трябва да има разработен инженерен проект …“, който трябва да доказва изискванията по т. 23 до т. 26 (т. 27.1 от същия раздел). Считаме че, инженерният проект следва да доказва изискванията по т. 24 до т. 26, докато изискванията по т. 23 се доказват със съответните документи. Следва да се има предвид, че допустимите разходи в сектор „Животновъдство“ по същество не представляват „инвестиции в напояване“ по смисъла на чл. 46 от Регламент (ЕС) № 1305/2013. В тази връзка е необходимо да бъде изрично упоменато, кои са изискванията, на които следва да отговарят проектните предложения с включени дейности и разходи в животновъдството. В допълнение, към документа по т. 25 от Раздел 24.1 „Списък с общи документи“ следва да се опише в кои случаи се представя инженерния проект.</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6.</w:t>
            </w:r>
            <w:r w:rsidRPr="007D51EA">
              <w:rPr>
                <w:rFonts w:ascii="Times New Roman" w:eastAsia="Times New Roman" w:hAnsi="Times New Roman" w:cs="Times New Roman"/>
                <w:sz w:val="20"/>
                <w:szCs w:val="20"/>
                <w:lang w:eastAsia="bg-BG"/>
              </w:rPr>
              <w:tab/>
              <w:t>Предлагаме в Раздел 14.3. „Недопустими разходи“ да бъде добавена нова точка, както следва: Разходи, свързани с нетно увеличение на напояваните площи.</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7.</w:t>
            </w:r>
            <w:r w:rsidRPr="007D51EA">
              <w:rPr>
                <w:rFonts w:ascii="Times New Roman" w:eastAsia="Times New Roman" w:hAnsi="Times New Roman" w:cs="Times New Roman"/>
                <w:sz w:val="20"/>
                <w:szCs w:val="20"/>
                <w:lang w:eastAsia="bg-BG"/>
              </w:rPr>
              <w:tab/>
              <w:t xml:space="preserve">Предлагаме в Приложение № 7. „Основна информация и разходи“, в работен лист „Основна информация“, ред 2. ЕГН/ЕИК/БУЛСТАТ да бъде разделен на два отделни реда с наименования: 2.1. ЕИК/БУЛСТАТ: и 2.2. ЕГН:. По отношение на кандидатите – физически лица и ЕТ е необходимо да разполагаме както с ЕГН, така и с БУЛСТАТ, за да бъдат извършени служебните проверки в НАП и НСИ. Доколкото съществува възможност кандидатите да посочат само БУЛСТАТ или само ЕГН във формуляра за </w:t>
            </w:r>
            <w:r w:rsidRPr="007D51EA">
              <w:rPr>
                <w:rFonts w:ascii="Times New Roman" w:eastAsia="Times New Roman" w:hAnsi="Times New Roman" w:cs="Times New Roman"/>
                <w:sz w:val="20"/>
                <w:szCs w:val="20"/>
                <w:lang w:eastAsia="bg-BG"/>
              </w:rPr>
              <w:lastRenderedPageBreak/>
              <w:t>кандидатстване, то би било удачно в Основна информация да има две различни полета, в които да се въведат и двата кода/номера.</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8.</w:t>
            </w:r>
            <w:r w:rsidRPr="007D51EA">
              <w:rPr>
                <w:rFonts w:ascii="Times New Roman" w:eastAsia="Times New Roman" w:hAnsi="Times New Roman" w:cs="Times New Roman"/>
                <w:sz w:val="20"/>
                <w:szCs w:val="20"/>
                <w:lang w:eastAsia="bg-BG"/>
              </w:rPr>
              <w:tab/>
              <w:t>Предвид текста в т. 12 от Раздел 24.1 „Списък с общи документи“, а именно: „включително и за наличните в стопанството на кандидата напоителни системи“, в т. 22.3 от Раздел 13.2. „Условия за допустимост на дейностите“ да се допълни по следния начин: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 трябва да отговарят на условията на т. 23.2, т. 23.3 и т. 23.4.</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9.</w:t>
            </w:r>
            <w:r w:rsidRPr="007D51EA">
              <w:rPr>
                <w:rFonts w:ascii="Times New Roman" w:eastAsia="Times New Roman" w:hAnsi="Times New Roman" w:cs="Times New Roman"/>
                <w:sz w:val="20"/>
                <w:szCs w:val="20"/>
                <w:lang w:eastAsia="bg-BG"/>
              </w:rPr>
              <w:tab/>
              <w:t>В Приложение № 13 „Инструкция за попълване на електронен формуляр“, на стр. 4 е посочено: „Важно: Кандидатите физически лица попълват данни за Код по БУЛСТАТ, а не ЕГН“. Въпреки това, на стр. 7, в инструкцията за попълване на секция „Данни за партньори“ има следните указания: „Кандидат физическо лице, който в секция „Данни за кандидата“ в поле „Номер“ е въвел ЕГН, в настоящата секция в поле „Номер“ следва да посочи Код по Булстат на лицето и трите имена в поле „Пълно наименование“. Видно е, че двете инструкции си противоречат. Ако в секция „Данни за кандидата“ задължително следва да се посочи Код по БУЛСТАТ, то инструкцията на стр. 7 е излишна.</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10.</w:t>
            </w:r>
            <w:r w:rsidRPr="007D51EA">
              <w:rPr>
                <w:rFonts w:ascii="Times New Roman" w:eastAsia="Times New Roman" w:hAnsi="Times New Roman" w:cs="Times New Roman"/>
                <w:sz w:val="20"/>
                <w:szCs w:val="20"/>
                <w:lang w:eastAsia="bg-BG"/>
              </w:rPr>
              <w:tab/>
              <w:t>Предлагаме към процедурата в ИУСН, в раздел „Документи“ да бъде добавена Е-декларация при кандидатстване – Приложение № 2. Декларация при кандидатстване. Това би улеснило както кандидатите, така и оценителите. В случай че приемете препоръката, в Условията за кандидатстване следва да бъде указано, че Приложение № 2. Декларация при кандидатстване се попълва в ИСУН, в Е-декларации.</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11.</w:t>
            </w:r>
            <w:r w:rsidRPr="007D51EA">
              <w:rPr>
                <w:rFonts w:ascii="Times New Roman" w:eastAsia="Times New Roman" w:hAnsi="Times New Roman" w:cs="Times New Roman"/>
                <w:sz w:val="20"/>
                <w:szCs w:val="20"/>
                <w:lang w:eastAsia="bg-BG"/>
              </w:rPr>
              <w:tab/>
              <w:t>Указанията в Приложение № 4. „Бизнес план“, в лист „Обща информация“, в Раздел „В. Съответствие на техническите характеристики и капацитетът на оборудването и съоръженията, за които се кандидатства с вида и площите на отглежданите култури и/или броя на отглежданите от кандидата животни“ следва да бъдат променени в съответствие с т. 14 от Раздел 13.2. „Условия за допустимост на дейностите“.</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12.</w:t>
            </w:r>
            <w:r w:rsidRPr="007D51EA">
              <w:rPr>
                <w:rFonts w:ascii="Times New Roman" w:eastAsia="Times New Roman" w:hAnsi="Times New Roman" w:cs="Times New Roman"/>
                <w:sz w:val="20"/>
                <w:szCs w:val="20"/>
                <w:lang w:eastAsia="bg-BG"/>
              </w:rPr>
              <w:tab/>
              <w:t>В т. 14 от раздел 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 е цитирано Приложение 10 към Условията за изпълнение, но такъв документ не е приложен за обществено обсъждане.</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lastRenderedPageBreak/>
              <w:t>13.</w:t>
            </w:r>
            <w:r w:rsidRPr="007D51EA">
              <w:rPr>
                <w:rFonts w:ascii="Times New Roman" w:eastAsia="Times New Roman" w:hAnsi="Times New Roman" w:cs="Times New Roman"/>
                <w:sz w:val="20"/>
                <w:szCs w:val="20"/>
                <w:lang w:eastAsia="bg-BG"/>
              </w:rPr>
              <w:tab/>
              <w:t>Предлагаме текстът на последното изречение в т. 11 от Раздел 14.2 „Условия за допустимост на разходите“ да придобие следния вид: „В тези случаи оценителната комисия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размери“.</w:t>
            </w:r>
          </w:p>
          <w:p w:rsidR="007D51EA" w:rsidRPr="007D51EA" w:rsidRDefault="007D51EA" w:rsidP="007D51EA">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14.</w:t>
            </w:r>
            <w:r w:rsidRPr="007D51EA">
              <w:rPr>
                <w:rFonts w:ascii="Times New Roman" w:eastAsia="Times New Roman" w:hAnsi="Times New Roman" w:cs="Times New Roman"/>
                <w:sz w:val="20"/>
                <w:szCs w:val="20"/>
                <w:lang w:eastAsia="bg-BG"/>
              </w:rPr>
              <w:tab/>
              <w:t>Предлагаме текстът в т. 13 от Раздел 14.2 „Условия за допустимост на разходите“ по отношение на извършването на проверка за наличие на референтни разходи да се конкретизира за по-голяма яснота и липса на противоречие, като се уточни, че проверката се отнася и за активите от неизбраните оферти с определения референтен разход, в случай на такъв. В противен случай, би могло да се приеме, че условието за сравняване с референтен разход е приложимо само за активите от избраната оферта. В тази връзка, предлагаме следния текст: „… оценителната комисия по чл. 33 от ЗУСЕФСУ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p>
        </w:tc>
        <w:tc>
          <w:tcPr>
            <w:tcW w:w="3998" w:type="dxa"/>
            <w:vAlign w:val="center"/>
          </w:tcPr>
          <w:p w:rsidR="007D51EA" w:rsidRDefault="007D51EA" w:rsidP="00FF1596">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F44D90" w:rsidP="007D51EA">
            <w:pPr>
              <w:spacing w:line="276" w:lineRule="auto"/>
              <w:jc w:val="both"/>
              <w:rPr>
                <w:rFonts w:ascii="Times New Roman" w:eastAsia="Times New Roman" w:hAnsi="Times New Roman" w:cs="Times New Roman"/>
                <w:sz w:val="20"/>
                <w:szCs w:val="20"/>
                <w:lang w:eastAsia="bg-BG"/>
              </w:rPr>
            </w:pPr>
          </w:p>
          <w:p w:rsidR="00F44D90" w:rsidRDefault="00842492"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1. Не се приема.</w:t>
            </w:r>
          </w:p>
          <w:p w:rsidR="00842492" w:rsidRDefault="00842492" w:rsidP="007D51EA">
            <w:pPr>
              <w:spacing w:line="276" w:lineRule="auto"/>
              <w:jc w:val="both"/>
              <w:rPr>
                <w:rFonts w:ascii="Times New Roman" w:eastAsia="Times New Roman" w:hAnsi="Times New Roman" w:cs="Times New Roman"/>
                <w:sz w:val="20"/>
                <w:szCs w:val="20"/>
                <w:lang w:eastAsia="bg-BG"/>
              </w:rPr>
            </w:pPr>
          </w:p>
          <w:p w:rsidR="00651325" w:rsidRDefault="00651325" w:rsidP="007D51EA">
            <w:pPr>
              <w:spacing w:line="276" w:lineRule="auto"/>
              <w:jc w:val="both"/>
              <w:rPr>
                <w:rFonts w:ascii="Times New Roman" w:eastAsia="Times New Roman" w:hAnsi="Times New Roman" w:cs="Times New Roman"/>
                <w:sz w:val="20"/>
                <w:szCs w:val="20"/>
                <w:lang w:eastAsia="bg-BG"/>
              </w:rPr>
            </w:pPr>
          </w:p>
          <w:p w:rsidR="00651325" w:rsidRDefault="00651325"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 xml:space="preserve">2. </w:t>
            </w:r>
            <w:r w:rsidR="00A51135">
              <w:rPr>
                <w:rFonts w:ascii="Times New Roman" w:eastAsia="Times New Roman" w:hAnsi="Times New Roman" w:cs="Times New Roman"/>
                <w:b/>
                <w:sz w:val="20"/>
                <w:szCs w:val="20"/>
                <w:lang w:eastAsia="bg-BG"/>
              </w:rPr>
              <w:t>П</w:t>
            </w:r>
            <w:r>
              <w:rPr>
                <w:rFonts w:ascii="Times New Roman" w:eastAsia="Times New Roman" w:hAnsi="Times New Roman" w:cs="Times New Roman"/>
                <w:b/>
                <w:sz w:val="20"/>
                <w:szCs w:val="20"/>
                <w:lang w:eastAsia="bg-BG"/>
              </w:rPr>
              <w:t>риема</w:t>
            </w:r>
            <w:r w:rsidR="00A51135">
              <w:rPr>
                <w:rFonts w:ascii="Times New Roman" w:eastAsia="Times New Roman" w:hAnsi="Times New Roman" w:cs="Times New Roman"/>
                <w:b/>
                <w:sz w:val="20"/>
                <w:szCs w:val="20"/>
                <w:lang w:eastAsia="bg-BG"/>
              </w:rPr>
              <w:t xml:space="preserve"> се</w:t>
            </w:r>
            <w:r>
              <w:rPr>
                <w:rFonts w:ascii="Times New Roman" w:eastAsia="Times New Roman" w:hAnsi="Times New Roman" w:cs="Times New Roman"/>
                <w:b/>
                <w:sz w:val="20"/>
                <w:szCs w:val="20"/>
                <w:lang w:eastAsia="bg-BG"/>
              </w:rPr>
              <w:t>.</w:t>
            </w:r>
          </w:p>
          <w:p w:rsidR="00651325" w:rsidRDefault="00A51135"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Текстовете са прецизирани.</w:t>
            </w:r>
          </w:p>
          <w:p w:rsidR="00A51135" w:rsidRDefault="00A51135" w:rsidP="007D51EA">
            <w:pPr>
              <w:spacing w:line="276" w:lineRule="auto"/>
              <w:jc w:val="both"/>
              <w:rPr>
                <w:rFonts w:ascii="Times New Roman" w:eastAsia="Times New Roman" w:hAnsi="Times New Roman" w:cs="Times New Roman"/>
                <w:sz w:val="20"/>
                <w:szCs w:val="20"/>
                <w:lang w:eastAsia="bg-BG"/>
              </w:rPr>
            </w:pPr>
          </w:p>
          <w:p w:rsidR="00A51135" w:rsidRDefault="00A51135" w:rsidP="00A51135">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3. Приема се.</w:t>
            </w:r>
          </w:p>
          <w:p w:rsidR="00A51135" w:rsidRDefault="00A51135" w:rsidP="00A5113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Текстовете са прецизирани.</w:t>
            </w:r>
          </w:p>
          <w:p w:rsidR="00A51135" w:rsidRDefault="00A51135" w:rsidP="007D51EA">
            <w:pPr>
              <w:spacing w:line="276" w:lineRule="auto"/>
              <w:jc w:val="both"/>
              <w:rPr>
                <w:rFonts w:ascii="Times New Roman" w:eastAsia="Times New Roman" w:hAnsi="Times New Roman" w:cs="Times New Roman"/>
                <w:sz w:val="20"/>
                <w:szCs w:val="20"/>
                <w:lang w:eastAsia="bg-BG"/>
              </w:rPr>
            </w:pPr>
          </w:p>
          <w:p w:rsidR="00A51135" w:rsidRDefault="00A51135" w:rsidP="007D51EA">
            <w:pPr>
              <w:spacing w:line="276" w:lineRule="auto"/>
              <w:jc w:val="both"/>
              <w:rPr>
                <w:rFonts w:ascii="Times New Roman" w:eastAsia="Times New Roman" w:hAnsi="Times New Roman" w:cs="Times New Roman"/>
                <w:sz w:val="20"/>
                <w:szCs w:val="20"/>
                <w:lang w:eastAsia="bg-BG"/>
              </w:rPr>
            </w:pPr>
          </w:p>
          <w:p w:rsidR="00A51135" w:rsidRDefault="00A51135" w:rsidP="007D51EA">
            <w:pPr>
              <w:spacing w:line="276" w:lineRule="auto"/>
              <w:jc w:val="both"/>
              <w:rPr>
                <w:rFonts w:ascii="Times New Roman" w:eastAsia="Times New Roman" w:hAnsi="Times New Roman" w:cs="Times New Roman"/>
                <w:sz w:val="20"/>
                <w:szCs w:val="20"/>
                <w:lang w:eastAsia="bg-BG"/>
              </w:rPr>
            </w:pPr>
          </w:p>
          <w:p w:rsidR="00A51135" w:rsidRDefault="00A51135" w:rsidP="007D51EA">
            <w:pPr>
              <w:spacing w:line="276" w:lineRule="auto"/>
              <w:jc w:val="both"/>
              <w:rPr>
                <w:rFonts w:ascii="Times New Roman" w:eastAsia="Times New Roman" w:hAnsi="Times New Roman" w:cs="Times New Roman"/>
                <w:sz w:val="20"/>
                <w:szCs w:val="20"/>
                <w:lang w:eastAsia="bg-BG"/>
              </w:rPr>
            </w:pPr>
          </w:p>
          <w:p w:rsidR="00A51135" w:rsidRDefault="00EE2FD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4. Приема се по принцип.</w:t>
            </w:r>
          </w:p>
          <w:p w:rsidR="00EE2FDB" w:rsidRDefault="007F4BA4" w:rsidP="007D51EA">
            <w:pPr>
              <w:spacing w:line="276" w:lineRule="auto"/>
              <w:jc w:val="both"/>
              <w:rPr>
                <w:rFonts w:ascii="Times New Roman" w:eastAsia="Times New Roman" w:hAnsi="Times New Roman" w:cs="Times New Roman"/>
                <w:sz w:val="20"/>
                <w:szCs w:val="20"/>
                <w:lang w:eastAsia="bg-BG"/>
              </w:rPr>
            </w:pPr>
            <w:r w:rsidRPr="00AC4D2A">
              <w:rPr>
                <w:rFonts w:ascii="Times New Roman" w:eastAsia="Times New Roman" w:hAnsi="Times New Roman" w:cs="Times New Roman"/>
                <w:sz w:val="20"/>
                <w:szCs w:val="20"/>
                <w:lang w:eastAsia="bg-BG"/>
              </w:rPr>
              <w:t xml:space="preserve">Понятието „инвестиции за подобряване на съществуващи напоителни системи“ следва да се разбира в общоприетият му смисъл – съществуваща система, която позволява </w:t>
            </w:r>
            <w:r w:rsidRPr="00AC4D2A">
              <w:rPr>
                <w:rFonts w:ascii="Times New Roman" w:eastAsia="Times New Roman" w:hAnsi="Times New Roman" w:cs="Times New Roman"/>
                <w:sz w:val="20"/>
                <w:szCs w:val="20"/>
                <w:lang w:eastAsia="bg-BG"/>
              </w:rPr>
              <w:lastRenderedPageBreak/>
              <w:t xml:space="preserve">доставката на вода от </w:t>
            </w:r>
            <w:r w:rsidR="00AC4D2A">
              <w:rPr>
                <w:rFonts w:ascii="Times New Roman" w:eastAsia="Times New Roman" w:hAnsi="Times New Roman" w:cs="Times New Roman"/>
                <w:sz w:val="20"/>
                <w:szCs w:val="20"/>
                <w:lang w:eastAsia="bg-BG"/>
              </w:rPr>
              <w:t>водоизточника</w:t>
            </w:r>
            <w:r w:rsidRPr="00AC4D2A">
              <w:rPr>
                <w:rFonts w:ascii="Times New Roman" w:eastAsia="Times New Roman" w:hAnsi="Times New Roman" w:cs="Times New Roman"/>
                <w:sz w:val="20"/>
                <w:szCs w:val="20"/>
                <w:lang w:eastAsia="bg-BG"/>
              </w:rPr>
              <w:t xml:space="preserve"> до расте</w:t>
            </w:r>
            <w:r w:rsidR="008B084B" w:rsidRPr="00AC4D2A">
              <w:rPr>
                <w:rFonts w:ascii="Times New Roman" w:eastAsia="Times New Roman" w:hAnsi="Times New Roman" w:cs="Times New Roman"/>
                <w:sz w:val="20"/>
                <w:szCs w:val="20"/>
                <w:lang w:eastAsia="bg-BG"/>
              </w:rPr>
              <w:t>н</w:t>
            </w:r>
            <w:r w:rsidRPr="00AC4D2A">
              <w:rPr>
                <w:rFonts w:ascii="Times New Roman" w:eastAsia="Times New Roman" w:hAnsi="Times New Roman" w:cs="Times New Roman"/>
                <w:sz w:val="20"/>
                <w:szCs w:val="20"/>
                <w:lang w:eastAsia="bg-BG"/>
              </w:rPr>
              <w:t>ията, които я потребяват.</w:t>
            </w:r>
          </w:p>
          <w:p w:rsidR="007F4BA4" w:rsidRPr="00EE2FDB" w:rsidRDefault="007F4BA4"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Отделянето на условията в </w:t>
            </w:r>
            <w:r w:rsidRPr="007F4BA4">
              <w:rPr>
                <w:rFonts w:ascii="Times New Roman" w:eastAsia="Times New Roman" w:hAnsi="Times New Roman" w:cs="Times New Roman"/>
                <w:sz w:val="20"/>
                <w:szCs w:val="20"/>
                <w:lang w:eastAsia="bg-BG"/>
              </w:rPr>
              <w:t xml:space="preserve">т. 23 и т. 24 от раздел 13.2 </w:t>
            </w:r>
            <w:r>
              <w:rPr>
                <w:rFonts w:ascii="Times New Roman" w:eastAsia="Times New Roman" w:hAnsi="Times New Roman" w:cs="Times New Roman"/>
                <w:sz w:val="20"/>
                <w:szCs w:val="20"/>
                <w:lang w:eastAsia="bg-BG"/>
              </w:rPr>
              <w:t xml:space="preserve">е само техническо. Следва да се има предвид, че те се отнасят за всички проектни предложения с включени инвестиции в напояване. </w:t>
            </w:r>
          </w:p>
          <w:p w:rsidR="00651325" w:rsidRDefault="00651325" w:rsidP="007D51EA">
            <w:pPr>
              <w:spacing w:line="276" w:lineRule="auto"/>
              <w:jc w:val="both"/>
              <w:rPr>
                <w:rFonts w:ascii="Times New Roman" w:eastAsia="Times New Roman" w:hAnsi="Times New Roman" w:cs="Times New Roman"/>
                <w:sz w:val="20"/>
                <w:szCs w:val="20"/>
                <w:lang w:eastAsia="bg-BG"/>
              </w:rPr>
            </w:pPr>
          </w:p>
          <w:p w:rsidR="007F4BA4" w:rsidRDefault="007F4BA4" w:rsidP="007D51EA">
            <w:pPr>
              <w:spacing w:line="276" w:lineRule="auto"/>
              <w:jc w:val="both"/>
              <w:rPr>
                <w:rFonts w:ascii="Times New Roman" w:eastAsia="Times New Roman" w:hAnsi="Times New Roman" w:cs="Times New Roman"/>
                <w:sz w:val="20"/>
                <w:szCs w:val="20"/>
                <w:lang w:eastAsia="bg-BG"/>
              </w:rPr>
            </w:pPr>
          </w:p>
          <w:p w:rsidR="007F4BA4" w:rsidRDefault="007F4BA4" w:rsidP="007D51EA">
            <w:pPr>
              <w:spacing w:line="276" w:lineRule="auto"/>
              <w:jc w:val="both"/>
              <w:rPr>
                <w:rFonts w:ascii="Times New Roman" w:eastAsia="Times New Roman" w:hAnsi="Times New Roman" w:cs="Times New Roman"/>
                <w:sz w:val="20"/>
                <w:szCs w:val="20"/>
                <w:lang w:eastAsia="bg-BG"/>
              </w:rPr>
            </w:pPr>
          </w:p>
          <w:p w:rsidR="007F4BA4" w:rsidRDefault="007F4BA4" w:rsidP="007D51EA">
            <w:pPr>
              <w:spacing w:line="276" w:lineRule="auto"/>
              <w:jc w:val="both"/>
              <w:rPr>
                <w:rFonts w:ascii="Times New Roman" w:eastAsia="Times New Roman" w:hAnsi="Times New Roman" w:cs="Times New Roman"/>
                <w:sz w:val="20"/>
                <w:szCs w:val="20"/>
                <w:lang w:eastAsia="bg-BG"/>
              </w:rPr>
            </w:pPr>
          </w:p>
          <w:p w:rsidR="007F4BA4" w:rsidRDefault="007F4BA4" w:rsidP="007D51EA">
            <w:pPr>
              <w:spacing w:line="276" w:lineRule="auto"/>
              <w:jc w:val="both"/>
              <w:rPr>
                <w:rFonts w:ascii="Times New Roman" w:eastAsia="Times New Roman" w:hAnsi="Times New Roman" w:cs="Times New Roman"/>
                <w:sz w:val="20"/>
                <w:szCs w:val="20"/>
                <w:lang w:eastAsia="bg-BG"/>
              </w:rPr>
            </w:pPr>
          </w:p>
          <w:p w:rsidR="007F4BA4" w:rsidRDefault="007F4BA4" w:rsidP="007D51EA">
            <w:pPr>
              <w:spacing w:line="276" w:lineRule="auto"/>
              <w:jc w:val="both"/>
              <w:rPr>
                <w:rFonts w:ascii="Times New Roman" w:eastAsia="Times New Roman" w:hAnsi="Times New Roman" w:cs="Times New Roman"/>
                <w:sz w:val="20"/>
                <w:szCs w:val="20"/>
                <w:lang w:eastAsia="bg-BG"/>
              </w:rPr>
            </w:pPr>
          </w:p>
          <w:p w:rsidR="007F4BA4" w:rsidRDefault="00E827B6"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5. Приема се.</w:t>
            </w:r>
          </w:p>
          <w:p w:rsidR="00E827B6" w:rsidRPr="00E827B6" w:rsidRDefault="00E827B6"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Текстовете са прецизирани.</w:t>
            </w:r>
          </w:p>
          <w:p w:rsidR="007F4BA4" w:rsidRDefault="007F4BA4"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Default="00E827B6" w:rsidP="007D51EA">
            <w:pPr>
              <w:spacing w:line="276" w:lineRule="auto"/>
              <w:jc w:val="both"/>
              <w:rPr>
                <w:rFonts w:ascii="Times New Roman" w:eastAsia="Times New Roman" w:hAnsi="Times New Roman" w:cs="Times New Roman"/>
                <w:sz w:val="20"/>
                <w:szCs w:val="20"/>
                <w:lang w:eastAsia="bg-BG"/>
              </w:rPr>
            </w:pPr>
          </w:p>
          <w:p w:rsidR="00E827B6" w:rsidRPr="00273E3B" w:rsidRDefault="00273E3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7F4BA4" w:rsidRDefault="007F4BA4" w:rsidP="007D51EA">
            <w:pPr>
              <w:spacing w:line="276" w:lineRule="auto"/>
              <w:jc w:val="both"/>
              <w:rPr>
                <w:rFonts w:ascii="Times New Roman" w:eastAsia="Times New Roman" w:hAnsi="Times New Roman" w:cs="Times New Roman"/>
                <w:sz w:val="20"/>
                <w:szCs w:val="20"/>
                <w:lang w:eastAsia="bg-BG"/>
              </w:rPr>
            </w:pPr>
          </w:p>
          <w:p w:rsidR="00273E3B" w:rsidRDefault="00273E3B" w:rsidP="007D51EA">
            <w:pPr>
              <w:spacing w:line="276" w:lineRule="auto"/>
              <w:jc w:val="both"/>
              <w:rPr>
                <w:rFonts w:ascii="Times New Roman" w:eastAsia="Times New Roman" w:hAnsi="Times New Roman" w:cs="Times New Roman"/>
                <w:sz w:val="20"/>
                <w:szCs w:val="20"/>
                <w:lang w:eastAsia="bg-BG"/>
              </w:rPr>
            </w:pPr>
          </w:p>
          <w:p w:rsidR="00273E3B" w:rsidRPr="00273E3B" w:rsidRDefault="00273E3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273E3B" w:rsidRDefault="00273E3B" w:rsidP="007D51EA">
            <w:pPr>
              <w:spacing w:line="276" w:lineRule="auto"/>
              <w:jc w:val="both"/>
              <w:rPr>
                <w:rFonts w:ascii="Times New Roman" w:eastAsia="Times New Roman" w:hAnsi="Times New Roman" w:cs="Times New Roman"/>
                <w:sz w:val="20"/>
                <w:szCs w:val="20"/>
                <w:lang w:eastAsia="bg-BG"/>
              </w:rPr>
            </w:pPr>
          </w:p>
          <w:p w:rsidR="00273E3B" w:rsidRDefault="00273E3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DE449A" w:rsidRDefault="00DE449A"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Pr="006D44FB" w:rsidRDefault="006D44F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Pr="00DE449A" w:rsidRDefault="00942231" w:rsidP="007D51EA">
            <w:pPr>
              <w:spacing w:line="276" w:lineRule="auto"/>
              <w:jc w:val="both"/>
              <w:rPr>
                <w:rFonts w:ascii="Times New Roman" w:eastAsia="Times New Roman" w:hAnsi="Times New Roman" w:cs="Times New Roman"/>
                <w:b/>
                <w:sz w:val="20"/>
                <w:szCs w:val="20"/>
                <w:lang w:eastAsia="bg-BG"/>
              </w:rPr>
            </w:pPr>
            <w:r w:rsidRPr="00DE449A">
              <w:rPr>
                <w:rFonts w:ascii="Times New Roman" w:eastAsia="Times New Roman" w:hAnsi="Times New Roman" w:cs="Times New Roman"/>
                <w:b/>
                <w:sz w:val="20"/>
                <w:szCs w:val="20"/>
                <w:lang w:eastAsia="bg-BG"/>
              </w:rPr>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Pr="00942231" w:rsidRDefault="00942231"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Pr="008F2EEA" w:rsidRDefault="008F2EEA"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DE449A" w:rsidRDefault="00DE449A" w:rsidP="007D51EA">
            <w:pPr>
              <w:spacing w:line="276" w:lineRule="auto"/>
              <w:jc w:val="both"/>
              <w:rPr>
                <w:rFonts w:ascii="Times New Roman" w:eastAsia="Times New Roman" w:hAnsi="Times New Roman" w:cs="Times New Roman"/>
                <w:sz w:val="20"/>
                <w:szCs w:val="20"/>
                <w:lang w:eastAsia="bg-BG"/>
              </w:rPr>
            </w:pPr>
          </w:p>
          <w:p w:rsidR="006D44FB" w:rsidRPr="00380DF7" w:rsidRDefault="00380DF7"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lastRenderedPageBreak/>
              <w:t>Приема се.</w:t>
            </w: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6D44FB" w:rsidRDefault="006D44FB" w:rsidP="007D51EA">
            <w:pPr>
              <w:spacing w:line="276" w:lineRule="auto"/>
              <w:jc w:val="both"/>
              <w:rPr>
                <w:rFonts w:ascii="Times New Roman" w:eastAsia="Times New Roman" w:hAnsi="Times New Roman" w:cs="Times New Roman"/>
                <w:sz w:val="20"/>
                <w:szCs w:val="20"/>
                <w:lang w:eastAsia="bg-BG"/>
              </w:rPr>
            </w:pPr>
          </w:p>
          <w:p w:rsidR="00380DF7" w:rsidRDefault="00380DF7" w:rsidP="007D51EA">
            <w:pPr>
              <w:spacing w:line="276" w:lineRule="auto"/>
              <w:jc w:val="both"/>
              <w:rPr>
                <w:rFonts w:ascii="Times New Roman" w:eastAsia="Times New Roman" w:hAnsi="Times New Roman" w:cs="Times New Roman"/>
                <w:sz w:val="20"/>
                <w:szCs w:val="20"/>
                <w:lang w:eastAsia="bg-BG"/>
              </w:rPr>
            </w:pPr>
          </w:p>
          <w:p w:rsidR="00380DF7" w:rsidRDefault="00380DF7" w:rsidP="007D51EA">
            <w:pPr>
              <w:spacing w:line="276" w:lineRule="auto"/>
              <w:jc w:val="both"/>
              <w:rPr>
                <w:rFonts w:ascii="Times New Roman" w:eastAsia="Times New Roman" w:hAnsi="Times New Roman" w:cs="Times New Roman"/>
                <w:sz w:val="20"/>
                <w:szCs w:val="20"/>
                <w:lang w:eastAsia="bg-BG"/>
              </w:rPr>
            </w:pPr>
          </w:p>
          <w:p w:rsidR="00380DF7" w:rsidRDefault="00380DF7" w:rsidP="007D51EA">
            <w:pPr>
              <w:spacing w:line="276" w:lineRule="auto"/>
              <w:jc w:val="both"/>
              <w:rPr>
                <w:rFonts w:ascii="Times New Roman" w:eastAsia="Times New Roman" w:hAnsi="Times New Roman" w:cs="Times New Roman"/>
                <w:sz w:val="20"/>
                <w:szCs w:val="20"/>
                <w:lang w:eastAsia="bg-BG"/>
              </w:rPr>
            </w:pPr>
          </w:p>
          <w:p w:rsidR="00273E3B" w:rsidRPr="008B084B" w:rsidRDefault="008B084B" w:rsidP="007D51EA">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Приема се.</w:t>
            </w:r>
          </w:p>
        </w:tc>
      </w:tr>
      <w:tr w:rsidR="007D51EA" w:rsidRPr="007D51EA" w:rsidTr="00701002">
        <w:tc>
          <w:tcPr>
            <w:tcW w:w="534" w:type="dxa"/>
            <w:vAlign w:val="center"/>
          </w:tcPr>
          <w:p w:rsidR="007D51EA" w:rsidRPr="007D51EA" w:rsidRDefault="00213C7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4.</w:t>
            </w:r>
          </w:p>
        </w:tc>
        <w:tc>
          <w:tcPr>
            <w:tcW w:w="1735" w:type="dxa"/>
            <w:vAlign w:val="center"/>
          </w:tcPr>
          <w:p w:rsidR="007D51EA" w:rsidRPr="007D51EA" w:rsidRDefault="00213C7A" w:rsidP="007D51E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Българска Асоциация Биопродукти</w:t>
            </w:r>
          </w:p>
        </w:tc>
        <w:tc>
          <w:tcPr>
            <w:tcW w:w="1531" w:type="dxa"/>
            <w:vAlign w:val="center"/>
          </w:tcPr>
          <w:p w:rsidR="007D51EA" w:rsidRPr="007D51EA" w:rsidRDefault="00213C7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Във връзка с повторно обществено обсъждане на насоките по процедурата, бихме искали да изразим становище, че предложените условия по процедурата ощетяват голям брой земеделски производители, предвид изискването да няма нетно увеличение на напояваната площ. Считаме, че при това условие целите на процедурата не могат да бъдат изпълнени и следва да се търси ново решение и договаряне с Европейската комисия на условията по подмярката.</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При все по-усложняващата се климатична обстановка, развиването на конкурентноспособно земеделие без напояване става невъзможно. Ето защо трябва да се положат максимални усилия за насочване на средствата към поливно земеделие за възможно най-голям брой земеделски стопани.</w:t>
            </w:r>
          </w:p>
          <w:p w:rsidR="007D51E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Ето защо не подкрепяме предложението за Насоки за процедурата.</w:t>
            </w:r>
          </w:p>
          <w:p w:rsidR="00ED28D8" w:rsidRPr="007D51EA" w:rsidRDefault="00ED28D8" w:rsidP="00213C7A">
            <w:pPr>
              <w:spacing w:line="276" w:lineRule="auto"/>
              <w:jc w:val="both"/>
              <w:rPr>
                <w:rFonts w:ascii="Times New Roman" w:eastAsia="Times New Roman" w:hAnsi="Times New Roman" w:cs="Times New Roman"/>
                <w:sz w:val="20"/>
                <w:szCs w:val="20"/>
                <w:lang w:eastAsia="bg-BG"/>
              </w:rPr>
            </w:pPr>
            <w:r w:rsidRPr="00ED28D8">
              <w:rPr>
                <w:rFonts w:ascii="Times New Roman" w:eastAsia="Times New Roman" w:hAnsi="Times New Roman" w:cs="Times New Roman"/>
                <w:sz w:val="20"/>
                <w:szCs w:val="20"/>
                <w:lang w:eastAsia="bg-BG"/>
              </w:rPr>
              <w:t>Българска Асоциация Биопродукти</w:t>
            </w:r>
          </w:p>
        </w:tc>
        <w:tc>
          <w:tcPr>
            <w:tcW w:w="3998" w:type="dxa"/>
            <w:vAlign w:val="center"/>
          </w:tcPr>
          <w:p w:rsidR="007D51EA" w:rsidRPr="007D51EA" w:rsidRDefault="00380DF7" w:rsidP="007D51EA">
            <w:pPr>
              <w:spacing w:line="276" w:lineRule="auto"/>
              <w:jc w:val="both"/>
              <w:rPr>
                <w:rFonts w:ascii="Times New Roman" w:eastAsia="Times New Roman" w:hAnsi="Times New Roman" w:cs="Times New Roman"/>
                <w:sz w:val="20"/>
                <w:szCs w:val="20"/>
                <w:lang w:eastAsia="bg-BG"/>
              </w:rPr>
            </w:pPr>
            <w:r w:rsidRPr="00380DF7">
              <w:rPr>
                <w:rFonts w:ascii="Times New Roman" w:eastAsia="Times New Roman" w:hAnsi="Times New Roman" w:cs="Times New Roman"/>
                <w:sz w:val="20"/>
                <w:szCs w:val="20"/>
                <w:lang w:eastAsia="bg-BG"/>
              </w:rPr>
              <w:t>Моля да се запознаете със становището на УО на ПРСР 2014-2020 г. по коментар 1.</w:t>
            </w:r>
          </w:p>
        </w:tc>
      </w:tr>
      <w:tr w:rsidR="00213C7A" w:rsidRPr="007D51EA" w:rsidTr="00380DF7">
        <w:tc>
          <w:tcPr>
            <w:tcW w:w="534" w:type="dxa"/>
            <w:vAlign w:val="center"/>
          </w:tcPr>
          <w:p w:rsidR="00213C7A" w:rsidRPr="007D51EA" w:rsidRDefault="00213C7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5.</w:t>
            </w:r>
          </w:p>
        </w:tc>
        <w:tc>
          <w:tcPr>
            <w:tcW w:w="1735" w:type="dxa"/>
            <w:vAlign w:val="center"/>
          </w:tcPr>
          <w:p w:rsidR="00213C7A" w:rsidRPr="007D51EA" w:rsidRDefault="00213C7A" w:rsidP="007D51E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 xml:space="preserve">Българска асоциация на консултантите по европейски </w:t>
            </w:r>
            <w:r w:rsidRPr="00213C7A">
              <w:rPr>
                <w:rFonts w:ascii="Times New Roman" w:eastAsia="Times New Roman" w:hAnsi="Times New Roman" w:cs="Times New Roman"/>
                <w:sz w:val="20"/>
                <w:szCs w:val="20"/>
                <w:lang w:eastAsia="bg-BG"/>
              </w:rPr>
              <w:lastRenderedPageBreak/>
              <w:t>програми /БАКЕП/</w:t>
            </w:r>
          </w:p>
        </w:tc>
        <w:tc>
          <w:tcPr>
            <w:tcW w:w="1531" w:type="dxa"/>
            <w:vAlign w:val="center"/>
          </w:tcPr>
          <w:p w:rsidR="00213C7A" w:rsidRPr="007D51EA" w:rsidRDefault="00213C7A"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16.07.2024 Г.</w:t>
            </w:r>
          </w:p>
        </w:tc>
        <w:tc>
          <w:tcPr>
            <w:tcW w:w="6378" w:type="dxa"/>
            <w:vAlign w:val="center"/>
          </w:tcPr>
          <w:p w:rsidR="00213C7A" w:rsidRPr="00213C7A" w:rsidRDefault="00213C7A" w:rsidP="00213C7A">
            <w:pPr>
              <w:spacing w:line="276" w:lineRule="auto"/>
              <w:jc w:val="both"/>
              <w:rPr>
                <w:rFonts w:ascii="Times New Roman" w:eastAsia="Times New Roman" w:hAnsi="Times New Roman" w:cs="Times New Roman"/>
                <w:b/>
                <w:sz w:val="20"/>
                <w:szCs w:val="20"/>
                <w:lang w:eastAsia="bg-BG"/>
              </w:rPr>
            </w:pPr>
            <w:r w:rsidRPr="00213C7A">
              <w:rPr>
                <w:rFonts w:ascii="Times New Roman" w:eastAsia="Times New Roman" w:hAnsi="Times New Roman" w:cs="Times New Roman"/>
                <w:b/>
                <w:sz w:val="20"/>
                <w:szCs w:val="20"/>
                <w:lang w:eastAsia="bg-BG"/>
              </w:rPr>
              <w:t>УВАЖАЕМА Г-ЖО ГЕОРГИЕВА (ДЪБНИШКА</w:t>
            </w:r>
            <w:r w:rsidRPr="00213C7A">
              <w:rPr>
                <w:rFonts w:ascii="Times New Roman" w:eastAsia="Times New Roman" w:hAnsi="Times New Roman" w:cs="Times New Roman"/>
                <w:b/>
                <w:sz w:val="20"/>
                <w:szCs w:val="20"/>
                <w:lang w:val="en-US" w:eastAsia="bg-BG"/>
              </w:rPr>
              <w:t>)</w:t>
            </w:r>
            <w:r w:rsidRPr="00213C7A">
              <w:rPr>
                <w:rFonts w:ascii="Times New Roman" w:eastAsia="Times New Roman" w:hAnsi="Times New Roman" w:cs="Times New Roman"/>
                <w:b/>
                <w:sz w:val="20"/>
                <w:szCs w:val="20"/>
                <w:lang w:eastAsia="bg-BG"/>
              </w:rPr>
              <w:t>,</w:t>
            </w:r>
          </w:p>
          <w:p w:rsidR="00213C7A" w:rsidRPr="00213C7A" w:rsidRDefault="00213C7A" w:rsidP="00213C7A">
            <w:pPr>
              <w:spacing w:line="276" w:lineRule="auto"/>
              <w:jc w:val="both"/>
              <w:rPr>
                <w:rFonts w:ascii="Times New Roman" w:eastAsia="Times New Roman" w:hAnsi="Times New Roman" w:cs="Times New Roman"/>
                <w:b/>
                <w:sz w:val="20"/>
                <w:szCs w:val="20"/>
                <w:lang w:eastAsia="bg-BG"/>
              </w:rPr>
            </w:pPr>
            <w:r w:rsidRPr="00213C7A">
              <w:rPr>
                <w:rFonts w:ascii="Times New Roman" w:eastAsia="Times New Roman" w:hAnsi="Times New Roman" w:cs="Times New Roman"/>
                <w:b/>
                <w:sz w:val="20"/>
                <w:szCs w:val="20"/>
                <w:lang w:eastAsia="bg-BG"/>
              </w:rPr>
              <w:t>УВАЖАЕМА Г-ЖО ИВАНОВА,</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 xml:space="preserve">С настоящото писмо, предоставяме на вашето внимание нашите коментари, касаещи Условията за кандидатстване. </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lastRenderedPageBreak/>
              <w:t xml:space="preserve">Преди всичко, сме </w:t>
            </w:r>
            <w:r w:rsidRPr="00213C7A">
              <w:rPr>
                <w:rFonts w:ascii="Times New Roman" w:eastAsia="Times New Roman" w:hAnsi="Times New Roman" w:cs="Times New Roman"/>
                <w:b/>
                <w:bCs/>
                <w:sz w:val="20"/>
                <w:szCs w:val="20"/>
                <w:u w:val="single"/>
                <w:lang w:eastAsia="bg-BG"/>
              </w:rPr>
              <w:t>против изписаното условие по т. 26 от Раздел 13.2,</w:t>
            </w:r>
            <w:r w:rsidRPr="00213C7A">
              <w:rPr>
                <w:rFonts w:ascii="Times New Roman" w:eastAsia="Times New Roman" w:hAnsi="Times New Roman" w:cs="Times New Roman"/>
                <w:sz w:val="20"/>
                <w:szCs w:val="20"/>
                <w:lang w:eastAsia="bg-BG"/>
              </w:rPr>
              <w:t xml:space="preserve"> а именно: инвестициите свързани с нетно увеличение на напояваната площ, не са допустими за подпомагане. Разглеждайки и другите текстове от Раздел 13.2 и определенията в началото, нашето разбиране е, че допустимите инвестиции са ограничени само до площите, които се намират в регистъра в на Напоителни Системи </w:t>
            </w:r>
            <w:r w:rsidRPr="00213C7A">
              <w:rPr>
                <w:rFonts w:ascii="Times New Roman" w:eastAsia="Times New Roman" w:hAnsi="Times New Roman" w:cs="Times New Roman"/>
                <w:sz w:val="20"/>
                <w:szCs w:val="20"/>
                <w:lang w:val="en-US" w:eastAsia="bg-BG"/>
              </w:rPr>
              <w:t>(</w:t>
            </w:r>
            <w:r w:rsidRPr="00213C7A">
              <w:rPr>
                <w:rFonts w:ascii="Times New Roman" w:eastAsia="Times New Roman" w:hAnsi="Times New Roman" w:cs="Times New Roman"/>
                <w:sz w:val="20"/>
                <w:szCs w:val="20"/>
                <w:lang w:eastAsia="bg-BG"/>
              </w:rPr>
              <w:t>НС</w:t>
            </w:r>
            <w:r w:rsidRPr="00213C7A">
              <w:rPr>
                <w:rFonts w:ascii="Times New Roman" w:eastAsia="Times New Roman" w:hAnsi="Times New Roman" w:cs="Times New Roman"/>
                <w:sz w:val="20"/>
                <w:szCs w:val="20"/>
                <w:lang w:val="en-US" w:eastAsia="bg-BG"/>
              </w:rPr>
              <w:t>)</w:t>
            </w:r>
            <w:r w:rsidRPr="00213C7A">
              <w:rPr>
                <w:rFonts w:ascii="Times New Roman" w:eastAsia="Times New Roman" w:hAnsi="Times New Roman" w:cs="Times New Roman"/>
                <w:sz w:val="20"/>
                <w:szCs w:val="20"/>
                <w:lang w:eastAsia="bg-BG"/>
              </w:rPr>
              <w:t xml:space="preserve">.  </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Ние сме против това условие, защото:</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Площите, които са в сайта на НС са били напоявани преди 30 години. Списъкът с тях е направен преди 20 г. и оттогава насам реално напояваните площи са различни. По наша проверка и статистика, не повече от половината площи, които реално се напояват към момента и имат всички разрешения от Басейнова Дирекция, водоизточник и т.н. са в този регистър;</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Това е дискриминационно условие и противоречащо с принципите на лоялната конкуренция;</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Картата на реално напояваните площи в България е съвсем различна от този регистър;</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Голяма част от имотите, които са в регистъра на НС не се напояват, защото каналите на НС отдавна са разбити и по тях вода не тече! По този начин целта на процедурата, а именно да се подпомогне земеделието чрез стимулиране на напояването, няма да се изпълни, защото ще се финансират инвестиции в полета, до които вода не стига;</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 xml:space="preserve">Има цели региони в България </w:t>
            </w:r>
            <w:r w:rsidRPr="00213C7A">
              <w:rPr>
                <w:rFonts w:ascii="Times New Roman" w:eastAsia="Times New Roman" w:hAnsi="Times New Roman" w:cs="Times New Roman"/>
                <w:sz w:val="20"/>
                <w:szCs w:val="20"/>
                <w:lang w:val="en-US" w:eastAsia="bg-BG"/>
              </w:rPr>
              <w:t>(</w:t>
            </w:r>
            <w:r w:rsidRPr="00213C7A">
              <w:rPr>
                <w:rFonts w:ascii="Times New Roman" w:eastAsia="Times New Roman" w:hAnsi="Times New Roman" w:cs="Times New Roman"/>
                <w:sz w:val="20"/>
                <w:szCs w:val="20"/>
                <w:lang w:eastAsia="bg-BG"/>
              </w:rPr>
              <w:t>голяма част от северна Б-я</w:t>
            </w:r>
            <w:r w:rsidRPr="00213C7A">
              <w:rPr>
                <w:rFonts w:ascii="Times New Roman" w:eastAsia="Times New Roman" w:hAnsi="Times New Roman" w:cs="Times New Roman"/>
                <w:sz w:val="20"/>
                <w:szCs w:val="20"/>
                <w:lang w:val="en-US" w:eastAsia="bg-BG"/>
              </w:rPr>
              <w:t>)</w:t>
            </w:r>
            <w:r w:rsidRPr="00213C7A">
              <w:rPr>
                <w:rFonts w:ascii="Times New Roman" w:eastAsia="Times New Roman" w:hAnsi="Times New Roman" w:cs="Times New Roman"/>
                <w:sz w:val="20"/>
                <w:szCs w:val="20"/>
                <w:lang w:eastAsia="bg-BG"/>
              </w:rPr>
              <w:t>, които не са обхванати от мрежата на НС и те са дискриминирани ако това условие се приложи;</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Липсват всякакви аргументи защо на площи, за които има издадени от басейновите дирекции становища за допустимост не може да се напояват;</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Използването на този списък ще създаде почва за недобра практика и има голяма вероятност кандидатите да кандидатстват с площи, които са в този регистър, а реално да напояват съвсем други полета/имоти;</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В допълнение, това е скрита държавна помощ за Напоителни система, защото така се стимулират стопаните да ползват тяхната вода;</w:t>
            </w:r>
          </w:p>
          <w:p w:rsidR="00213C7A" w:rsidRPr="00213C7A" w:rsidRDefault="00213C7A" w:rsidP="00213C7A">
            <w:pPr>
              <w:numPr>
                <w:ilvl w:val="0"/>
                <w:numId w:val="7"/>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От друга страна, водата от каналите на Напоителни системи е най-скъпата и ако се стимулира да се използва тя, себестойността на земеделската продукция нараства много.</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Затова, предлагаме два варианта:</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bookmarkStart w:id="1" w:name="_Hlk172026230"/>
            <w:r w:rsidRPr="00213C7A">
              <w:rPr>
                <w:rFonts w:ascii="Times New Roman" w:eastAsia="Times New Roman" w:hAnsi="Times New Roman" w:cs="Times New Roman"/>
                <w:b/>
                <w:bCs/>
                <w:sz w:val="20"/>
                <w:szCs w:val="20"/>
                <w:u w:val="single"/>
                <w:lang w:eastAsia="bg-BG"/>
              </w:rPr>
              <w:t>Вариант 1: П</w:t>
            </w:r>
            <w:bookmarkEnd w:id="1"/>
            <w:r w:rsidRPr="00213C7A">
              <w:rPr>
                <w:rFonts w:ascii="Times New Roman" w:eastAsia="Times New Roman" w:hAnsi="Times New Roman" w:cs="Times New Roman"/>
                <w:b/>
                <w:bCs/>
                <w:sz w:val="20"/>
                <w:szCs w:val="20"/>
                <w:u w:val="single"/>
                <w:lang w:eastAsia="bg-BG"/>
              </w:rPr>
              <w:t xml:space="preserve">ремахва се ограничението по </w:t>
            </w:r>
            <w:bookmarkStart w:id="2" w:name="_Hlk172033916"/>
            <w:r w:rsidRPr="00213C7A">
              <w:rPr>
                <w:rFonts w:ascii="Times New Roman" w:eastAsia="Times New Roman" w:hAnsi="Times New Roman" w:cs="Times New Roman"/>
                <w:b/>
                <w:bCs/>
                <w:sz w:val="20"/>
                <w:szCs w:val="20"/>
                <w:u w:val="single"/>
                <w:lang w:eastAsia="bg-BG"/>
              </w:rPr>
              <w:t>т. 26 от Раздел 13.2</w:t>
            </w:r>
            <w:r w:rsidRPr="00213C7A">
              <w:rPr>
                <w:rFonts w:ascii="Times New Roman" w:eastAsia="Times New Roman" w:hAnsi="Times New Roman" w:cs="Times New Roman"/>
                <w:sz w:val="20"/>
                <w:szCs w:val="20"/>
                <w:lang w:eastAsia="bg-BG"/>
              </w:rPr>
              <w:t xml:space="preserve"> </w:t>
            </w:r>
            <w:bookmarkEnd w:id="2"/>
            <w:r w:rsidRPr="00213C7A">
              <w:rPr>
                <w:rFonts w:ascii="Times New Roman" w:eastAsia="Times New Roman" w:hAnsi="Times New Roman" w:cs="Times New Roman"/>
                <w:sz w:val="20"/>
                <w:szCs w:val="20"/>
                <w:lang w:eastAsia="bg-BG"/>
              </w:rPr>
              <w:t>и стартира прием на проекти възможно най-скоро с оглед малкото оставащо време до края на ПРСР 2014-2020.</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В този случай, имаме три допълнителни предложения:</w:t>
            </w:r>
          </w:p>
          <w:p w:rsidR="00213C7A" w:rsidRPr="00213C7A" w:rsidRDefault="00213C7A" w:rsidP="00213C7A">
            <w:pPr>
              <w:numPr>
                <w:ilvl w:val="0"/>
                <w:numId w:val="8"/>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Да се даде възможност за инвестиции във ВЕИ-та без да са обвързани с условието за захранване само на други допустими инвестиции по настоящия проект. Така, да се редактира условието по т.22.1 и да се чете:  „Инвестиции по т. 22 се подпомагат, ако са за собствено потребление и същите не надхвърлят необходимото количество енергия за покриване нуждите в стопанството на кандидата.“</w:t>
            </w:r>
          </w:p>
          <w:p w:rsidR="00213C7A" w:rsidRPr="00213C7A" w:rsidRDefault="00213C7A" w:rsidP="00213C7A">
            <w:pPr>
              <w:numPr>
                <w:ilvl w:val="0"/>
                <w:numId w:val="8"/>
              </w:numPr>
              <w:spacing w:line="276" w:lineRule="auto"/>
              <w:jc w:val="both"/>
              <w:rPr>
                <w:rFonts w:ascii="Times New Roman" w:eastAsia="Times New Roman" w:hAnsi="Times New Roman" w:cs="Times New Roman"/>
                <w:sz w:val="20"/>
                <w:szCs w:val="20"/>
                <w:lang w:eastAsia="bg-BG"/>
              </w:rPr>
            </w:pPr>
            <w:bookmarkStart w:id="3" w:name="_Hlk172026166"/>
            <w:r w:rsidRPr="00213C7A">
              <w:rPr>
                <w:rFonts w:ascii="Times New Roman" w:eastAsia="Times New Roman" w:hAnsi="Times New Roman" w:cs="Times New Roman"/>
                <w:sz w:val="20"/>
                <w:szCs w:val="20"/>
                <w:lang w:eastAsia="bg-BG"/>
              </w:rPr>
              <w:t>Срокът за работата та Комисията по разглеждане на жалбите от предварителната оценка по т.5 от Раздел 21.1 Предварителна оценка от 60 дни да се намали на 5 дни</w:t>
            </w:r>
            <w:bookmarkEnd w:id="3"/>
            <w:r w:rsidRPr="00213C7A">
              <w:rPr>
                <w:rFonts w:ascii="Times New Roman" w:eastAsia="Times New Roman" w:hAnsi="Times New Roman" w:cs="Times New Roman"/>
                <w:sz w:val="20"/>
                <w:szCs w:val="20"/>
                <w:lang w:eastAsia="bg-BG"/>
              </w:rPr>
              <w:t>.</w:t>
            </w:r>
          </w:p>
          <w:p w:rsidR="00213C7A" w:rsidRPr="00213C7A" w:rsidRDefault="00213C7A" w:rsidP="00213C7A">
            <w:pPr>
              <w:numPr>
                <w:ilvl w:val="0"/>
                <w:numId w:val="8"/>
              </w:num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 xml:space="preserve">При последната процедура по 4.1 - № BG06RDNP001-4.012, към списъка с активи с референтни цени, имаше и голяма база данни с тип разход Дъждовални, пръскачи, поливни. При наличие на актуални данни в ДФЗ за тази група активи, нека Приложение 5 Списък с активи се разшири и с база данни, включваща оборудване за напояване, с оглед намаляване на административната тежест  както за ДФЗ, така и за бенефициентите и осигуряване на възможност значителна част от активите да се подават само с една оферта.  Това ще подпомогне и по-бързото разглеждане на проектите.  </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b/>
                <w:bCs/>
                <w:sz w:val="20"/>
                <w:szCs w:val="20"/>
                <w:u w:val="single"/>
                <w:lang w:eastAsia="bg-BG"/>
              </w:rPr>
              <w:t>Вариант 2</w:t>
            </w:r>
            <w:r w:rsidRPr="00213C7A">
              <w:rPr>
                <w:rFonts w:ascii="Times New Roman" w:eastAsia="Times New Roman" w:hAnsi="Times New Roman" w:cs="Times New Roman"/>
                <w:sz w:val="20"/>
                <w:szCs w:val="20"/>
                <w:lang w:eastAsia="bg-BG"/>
              </w:rPr>
              <w:t xml:space="preserve">: При невъзможност да отпадне ограничението по </w:t>
            </w:r>
            <w:r w:rsidRPr="00213C7A">
              <w:rPr>
                <w:rFonts w:ascii="Times New Roman" w:eastAsia="Times New Roman" w:hAnsi="Times New Roman" w:cs="Times New Roman"/>
                <w:b/>
                <w:bCs/>
                <w:sz w:val="20"/>
                <w:szCs w:val="20"/>
                <w:u w:val="single"/>
                <w:lang w:eastAsia="bg-BG"/>
              </w:rPr>
              <w:t>т. 26 от Раздел 13.2</w:t>
            </w:r>
            <w:r w:rsidRPr="00213C7A">
              <w:rPr>
                <w:rFonts w:ascii="Times New Roman" w:eastAsia="Times New Roman" w:hAnsi="Times New Roman" w:cs="Times New Roman"/>
                <w:sz w:val="20"/>
                <w:szCs w:val="20"/>
                <w:lang w:eastAsia="bg-BG"/>
              </w:rPr>
              <w:t xml:space="preserve"> , предлагаме </w:t>
            </w:r>
            <w:r w:rsidRPr="00213C7A">
              <w:rPr>
                <w:rFonts w:ascii="Times New Roman" w:eastAsia="Times New Roman" w:hAnsi="Times New Roman" w:cs="Times New Roman"/>
                <w:b/>
                <w:bCs/>
                <w:sz w:val="20"/>
                <w:szCs w:val="20"/>
                <w:u w:val="single"/>
                <w:lang w:eastAsia="bg-BG"/>
              </w:rPr>
              <w:t>да няма прием по подмярка 4.1</w:t>
            </w:r>
            <w:r w:rsidRPr="00213C7A">
              <w:rPr>
                <w:rFonts w:ascii="Times New Roman" w:eastAsia="Times New Roman" w:hAnsi="Times New Roman" w:cs="Times New Roman"/>
                <w:sz w:val="20"/>
                <w:szCs w:val="20"/>
                <w:lang w:eastAsia="bg-BG"/>
              </w:rPr>
              <w:t>. Аргументите ни са тези,  с които почнахме нашето писмо.</w:t>
            </w:r>
          </w:p>
          <w:p w:rsidR="00213C7A" w:rsidRPr="00213C7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 xml:space="preserve">Ако приемете този вариант, средствата от този прием е най-логично да се </w:t>
            </w:r>
            <w:r w:rsidRPr="00213C7A">
              <w:rPr>
                <w:rFonts w:ascii="Times New Roman" w:eastAsia="Times New Roman" w:hAnsi="Times New Roman" w:cs="Times New Roman"/>
                <w:b/>
                <w:bCs/>
                <w:sz w:val="20"/>
                <w:szCs w:val="20"/>
                <w:u w:val="single"/>
                <w:lang w:eastAsia="bg-BG"/>
              </w:rPr>
              <w:t>добавят към бюджета на стартиралия вече прием по подмярка 4.2</w:t>
            </w:r>
            <w:r w:rsidRPr="00213C7A">
              <w:rPr>
                <w:rFonts w:ascii="Times New Roman" w:eastAsia="Times New Roman" w:hAnsi="Times New Roman" w:cs="Times New Roman"/>
                <w:sz w:val="20"/>
                <w:szCs w:val="20"/>
                <w:lang w:eastAsia="bg-BG"/>
              </w:rPr>
              <w:t>., тъй като и там фокусът на приема е „Околна среда“, условията за кандидатстване са приемливи за преработвателните предприятия и ще се подадат повече проекти отколкото е наличния бюджет.</w:t>
            </w:r>
          </w:p>
          <w:p w:rsidR="00ED28D8"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eastAsia="bg-BG"/>
              </w:rPr>
              <w:t>Оставаме с уважение,</w:t>
            </w:r>
          </w:p>
          <w:p w:rsidR="00213C7A" w:rsidRPr="007D51EA" w:rsidRDefault="00213C7A" w:rsidP="00213C7A">
            <w:pPr>
              <w:spacing w:line="276" w:lineRule="auto"/>
              <w:jc w:val="both"/>
              <w:rPr>
                <w:rFonts w:ascii="Times New Roman" w:eastAsia="Times New Roman" w:hAnsi="Times New Roman" w:cs="Times New Roman"/>
                <w:sz w:val="20"/>
                <w:szCs w:val="20"/>
                <w:lang w:eastAsia="bg-BG"/>
              </w:rPr>
            </w:pPr>
            <w:r w:rsidRPr="00213C7A">
              <w:rPr>
                <w:rFonts w:ascii="Times New Roman" w:eastAsia="Times New Roman" w:hAnsi="Times New Roman" w:cs="Times New Roman"/>
                <w:sz w:val="20"/>
                <w:szCs w:val="20"/>
                <w:lang w:val="en-US" w:eastAsia="bg-BG"/>
              </w:rPr>
              <w:t>УС на БАКЕП</w:t>
            </w:r>
          </w:p>
        </w:tc>
        <w:tc>
          <w:tcPr>
            <w:tcW w:w="3998" w:type="dxa"/>
          </w:tcPr>
          <w:p w:rsidR="00213C7A" w:rsidRDefault="00213C7A"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Default="00380DF7" w:rsidP="00085B88">
            <w:pPr>
              <w:spacing w:line="276" w:lineRule="auto"/>
              <w:jc w:val="both"/>
              <w:rPr>
                <w:rFonts w:ascii="Times New Roman" w:eastAsia="Times New Roman" w:hAnsi="Times New Roman" w:cs="Times New Roman"/>
                <w:sz w:val="20"/>
                <w:szCs w:val="20"/>
                <w:lang w:eastAsia="bg-BG"/>
              </w:rPr>
            </w:pPr>
          </w:p>
          <w:p w:rsidR="00380DF7" w:rsidRPr="00380DF7" w:rsidRDefault="00380DF7" w:rsidP="00085B88">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1. Не се приема.</w:t>
            </w:r>
          </w:p>
          <w:p w:rsidR="00380DF7" w:rsidRDefault="00380DF7" w:rsidP="00085B88">
            <w:pPr>
              <w:spacing w:line="276" w:lineRule="auto"/>
              <w:jc w:val="both"/>
              <w:rPr>
                <w:rFonts w:ascii="Times New Roman" w:eastAsia="Times New Roman" w:hAnsi="Times New Roman" w:cs="Times New Roman"/>
                <w:sz w:val="20"/>
                <w:szCs w:val="20"/>
                <w:lang w:eastAsia="bg-BG"/>
              </w:rPr>
            </w:pPr>
            <w:r w:rsidRPr="00380DF7">
              <w:rPr>
                <w:rFonts w:ascii="Times New Roman" w:eastAsia="Times New Roman" w:hAnsi="Times New Roman" w:cs="Times New Roman"/>
                <w:sz w:val="20"/>
                <w:szCs w:val="20"/>
                <w:lang w:eastAsia="bg-BG"/>
              </w:rPr>
              <w:t>Моля да се запознаете със становището на УО на ПРСР 2014-2020 г. по коментар 1.</w:t>
            </w:r>
          </w:p>
          <w:p w:rsidR="00380DF7" w:rsidRDefault="00380DF7"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sz w:val="20"/>
                <w:szCs w:val="20"/>
                <w:lang w:eastAsia="bg-BG"/>
              </w:rPr>
            </w:pPr>
          </w:p>
          <w:p w:rsidR="00085B88" w:rsidRDefault="00085B88" w:rsidP="00085B88">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2. Не се приема.</w:t>
            </w:r>
          </w:p>
          <w:p w:rsidR="00085B88" w:rsidRPr="00085B88" w:rsidRDefault="00085B88" w:rsidP="00085B88">
            <w:pPr>
              <w:spacing w:line="276" w:lineRule="auto"/>
              <w:jc w:val="both"/>
              <w:rPr>
                <w:rFonts w:ascii="Times New Roman" w:eastAsia="Times New Roman" w:hAnsi="Times New Roman" w:cs="Times New Roman"/>
                <w:sz w:val="20"/>
                <w:szCs w:val="20"/>
                <w:lang w:eastAsia="bg-BG"/>
              </w:rPr>
            </w:pPr>
            <w:r w:rsidRPr="00085B88">
              <w:rPr>
                <w:rFonts w:ascii="Times New Roman" w:eastAsia="Times New Roman" w:hAnsi="Times New Roman" w:cs="Times New Roman"/>
                <w:sz w:val="20"/>
                <w:szCs w:val="20"/>
                <w:lang w:eastAsia="bg-BG"/>
              </w:rPr>
              <w:t>Като се съобразява с препоръките на ЕК</w:t>
            </w:r>
            <w:r>
              <w:rPr>
                <w:rFonts w:ascii="Times New Roman" w:eastAsia="Times New Roman" w:hAnsi="Times New Roman" w:cs="Times New Roman"/>
                <w:sz w:val="20"/>
                <w:szCs w:val="20"/>
                <w:lang w:eastAsia="bg-BG"/>
              </w:rPr>
              <w:t xml:space="preserve"> </w:t>
            </w:r>
            <w:r w:rsidRPr="00085B88">
              <w:rPr>
                <w:rFonts w:ascii="Times New Roman" w:eastAsia="Times New Roman" w:hAnsi="Times New Roman" w:cs="Times New Roman"/>
                <w:sz w:val="20"/>
                <w:szCs w:val="20"/>
                <w:lang w:eastAsia="bg-BG"/>
              </w:rPr>
              <w:t>и след обстоен анализ на нормативната уредба, УО ревизира обхвата на понятието „напоявани площи“, така че да бъде по-пълно съответствието с площите, в които съществуват напоителни инсталации</w:t>
            </w:r>
            <w:r>
              <w:rPr>
                <w:rFonts w:ascii="Times New Roman" w:eastAsia="Times New Roman" w:hAnsi="Times New Roman" w:cs="Times New Roman"/>
                <w:sz w:val="20"/>
                <w:szCs w:val="20"/>
                <w:lang w:eastAsia="bg-BG"/>
              </w:rPr>
              <w:t xml:space="preserve"> и повече потенциални кандидати да могат да се възползват от подпомагане по процедурата</w:t>
            </w:r>
            <w:r w:rsidRPr="00085B88">
              <w:rPr>
                <w:rFonts w:ascii="Times New Roman" w:eastAsia="Times New Roman" w:hAnsi="Times New Roman" w:cs="Times New Roman"/>
                <w:sz w:val="20"/>
                <w:szCs w:val="20"/>
                <w:lang w:eastAsia="bg-BG"/>
              </w:rPr>
              <w:t>.</w:t>
            </w:r>
            <w:r w:rsidR="00DE449A">
              <w:rPr>
                <w:rFonts w:ascii="Times New Roman" w:eastAsia="Times New Roman" w:hAnsi="Times New Roman" w:cs="Times New Roman"/>
                <w:sz w:val="20"/>
                <w:szCs w:val="20"/>
                <w:lang w:eastAsia="bg-BG"/>
              </w:rPr>
              <w:t xml:space="preserve"> </w:t>
            </w:r>
            <w:r w:rsidR="00DE449A" w:rsidRPr="00DE449A">
              <w:rPr>
                <w:rFonts w:ascii="Times New Roman" w:eastAsia="Times New Roman" w:hAnsi="Times New Roman" w:cs="Times New Roman"/>
                <w:sz w:val="20"/>
                <w:szCs w:val="20"/>
                <w:lang w:eastAsia="bg-BG"/>
              </w:rPr>
              <w:t>В рамките на преговорите по 17-то изменение на ПРСР 2014-2020 г. УО успя да договори промяната в обхвата на понятието със службите на ЕК.</w:t>
            </w:r>
          </w:p>
        </w:tc>
      </w:tr>
      <w:tr w:rsidR="00213C7A" w:rsidRPr="007D51EA" w:rsidTr="00701002">
        <w:tc>
          <w:tcPr>
            <w:tcW w:w="534" w:type="dxa"/>
            <w:vAlign w:val="center"/>
          </w:tcPr>
          <w:p w:rsidR="00213C7A" w:rsidRPr="007D51EA" w:rsidRDefault="00DE04A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6.</w:t>
            </w:r>
          </w:p>
        </w:tc>
        <w:tc>
          <w:tcPr>
            <w:tcW w:w="1735" w:type="dxa"/>
            <w:vAlign w:val="center"/>
          </w:tcPr>
          <w:p w:rsidR="00213C7A" w:rsidRPr="007D51EA" w:rsidRDefault="00DE04AF" w:rsidP="00DE04AF">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Б</w:t>
            </w:r>
            <w:r w:rsidRPr="00DE04AF">
              <w:rPr>
                <w:rFonts w:ascii="Times New Roman" w:eastAsia="Times New Roman" w:hAnsi="Times New Roman" w:cs="Times New Roman"/>
                <w:sz w:val="20"/>
                <w:szCs w:val="20"/>
                <w:lang w:eastAsia="bg-BG"/>
              </w:rPr>
              <w:t>ългарска асоциация на производителите на</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оранжерийна продукция</w:t>
            </w:r>
          </w:p>
        </w:tc>
        <w:tc>
          <w:tcPr>
            <w:tcW w:w="1531" w:type="dxa"/>
            <w:vAlign w:val="center"/>
          </w:tcPr>
          <w:p w:rsidR="00213C7A" w:rsidRPr="007D51EA" w:rsidRDefault="00DE04A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DE04AF" w:rsidRPr="00DE04AF" w:rsidRDefault="00DE04AF" w:rsidP="00DE04AF">
            <w:pPr>
              <w:spacing w:line="276" w:lineRule="auto"/>
              <w:jc w:val="both"/>
              <w:rPr>
                <w:rFonts w:ascii="Times New Roman" w:eastAsia="Times New Roman" w:hAnsi="Times New Roman" w:cs="Times New Roman"/>
                <w:sz w:val="20"/>
                <w:szCs w:val="20"/>
                <w:lang w:eastAsia="bg-BG"/>
              </w:rPr>
            </w:pPr>
            <w:r w:rsidRPr="00DE04AF">
              <w:rPr>
                <w:rFonts w:ascii="Times New Roman" w:eastAsia="Times New Roman" w:hAnsi="Times New Roman" w:cs="Times New Roman"/>
                <w:sz w:val="20"/>
                <w:szCs w:val="20"/>
                <w:lang w:eastAsia="bg-BG"/>
              </w:rPr>
              <w:t>УВАЖАЕМИ Г-Н МИНИСТЪР,</w:t>
            </w:r>
          </w:p>
          <w:p w:rsidR="00DE04AF" w:rsidRPr="00DE04AF" w:rsidRDefault="00DE04AF" w:rsidP="00DE04AF">
            <w:pPr>
              <w:spacing w:line="276" w:lineRule="auto"/>
              <w:jc w:val="both"/>
              <w:rPr>
                <w:rFonts w:ascii="Times New Roman" w:eastAsia="Times New Roman" w:hAnsi="Times New Roman" w:cs="Times New Roman"/>
                <w:sz w:val="20"/>
                <w:szCs w:val="20"/>
                <w:lang w:eastAsia="bg-BG"/>
              </w:rPr>
            </w:pPr>
            <w:r w:rsidRPr="00DE04AF">
              <w:rPr>
                <w:rFonts w:ascii="Times New Roman" w:eastAsia="Times New Roman" w:hAnsi="Times New Roman" w:cs="Times New Roman"/>
                <w:sz w:val="20"/>
                <w:szCs w:val="20"/>
                <w:lang w:eastAsia="bg-BG"/>
              </w:rPr>
              <w:t>В срока на повторното обществено обсъждане на проект на насоки по</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процедура чрез подбор №BG06RDNP001-4.017 „Целеви прием за проектни</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предложения за повишаване на ефективността при потреблението на вода в</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селското стопанство“ по подмярка 4.1 „Инвестиции в земеделски стопанства“ от</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мярка 4 „Инвестиции в материални активи“ от Програмата за развитие на</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селските райони за периода 2014-2020 г. от Българска асоциация на</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производителите на оранжерийна продукция (БАПОП) категорично сме против</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заложеното изискване в „13.2: Условия за допустимост на дейностите, т.26.</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Инвестиции по т.23 свързани с нетно увеличение на напояваната площ, не</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са допустими за подпомагане.“</w:t>
            </w:r>
          </w:p>
          <w:p w:rsidR="00213C7A" w:rsidRDefault="00DE04AF" w:rsidP="00DE04AF">
            <w:pPr>
              <w:spacing w:line="276" w:lineRule="auto"/>
              <w:jc w:val="both"/>
              <w:rPr>
                <w:rFonts w:ascii="Times New Roman" w:eastAsia="Times New Roman" w:hAnsi="Times New Roman" w:cs="Times New Roman"/>
                <w:sz w:val="20"/>
                <w:szCs w:val="20"/>
                <w:lang w:eastAsia="bg-BG"/>
              </w:rPr>
            </w:pPr>
            <w:r w:rsidRPr="00DE04AF">
              <w:rPr>
                <w:rFonts w:ascii="Times New Roman" w:eastAsia="Times New Roman" w:hAnsi="Times New Roman" w:cs="Times New Roman"/>
                <w:sz w:val="20"/>
                <w:szCs w:val="20"/>
                <w:lang w:eastAsia="bg-BG"/>
              </w:rPr>
              <w:t>С това изискване ще бъдат ощетени голяма част от земеделските</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производители от сектор „Растениевъдство“ и в частност сектор „Оранжерийно</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производство“, като в същото време ще доведе до неусвояване на заложения</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бюджет по тази подмярка. Ние от БАПОП считаме, че докато не бъде намерено</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решение в полза на земеделските производители, въпросният целеви прием не</w:t>
            </w:r>
            <w:r>
              <w:rPr>
                <w:rFonts w:ascii="Times New Roman" w:eastAsia="Times New Roman" w:hAnsi="Times New Roman" w:cs="Times New Roman"/>
                <w:sz w:val="20"/>
                <w:szCs w:val="20"/>
                <w:lang w:eastAsia="bg-BG"/>
              </w:rPr>
              <w:t xml:space="preserve"> </w:t>
            </w:r>
            <w:r w:rsidRPr="00DE04AF">
              <w:rPr>
                <w:rFonts w:ascii="Times New Roman" w:eastAsia="Times New Roman" w:hAnsi="Times New Roman" w:cs="Times New Roman"/>
                <w:sz w:val="20"/>
                <w:szCs w:val="20"/>
                <w:lang w:eastAsia="bg-BG"/>
              </w:rPr>
              <w:t>следва да се отваря.</w:t>
            </w:r>
          </w:p>
          <w:p w:rsidR="000D1165" w:rsidRDefault="00DE04AF" w:rsidP="00DE04AF">
            <w:pPr>
              <w:spacing w:line="276" w:lineRule="auto"/>
              <w:jc w:val="both"/>
              <w:rPr>
                <w:rFonts w:ascii="Times New Roman" w:eastAsia="Times New Roman" w:hAnsi="Times New Roman" w:cs="Times New Roman"/>
                <w:sz w:val="20"/>
                <w:szCs w:val="20"/>
                <w:lang w:eastAsia="bg-BG"/>
              </w:rPr>
            </w:pPr>
            <w:r w:rsidRPr="00DE04AF">
              <w:rPr>
                <w:rFonts w:ascii="Times New Roman" w:eastAsia="Times New Roman" w:hAnsi="Times New Roman" w:cs="Times New Roman"/>
                <w:sz w:val="20"/>
                <w:szCs w:val="20"/>
                <w:lang w:eastAsia="bg-BG"/>
              </w:rPr>
              <w:t>С уважение,</w:t>
            </w:r>
          </w:p>
          <w:p w:rsidR="00DE04AF" w:rsidRPr="007D51EA" w:rsidRDefault="00DE04AF" w:rsidP="00DE04AF">
            <w:pPr>
              <w:spacing w:line="276" w:lineRule="auto"/>
              <w:jc w:val="both"/>
              <w:rPr>
                <w:rFonts w:ascii="Times New Roman" w:eastAsia="Times New Roman" w:hAnsi="Times New Roman" w:cs="Times New Roman"/>
                <w:sz w:val="20"/>
                <w:szCs w:val="20"/>
                <w:lang w:eastAsia="bg-BG"/>
              </w:rPr>
            </w:pPr>
            <w:r w:rsidRPr="00DE04AF">
              <w:rPr>
                <w:rFonts w:ascii="Times New Roman" w:eastAsia="Times New Roman" w:hAnsi="Times New Roman" w:cs="Times New Roman"/>
                <w:sz w:val="20"/>
                <w:szCs w:val="20"/>
                <w:lang w:eastAsia="bg-BG"/>
              </w:rPr>
              <w:t>Председател на Управителен съвет</w:t>
            </w:r>
          </w:p>
        </w:tc>
        <w:tc>
          <w:tcPr>
            <w:tcW w:w="3998" w:type="dxa"/>
            <w:vAlign w:val="center"/>
          </w:tcPr>
          <w:p w:rsidR="00213C7A" w:rsidRPr="007D51EA" w:rsidRDefault="00380DF7" w:rsidP="007D51EA">
            <w:pPr>
              <w:spacing w:line="276" w:lineRule="auto"/>
              <w:jc w:val="both"/>
              <w:rPr>
                <w:rFonts w:ascii="Times New Roman" w:eastAsia="Times New Roman" w:hAnsi="Times New Roman" w:cs="Times New Roman"/>
                <w:sz w:val="20"/>
                <w:szCs w:val="20"/>
                <w:lang w:eastAsia="bg-BG"/>
              </w:rPr>
            </w:pPr>
            <w:r w:rsidRPr="00380DF7">
              <w:rPr>
                <w:rFonts w:ascii="Times New Roman" w:eastAsia="Times New Roman" w:hAnsi="Times New Roman" w:cs="Times New Roman"/>
                <w:sz w:val="20"/>
                <w:szCs w:val="20"/>
                <w:lang w:eastAsia="bg-BG"/>
              </w:rPr>
              <w:t>Моля да се запознаете със становището на УО на ПРСР 2014-2020 г. по коментар 1.</w:t>
            </w:r>
          </w:p>
        </w:tc>
      </w:tr>
      <w:tr w:rsidR="00213C7A" w:rsidRPr="007D51EA" w:rsidTr="00701002">
        <w:tc>
          <w:tcPr>
            <w:tcW w:w="534" w:type="dxa"/>
            <w:vAlign w:val="center"/>
          </w:tcPr>
          <w:p w:rsidR="00213C7A" w:rsidRPr="007D51EA" w:rsidRDefault="00DE04A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7.</w:t>
            </w:r>
          </w:p>
        </w:tc>
        <w:tc>
          <w:tcPr>
            <w:tcW w:w="1735" w:type="dxa"/>
            <w:vAlign w:val="center"/>
          </w:tcPr>
          <w:p w:rsidR="00213C7A" w:rsidRPr="007D51EA" w:rsidRDefault="00DE04AF" w:rsidP="00DE04AF">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Сдружение „Б</w:t>
            </w:r>
            <w:r w:rsidRPr="00DE04AF">
              <w:rPr>
                <w:rFonts w:ascii="Times New Roman" w:eastAsia="Times New Roman" w:hAnsi="Times New Roman" w:cs="Times New Roman"/>
                <w:sz w:val="20"/>
                <w:szCs w:val="20"/>
                <w:lang w:eastAsia="bg-BG"/>
              </w:rPr>
              <w:t xml:space="preserve">раншова камара </w:t>
            </w:r>
            <w:r>
              <w:rPr>
                <w:rFonts w:ascii="Times New Roman" w:eastAsia="Times New Roman" w:hAnsi="Times New Roman" w:cs="Times New Roman"/>
                <w:sz w:val="20"/>
                <w:szCs w:val="20"/>
                <w:lang w:eastAsia="bg-BG"/>
              </w:rPr>
              <w:t>„П</w:t>
            </w:r>
            <w:r w:rsidRPr="00DE04AF">
              <w:rPr>
                <w:rFonts w:ascii="Times New Roman" w:eastAsia="Times New Roman" w:hAnsi="Times New Roman" w:cs="Times New Roman"/>
                <w:sz w:val="20"/>
                <w:szCs w:val="20"/>
                <w:lang w:eastAsia="bg-BG"/>
              </w:rPr>
              <w:t>лодове и зеленчуци</w:t>
            </w:r>
            <w:r>
              <w:rPr>
                <w:rFonts w:ascii="Times New Roman" w:eastAsia="Times New Roman" w:hAnsi="Times New Roman" w:cs="Times New Roman"/>
                <w:sz w:val="20"/>
                <w:szCs w:val="20"/>
                <w:lang w:eastAsia="bg-BG"/>
              </w:rPr>
              <w:t>““</w:t>
            </w:r>
          </w:p>
        </w:tc>
        <w:tc>
          <w:tcPr>
            <w:tcW w:w="1531" w:type="dxa"/>
            <w:vAlign w:val="center"/>
          </w:tcPr>
          <w:p w:rsidR="00213C7A" w:rsidRPr="007D51EA" w:rsidRDefault="00DE04A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213C7A" w:rsidRDefault="006F304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Уважаеми г-н министър Георги Тахов,</w:t>
            </w:r>
          </w:p>
          <w:p w:rsidR="006F304F" w:rsidRDefault="006F304F"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u w:val="single"/>
                <w:lang w:eastAsia="bg-BG"/>
              </w:rPr>
              <w:t>Национална Браншова Камара „Плодове и зеленчуци“</w:t>
            </w:r>
            <w:r>
              <w:rPr>
                <w:rFonts w:ascii="Times New Roman" w:eastAsia="Times New Roman" w:hAnsi="Times New Roman" w:cs="Times New Roman"/>
                <w:sz w:val="20"/>
                <w:szCs w:val="20"/>
                <w:lang w:eastAsia="bg-BG"/>
              </w:rPr>
              <w:t xml:space="preserve"> е най-голямото сдружение на земеделски производители в подсектор „Плодове и зеленчуци и обединява повече от 2000 производители в 18 области в страната.</w:t>
            </w:r>
          </w:p>
          <w:p w:rsidR="006F304F" w:rsidRDefault="006F304F" w:rsidP="000D116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При повторното обсъждане на проект на насоки по процедура чрез подбор № </w:t>
            </w:r>
            <w:r>
              <w:rPr>
                <w:rFonts w:ascii="Times New Roman" w:eastAsia="Times New Roman" w:hAnsi="Times New Roman" w:cs="Times New Roman"/>
                <w:sz w:val="20"/>
                <w:szCs w:val="20"/>
                <w:lang w:val="en-US" w:eastAsia="bg-BG"/>
              </w:rPr>
              <w:t>BG06RDNP001-4</w:t>
            </w:r>
            <w:r>
              <w:rPr>
                <w:rFonts w:ascii="Times New Roman" w:eastAsia="Times New Roman" w:hAnsi="Times New Roman" w:cs="Times New Roman"/>
                <w:sz w:val="20"/>
                <w:szCs w:val="20"/>
                <w:lang w:eastAsia="bg-BG"/>
              </w:rPr>
              <w:t>.</w:t>
            </w:r>
            <w:r>
              <w:rPr>
                <w:rFonts w:ascii="Times New Roman" w:eastAsia="Times New Roman" w:hAnsi="Times New Roman" w:cs="Times New Roman"/>
                <w:sz w:val="20"/>
                <w:szCs w:val="20"/>
                <w:lang w:val="en-US" w:eastAsia="bg-BG"/>
              </w:rPr>
              <w:t>017</w:t>
            </w:r>
            <w:r>
              <w:rPr>
                <w:rFonts w:ascii="Times New Roman" w:eastAsia="Times New Roman" w:hAnsi="Times New Roman" w:cs="Times New Roman"/>
                <w:sz w:val="20"/>
                <w:szCs w:val="20"/>
                <w:lang w:eastAsia="bg-BG"/>
              </w:rPr>
              <w:t>, „Целеви прием на проектни предложения за повишаване ефективността при потреблението на вода в селското стопанство</w:t>
            </w:r>
            <w:r w:rsidR="00A127D9">
              <w:rPr>
                <w:rFonts w:ascii="Times New Roman" w:eastAsia="Times New Roman" w:hAnsi="Times New Roman" w:cs="Times New Roman"/>
                <w:sz w:val="20"/>
                <w:szCs w:val="20"/>
                <w:lang w:eastAsia="bg-BG"/>
              </w:rPr>
              <w:t>“ по подмярка 4.1 „</w:t>
            </w:r>
            <w:r w:rsidR="000D1165">
              <w:rPr>
                <w:rFonts w:ascii="Times New Roman" w:eastAsia="Times New Roman" w:hAnsi="Times New Roman" w:cs="Times New Roman"/>
                <w:sz w:val="20"/>
                <w:szCs w:val="20"/>
                <w:lang w:eastAsia="bg-BG"/>
              </w:rPr>
              <w:t>Инвестиции в земеделски стопанства“ от мярка 4 „Инвестиции в материални активи“ от Програмата за развитие на селските райони за периода 2014-2020 г. ние от Браншова Камара „Плодове и Зеленчуци“ искаме да изразим несъгласие с отваряне на приема във вида, в който е в момента.</w:t>
            </w:r>
          </w:p>
          <w:p w:rsidR="000D1165" w:rsidRDefault="000D1165" w:rsidP="000D116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При ситуация, в която инвестирането в напоителни системи с последващо нетното увеличение на напояваните площи не е допустимо за подпомагане, смятаме че земеделските стопани ще бъдат силно ощетени.</w:t>
            </w:r>
          </w:p>
          <w:p w:rsidR="000D1165" w:rsidRDefault="000D1165" w:rsidP="000D116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Трябва да се намери решение, което е продуктивно и ефективно за земеделските стопани, като ако това не е възможно, не виждаме смисъл и в отварянето на приема.</w:t>
            </w:r>
          </w:p>
          <w:p w:rsidR="000D1165" w:rsidRDefault="000D1165" w:rsidP="000D116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С уважение,</w:t>
            </w:r>
          </w:p>
          <w:p w:rsidR="000D1165" w:rsidRPr="006F304F" w:rsidRDefault="000D1165" w:rsidP="000D116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Председател на сдружение „Браншова камара „Плодове и Зеленчуци“</w:t>
            </w:r>
          </w:p>
        </w:tc>
        <w:tc>
          <w:tcPr>
            <w:tcW w:w="3998" w:type="dxa"/>
            <w:vAlign w:val="center"/>
          </w:tcPr>
          <w:p w:rsidR="00213C7A" w:rsidRPr="007D51EA" w:rsidRDefault="00380DF7" w:rsidP="007D51EA">
            <w:pPr>
              <w:spacing w:line="276" w:lineRule="auto"/>
              <w:jc w:val="both"/>
              <w:rPr>
                <w:rFonts w:ascii="Times New Roman" w:eastAsia="Times New Roman" w:hAnsi="Times New Roman" w:cs="Times New Roman"/>
                <w:sz w:val="20"/>
                <w:szCs w:val="20"/>
                <w:lang w:eastAsia="bg-BG"/>
              </w:rPr>
            </w:pPr>
            <w:r w:rsidRPr="00380DF7">
              <w:rPr>
                <w:rFonts w:ascii="Times New Roman" w:eastAsia="Times New Roman" w:hAnsi="Times New Roman" w:cs="Times New Roman"/>
                <w:sz w:val="20"/>
                <w:szCs w:val="20"/>
                <w:lang w:eastAsia="bg-BG"/>
              </w:rPr>
              <w:lastRenderedPageBreak/>
              <w:t>Моля да се запознаете със становището на УО на ПРСР 2014-2020 г. по коментар 1.</w:t>
            </w:r>
          </w:p>
        </w:tc>
      </w:tr>
      <w:tr w:rsidR="00213C7A" w:rsidRPr="007D51EA" w:rsidTr="00701002">
        <w:tc>
          <w:tcPr>
            <w:tcW w:w="534" w:type="dxa"/>
            <w:vAlign w:val="center"/>
          </w:tcPr>
          <w:p w:rsidR="00213C7A" w:rsidRPr="007D51EA" w:rsidRDefault="00230842"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8.</w:t>
            </w:r>
          </w:p>
        </w:tc>
        <w:tc>
          <w:tcPr>
            <w:tcW w:w="1735" w:type="dxa"/>
            <w:vAlign w:val="center"/>
          </w:tcPr>
          <w:p w:rsidR="00213C7A" w:rsidRPr="007D51EA" w:rsidRDefault="00230842"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Н</w:t>
            </w:r>
            <w:r w:rsidRPr="00230842">
              <w:rPr>
                <w:rFonts w:ascii="Times New Roman" w:eastAsia="Times New Roman" w:hAnsi="Times New Roman" w:cs="Times New Roman"/>
                <w:sz w:val="20"/>
                <w:szCs w:val="20"/>
                <w:lang w:eastAsia="bg-BG"/>
              </w:rPr>
              <w:t>ационална асоциация на тютюнопроизводителите 2010</w:t>
            </w:r>
          </w:p>
        </w:tc>
        <w:tc>
          <w:tcPr>
            <w:tcW w:w="1531" w:type="dxa"/>
            <w:vAlign w:val="center"/>
          </w:tcPr>
          <w:p w:rsidR="00213C7A" w:rsidRPr="007D51EA" w:rsidRDefault="00230842"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16.07.2024 г.</w:t>
            </w:r>
          </w:p>
        </w:tc>
        <w:tc>
          <w:tcPr>
            <w:tcW w:w="6378" w:type="dxa"/>
            <w:vAlign w:val="center"/>
          </w:tcPr>
          <w:p w:rsidR="00213C7A" w:rsidRDefault="000C140E" w:rsidP="007D51EA">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УВАЖАЕМИ ГОСПОДИН ТАХОВ,</w:t>
            </w:r>
          </w:p>
          <w:p w:rsidR="000C140E" w:rsidRDefault="000C140E" w:rsidP="000C140E">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В срока на повторното обществено обсъждане на проект на насоки по процедура чрез подбор № </w:t>
            </w:r>
            <w:r w:rsidRPr="000C140E">
              <w:rPr>
                <w:rFonts w:ascii="Times New Roman" w:eastAsia="Times New Roman" w:hAnsi="Times New Roman" w:cs="Times New Roman"/>
                <w:sz w:val="20"/>
                <w:szCs w:val="20"/>
                <w:lang w:eastAsia="bg-BG"/>
              </w:rPr>
              <w:t>BG06RDNP001-4.017</w:t>
            </w:r>
            <w:r>
              <w:rPr>
                <w:rFonts w:ascii="Times New Roman" w:eastAsia="Times New Roman" w:hAnsi="Times New Roman" w:cs="Times New Roman"/>
                <w:sz w:val="20"/>
                <w:szCs w:val="20"/>
                <w:lang w:eastAsia="bg-BG"/>
              </w:rPr>
              <w:t xml:space="preserve"> </w:t>
            </w:r>
            <w:r w:rsidRPr="000C140E">
              <w:rPr>
                <w:rFonts w:ascii="Times New Roman" w:eastAsia="Times New Roman" w:hAnsi="Times New Roman" w:cs="Times New Roman"/>
                <w:sz w:val="20"/>
                <w:szCs w:val="20"/>
                <w:lang w:eastAsia="bg-BG"/>
              </w:rPr>
              <w:t>„Целеви прием на проектни предложения за повишаване ефективността при потреблението на вода в селското стопанство“ по подмярка 4.1 „Инвестиции в земеделски стопанства“ от мярка 4 „Инвестиции в материални активи“ от Програмата за развитие на селските райони за периода 2014-2020 г.</w:t>
            </w:r>
            <w:r>
              <w:rPr>
                <w:rFonts w:ascii="Times New Roman" w:eastAsia="Times New Roman" w:hAnsi="Times New Roman" w:cs="Times New Roman"/>
                <w:sz w:val="20"/>
                <w:szCs w:val="20"/>
                <w:lang w:eastAsia="bg-BG"/>
              </w:rPr>
              <w:t xml:space="preserve"> </w:t>
            </w:r>
            <w:r w:rsidRPr="000C140E">
              <w:rPr>
                <w:rFonts w:ascii="Times New Roman" w:eastAsia="Times New Roman" w:hAnsi="Times New Roman" w:cs="Times New Roman"/>
                <w:b/>
                <w:sz w:val="20"/>
                <w:szCs w:val="20"/>
                <w:lang w:eastAsia="bg-BG"/>
              </w:rPr>
              <w:t>от „Национална асоциация на тютюнопроизводителите – 2010“ (НАТ – 2010)</w:t>
            </w:r>
            <w:r>
              <w:rPr>
                <w:rFonts w:ascii="Times New Roman" w:eastAsia="Times New Roman" w:hAnsi="Times New Roman" w:cs="Times New Roman"/>
                <w:b/>
                <w:sz w:val="20"/>
                <w:szCs w:val="20"/>
                <w:lang w:eastAsia="bg-BG"/>
              </w:rPr>
              <w:t xml:space="preserve"> категорично се противопоставяне срещу отварянето на този прием във вида предложен на повторно обществено обсъждане.</w:t>
            </w:r>
            <w:r>
              <w:rPr>
                <w:rFonts w:ascii="Times New Roman" w:eastAsia="Times New Roman" w:hAnsi="Times New Roman" w:cs="Times New Roman"/>
                <w:sz w:val="20"/>
                <w:szCs w:val="20"/>
                <w:lang w:eastAsia="bg-BG"/>
              </w:rPr>
              <w:t xml:space="preserve"> Основната причина за нашата позиця е предвиденото в Условията за кандидатстване изискване, че инвестиции за напоителни системи, свързани с нетно увеличение на напояваната площ, не са допустими за подпомагане. </w:t>
            </w:r>
            <w:r>
              <w:rPr>
                <w:rFonts w:ascii="Times New Roman" w:eastAsia="Times New Roman" w:hAnsi="Times New Roman" w:cs="Times New Roman"/>
                <w:b/>
                <w:sz w:val="20"/>
                <w:szCs w:val="20"/>
                <w:lang w:eastAsia="bg-BG"/>
              </w:rPr>
              <w:t>С това изискване ние категорично не сме съгласни, защото то ще ощети голяма част от земеделските производители от сектора на растениевъдството и считаме, че докато не бъде намерено решение в полза на земеделските производители, не следва да се отваря въпросният целеви прием.</w:t>
            </w:r>
          </w:p>
          <w:p w:rsidR="000C140E" w:rsidRDefault="000C140E" w:rsidP="000C140E">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С уважение,</w:t>
            </w:r>
          </w:p>
          <w:p w:rsidR="000C140E" w:rsidRPr="000C140E" w:rsidRDefault="000C140E" w:rsidP="000C140E">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Председател на УС на НАТ-2010</w:t>
            </w:r>
          </w:p>
        </w:tc>
        <w:tc>
          <w:tcPr>
            <w:tcW w:w="3998" w:type="dxa"/>
            <w:vAlign w:val="center"/>
          </w:tcPr>
          <w:p w:rsidR="00213C7A" w:rsidRPr="007D51EA" w:rsidRDefault="00380DF7" w:rsidP="007D51EA">
            <w:pPr>
              <w:spacing w:line="276" w:lineRule="auto"/>
              <w:jc w:val="both"/>
              <w:rPr>
                <w:rFonts w:ascii="Times New Roman" w:eastAsia="Times New Roman" w:hAnsi="Times New Roman" w:cs="Times New Roman"/>
                <w:sz w:val="20"/>
                <w:szCs w:val="20"/>
                <w:lang w:eastAsia="bg-BG"/>
              </w:rPr>
            </w:pPr>
            <w:r w:rsidRPr="00380DF7">
              <w:rPr>
                <w:rFonts w:ascii="Times New Roman" w:eastAsia="Times New Roman" w:hAnsi="Times New Roman" w:cs="Times New Roman"/>
                <w:sz w:val="20"/>
                <w:szCs w:val="20"/>
                <w:lang w:eastAsia="bg-BG"/>
              </w:rPr>
              <w:t>Моля да се запознаете със становището на УО на ПРСР 2014-2020 г. по коментар 1.</w:t>
            </w:r>
          </w:p>
        </w:tc>
      </w:tr>
    </w:tbl>
    <w:p w:rsidR="004750C1" w:rsidRDefault="004750C1" w:rsidP="003148E8">
      <w:pPr>
        <w:spacing w:after="0" w:line="276" w:lineRule="auto"/>
        <w:ind w:left="7920"/>
        <w:jc w:val="both"/>
      </w:pPr>
    </w:p>
    <w:sectPr w:rsidR="004750C1" w:rsidSect="00D933BE">
      <w:footerReference w:type="default" r:id="rId8"/>
      <w:pgSz w:w="15840" w:h="12240" w:orient="landscape"/>
      <w:pgMar w:top="851" w:right="956"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AEA" w:rsidRDefault="00755AEA" w:rsidP="00701002">
      <w:pPr>
        <w:spacing w:after="0" w:line="240" w:lineRule="auto"/>
      </w:pPr>
      <w:r>
        <w:separator/>
      </w:r>
    </w:p>
  </w:endnote>
  <w:endnote w:type="continuationSeparator" w:id="0">
    <w:p w:rsidR="00755AEA" w:rsidRDefault="00755AEA" w:rsidP="0070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80277"/>
      <w:docPartObj>
        <w:docPartGallery w:val="Page Numbers (Bottom of Page)"/>
        <w:docPartUnique/>
      </w:docPartObj>
    </w:sdtPr>
    <w:sdtEndPr>
      <w:rPr>
        <w:noProof/>
      </w:rPr>
    </w:sdtEndPr>
    <w:sdtContent>
      <w:p w:rsidR="00701002" w:rsidRDefault="00701002" w:rsidP="00701002">
        <w:pPr>
          <w:pStyle w:val="Footer"/>
          <w:jc w:val="right"/>
        </w:pPr>
        <w:r>
          <w:fldChar w:fldCharType="begin"/>
        </w:r>
        <w:r>
          <w:instrText xml:space="preserve"> PAGE   \* MERGEFORMAT </w:instrText>
        </w:r>
        <w:r>
          <w:fldChar w:fldCharType="separate"/>
        </w:r>
        <w:r w:rsidR="00FF1596">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AEA" w:rsidRDefault="00755AEA" w:rsidP="00701002">
      <w:pPr>
        <w:spacing w:after="0" w:line="240" w:lineRule="auto"/>
      </w:pPr>
      <w:r>
        <w:separator/>
      </w:r>
    </w:p>
  </w:footnote>
  <w:footnote w:type="continuationSeparator" w:id="0">
    <w:p w:rsidR="00755AEA" w:rsidRDefault="00755AEA" w:rsidP="00701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03534"/>
    <w:multiLevelType w:val="hybridMultilevel"/>
    <w:tmpl w:val="9EB2B3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CF17AF2"/>
    <w:multiLevelType w:val="hybridMultilevel"/>
    <w:tmpl w:val="90C4596A"/>
    <w:lvl w:ilvl="0" w:tplc="FE0A8FC2">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403F6B6F"/>
    <w:multiLevelType w:val="hybridMultilevel"/>
    <w:tmpl w:val="A7342610"/>
    <w:lvl w:ilvl="0" w:tplc="BFF22032">
      <w:start w:val="1"/>
      <w:numFmt w:val="decimal"/>
      <w:lvlText w:val="%1."/>
      <w:lvlJc w:val="left"/>
      <w:pPr>
        <w:ind w:left="720" w:hanging="360"/>
      </w:pPr>
      <w:rPr>
        <w:rFonts w:ascii="Times New Roman" w:hAnsi="Times New Roman" w:cs="Times New Roman"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B4142D1"/>
    <w:multiLevelType w:val="hybridMultilevel"/>
    <w:tmpl w:val="3118C6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3DF4B9C"/>
    <w:multiLevelType w:val="hybridMultilevel"/>
    <w:tmpl w:val="F88496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5A2A3F73"/>
    <w:multiLevelType w:val="hybridMultilevel"/>
    <w:tmpl w:val="767E5C72"/>
    <w:lvl w:ilvl="0" w:tplc="A8F09418">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7BC28F9"/>
    <w:multiLevelType w:val="multilevel"/>
    <w:tmpl w:val="BD34FBEC"/>
    <w:lvl w:ilvl="0">
      <w:start w:val="1"/>
      <w:numFmt w:val="decimal"/>
      <w:lvlText w:val="%1."/>
      <w:lvlJc w:val="left"/>
      <w:pPr>
        <w:ind w:left="1211" w:hanging="360"/>
      </w:pPr>
      <w:rPr>
        <w:rFonts w:hint="default"/>
        <w:b w:val="0"/>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7A6016F7"/>
    <w:multiLevelType w:val="hybridMultilevel"/>
    <w:tmpl w:val="AD0883D8"/>
    <w:lvl w:ilvl="0" w:tplc="81286F9A">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6"/>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C1"/>
    <w:rsid w:val="00024453"/>
    <w:rsid w:val="0002573F"/>
    <w:rsid w:val="00085B88"/>
    <w:rsid w:val="000A67FB"/>
    <w:rsid w:val="000C140E"/>
    <w:rsid w:val="000D1165"/>
    <w:rsid w:val="000F0019"/>
    <w:rsid w:val="00100C80"/>
    <w:rsid w:val="00130CDC"/>
    <w:rsid w:val="00162FE6"/>
    <w:rsid w:val="001B6F68"/>
    <w:rsid w:val="001E533A"/>
    <w:rsid w:val="00210091"/>
    <w:rsid w:val="00213C7A"/>
    <w:rsid w:val="00230842"/>
    <w:rsid w:val="00273A12"/>
    <w:rsid w:val="00273E3B"/>
    <w:rsid w:val="002C51B9"/>
    <w:rsid w:val="002C73B2"/>
    <w:rsid w:val="00304E9D"/>
    <w:rsid w:val="00312E4D"/>
    <w:rsid w:val="003148E8"/>
    <w:rsid w:val="00326ADF"/>
    <w:rsid w:val="00346266"/>
    <w:rsid w:val="00377791"/>
    <w:rsid w:val="00380DF7"/>
    <w:rsid w:val="003A0BBE"/>
    <w:rsid w:val="004750C1"/>
    <w:rsid w:val="0048102F"/>
    <w:rsid w:val="00493B8D"/>
    <w:rsid w:val="004964CC"/>
    <w:rsid w:val="004E2DEE"/>
    <w:rsid w:val="0052029C"/>
    <w:rsid w:val="00565301"/>
    <w:rsid w:val="00581748"/>
    <w:rsid w:val="005950D4"/>
    <w:rsid w:val="005B11CB"/>
    <w:rsid w:val="005D4684"/>
    <w:rsid w:val="005F76A1"/>
    <w:rsid w:val="00626BF4"/>
    <w:rsid w:val="006322FE"/>
    <w:rsid w:val="00651325"/>
    <w:rsid w:val="006720D8"/>
    <w:rsid w:val="006D44FB"/>
    <w:rsid w:val="006F304F"/>
    <w:rsid w:val="00701002"/>
    <w:rsid w:val="007329AF"/>
    <w:rsid w:val="00755AEA"/>
    <w:rsid w:val="007D1082"/>
    <w:rsid w:val="007D51EA"/>
    <w:rsid w:val="007E2C43"/>
    <w:rsid w:val="007E2FEA"/>
    <w:rsid w:val="007F4BA4"/>
    <w:rsid w:val="00822BBD"/>
    <w:rsid w:val="00842492"/>
    <w:rsid w:val="0085609D"/>
    <w:rsid w:val="008605BC"/>
    <w:rsid w:val="00876DCC"/>
    <w:rsid w:val="008800AD"/>
    <w:rsid w:val="008842D4"/>
    <w:rsid w:val="008A3433"/>
    <w:rsid w:val="008B084B"/>
    <w:rsid w:val="008F2EEA"/>
    <w:rsid w:val="00931EBC"/>
    <w:rsid w:val="00942231"/>
    <w:rsid w:val="0095365C"/>
    <w:rsid w:val="009C2BD5"/>
    <w:rsid w:val="009E233B"/>
    <w:rsid w:val="00A127D9"/>
    <w:rsid w:val="00A219F2"/>
    <w:rsid w:val="00A51135"/>
    <w:rsid w:val="00A94FA4"/>
    <w:rsid w:val="00AC4D2A"/>
    <w:rsid w:val="00AF00E3"/>
    <w:rsid w:val="00AF6F05"/>
    <w:rsid w:val="00B22816"/>
    <w:rsid w:val="00B24460"/>
    <w:rsid w:val="00B8124F"/>
    <w:rsid w:val="00B94703"/>
    <w:rsid w:val="00BA1F5E"/>
    <w:rsid w:val="00C21644"/>
    <w:rsid w:val="00C33C38"/>
    <w:rsid w:val="00C84758"/>
    <w:rsid w:val="00C964A2"/>
    <w:rsid w:val="00C97936"/>
    <w:rsid w:val="00D836AB"/>
    <w:rsid w:val="00D933BE"/>
    <w:rsid w:val="00D97F49"/>
    <w:rsid w:val="00DA56E7"/>
    <w:rsid w:val="00DC0044"/>
    <w:rsid w:val="00DD5D77"/>
    <w:rsid w:val="00DE04AF"/>
    <w:rsid w:val="00DE449A"/>
    <w:rsid w:val="00E15FB6"/>
    <w:rsid w:val="00E4359B"/>
    <w:rsid w:val="00E60F2D"/>
    <w:rsid w:val="00E7062F"/>
    <w:rsid w:val="00E827B6"/>
    <w:rsid w:val="00EA12B8"/>
    <w:rsid w:val="00EB5046"/>
    <w:rsid w:val="00EC1B94"/>
    <w:rsid w:val="00ED2810"/>
    <w:rsid w:val="00ED28D8"/>
    <w:rsid w:val="00EE2FDB"/>
    <w:rsid w:val="00F03412"/>
    <w:rsid w:val="00F03FDD"/>
    <w:rsid w:val="00F12C5B"/>
    <w:rsid w:val="00F44CB1"/>
    <w:rsid w:val="00F44D90"/>
    <w:rsid w:val="00F44FA6"/>
    <w:rsid w:val="00F7026F"/>
    <w:rsid w:val="00F856CF"/>
    <w:rsid w:val="00F951AF"/>
    <w:rsid w:val="00FC6D59"/>
    <w:rsid w:val="00FF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DD01"/>
  <w15:chartTrackingRefBased/>
  <w15:docId w15:val="{B49938A5-A575-4D2A-8302-9734BA62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0C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0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1002"/>
  </w:style>
  <w:style w:type="paragraph" w:styleId="Footer">
    <w:name w:val="footer"/>
    <w:basedOn w:val="Normal"/>
    <w:link w:val="FooterChar"/>
    <w:uiPriority w:val="99"/>
    <w:unhideWhenUsed/>
    <w:rsid w:val="007010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1002"/>
  </w:style>
  <w:style w:type="paragraph" w:styleId="BalloonText">
    <w:name w:val="Balloon Text"/>
    <w:basedOn w:val="Normal"/>
    <w:link w:val="BalloonTextChar"/>
    <w:uiPriority w:val="99"/>
    <w:semiHidden/>
    <w:unhideWhenUsed/>
    <w:rsid w:val="003A0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BBE"/>
    <w:rPr>
      <w:rFonts w:ascii="Segoe UI" w:hAnsi="Segoe UI" w:cs="Segoe UI"/>
      <w:sz w:val="18"/>
      <w:szCs w:val="18"/>
    </w:rPr>
  </w:style>
  <w:style w:type="paragraph" w:styleId="ListParagraph">
    <w:name w:val="List Paragraph"/>
    <w:basedOn w:val="Normal"/>
    <w:uiPriority w:val="34"/>
    <w:qFormat/>
    <w:rsid w:val="00842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02832">
      <w:bodyDiv w:val="1"/>
      <w:marLeft w:val="0"/>
      <w:marRight w:val="0"/>
      <w:marTop w:val="0"/>
      <w:marBottom w:val="0"/>
      <w:divBdr>
        <w:top w:val="none" w:sz="0" w:space="0" w:color="auto"/>
        <w:left w:val="none" w:sz="0" w:space="0" w:color="auto"/>
        <w:bottom w:val="none" w:sz="0" w:space="0" w:color="auto"/>
        <w:right w:val="none" w:sz="0" w:space="0" w:color="auto"/>
      </w:divBdr>
    </w:div>
    <w:div w:id="488986432">
      <w:bodyDiv w:val="1"/>
      <w:marLeft w:val="0"/>
      <w:marRight w:val="0"/>
      <w:marTop w:val="0"/>
      <w:marBottom w:val="0"/>
      <w:divBdr>
        <w:top w:val="none" w:sz="0" w:space="0" w:color="auto"/>
        <w:left w:val="none" w:sz="0" w:space="0" w:color="auto"/>
        <w:bottom w:val="none" w:sz="0" w:space="0" w:color="auto"/>
        <w:right w:val="none" w:sz="0" w:space="0" w:color="auto"/>
      </w:divBdr>
    </w:div>
    <w:div w:id="177231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3657</Words>
  <Characters>20849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Iliev</dc:creator>
  <cp:keywords/>
  <dc:description/>
  <cp:lastModifiedBy>MZH1</cp:lastModifiedBy>
  <cp:revision>6</cp:revision>
  <cp:lastPrinted>2024-07-26T06:34:00Z</cp:lastPrinted>
  <dcterms:created xsi:type="dcterms:W3CDTF">2024-08-01T14:26:00Z</dcterms:created>
  <dcterms:modified xsi:type="dcterms:W3CDTF">2024-08-01T14:31:00Z</dcterms:modified>
</cp:coreProperties>
</file>