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20360" w14:textId="77777777" w:rsidR="0098225B" w:rsidRPr="0098225B" w:rsidRDefault="0098225B" w:rsidP="0098225B">
      <w:pPr>
        <w:widowControl w:val="0"/>
        <w:tabs>
          <w:tab w:val="center" w:pos="4320"/>
          <w:tab w:val="right" w:pos="8640"/>
        </w:tabs>
        <w:overflowPunct w:val="0"/>
        <w:autoSpaceDE w:val="0"/>
        <w:autoSpaceDN w:val="0"/>
        <w:adjustRightInd w:val="0"/>
        <w:jc w:val="right"/>
        <w:textAlignment w:val="baseline"/>
        <w:rPr>
          <w:rFonts w:ascii="Verdana" w:hAnsi="Verdana"/>
          <w:sz w:val="18"/>
          <w:szCs w:val="18"/>
        </w:rPr>
      </w:pPr>
      <w:r w:rsidRPr="0098225B">
        <w:rPr>
          <w:rFonts w:ascii="Verdana" w:hAnsi="Verdana"/>
          <w:sz w:val="18"/>
          <w:szCs w:val="18"/>
        </w:rPr>
        <w:t>Класификация на информацията:</w:t>
      </w:r>
    </w:p>
    <w:p w14:paraId="35D81ED1" w14:textId="77777777" w:rsidR="0098225B" w:rsidRPr="00C13584" w:rsidRDefault="0098225B" w:rsidP="0098225B">
      <w:pPr>
        <w:tabs>
          <w:tab w:val="center" w:pos="4153"/>
          <w:tab w:val="right" w:pos="8306"/>
        </w:tabs>
        <w:jc w:val="right"/>
        <w:rPr>
          <w:rFonts w:ascii="Verdana" w:hAnsi="Verdana"/>
          <w:sz w:val="18"/>
          <w:szCs w:val="18"/>
          <w:lang w:val="ru-RU"/>
        </w:rPr>
      </w:pPr>
      <w:r w:rsidRPr="0098225B">
        <w:rPr>
          <w:rFonts w:ascii="Verdana" w:hAnsi="Verdana"/>
          <w:sz w:val="18"/>
          <w:szCs w:val="18"/>
        </w:rPr>
        <w:t>Ниво 0, TLP-</w:t>
      </w:r>
      <w:r w:rsidRPr="0098225B">
        <w:rPr>
          <w:rFonts w:ascii="Verdana" w:hAnsi="Verdana"/>
          <w:sz w:val="18"/>
          <w:szCs w:val="18"/>
          <w:lang w:val="en-US"/>
        </w:rPr>
        <w:t>WHITE</w:t>
      </w:r>
    </w:p>
    <w:p w14:paraId="3F230075" w14:textId="77777777" w:rsidR="00EA18DE" w:rsidRDefault="00EA18DE" w:rsidP="0098225B">
      <w:pPr>
        <w:overflowPunct w:val="0"/>
        <w:autoSpaceDE w:val="0"/>
        <w:autoSpaceDN w:val="0"/>
        <w:adjustRightInd w:val="0"/>
        <w:spacing w:line="360" w:lineRule="auto"/>
        <w:jc w:val="right"/>
        <w:textAlignment w:val="baseline"/>
        <w:rPr>
          <w:rFonts w:ascii="Verdana" w:hAnsi="Verdana"/>
          <w:b/>
          <w:sz w:val="20"/>
          <w:szCs w:val="20"/>
          <w:lang w:eastAsia="en-US"/>
        </w:rPr>
      </w:pPr>
    </w:p>
    <w:p w14:paraId="3CD55BC0" w14:textId="77777777" w:rsidR="00100D11" w:rsidRPr="00AD25E9" w:rsidRDefault="00100D11" w:rsidP="003E4BD0">
      <w:pPr>
        <w:overflowPunct w:val="0"/>
        <w:autoSpaceDE w:val="0"/>
        <w:autoSpaceDN w:val="0"/>
        <w:adjustRightInd w:val="0"/>
        <w:spacing w:line="360" w:lineRule="auto"/>
        <w:jc w:val="center"/>
        <w:textAlignment w:val="baseline"/>
        <w:rPr>
          <w:rFonts w:ascii="Verdana" w:hAnsi="Verdana"/>
          <w:b/>
          <w:spacing w:val="70"/>
          <w:lang w:eastAsia="en-US"/>
        </w:rPr>
      </w:pPr>
      <w:r w:rsidRPr="00AD25E9">
        <w:rPr>
          <w:rFonts w:ascii="Verdana" w:hAnsi="Verdana"/>
          <w:b/>
          <w:spacing w:val="70"/>
          <w:lang w:eastAsia="en-US"/>
        </w:rPr>
        <w:t>МОТИВИ</w:t>
      </w:r>
    </w:p>
    <w:p w14:paraId="602DA705" w14:textId="1BF1E472" w:rsidR="00100D11" w:rsidRPr="003E4BD0" w:rsidRDefault="00100D11" w:rsidP="003E4BD0">
      <w:pPr>
        <w:overflowPunct w:val="0"/>
        <w:autoSpaceDE w:val="0"/>
        <w:autoSpaceDN w:val="0"/>
        <w:adjustRightInd w:val="0"/>
        <w:spacing w:line="360" w:lineRule="auto"/>
        <w:jc w:val="center"/>
        <w:textAlignment w:val="baseline"/>
        <w:rPr>
          <w:rFonts w:ascii="Verdana" w:hAnsi="Verdana"/>
          <w:b/>
          <w:sz w:val="20"/>
          <w:szCs w:val="20"/>
          <w:lang w:eastAsia="en-US"/>
        </w:rPr>
      </w:pPr>
      <w:r w:rsidRPr="003E4BD0">
        <w:rPr>
          <w:rFonts w:ascii="Verdana" w:hAnsi="Verdana"/>
          <w:b/>
          <w:sz w:val="20"/>
          <w:szCs w:val="20"/>
          <w:lang w:eastAsia="en-US"/>
        </w:rPr>
        <w:t xml:space="preserve">към </w:t>
      </w:r>
      <w:r w:rsidRPr="002E250B">
        <w:rPr>
          <w:rFonts w:ascii="Verdana" w:hAnsi="Verdana"/>
          <w:b/>
          <w:sz w:val="20"/>
          <w:szCs w:val="20"/>
          <w:lang w:eastAsia="en-US"/>
        </w:rPr>
        <w:t xml:space="preserve">проекта на </w:t>
      </w:r>
      <w:r w:rsidR="00234282" w:rsidRPr="002E250B">
        <w:rPr>
          <w:rFonts w:ascii="Verdana" w:hAnsi="Verdana"/>
          <w:b/>
          <w:sz w:val="20"/>
          <w:szCs w:val="20"/>
          <w:lang w:eastAsia="en-US"/>
        </w:rPr>
        <w:t>Закон</w:t>
      </w:r>
      <w:r w:rsidR="00234282" w:rsidRPr="00E23E2E">
        <w:rPr>
          <w:rFonts w:ascii="Verdana" w:hAnsi="Verdana"/>
          <w:b/>
          <w:sz w:val="20"/>
          <w:szCs w:val="20"/>
          <w:lang w:eastAsia="en-US"/>
        </w:rPr>
        <w:t xml:space="preserve"> за изменение</w:t>
      </w:r>
      <w:r w:rsidR="00234282" w:rsidRPr="003E4BD0">
        <w:rPr>
          <w:rFonts w:ascii="Verdana" w:hAnsi="Verdana"/>
          <w:b/>
          <w:sz w:val="20"/>
          <w:szCs w:val="20"/>
          <w:lang w:eastAsia="en-US"/>
        </w:rPr>
        <w:t xml:space="preserve"> и допълнение на Закона за прилагане на Общата организация на пазарите на земеделски продукти на Европейския съюз</w:t>
      </w:r>
    </w:p>
    <w:p w14:paraId="526D5597" w14:textId="77777777" w:rsidR="003E4BD0" w:rsidRPr="003E4BD0" w:rsidRDefault="003E4BD0" w:rsidP="00846D6B">
      <w:pPr>
        <w:overflowPunct w:val="0"/>
        <w:autoSpaceDE w:val="0"/>
        <w:autoSpaceDN w:val="0"/>
        <w:adjustRightInd w:val="0"/>
        <w:spacing w:line="360" w:lineRule="auto"/>
        <w:ind w:firstLine="709"/>
        <w:jc w:val="both"/>
        <w:textAlignment w:val="baseline"/>
        <w:rPr>
          <w:rFonts w:ascii="Verdana" w:hAnsi="Verdana"/>
          <w:sz w:val="20"/>
          <w:szCs w:val="20"/>
          <w:lang w:eastAsia="en-US"/>
        </w:rPr>
      </w:pPr>
    </w:p>
    <w:p w14:paraId="4779557A" w14:textId="508F8E66"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 xml:space="preserve">Законопроектът предвижда изменение на чл. 9, чл. 15 и отмяна на т. 2 от Допълнителната разпоредба от </w:t>
      </w:r>
      <w:r w:rsidR="008911F3" w:rsidRPr="008911F3">
        <w:rPr>
          <w:rFonts w:ascii="Verdana" w:hAnsi="Verdana"/>
          <w:bCs/>
          <w:sz w:val="20"/>
          <w:szCs w:val="20"/>
          <w:lang w:eastAsia="en-US"/>
        </w:rPr>
        <w:t xml:space="preserve">Закона за прилагане на Общата организация на пазарите на земеделски продукти </w:t>
      </w:r>
      <w:r w:rsidR="008911F3">
        <w:rPr>
          <w:rFonts w:ascii="Verdana" w:hAnsi="Verdana"/>
          <w:bCs/>
          <w:sz w:val="20"/>
          <w:szCs w:val="20"/>
          <w:lang w:eastAsia="en-US"/>
        </w:rPr>
        <w:t>на Европейския съюз (ЗПООПЗПЕС)</w:t>
      </w:r>
      <w:r w:rsidR="004A6573">
        <w:rPr>
          <w:rFonts w:ascii="Verdana" w:hAnsi="Verdana"/>
          <w:bCs/>
          <w:sz w:val="20"/>
          <w:szCs w:val="20"/>
          <w:lang w:eastAsia="en-US"/>
        </w:rPr>
        <w:t>,</w:t>
      </w:r>
      <w:r w:rsidR="008911F3">
        <w:rPr>
          <w:rFonts w:ascii="Verdana" w:hAnsi="Verdana"/>
          <w:bCs/>
          <w:sz w:val="20"/>
          <w:szCs w:val="20"/>
          <w:lang w:eastAsia="en-US"/>
        </w:rPr>
        <w:t xml:space="preserve"> </w:t>
      </w:r>
      <w:r w:rsidRPr="007E5702">
        <w:rPr>
          <w:rFonts w:ascii="Verdana" w:hAnsi="Verdana"/>
          <w:bCs/>
          <w:sz w:val="20"/>
          <w:szCs w:val="20"/>
          <w:lang w:eastAsia="en-US"/>
        </w:rPr>
        <w:t xml:space="preserve">с оглед отпадналото основание за тези национални разпоредби предвид отмяната на глава VI от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w:t>
      </w:r>
      <w:r w:rsidR="00C13584">
        <w:rPr>
          <w:rFonts w:ascii="Verdana" w:hAnsi="Verdana"/>
          <w:bCs/>
          <w:sz w:val="20"/>
          <w:szCs w:val="20"/>
          <w:lang w:eastAsia="en-US"/>
        </w:rPr>
        <w:br/>
      </w:r>
      <w:r w:rsidRPr="007E5702">
        <w:rPr>
          <w:rFonts w:ascii="Verdana" w:hAnsi="Verdana"/>
          <w:bCs/>
          <w:sz w:val="20"/>
          <w:szCs w:val="20"/>
          <w:lang w:eastAsia="en-US"/>
        </w:rPr>
        <w:t>№ 234/79, (ЕО) № 1037/2001 и (ЕО) № 1234/2007.</w:t>
      </w:r>
    </w:p>
    <w:p w14:paraId="14D0F813"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В съответствие с приложимото законодателство на Е</w:t>
      </w:r>
      <w:r w:rsidR="008911F3">
        <w:rPr>
          <w:rFonts w:ascii="Verdana" w:hAnsi="Verdana"/>
          <w:bCs/>
          <w:sz w:val="20"/>
          <w:szCs w:val="20"/>
          <w:lang w:eastAsia="en-US"/>
        </w:rPr>
        <w:t>вропейския съюз (Е</w:t>
      </w:r>
      <w:r w:rsidRPr="007E5702">
        <w:rPr>
          <w:rFonts w:ascii="Verdana" w:hAnsi="Verdana"/>
          <w:bCs/>
          <w:sz w:val="20"/>
          <w:szCs w:val="20"/>
          <w:lang w:eastAsia="en-US"/>
        </w:rPr>
        <w:t>С</w:t>
      </w:r>
      <w:r w:rsidR="008911F3">
        <w:rPr>
          <w:rFonts w:ascii="Verdana" w:hAnsi="Verdana"/>
          <w:bCs/>
          <w:sz w:val="20"/>
          <w:szCs w:val="20"/>
          <w:lang w:eastAsia="en-US"/>
        </w:rPr>
        <w:t>)</w:t>
      </w:r>
      <w:r w:rsidRPr="007E5702">
        <w:rPr>
          <w:rFonts w:ascii="Verdana" w:hAnsi="Verdana"/>
          <w:bCs/>
          <w:sz w:val="20"/>
          <w:szCs w:val="20"/>
          <w:lang w:eastAsia="en-US"/>
        </w:rPr>
        <w:t xml:space="preserve"> след края на квотния режим в сектора на захарта отпада необходимостта от упражняване на контрол върху рафинирането по издадените лицензии за внос на захар, предназначена за рафиниране.</w:t>
      </w:r>
    </w:p>
    <w:p w14:paraId="2FC9A0B5"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Регламент (ЕО) № 891/2009 на Комисията от 25 септември 2009 г. за откриване и управление на някои тарифни квоти на Общността в сектора на захарта е отменен с  Делегиран регламент (ЕС) 2020/760 на Комисията от 17 декември 2019 година за допълнение на Регламент (ЕС) № 1308/2013 на Европейския парламент и на Съвета по отношение на правилата за управление на обвързаните с лицензии тарифни квоти за внос и за износ и за допълнение на Регламент (ЕС) № 1306/2013 на Европейския парламент и на Съвета по отношение на внасянето на обезпечения при управлението на тарифните квоти.</w:t>
      </w:r>
    </w:p>
    <w:p w14:paraId="6527153F"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За достоверността на данните операторите носят отговорност съгласно хоризонталното национално законодателство.</w:t>
      </w:r>
    </w:p>
    <w:p w14:paraId="2766F565" w14:textId="07DDB168"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 xml:space="preserve">В тази връзка </w:t>
      </w:r>
      <w:r w:rsidR="003A2B7F">
        <w:rPr>
          <w:rFonts w:ascii="Verdana" w:hAnsi="Verdana"/>
          <w:bCs/>
          <w:sz w:val="20"/>
          <w:szCs w:val="20"/>
          <w:lang w:eastAsia="en-US"/>
        </w:rPr>
        <w:t xml:space="preserve">с </w:t>
      </w:r>
      <w:r w:rsidRPr="002E250B">
        <w:rPr>
          <w:rFonts w:ascii="Verdana" w:hAnsi="Verdana"/>
          <w:bCs/>
          <w:sz w:val="20"/>
          <w:szCs w:val="20"/>
          <w:lang w:eastAsia="en-US"/>
        </w:rPr>
        <w:t>проекта на</w:t>
      </w:r>
      <w:r w:rsidR="001E1017" w:rsidRPr="002E250B">
        <w:t xml:space="preserve"> </w:t>
      </w:r>
      <w:r w:rsidR="001E1017" w:rsidRPr="002E250B">
        <w:rPr>
          <w:rFonts w:ascii="Verdana" w:hAnsi="Verdana"/>
          <w:bCs/>
          <w:sz w:val="20"/>
          <w:szCs w:val="20"/>
          <w:lang w:eastAsia="en-US"/>
        </w:rPr>
        <w:t xml:space="preserve">Закон </w:t>
      </w:r>
      <w:r w:rsidR="001E1017" w:rsidRPr="00980AE6">
        <w:rPr>
          <w:rFonts w:ascii="Verdana" w:hAnsi="Verdana"/>
          <w:bCs/>
          <w:sz w:val="20"/>
          <w:szCs w:val="20"/>
          <w:lang w:eastAsia="en-US"/>
        </w:rPr>
        <w:t>за изменение и допълнение на Закона за прилагане на Общата организация на пазарите на земеделски продукти на Европейския съюз</w:t>
      </w:r>
      <w:r w:rsidRPr="00980AE6">
        <w:rPr>
          <w:rFonts w:ascii="Verdana" w:hAnsi="Verdana"/>
          <w:bCs/>
          <w:sz w:val="20"/>
          <w:szCs w:val="20"/>
          <w:lang w:eastAsia="en-US"/>
        </w:rPr>
        <w:t xml:space="preserve"> </w:t>
      </w:r>
      <w:r w:rsidR="001E1017" w:rsidRPr="00980AE6">
        <w:rPr>
          <w:rFonts w:ascii="Verdana" w:hAnsi="Verdana"/>
          <w:bCs/>
          <w:sz w:val="20"/>
          <w:szCs w:val="20"/>
          <w:lang w:eastAsia="en-US"/>
        </w:rPr>
        <w:t>(</w:t>
      </w:r>
      <w:r w:rsidRPr="00980AE6">
        <w:rPr>
          <w:rFonts w:ascii="Verdana" w:hAnsi="Verdana"/>
          <w:bCs/>
          <w:sz w:val="20"/>
          <w:szCs w:val="20"/>
          <w:lang w:eastAsia="en-US"/>
        </w:rPr>
        <w:t>ЗИД на ЗПООПЗПЕС</w:t>
      </w:r>
      <w:r w:rsidR="001E1017" w:rsidRPr="00980AE6">
        <w:rPr>
          <w:rFonts w:ascii="Verdana" w:hAnsi="Verdana"/>
          <w:bCs/>
          <w:sz w:val="20"/>
          <w:szCs w:val="20"/>
          <w:lang w:eastAsia="en-US"/>
        </w:rPr>
        <w:t>)</w:t>
      </w:r>
      <w:r w:rsidRPr="007E5702">
        <w:rPr>
          <w:rFonts w:ascii="Verdana" w:hAnsi="Verdana"/>
          <w:bCs/>
          <w:sz w:val="20"/>
          <w:szCs w:val="20"/>
          <w:lang w:eastAsia="en-US"/>
        </w:rPr>
        <w:t xml:space="preserve"> се предлага отмяна на членове 10а – 12</w:t>
      </w:r>
      <w:r w:rsidR="003A2B7F">
        <w:rPr>
          <w:rFonts w:ascii="Verdana" w:hAnsi="Verdana"/>
          <w:bCs/>
          <w:sz w:val="20"/>
          <w:szCs w:val="20"/>
          <w:lang w:eastAsia="en-US"/>
        </w:rPr>
        <w:t>,</w:t>
      </w:r>
      <w:r w:rsidRPr="007E5702">
        <w:rPr>
          <w:rFonts w:ascii="Verdana" w:hAnsi="Verdana"/>
          <w:bCs/>
          <w:sz w:val="20"/>
          <w:szCs w:val="20"/>
          <w:lang w:eastAsia="en-US"/>
        </w:rPr>
        <w:t xml:space="preserve"> изменение на чл. 63, ал. 1. С цел единен подход при докладването съгласно Регламент 2017/1185 и Регламент 2019/1746 следва да се прилага общата разпоредба на чл. 4 от ЗПООПЗПЕС, което обуславя необходимостта от заличаване на тези разпоредби.</w:t>
      </w:r>
    </w:p>
    <w:p w14:paraId="33E0DF8F"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CB44B2">
        <w:rPr>
          <w:rFonts w:ascii="Verdana" w:hAnsi="Verdana"/>
          <w:bCs/>
          <w:sz w:val="20"/>
          <w:szCs w:val="20"/>
          <w:lang w:eastAsia="en-US"/>
        </w:rPr>
        <w:t>Приетият през 2018 г. Регламент (ЕС) 2018/848 на Европейския</w:t>
      </w:r>
      <w:r w:rsidRPr="007E5702">
        <w:rPr>
          <w:rFonts w:ascii="Verdana" w:hAnsi="Verdana"/>
          <w:bCs/>
          <w:sz w:val="20"/>
          <w:szCs w:val="20"/>
          <w:lang w:eastAsia="en-US"/>
        </w:rPr>
        <w:t xml:space="preserve"> парламент и на Съвета относно биологичното производство и етикетирането на биологични продукти, и за отмяна на Регламент (ЕО) № 834/2007 на Съвета (Регламент (ЕС) 2018/848) влезе в сила от 01.01.2022 г. Съгласно изискванията на регламента, Европейската комисия прие редица делегиращи и прилагащи актове, което налага преразглеждане </w:t>
      </w:r>
      <w:r w:rsidRPr="007E5702">
        <w:rPr>
          <w:rFonts w:ascii="Verdana" w:hAnsi="Verdana"/>
          <w:bCs/>
          <w:sz w:val="20"/>
          <w:szCs w:val="20"/>
          <w:lang w:eastAsia="en-US"/>
        </w:rPr>
        <w:lastRenderedPageBreak/>
        <w:t>на националната нормативна уредба в частност на Закона за прилагане на Общата организация на пазарите на земеделски продукти на Европейския съюз (ЗПООПЗПЕС).</w:t>
      </w:r>
    </w:p>
    <w:p w14:paraId="54ED4FCF" w14:textId="06987F74"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 xml:space="preserve">Законопроектът е изготвен с оглед синхронизирането на ЗПООПЗПЕС с Регламент (ЕС) 2018/848, както и с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w:t>
      </w:r>
      <w:r w:rsidR="00C13584">
        <w:rPr>
          <w:rFonts w:ascii="Verdana" w:hAnsi="Verdana"/>
          <w:bCs/>
          <w:sz w:val="20"/>
          <w:szCs w:val="20"/>
          <w:lang w:eastAsia="en-US"/>
        </w:rPr>
        <w:br/>
      </w:r>
      <w:r w:rsidRPr="007E5702">
        <w:rPr>
          <w:rFonts w:ascii="Verdana" w:hAnsi="Verdana"/>
          <w:bCs/>
          <w:sz w:val="20"/>
          <w:szCs w:val="20"/>
          <w:lang w:eastAsia="en-US"/>
        </w:rPr>
        <w:t xml:space="preserve">№ 999/2001, (EО) № 396/2005, (EО) № 1069/2009, (EО) № 1107/2009, (EС) </w:t>
      </w:r>
      <w:r w:rsidR="00C13584">
        <w:rPr>
          <w:rFonts w:ascii="Verdana" w:hAnsi="Verdana"/>
          <w:bCs/>
          <w:sz w:val="20"/>
          <w:szCs w:val="20"/>
          <w:lang w:eastAsia="en-US"/>
        </w:rPr>
        <w:br/>
      </w:r>
      <w:r w:rsidRPr="007E5702">
        <w:rPr>
          <w:rFonts w:ascii="Verdana" w:hAnsi="Verdana"/>
          <w:bCs/>
          <w:sz w:val="20"/>
          <w:szCs w:val="20"/>
          <w:lang w:eastAsia="en-US"/>
        </w:rPr>
        <w:t>№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 (Регламент (ЕС) 2017/625).</w:t>
      </w:r>
      <w:r w:rsidRPr="007E5702">
        <w:rPr>
          <w:rFonts w:ascii="Verdana" w:hAnsi="Verdana"/>
          <w:sz w:val="20"/>
          <w:szCs w:val="20"/>
          <w:lang w:eastAsia="en-US"/>
        </w:rPr>
        <w:t xml:space="preserve"> </w:t>
      </w:r>
      <w:r w:rsidRPr="007E5702">
        <w:rPr>
          <w:rFonts w:ascii="Verdana" w:hAnsi="Verdana"/>
          <w:bCs/>
          <w:sz w:val="20"/>
          <w:szCs w:val="20"/>
          <w:lang w:eastAsia="en-US"/>
        </w:rPr>
        <w:t>Той дава възможност в националното законодателство да се определят органите, осъществяващи надзор и контрол в областта на биологичното производство.</w:t>
      </w:r>
    </w:p>
    <w:p w14:paraId="2F1B9064"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Със законопроекта се регламентира дейността на компетентното звено, което е определено с Устройствения правилник на Министерството на земеделието и храните и подпомага дейността на министъра в областта на биологичното производство. Създава се институционализиран механизъм за формиране на политиката в тази област с участие на представители на всички заинтересовани страни - Консултативен съвет по биологично производство.</w:t>
      </w:r>
    </w:p>
    <w:p w14:paraId="4F7F1E26"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По отношение на компетентните органи за биологично производство, същите са определени съгласно изискването на Регламент (ЕС) 2017/625 и на Регламент (ЕС) 2018/848 – министъра на земеделието и храните и Българска агенция по безопасност на храните. Предвид изискването на новото европейско законодателство по отношение на хетерогенния растителен репродуктивен материал за компетентен орган е определена Изпълнителната агенция по сортоизпитване, апробация и семеконтрол (ИАСАС), съгласно Регламент (ЕС) 2017/625 и Делегиран Регламент (ЕС) 2021/1189 на Комисията за допълнение на Регламент (ЕС) 2018/848 на Европейския парламент и на Съвета по отношение на производството и предлагането на пазара на растителен репродуктивен материал от биологичен хетерогенен материал от конкретни родове или видове. За целите на Регламент (ЕС) 2018/848 се предвижда ИАСАС да поддържа на интернет страницата си публичен списък на растителния репродуктивен материал от биологичен хетерогенен материал.</w:t>
      </w:r>
    </w:p>
    <w:p w14:paraId="5AB47F21" w14:textId="78F3CE54"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Със законопроекта се прецизират някои правомощия на компетентните органи (Министерство</w:t>
      </w:r>
      <w:r w:rsidR="004A6573">
        <w:rPr>
          <w:rFonts w:ascii="Verdana" w:hAnsi="Verdana"/>
          <w:sz w:val="20"/>
          <w:szCs w:val="20"/>
        </w:rPr>
        <w:t>то</w:t>
      </w:r>
      <w:r w:rsidRPr="007E5702">
        <w:rPr>
          <w:rFonts w:ascii="Verdana" w:hAnsi="Verdana"/>
          <w:sz w:val="20"/>
          <w:szCs w:val="20"/>
        </w:rPr>
        <w:t xml:space="preserve"> на земеделието и храните и Българската агенция по безопасност на </w:t>
      </w:r>
      <w:r w:rsidRPr="007E5702">
        <w:rPr>
          <w:rFonts w:ascii="Verdana" w:hAnsi="Verdana"/>
          <w:sz w:val="20"/>
          <w:szCs w:val="20"/>
        </w:rPr>
        <w:lastRenderedPageBreak/>
        <w:t>храните), Изпълнителната агенция по сортоизпитване, апробация и семеконтрол и контролиращите лица. По този начин се гарантира прилагането на унифицирани процедури при осъществяване на контрол в биологичното производство в съответствие с изискванията на европейското и национално законодателство в тази област.</w:t>
      </w:r>
    </w:p>
    <w:p w14:paraId="597E0155"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За органите с делегирани правомощия – контролиращите лица в областта на биологичното производство, е въведено определянето им съгласно Регламент (ЕС) 2017/625 и Регламент (ЕС) 2018/848.</w:t>
      </w:r>
    </w:p>
    <w:p w14:paraId="52060CBE" w14:textId="77777777"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Във връзка с изискване на Регламент (ЕС) 2018/848 се прави изменение на </w:t>
      </w:r>
      <w:r w:rsidRPr="00CB44B2">
        <w:rPr>
          <w:rFonts w:ascii="Verdana" w:hAnsi="Verdana"/>
          <w:sz w:val="20"/>
          <w:szCs w:val="20"/>
        </w:rPr>
        <w:t>регистрите, които Министерство на земеделието и храните поддържа за целите на биологичното производство, както и е унифициран подходът за достъп на операторите.</w:t>
      </w:r>
    </w:p>
    <w:p w14:paraId="4D23C052" w14:textId="77777777"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По отношение на наредбата по чл. 17, ал. 1 от ЗПООПЗПЕС е допълнено нейното съдържание, като е предвидено тя да включва:</w:t>
      </w:r>
    </w:p>
    <w:p w14:paraId="6F95E7D2" w14:textId="77777777"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 изискване за обмена на информация между органите, имащи компетенции в областта на биологичното производство съгласно Регламент (ЕС) 2018/848;</w:t>
      </w:r>
    </w:p>
    <w:p w14:paraId="64EB61EA" w14:textId="77777777" w:rsidR="007E5702" w:rsidRPr="00A50A2C"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 xml:space="preserve">- правила за определяне на лицата, които имат право на достъп до информацията в електронния регистър, средствата за идентификация и нива на </w:t>
      </w:r>
      <w:r w:rsidRPr="00A50A2C">
        <w:rPr>
          <w:rFonts w:ascii="Verdana" w:hAnsi="Verdana"/>
          <w:sz w:val="20"/>
          <w:szCs w:val="20"/>
        </w:rPr>
        <w:t>достъп.</w:t>
      </w:r>
    </w:p>
    <w:p w14:paraId="35184D50" w14:textId="2AA5B84F" w:rsidR="000801E6" w:rsidRDefault="000801E6" w:rsidP="00341C53">
      <w:pPr>
        <w:overflowPunct w:val="0"/>
        <w:autoSpaceDE w:val="0"/>
        <w:autoSpaceDN w:val="0"/>
        <w:adjustRightInd w:val="0"/>
        <w:spacing w:line="360" w:lineRule="auto"/>
        <w:ind w:firstLine="709"/>
        <w:jc w:val="both"/>
        <w:textAlignment w:val="baseline"/>
        <w:rPr>
          <w:rFonts w:ascii="Verdana" w:hAnsi="Verdana"/>
          <w:sz w:val="20"/>
          <w:szCs w:val="20"/>
        </w:rPr>
      </w:pPr>
      <w:r w:rsidRPr="00A50A2C">
        <w:rPr>
          <w:rFonts w:ascii="Verdana" w:hAnsi="Verdana"/>
          <w:sz w:val="20"/>
          <w:szCs w:val="20"/>
        </w:rPr>
        <w:t xml:space="preserve">Във връзка с Мярка № 95 </w:t>
      </w:r>
      <w:r w:rsidRPr="00A50A2C">
        <w:rPr>
          <w:rFonts w:ascii="Verdana" w:hAnsi="Verdana"/>
          <w:i/>
          <w:sz w:val="20"/>
          <w:szCs w:val="20"/>
        </w:rPr>
        <w:t>„Служебно събиране на информация в административното производство по издаване на разрешение за осъществяване на контрол за спазване правилата на биологичното производство и контрол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w:t>
      </w:r>
      <w:r w:rsidRPr="00A50A2C">
        <w:rPr>
          <w:rFonts w:ascii="Verdana" w:hAnsi="Verdana"/>
          <w:sz w:val="20"/>
          <w:szCs w:val="20"/>
        </w:rPr>
        <w:t xml:space="preserve"> от Плана за намаляване на административната тежест (РМС № 233 от 2024 г.) е прецизиран </w:t>
      </w:r>
      <w:r w:rsidR="004A6573" w:rsidRPr="00A50A2C">
        <w:rPr>
          <w:rFonts w:ascii="Verdana" w:hAnsi="Verdana"/>
          <w:sz w:val="20"/>
          <w:szCs w:val="20"/>
        </w:rPr>
        <w:t xml:space="preserve">текстът </w:t>
      </w:r>
      <w:r w:rsidRPr="00A50A2C">
        <w:rPr>
          <w:rFonts w:ascii="Verdana" w:hAnsi="Verdana"/>
          <w:sz w:val="20"/>
          <w:szCs w:val="20"/>
        </w:rPr>
        <w:t>на чл. 19 от ЗПООПЗПЕС. Промяната предвижда да отпадне представянето на нотариално заверено копие на сертификат за акредитация, издаден от Изпълнителна агенция „Българска служба за акредитация“, като данните са достъпни в публичния регистър, поддържан от агенцията.</w:t>
      </w:r>
    </w:p>
    <w:p w14:paraId="005AC0D8" w14:textId="329C7AAD" w:rsidR="007E5702" w:rsidRPr="00FF1280"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 xml:space="preserve">С оглед намаляване на административната тежест при заявителя и при компетентния орган, в проекта на акт е предвидена промяна при издаването на временно разрешение за дейност по реда на чл. 21а. Предвидени са по-малко изисквания към </w:t>
      </w:r>
      <w:r w:rsidRPr="00FF1280">
        <w:rPr>
          <w:rFonts w:ascii="Verdana" w:hAnsi="Verdana"/>
          <w:sz w:val="20"/>
          <w:szCs w:val="20"/>
        </w:rPr>
        <w:t>заявителя за издаване на временно разрешение при неприключила процедура по преакредитация. Тази промяна се отнася и за контролиращите лица, които осъществяват контрол за съответствие със спецификацията на земеделски продукти и храни със защитени географски означения и храни с традиционно специфичен характер.</w:t>
      </w:r>
    </w:p>
    <w:p w14:paraId="34A4DC96"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pacing w:val="-2"/>
          <w:sz w:val="20"/>
          <w:szCs w:val="20"/>
        </w:rPr>
      </w:pPr>
      <w:r w:rsidRPr="007E5702">
        <w:rPr>
          <w:rFonts w:ascii="Verdana" w:hAnsi="Verdana"/>
          <w:spacing w:val="-2"/>
          <w:sz w:val="20"/>
          <w:szCs w:val="20"/>
        </w:rPr>
        <w:t xml:space="preserve">С цел намаляване на финансовите разходи отпада изискването за публикуване в „Държавен вестник“ на издадените/отнети от министъра на земеделието и храните разрешения за дейност, тъй като информацията е публична и достъпна в регистъра по </w:t>
      </w:r>
      <w:r w:rsidRPr="007E5702">
        <w:rPr>
          <w:rFonts w:ascii="Verdana" w:hAnsi="Verdana"/>
          <w:spacing w:val="-2"/>
          <w:sz w:val="20"/>
          <w:szCs w:val="20"/>
        </w:rPr>
        <w:lastRenderedPageBreak/>
        <w:t>чл. 16а, ал. 1.</w:t>
      </w:r>
      <w:r w:rsidRPr="007E5702">
        <w:rPr>
          <w:rFonts w:ascii="Arial" w:hAnsi="Arial"/>
          <w:spacing w:val="-2"/>
          <w:sz w:val="20"/>
          <w:szCs w:val="20"/>
          <w:lang w:eastAsia="en-US"/>
        </w:rPr>
        <w:t xml:space="preserve"> </w:t>
      </w:r>
      <w:r w:rsidRPr="007E5702">
        <w:rPr>
          <w:rFonts w:ascii="Verdana" w:hAnsi="Verdana"/>
          <w:spacing w:val="-2"/>
          <w:sz w:val="20"/>
          <w:szCs w:val="20"/>
        </w:rPr>
        <w:t>Изискването за публикуване в „Държавен вестник“ на издадените/отнети от министъра на земеделието и храните разрешения за осъществяване на контролна дейност отпада и по отношение на контролиращите лица, които осъществяват контрол за съответствие със спецификацията на земеделски продукти и храни със защитени географски означения и храни с традиционно специфичен характер.</w:t>
      </w:r>
    </w:p>
    <w:p w14:paraId="33AF3039"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Проектът на акт дава възможност на юридическите лица да обжалват по реда на Административнопроцесуалния кодекс отказ от издаване/отнемане от министъра на земеделието и храните на разрешение за контролна дейност в областта на биологичното производство и в областта на контрола за съответствие със спецификацията на земеделски продукти и храни със защитени географски означения и храни с традиционно специфичен характер, като обжалването не спира изпълнението на акта.</w:t>
      </w:r>
    </w:p>
    <w:p w14:paraId="62D9D8BE" w14:textId="5FDEDA41"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По отношение на административно</w:t>
      </w:r>
      <w:r w:rsidR="00A50A2C">
        <w:rPr>
          <w:rFonts w:ascii="Verdana" w:hAnsi="Verdana"/>
          <w:sz w:val="20"/>
          <w:szCs w:val="20"/>
        </w:rPr>
        <w:t>-</w:t>
      </w:r>
      <w:r w:rsidRPr="007E5702">
        <w:rPr>
          <w:rFonts w:ascii="Verdana" w:hAnsi="Verdana"/>
          <w:sz w:val="20"/>
          <w:szCs w:val="20"/>
        </w:rPr>
        <w:t>наказателните разпоредби законопроектът предвижда да отпадне нарушението за непредоставяне на годишен отчет и списък на лицата, върху които е упражнен контрол от контролиращите лица в областта на биологичното производство, поради факта, че същите се предоставят по електронен път в регистъра по чл. 16а, ал. 1.</w:t>
      </w:r>
    </w:p>
    <w:p w14:paraId="5A5CC94A"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С проекта на ЗИД на ЗПООПЗПЕС се изменят разпоредбите на чл. 38а и чл. 43. С приемането на 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чрез ЕФГЗ, организациите на производители (ОП) в сектор „Плодове и зеленчуци“ и техните асоциации се подкрепят посредством избрани видове интервенции по чл. 47 от същия регламент, а организациите на производители (ОП) и техните асоциации и групите на производители (ГП) в сектор „Мляко и млечни продукти“, посредством избрани видове интервенции по чл. 67, заложени в Стратегическия план за развитие на земеделието и селските райони за програмен период 2023 – 2027 г., съфинансиран от Европейския земеделски фонд за развитие на селските райони, Европейския фонд за гарантиране на земеделието и от държавния бюджет (Стратегическия план).</w:t>
      </w:r>
    </w:p>
    <w:p w14:paraId="34A2F4AD"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В допълнение организациите на производители, групите на производители, асоциации на организациите на производители и междубраншови организации са допустими бенефициенти и по редица инвестиционни и неинвестиционни интервенции, от Стратегическия план и по линия на ЕЗФРСР.</w:t>
      </w:r>
    </w:p>
    <w:p w14:paraId="6A914DB0" w14:textId="77777777"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Интервенциите по Стратегическия план е възможно да се изпълняват само от признати от министъра на </w:t>
      </w:r>
      <w:r w:rsidRPr="00CB44B2">
        <w:rPr>
          <w:rFonts w:ascii="Verdana" w:hAnsi="Verdana"/>
          <w:sz w:val="20"/>
          <w:szCs w:val="20"/>
        </w:rPr>
        <w:t>земеделието и храните групи и организации на производители, асоциации на организации на производители и междубраншови организации.</w:t>
      </w:r>
    </w:p>
    <w:p w14:paraId="635E45A8" w14:textId="3D7FC0C9"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lastRenderedPageBreak/>
        <w:t>С оглед допустимостта на организации на производители, групи производители, асоциации на организации на производители и междубраншови организации по редица инвестиционни и неинвестиционни интервенции от Стратегическия план е необходимо условията и реда за признаването да бъдат законово уредени и впоследствие детайлизирани в подзаконови нормативни актове с цел възможността им да изпълняват желаните от тях интервенции от Стратегическия план.</w:t>
      </w:r>
    </w:p>
    <w:p w14:paraId="32A32D60" w14:textId="6913AA18"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Законопроектът предвижда изменение на чл. 47а, ал. 3 във връзка със схемата за предлагане на плодове, зеленчуци, мляко и млечни продукти в детските</w:t>
      </w:r>
      <w:r w:rsidRPr="007E5702">
        <w:rPr>
          <w:rFonts w:ascii="Verdana" w:hAnsi="Verdana"/>
          <w:sz w:val="20"/>
          <w:szCs w:val="20"/>
        </w:rPr>
        <w:t xml:space="preserve"> градини, училищата и центровете за специална образователна подкрепа, която е един от инструментите на Общата селскостопанска политика на Европейския съюз със силно обществено значение и широк социален отзвук. За да се прилага схемата в България е необходимо разработване на национална стратегия, която да бъде основата на политиката в тази област и на нейна база да бъде създадена нормативна уредба, която да урежда реда и правилата за прилагането на схемата и последващия административен контрол. Поради значителния интерес към схемата, както от страна на образователните институции, така и на всички заинтересовани страни, както и предвид нейната цел с национално значение (възпитаване на здрави и образовани деца) и широкия обществен интерес, разработването на тази стратегия следва да бъде ангажимент на най-висшия орган на изпълнителната власт в България – Министерския съвет. По този начин ангажираността на държавата пред обществото относно изграждането на новите поколения ще бъде засвидетелствано по възможно най-подходящия начин – чрез създаване на рамка за провеждане на политика от национално значение. Освен това, фактът, че по тази схема финансовото участие на държавата е значително, допълнително аргументира направеното предложения за изменение в Закона за прилагане на общата организация на пазарите на земеделски продукти на Европейския съюз. Разпределянето на средства от държавния бюджет следва </w:t>
      </w:r>
      <w:r w:rsidRPr="00CB44B2">
        <w:rPr>
          <w:rFonts w:ascii="Verdana" w:hAnsi="Verdana"/>
          <w:sz w:val="20"/>
          <w:szCs w:val="20"/>
        </w:rPr>
        <w:t>да бъде със санкцията на всички ръководители на ведомства в страната.</w:t>
      </w:r>
    </w:p>
    <w:p w14:paraId="2EF884DD" w14:textId="77777777" w:rsidR="002E250B" w:rsidRPr="002E250B" w:rsidRDefault="002E250B" w:rsidP="002E250B">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E818B1">
        <w:rPr>
          <w:rFonts w:ascii="Verdana" w:hAnsi="Verdana"/>
          <w:bCs/>
          <w:sz w:val="20"/>
          <w:szCs w:val="20"/>
          <w:lang w:eastAsia="en-US"/>
        </w:rPr>
        <w:t xml:space="preserve">Във </w:t>
      </w:r>
      <w:r w:rsidRPr="00A50A2C">
        <w:rPr>
          <w:rFonts w:ascii="Verdana" w:hAnsi="Verdana"/>
          <w:bCs/>
          <w:sz w:val="20"/>
          <w:szCs w:val="20"/>
          <w:lang w:eastAsia="en-US"/>
        </w:rPr>
        <w:t>връзка с изискванията, произтичащи от Регламент за изпълнение (ЕС) 2019/1746 на Комисията от 1 октомври 2019 година за изменение на Регламент за изпълнение (ЕС) 2017/1185 за определяне на правила за прилагане на регламенти (ЕС) № 1307/2013 и (ЕС) № 1308/2013 на Европейския парламент и на Съвета (</w:t>
      </w:r>
      <w:r w:rsidRPr="00A50A2C">
        <w:rPr>
          <w:rFonts w:ascii="Verdana" w:hAnsi="Verdana"/>
          <w:sz w:val="20"/>
          <w:szCs w:val="20"/>
        </w:rPr>
        <w:t xml:space="preserve">Регламент </w:t>
      </w:r>
      <w:r w:rsidRPr="00A50A2C">
        <w:rPr>
          <w:rFonts w:ascii="Verdana" w:hAnsi="Verdana"/>
          <w:bCs/>
          <w:sz w:val="20"/>
          <w:szCs w:val="20"/>
        </w:rPr>
        <w:t xml:space="preserve">за изпълнение (ЕС) 2019/1746) </w:t>
      </w:r>
      <w:r w:rsidRPr="00A50A2C">
        <w:rPr>
          <w:rFonts w:ascii="Verdana" w:hAnsi="Verdana"/>
          <w:bCs/>
          <w:sz w:val="20"/>
          <w:szCs w:val="20"/>
          <w:lang w:eastAsia="en-US"/>
        </w:rPr>
        <w:t>по отношение на уведомленията до Комисията относно информация и документи са прецизирани текстовете</w:t>
      </w:r>
      <w:r w:rsidRPr="002E250B">
        <w:rPr>
          <w:rFonts w:ascii="Verdana" w:hAnsi="Verdana"/>
          <w:bCs/>
          <w:sz w:val="20"/>
          <w:szCs w:val="20"/>
          <w:lang w:eastAsia="en-US"/>
        </w:rPr>
        <w:t xml:space="preserve"> на чл. 55е и чл. 58ж от ЗПООПЗПЕС по отношение на информацията подавана от първите изкупвачи на мляко и данните събирани за сектор месо и яйца.</w:t>
      </w:r>
    </w:p>
    <w:p w14:paraId="0F0DE994" w14:textId="77777777" w:rsidR="002E250B" w:rsidRPr="002E250B" w:rsidRDefault="002E250B" w:rsidP="002E250B">
      <w:pPr>
        <w:overflowPunct w:val="0"/>
        <w:autoSpaceDE w:val="0"/>
        <w:autoSpaceDN w:val="0"/>
        <w:adjustRightInd w:val="0"/>
        <w:spacing w:line="360" w:lineRule="auto"/>
        <w:ind w:firstLine="709"/>
        <w:jc w:val="both"/>
        <w:textAlignment w:val="baseline"/>
        <w:rPr>
          <w:rFonts w:ascii="Verdana" w:hAnsi="Verdana"/>
          <w:sz w:val="20"/>
          <w:szCs w:val="20"/>
        </w:rPr>
      </w:pPr>
      <w:r w:rsidRPr="00A50A2C">
        <w:rPr>
          <w:rFonts w:ascii="Verdana" w:hAnsi="Verdana"/>
          <w:sz w:val="20"/>
          <w:szCs w:val="20"/>
        </w:rPr>
        <w:t xml:space="preserve">Регламент </w:t>
      </w:r>
      <w:r w:rsidRPr="00A50A2C">
        <w:rPr>
          <w:rFonts w:ascii="Verdana" w:hAnsi="Verdana"/>
          <w:bCs/>
          <w:sz w:val="20"/>
          <w:szCs w:val="20"/>
        </w:rPr>
        <w:t>за изпълнение (ЕС) 2019/1746</w:t>
      </w:r>
      <w:r w:rsidRPr="00A50A2C">
        <w:rPr>
          <w:rFonts w:ascii="Verdana" w:hAnsi="Verdana"/>
          <w:sz w:val="20"/>
          <w:szCs w:val="20"/>
        </w:rPr>
        <w:t xml:space="preserve"> се прилага пряко от 1 януари 2021 г. и от тогава в Министерството на земеделието и храните кланиците за бели меса, птицефермите и първите изкупвачи на сурово мляко предоставят данни в сектора на птичето месо и яйцата относно обема на производството, както и в сектора на </w:t>
      </w:r>
      <w:r w:rsidRPr="00A50A2C">
        <w:rPr>
          <w:rFonts w:ascii="Verdana" w:hAnsi="Verdana"/>
          <w:sz w:val="20"/>
          <w:szCs w:val="20"/>
        </w:rPr>
        <w:lastRenderedPageBreak/>
        <w:t>млякото и млечните продукти относно количеството и цената на изкупеното биологично краве мляко и съдържанието на мазнини и протеин. С оглед на това направените редакции в чл. 55е и 58ж са с цел хармонизиране на разпоредбите с европейското законодателство, като за първите изкупвачи е предвидено предоставяната досега информация да не се събира отделно, а същата да се подава в месечните декларации до Министерството на земеделието и храните. В тази връзка предложените промени не водят до разширяване на обема на предоставяната информация и няма увеличаване на административната тежест.</w:t>
      </w:r>
    </w:p>
    <w:p w14:paraId="23C69DB2" w14:textId="013F81C3" w:rsidR="002E250B" w:rsidRPr="002E250B" w:rsidRDefault="002E250B" w:rsidP="002E250B">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2E250B">
        <w:rPr>
          <w:rFonts w:ascii="Verdana" w:hAnsi="Verdana"/>
          <w:bCs/>
          <w:sz w:val="20"/>
          <w:szCs w:val="20"/>
          <w:lang w:eastAsia="en-US"/>
        </w:rPr>
        <w:t>Отменения</w:t>
      </w:r>
      <w:r w:rsidR="004A6573">
        <w:rPr>
          <w:rFonts w:ascii="Verdana" w:hAnsi="Verdana"/>
          <w:bCs/>
          <w:sz w:val="20"/>
          <w:szCs w:val="20"/>
          <w:lang w:eastAsia="en-US"/>
        </w:rPr>
        <w:t>т</w:t>
      </w:r>
      <w:r w:rsidRPr="002E250B">
        <w:rPr>
          <w:rFonts w:ascii="Verdana" w:hAnsi="Verdana"/>
          <w:bCs/>
          <w:sz w:val="20"/>
          <w:szCs w:val="20"/>
          <w:lang w:eastAsia="en-US"/>
        </w:rPr>
        <w:t xml:space="preserve"> Регламент (ЕО) № 589/2008 на Комисията от 23 юни 2008 г. за определяне на подробни правила за прилагане на Регламент (ЕО) № 1234/2007 на Съвета относно стандартите за търговия с яйца се заменя с Регламент за изпълнение (ЕС) 2023/2466 на Комисията от 17 август 2023 година за определяне на правила за прилагане на Регламент (ЕС) № 1308/2013 на Европейския парламент и на Съвета по отношение на стандартите за търговия с яйца (ОВ, L 2023/2466 от 8.11.2023 г.).</w:t>
      </w:r>
    </w:p>
    <w:p w14:paraId="159C81B8" w14:textId="77777777" w:rsidR="002E250B" w:rsidRPr="002E250B" w:rsidRDefault="002E250B" w:rsidP="002E250B">
      <w:pPr>
        <w:overflowPunct w:val="0"/>
        <w:autoSpaceDE w:val="0"/>
        <w:autoSpaceDN w:val="0"/>
        <w:adjustRightInd w:val="0"/>
        <w:spacing w:line="360" w:lineRule="auto"/>
        <w:ind w:firstLine="709"/>
        <w:jc w:val="both"/>
        <w:textAlignment w:val="baseline"/>
        <w:rPr>
          <w:rFonts w:ascii="Verdana" w:hAnsi="Verdana"/>
          <w:sz w:val="20"/>
          <w:szCs w:val="20"/>
        </w:rPr>
      </w:pPr>
      <w:r w:rsidRPr="002E250B">
        <w:rPr>
          <w:rFonts w:ascii="Verdana" w:hAnsi="Verdana"/>
          <w:sz w:val="20"/>
          <w:szCs w:val="20"/>
        </w:rPr>
        <w:t>За първи път със законопроекта се урежда и организацията и дейността на пазарите за търговия на дребно с фермерски и занаятчийски храни.</w:t>
      </w:r>
    </w:p>
    <w:p w14:paraId="115DD527"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В законопроекта са регламентирани видовете </w:t>
      </w:r>
      <w:r w:rsidRPr="00A50A2C">
        <w:rPr>
          <w:rFonts w:ascii="Verdana" w:hAnsi="Verdana"/>
          <w:sz w:val="20"/>
          <w:szCs w:val="20"/>
        </w:rPr>
        <w:t xml:space="preserve">пазари за </w:t>
      </w:r>
      <w:r w:rsidR="00AD1C5D" w:rsidRPr="00A50A2C">
        <w:rPr>
          <w:rFonts w:ascii="Verdana" w:hAnsi="Verdana"/>
          <w:sz w:val="20"/>
          <w:szCs w:val="20"/>
        </w:rPr>
        <w:t>търговия на дребно на</w:t>
      </w:r>
      <w:r w:rsidR="00AD1C5D" w:rsidRPr="00AD1C5D">
        <w:rPr>
          <w:rFonts w:ascii="Verdana" w:hAnsi="Verdana"/>
          <w:sz w:val="20"/>
          <w:szCs w:val="20"/>
        </w:rPr>
        <w:t xml:space="preserve"> </w:t>
      </w:r>
      <w:r w:rsidRPr="007E5702">
        <w:rPr>
          <w:rFonts w:ascii="Verdana" w:hAnsi="Verdana"/>
          <w:sz w:val="20"/>
          <w:szCs w:val="20"/>
        </w:rPr>
        <w:t xml:space="preserve">фермерски и занаятчийски храни в зависимост от времетраенето им </w:t>
      </w:r>
      <w:r w:rsidR="00660A60">
        <w:rPr>
          <w:rFonts w:ascii="Verdana" w:hAnsi="Verdana"/>
          <w:sz w:val="20"/>
          <w:szCs w:val="20"/>
        </w:rPr>
        <w:t>–</w:t>
      </w:r>
      <w:r w:rsidRPr="007E5702">
        <w:rPr>
          <w:rFonts w:ascii="Verdana" w:hAnsi="Verdana"/>
          <w:sz w:val="20"/>
          <w:szCs w:val="20"/>
        </w:rPr>
        <w:t xml:space="preserve"> постоянни, временни, или за определен ден или дни от седмицата.</w:t>
      </w:r>
    </w:p>
    <w:p w14:paraId="57C6F7A8"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Предвижда се на пазарите за фермерски и занаятчийски храни да се извършва продажба на дребно на фермерски и занаятчийски храни от техните производители. Определени са изключенията, при които могат да се предлагат фермерски и занаятчийски храни, които не са произведени от лицата, които ги предлагат. </w:t>
      </w:r>
    </w:p>
    <w:p w14:paraId="3843F95A"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В проекта са определени изискванията към лицата, които предлагат фермерски и занаятчийски храни на дребно на фермерските пазари. Те трябва да притежават всички изисквани от нормативните актове разрешителни, сертификати, лицензи и други документи, да предоставят на потребителите информация за предлаганите храни в съответствие с европейското и национално законодателство, да съхраняват и представят при поискване от компетентните и контролните органи необходимите документи, доказващи произхода, качеството и безопасността на храните, да спазват обществения ред, да опазват наетото място и имущество и да осигуряват почистването на съоръженията за предлагане и търговия и прилежащите им площи, да изпълняват разпорежданията на организатора на пазара и предписанията на компетентните и контролни органи.</w:t>
      </w:r>
    </w:p>
    <w:p w14:paraId="22C1D0A2"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В законопроекта е определен редът за разкриване на пазари за търговия на дребно с фермерски и занаятчийски храни. Пазарите се разкриват от организатора на пазара след получено съгласие от кмета на общината, на чиято територия се провежда пазара. Въвежда се изискване кметът на съответната община да осигури осъществяването на ефективен контрол за спазване на нормативните изисквания и защита на потребителите.</w:t>
      </w:r>
    </w:p>
    <w:p w14:paraId="006D8FA7"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lastRenderedPageBreak/>
        <w:t>С проекта на ЗИД на ЗПООПЗПЕС се регламентира организаторът на пазара за търговия на дребно за фермерски и занаятчийски храни да информира директора на областната дирекция по безопасност на храните по местонахождението на пазара за мястото, деня и графика на провеждането му най-малко 3 работни дни преди заявеното му начало.</w:t>
      </w:r>
    </w:p>
    <w:p w14:paraId="062CA102"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На пазарите за фермерски и занаятчийски храни се забранява извършването на търговска дейност извън предоставените за ползване части от имоти и съоръжения за търговия и пространствата, граничещи с тях; поставянето от ползвателите на допълнителни собствени съоръжения, които не са съгласувани с организатора на пазара, или са извън предоставените за ползване части от имоти и съоръжения за търговия; поставянето на предлаганите за продажба храни на други места извън съоръжението и предоставената за ползване площ; извършването на търговия от моторни превозни средства, импровизирани поставки, куфари, колички, кашони, поставени на земята или от ръка; влизането, спирането и паркирането на моторни превозни средства на територията на пазара, извън определените за това места, по времето на провеждане на пазара; излагането, продажбата и рекламата на храни с външен вид, опаковка и маркировка, заблуждаващи потребителите относно тяхното качество, произход и други съществени характеристики; преотдаването или съвместното ползване на наетите имоти, обекти или съоръжения, без за това предварително да е получено писмено съгласие от организатора на пазара.</w:t>
      </w:r>
    </w:p>
    <w:p w14:paraId="79298B10" w14:textId="148A8B8E"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Уреждат се правата и задълженията на организаторите на пазари за търговия на дребно на фермерски и занаятчийски храни. </w:t>
      </w:r>
      <w:r w:rsidR="002E5A67" w:rsidRPr="00A50A2C">
        <w:rPr>
          <w:rFonts w:ascii="Verdana" w:hAnsi="Verdana"/>
          <w:sz w:val="20"/>
          <w:szCs w:val="20"/>
        </w:rPr>
        <w:t xml:space="preserve">Организатор на пазар за търговия на едро и дребно с фермерски и занаятчийски храни може да е всяко физическо или юридическо лица, което е отговорно за провеждането на съответния пазар. </w:t>
      </w:r>
      <w:r w:rsidRPr="00A50A2C">
        <w:rPr>
          <w:rFonts w:ascii="Verdana" w:hAnsi="Verdana"/>
          <w:sz w:val="20"/>
          <w:szCs w:val="20"/>
        </w:rPr>
        <w:t xml:space="preserve">Организаторите на пазарите за търговия на дребно на фермерски и занаятчийски храни трябва да упражняват контрол върху дейността на лицата, които извършват търговска дейност на територията на пазарите, както и за спазване на </w:t>
      </w:r>
      <w:r w:rsidR="00317378" w:rsidRPr="00A50A2C">
        <w:rPr>
          <w:rFonts w:ascii="Verdana" w:hAnsi="Verdana"/>
          <w:sz w:val="20"/>
          <w:szCs w:val="20"/>
        </w:rPr>
        <w:t>Правилата за организацията и</w:t>
      </w:r>
      <w:r w:rsidRPr="00A50A2C">
        <w:rPr>
          <w:rFonts w:ascii="Verdana" w:hAnsi="Verdana"/>
          <w:sz w:val="20"/>
          <w:szCs w:val="20"/>
        </w:rPr>
        <w:t xml:space="preserve"> дейността на фермерския пазар. При констатиране на нарушения, организаторите на пазара са длъжни да предприемат всички необходими действия за незабавното им отстраняване и привеждане в съответствие с </w:t>
      </w:r>
      <w:r w:rsidR="00317378" w:rsidRPr="00A50A2C">
        <w:rPr>
          <w:rFonts w:ascii="Verdana" w:hAnsi="Verdana"/>
          <w:sz w:val="20"/>
          <w:szCs w:val="20"/>
        </w:rPr>
        <w:t>Правилата</w:t>
      </w:r>
      <w:r w:rsidR="00317378">
        <w:rPr>
          <w:rFonts w:ascii="Verdana" w:hAnsi="Verdana"/>
          <w:sz w:val="20"/>
          <w:szCs w:val="20"/>
        </w:rPr>
        <w:t xml:space="preserve"> </w:t>
      </w:r>
      <w:r w:rsidRPr="007E5702">
        <w:rPr>
          <w:rFonts w:ascii="Verdana" w:hAnsi="Verdana"/>
          <w:sz w:val="20"/>
          <w:szCs w:val="20"/>
        </w:rPr>
        <w:t>за организацията и дейността на пазара. Организаторът на пазара се задължава да осигури търговска площ и подходяща инфраструктура, съобразно изискванията за съхранение и предлагане на храните, подходящи условия за експлоатация на местата, обектите, частите от имоти, масите за сергийна търговия, както на съответните санитарни помещения; да осигури спазването на реда на пазара, предвиден в Правилника за организацията и дейността на пазара, както и да осигури почистване на пазара.</w:t>
      </w:r>
    </w:p>
    <w:p w14:paraId="49C8D922"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Въвежда се задължение на организаторът на пазара за търговия на дребно на фермерски и занаятчийски храни да създава и поддържа база данни за всички лица, които предлагат на пазара фермерски и занаятчийски храни, на съоръженията за </w:t>
      </w:r>
      <w:r w:rsidRPr="007E5702">
        <w:rPr>
          <w:rFonts w:ascii="Verdana" w:hAnsi="Verdana"/>
          <w:sz w:val="20"/>
          <w:szCs w:val="20"/>
        </w:rPr>
        <w:lastRenderedPageBreak/>
        <w:t>търговия, разположени на територията на пазара, както и информация за сключените договори за използване на пространства и съоръжения с участниците.</w:t>
      </w:r>
    </w:p>
    <w:p w14:paraId="393ED2BB" w14:textId="2706A8C8"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Законопроектът предвижда организаторът на пазара за фермерски и занаятчийски храни да </w:t>
      </w:r>
      <w:r w:rsidRPr="00A50A2C">
        <w:rPr>
          <w:rFonts w:ascii="Verdana" w:hAnsi="Verdana"/>
          <w:sz w:val="20"/>
          <w:szCs w:val="20"/>
        </w:rPr>
        <w:t xml:space="preserve">изготвя </w:t>
      </w:r>
      <w:r w:rsidR="00414E08" w:rsidRPr="00A50A2C">
        <w:rPr>
          <w:rFonts w:ascii="Verdana" w:hAnsi="Verdana"/>
          <w:sz w:val="20"/>
          <w:szCs w:val="20"/>
        </w:rPr>
        <w:t xml:space="preserve">Правила </w:t>
      </w:r>
      <w:r w:rsidRPr="00A50A2C">
        <w:rPr>
          <w:rFonts w:ascii="Verdana" w:hAnsi="Verdana"/>
          <w:sz w:val="20"/>
          <w:szCs w:val="20"/>
        </w:rPr>
        <w:t>за организацията</w:t>
      </w:r>
      <w:r w:rsidRPr="007E5702">
        <w:rPr>
          <w:rFonts w:ascii="Verdana" w:hAnsi="Verdana"/>
          <w:sz w:val="20"/>
          <w:szCs w:val="20"/>
        </w:rPr>
        <w:t xml:space="preserve"> и дейността на фермерския пазар, в </w:t>
      </w:r>
      <w:r w:rsidR="00323A7F">
        <w:rPr>
          <w:rFonts w:ascii="Verdana" w:hAnsi="Verdana"/>
          <w:sz w:val="20"/>
          <w:szCs w:val="20"/>
        </w:rPr>
        <w:t>които</w:t>
      </w:r>
      <w:r w:rsidRPr="007E5702">
        <w:rPr>
          <w:rFonts w:ascii="Verdana" w:hAnsi="Verdana"/>
          <w:sz w:val="20"/>
          <w:szCs w:val="20"/>
        </w:rPr>
        <w:t xml:space="preserve"> определя правилата за разполагането на местата и съоръженията за търговия, правилата за ползване на наетите места или съоръжения, организацията и контрола на участниците на пазара, графика за работата на пазара, както и мерките и задълженията за участниците, включително при нарушаването му.</w:t>
      </w:r>
    </w:p>
    <w:p w14:paraId="3A27208F" w14:textId="77777777"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Определят се контролните органи, които осъществяват контрол на фермерските пазари. Контролът по спазване на изискванията по отношение организацията и дейността на пазарите за търговия на дребно на фермерски и занаятчийски храни ще се осъществява от упълномощени от кмета на съответната община, длъжностни лица от общинската администрация. Регламентират се правата и задълженията на длъжностните лица, които имат право да извършват проверки на организаторите на пазарите за търговия на дребно на фермерски и занаятчийски храни, както и на лицата, които извършват търговска дейност на територията на пазарите. </w:t>
      </w:r>
    </w:p>
    <w:p w14:paraId="7550A6C8" w14:textId="2879314B" w:rsidR="007E5702" w:rsidRPr="007E5702" w:rsidRDefault="007E5702" w:rsidP="008911F3">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Предвидени са административно</w:t>
      </w:r>
      <w:r w:rsidR="00A50A2C">
        <w:rPr>
          <w:rFonts w:ascii="Verdana" w:hAnsi="Verdana"/>
          <w:sz w:val="20"/>
          <w:szCs w:val="20"/>
        </w:rPr>
        <w:t>-</w:t>
      </w:r>
      <w:r w:rsidRPr="007E5702">
        <w:rPr>
          <w:rFonts w:ascii="Verdana" w:hAnsi="Verdana"/>
          <w:sz w:val="20"/>
          <w:szCs w:val="20"/>
        </w:rPr>
        <w:t>наказателни разпоредби при неспазване на разпоредбите към фермерските пазари за търговия на дребно на фермерски и занаятчийски храни, като техният размер е определен в зависимост от тежестта на съответното нарушение.</w:t>
      </w:r>
    </w:p>
    <w:p w14:paraId="321B3387" w14:textId="77777777" w:rsidR="007E5702" w:rsidRPr="00CB44B2" w:rsidRDefault="007E5702" w:rsidP="008911F3">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С проекта на ЗИД на ЗПООПЗПЕС се изменя Закона за занаятите, като в списъка на занаятите в приложение № 1 на закона се създава нова група занаяти - занаяти в областта на производството на храни и напитки. Към признатите занаяти със Закона за занаятчийството се добавят следните занаяти в областта на производството на храни и напитки: хлебарство, ситничарство, сладкарство, шекерджийство, преработка на плодове и зеленчуци по традиционни рецепти, производство на месни и млечни продукти, колбасарство, мелничарство, пивоварство и приготвяне на малц, </w:t>
      </w:r>
      <w:r w:rsidRPr="00CB44B2">
        <w:rPr>
          <w:rFonts w:ascii="Verdana" w:hAnsi="Verdana"/>
          <w:sz w:val="20"/>
          <w:szCs w:val="20"/>
        </w:rPr>
        <w:t>бозаджийство, приготвяне на безалкохолни и спиртни напитки, готварство.</w:t>
      </w:r>
    </w:p>
    <w:p w14:paraId="592DE3C2" w14:textId="77777777" w:rsidR="006B12C8" w:rsidRPr="00A50A2C" w:rsidRDefault="006B12C8" w:rsidP="006B12C8">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A50A2C">
        <w:rPr>
          <w:rFonts w:ascii="Verdana" w:hAnsi="Verdana"/>
          <w:bCs/>
          <w:sz w:val="20"/>
          <w:szCs w:val="20"/>
          <w:lang w:eastAsia="en-US"/>
        </w:rPr>
        <w:t>В проекта на ЗИД на ЗПООПЗПЕС е предвидено в част трета, в заглавието на Глава седма, да отпадат думите „и по мерки за държавно подпомагане“. Заличаване на текстове за държавните помощи е необходимо, тъй като същите са уредени в Закон за държавните помощи и Закон за подпомагане на земеделските производители.</w:t>
      </w:r>
    </w:p>
    <w:p w14:paraId="50F86487" w14:textId="6889029D" w:rsidR="006B12C8" w:rsidRPr="00A50A2C" w:rsidRDefault="006B12C8" w:rsidP="00300938">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A50A2C">
        <w:rPr>
          <w:rFonts w:ascii="Verdana" w:hAnsi="Verdana"/>
          <w:bCs/>
          <w:sz w:val="20"/>
          <w:szCs w:val="20"/>
          <w:lang w:eastAsia="en-US"/>
        </w:rPr>
        <w:t xml:space="preserve">Във връзка с действащата нормативна рамка и липсата на законова делегация за издаване на актове за усвояване на публични държавни вземания, в случаите на установени недължимо платени или надплатени средства, както и в случаите на налагане на парични санкции е прецизиран </w:t>
      </w:r>
      <w:r w:rsidR="00EF568C" w:rsidRPr="00A50A2C">
        <w:rPr>
          <w:rFonts w:ascii="Verdana" w:hAnsi="Verdana"/>
          <w:bCs/>
          <w:sz w:val="20"/>
          <w:szCs w:val="20"/>
          <w:lang w:eastAsia="en-US"/>
        </w:rPr>
        <w:t xml:space="preserve">текстът </w:t>
      </w:r>
      <w:r w:rsidRPr="00A50A2C">
        <w:rPr>
          <w:rFonts w:ascii="Verdana" w:hAnsi="Verdana"/>
          <w:bCs/>
          <w:sz w:val="20"/>
          <w:szCs w:val="20"/>
          <w:lang w:eastAsia="en-US"/>
        </w:rPr>
        <w:t xml:space="preserve">на чл. 61. По този начин се  гарантира по-добро управление на средствата за пазарни мерки от а Европейския фонд за гарантиране на земеделието (ЕФГЗ) и националния бюджет (НБ). </w:t>
      </w:r>
    </w:p>
    <w:p w14:paraId="27860264" w14:textId="1BF73275" w:rsidR="000F61DE" w:rsidRPr="00A50A2C" w:rsidRDefault="000F61DE" w:rsidP="00EC01EF">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A50A2C">
        <w:rPr>
          <w:rFonts w:ascii="Verdana" w:hAnsi="Verdana"/>
          <w:bCs/>
          <w:sz w:val="20"/>
          <w:szCs w:val="20"/>
          <w:lang w:eastAsia="en-US"/>
        </w:rPr>
        <w:lastRenderedPageBreak/>
        <w:t xml:space="preserve">Със Заключителните разпоредби на законопроекта се прави и изменение на </w:t>
      </w:r>
      <w:r w:rsidR="00895765">
        <w:rPr>
          <w:rFonts w:ascii="Verdana" w:hAnsi="Verdana"/>
          <w:bCs/>
          <w:sz w:val="20"/>
          <w:szCs w:val="20"/>
          <w:lang w:eastAsia="en-US"/>
        </w:rPr>
        <w:br/>
      </w:r>
      <w:r w:rsidRPr="00A50A2C">
        <w:rPr>
          <w:rFonts w:ascii="Verdana" w:hAnsi="Verdana"/>
          <w:bCs/>
          <w:sz w:val="20"/>
          <w:szCs w:val="20"/>
          <w:lang w:eastAsia="en-US"/>
        </w:rPr>
        <w:t xml:space="preserve">чл. 22, ал. 9 на Закона за лова и опазване на дивеча (ЗЛОД). </w:t>
      </w:r>
      <w:r w:rsidRPr="00A50A2C">
        <w:rPr>
          <w:rFonts w:ascii="Verdana" w:hAnsi="Verdana"/>
          <w:sz w:val="20"/>
          <w:szCs w:val="20"/>
          <w:lang w:eastAsia="en-US"/>
        </w:rPr>
        <w:t>Създават се условия за л</w:t>
      </w:r>
      <w:r w:rsidRPr="00A50A2C">
        <w:rPr>
          <w:rFonts w:ascii="Verdana" w:hAnsi="Verdana"/>
          <w:bCs/>
          <w:sz w:val="20"/>
          <w:szCs w:val="20"/>
          <w:lang w:eastAsia="en-US"/>
        </w:rPr>
        <w:t>ицата, които не са издържали изпита за придобиване право на лов в рамките на календарната година, в която са преминали курса за подготовка, да могат да се явят отново на изпит след преминаването на нов курс. Изменението е положителна мярка за кандидатите за ловци, защото ще им се предостави още една възможност в рамките на календарната година, в която се е провел техния курс за подготовка, да се явят и да придобият право на лов, при успешно полагане на изпита. Промяната е свързана с Решение № 11553/23.11.2023 г. по адм. дело № 3194/2023 г. по описа на Върховния административен съд, с което са отменени разпоредби от Правилника за прилагане на Закона за лова и опазване на дивеча (ППЗЛОД).</w:t>
      </w:r>
      <w:r w:rsidRPr="00C13584">
        <w:rPr>
          <w:rFonts w:ascii="Arial" w:hAnsi="Arial"/>
          <w:sz w:val="20"/>
          <w:szCs w:val="20"/>
          <w:lang w:val="ru-RU" w:eastAsia="en-US"/>
        </w:rPr>
        <w:t xml:space="preserve"> </w:t>
      </w:r>
      <w:r w:rsidRPr="00A50A2C">
        <w:rPr>
          <w:rFonts w:ascii="Verdana" w:hAnsi="Verdana"/>
          <w:bCs/>
          <w:sz w:val="20"/>
          <w:szCs w:val="20"/>
          <w:lang w:eastAsia="en-US"/>
        </w:rPr>
        <w:t>С цел да се уредят правните последици, възникнали от отмяната на цитираните</w:t>
      </w:r>
      <w:r w:rsidRPr="00C13584">
        <w:rPr>
          <w:rFonts w:ascii="Arial" w:hAnsi="Arial"/>
          <w:sz w:val="20"/>
          <w:szCs w:val="20"/>
          <w:lang w:val="ru-RU" w:eastAsia="en-US"/>
        </w:rPr>
        <w:t xml:space="preserve"> </w:t>
      </w:r>
      <w:r w:rsidRPr="00A50A2C">
        <w:rPr>
          <w:rFonts w:ascii="Arial" w:hAnsi="Arial"/>
          <w:sz w:val="20"/>
          <w:szCs w:val="20"/>
          <w:lang w:eastAsia="en-US"/>
        </w:rPr>
        <w:t xml:space="preserve">в </w:t>
      </w:r>
      <w:r w:rsidRPr="00A50A2C">
        <w:rPr>
          <w:rFonts w:ascii="Verdana" w:hAnsi="Verdana"/>
          <w:bCs/>
          <w:sz w:val="20"/>
          <w:szCs w:val="20"/>
          <w:lang w:eastAsia="en-US"/>
        </w:rPr>
        <w:t>Решение № 11553/</w:t>
      </w:r>
      <w:r w:rsidR="00895765">
        <w:rPr>
          <w:rFonts w:ascii="Verdana" w:hAnsi="Verdana"/>
          <w:bCs/>
          <w:sz w:val="20"/>
          <w:szCs w:val="20"/>
          <w:lang w:eastAsia="en-US"/>
        </w:rPr>
        <w:t xml:space="preserve"> </w:t>
      </w:r>
      <w:r w:rsidRPr="00A50A2C">
        <w:rPr>
          <w:rFonts w:ascii="Verdana" w:hAnsi="Verdana"/>
          <w:bCs/>
          <w:sz w:val="20"/>
          <w:szCs w:val="20"/>
          <w:lang w:eastAsia="en-US"/>
        </w:rPr>
        <w:t xml:space="preserve">23.11.2023 г. разпоредби, е предвидена възможността за провеждане на поправителна изпитна сесия за придобиване право на лов с изменение на чл. 22, </w:t>
      </w:r>
      <w:r w:rsidR="00895765">
        <w:rPr>
          <w:rFonts w:ascii="Verdana" w:hAnsi="Verdana"/>
          <w:bCs/>
          <w:sz w:val="20"/>
          <w:szCs w:val="20"/>
          <w:lang w:eastAsia="en-US"/>
        </w:rPr>
        <w:br/>
      </w:r>
      <w:r w:rsidRPr="00A50A2C">
        <w:rPr>
          <w:rFonts w:ascii="Verdana" w:hAnsi="Verdana"/>
          <w:bCs/>
          <w:sz w:val="20"/>
          <w:szCs w:val="20"/>
          <w:lang w:eastAsia="en-US"/>
        </w:rPr>
        <w:t>ал. 9 от ЗЛОД.</w:t>
      </w:r>
    </w:p>
    <w:p w14:paraId="40CEEF4F" w14:textId="77777777" w:rsidR="00035FB9" w:rsidRPr="00FF1280" w:rsidRDefault="00035FB9" w:rsidP="008911F3">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6B4DC7">
        <w:rPr>
          <w:rFonts w:ascii="Verdana" w:hAnsi="Verdana"/>
          <w:sz w:val="20"/>
          <w:szCs w:val="20"/>
          <w:lang w:eastAsia="en-US"/>
        </w:rPr>
        <w:t xml:space="preserve">С </w:t>
      </w:r>
      <w:r w:rsidRPr="00FF1280">
        <w:rPr>
          <w:rFonts w:ascii="Verdana" w:hAnsi="Verdana"/>
          <w:sz w:val="20"/>
          <w:szCs w:val="20"/>
          <w:lang w:eastAsia="en-US"/>
        </w:rPr>
        <w:t>реализирането на настоящия законопроект ще бъдат постигнати следните цели:</w:t>
      </w:r>
    </w:p>
    <w:p w14:paraId="5DBF8855" w14:textId="77777777"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F1280">
        <w:rPr>
          <w:rFonts w:ascii="Verdana" w:hAnsi="Verdana"/>
          <w:bCs/>
          <w:sz w:val="20"/>
          <w:szCs w:val="20"/>
          <w:lang w:eastAsia="en-US"/>
        </w:rPr>
        <w:t xml:space="preserve">Създаване </w:t>
      </w:r>
      <w:r w:rsidRPr="00FE7D70">
        <w:rPr>
          <w:rFonts w:ascii="Verdana" w:hAnsi="Verdana"/>
          <w:bCs/>
          <w:sz w:val="20"/>
          <w:szCs w:val="20"/>
          <w:lang w:eastAsia="en-US"/>
        </w:rPr>
        <w:t>на обща рамка за биологичното производство, за да се обхване целият процес и всички етапи от първичното производство до получаването на крайния продукт;</w:t>
      </w:r>
    </w:p>
    <w:p w14:paraId="17DE0E88" w14:textId="77777777"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Ясно разграничаване на компетенциите и функциите на отделните органи, осъществяващи политиката и официалния контрол в биологичното производство;</w:t>
      </w:r>
    </w:p>
    <w:p w14:paraId="3CE02F3A" w14:textId="77777777"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Повишаване ефективността на официалния контрол и защита интересите на потребителите на биологични продукти;</w:t>
      </w:r>
    </w:p>
    <w:p w14:paraId="7F80AA45" w14:textId="77777777"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Провеждането на ефективен мониторинг върху дейността на контролиращите лица в областта на биологичното производство и в областта на контрола за съответствие със спецификацията на земеделски продукти и храни със защитени географски означения и храни с традиционно специфичен характер;</w:t>
      </w:r>
    </w:p>
    <w:p w14:paraId="06110FFB" w14:textId="77777777"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Осигуряване на достъп до пазара на малките и местните производители на фермерски и занаятчийски храни;</w:t>
      </w:r>
    </w:p>
    <w:p w14:paraId="579ECDD9" w14:textId="77777777"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Осигуряване на ефективен контрол върху храните, предлагани на пазарите за търговия на дребно с фермерски и занаятчийски храни;</w:t>
      </w:r>
    </w:p>
    <w:p w14:paraId="024BEA7B" w14:textId="77777777"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Подпомагане на групите на производители по Стратегическия план за развитие на земеделието и селските райони на Република България за периода 2023 – 2027 г., с цел повишаване степента на организираност на земеделските производители в страната.</w:t>
      </w:r>
    </w:p>
    <w:p w14:paraId="356F32B2" w14:textId="77777777" w:rsidR="001E1017" w:rsidRPr="00895765" w:rsidRDefault="001E1017" w:rsidP="00895765">
      <w:pPr>
        <w:shd w:val="clear" w:color="auto" w:fill="FFFFFF"/>
        <w:tabs>
          <w:tab w:val="left" w:leader="dot" w:pos="3802"/>
        </w:tabs>
        <w:spacing w:line="360" w:lineRule="auto"/>
        <w:outlineLvl w:val="0"/>
        <w:rPr>
          <w:rFonts w:ascii="Verdana" w:hAnsi="Verdana"/>
          <w:caps/>
          <w:sz w:val="20"/>
          <w:szCs w:val="20"/>
        </w:rPr>
      </w:pPr>
    </w:p>
    <w:p w14:paraId="30BD8BDC" w14:textId="5DD84BF3" w:rsidR="004B63F7" w:rsidRPr="00081C19" w:rsidRDefault="004B63F7" w:rsidP="003E4BD0">
      <w:pPr>
        <w:shd w:val="clear" w:color="auto" w:fill="FFFFFF"/>
        <w:tabs>
          <w:tab w:val="left" w:leader="dot" w:pos="3802"/>
        </w:tabs>
        <w:spacing w:line="360" w:lineRule="auto"/>
        <w:outlineLvl w:val="0"/>
        <w:rPr>
          <w:rFonts w:ascii="Verdana" w:hAnsi="Verdana"/>
          <w:caps/>
          <w:sz w:val="20"/>
          <w:szCs w:val="20"/>
        </w:rPr>
      </w:pPr>
    </w:p>
    <w:p w14:paraId="72AB3808" w14:textId="77777777" w:rsidR="0034358E" w:rsidRPr="003E4BD0" w:rsidRDefault="0034358E" w:rsidP="003E4BD0">
      <w:pPr>
        <w:shd w:val="clear" w:color="auto" w:fill="FFFFFF"/>
        <w:tabs>
          <w:tab w:val="left" w:leader="dot" w:pos="3802"/>
        </w:tabs>
        <w:spacing w:line="360" w:lineRule="auto"/>
        <w:outlineLvl w:val="0"/>
        <w:rPr>
          <w:rFonts w:ascii="Verdana" w:hAnsi="Verdana"/>
          <w:b/>
          <w:caps/>
          <w:sz w:val="20"/>
          <w:szCs w:val="20"/>
        </w:rPr>
      </w:pPr>
      <w:r w:rsidRPr="003E4BD0">
        <w:rPr>
          <w:rFonts w:ascii="Verdana" w:hAnsi="Verdana"/>
          <w:b/>
          <w:caps/>
          <w:sz w:val="20"/>
          <w:szCs w:val="20"/>
        </w:rPr>
        <w:t>МИНИСТЪР-ПРЕДСЕДАТЕЛ:</w:t>
      </w:r>
    </w:p>
    <w:p w14:paraId="2D918531" w14:textId="77777777" w:rsidR="001E1017" w:rsidRPr="007A5E02" w:rsidRDefault="00980AE6" w:rsidP="001E1017">
      <w:pPr>
        <w:shd w:val="clear" w:color="auto" w:fill="FFFFFF"/>
        <w:tabs>
          <w:tab w:val="left" w:leader="dot" w:pos="3802"/>
        </w:tabs>
        <w:spacing w:line="360" w:lineRule="auto"/>
        <w:ind w:left="3288"/>
        <w:outlineLvl w:val="0"/>
        <w:rPr>
          <w:rFonts w:ascii="Verdana" w:hAnsi="Verdana"/>
          <w:b/>
          <w:caps/>
          <w:sz w:val="20"/>
          <w:szCs w:val="20"/>
        </w:rPr>
      </w:pPr>
      <w:r w:rsidRPr="007A5E02">
        <w:rPr>
          <w:rFonts w:ascii="Verdana" w:hAnsi="Verdana"/>
          <w:b/>
          <w:caps/>
          <w:sz w:val="20"/>
          <w:szCs w:val="20"/>
        </w:rPr>
        <w:t>ДИМИТЪР ГЛАВЧЕВ</w:t>
      </w:r>
    </w:p>
    <w:p w14:paraId="42AF6D10" w14:textId="77777777" w:rsidR="001E1017" w:rsidRDefault="001E1017" w:rsidP="004B63F7">
      <w:pPr>
        <w:widowControl w:val="0"/>
        <w:autoSpaceDE w:val="0"/>
        <w:autoSpaceDN w:val="0"/>
        <w:adjustRightInd w:val="0"/>
        <w:rPr>
          <w:rFonts w:ascii="Verdana" w:hAnsi="Verdana" w:cs="Verdana"/>
          <w:smallCaps/>
          <w:sz w:val="16"/>
          <w:szCs w:val="16"/>
        </w:rPr>
      </w:pPr>
      <w:bookmarkStart w:id="0" w:name="_GoBack"/>
      <w:bookmarkEnd w:id="0"/>
    </w:p>
    <w:sectPr w:rsidR="001E1017" w:rsidSect="00846D6B">
      <w:footerReference w:type="default" r:id="rId7"/>
      <w:pgSz w:w="11907" w:h="16840" w:code="9"/>
      <w:pgMar w:top="1134" w:right="1021" w:bottom="567" w:left="1701"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61EE6" w14:textId="77777777" w:rsidR="00560CCB" w:rsidRDefault="00560CCB" w:rsidP="006817E7">
      <w:r>
        <w:separator/>
      </w:r>
    </w:p>
  </w:endnote>
  <w:endnote w:type="continuationSeparator" w:id="0">
    <w:p w14:paraId="070FB966" w14:textId="77777777" w:rsidR="00560CCB" w:rsidRDefault="00560CCB" w:rsidP="0068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432102"/>
      <w:docPartObj>
        <w:docPartGallery w:val="Page Numbers (Bottom of Page)"/>
        <w:docPartUnique/>
      </w:docPartObj>
    </w:sdtPr>
    <w:sdtEndPr>
      <w:rPr>
        <w:rFonts w:ascii="Verdana" w:hAnsi="Verdana"/>
        <w:noProof/>
        <w:sz w:val="16"/>
      </w:rPr>
    </w:sdtEndPr>
    <w:sdtContent>
      <w:p w14:paraId="07D6AA3C" w14:textId="2F9A5907" w:rsidR="00EA18DE" w:rsidRPr="00846D6B" w:rsidRDefault="00C55295" w:rsidP="00846D6B">
        <w:pPr>
          <w:pStyle w:val="Footer"/>
          <w:jc w:val="right"/>
          <w:rPr>
            <w:rFonts w:ascii="Verdana" w:hAnsi="Verdana"/>
            <w:sz w:val="16"/>
          </w:rPr>
        </w:pPr>
        <w:r w:rsidRPr="00846D6B">
          <w:rPr>
            <w:rFonts w:ascii="Verdana" w:hAnsi="Verdana"/>
            <w:sz w:val="16"/>
          </w:rPr>
          <w:fldChar w:fldCharType="begin"/>
        </w:r>
        <w:r w:rsidRPr="00846D6B">
          <w:rPr>
            <w:rFonts w:ascii="Verdana" w:hAnsi="Verdana"/>
            <w:sz w:val="16"/>
          </w:rPr>
          <w:instrText xml:space="preserve"> PAGE   \* MERGEFORMAT </w:instrText>
        </w:r>
        <w:r w:rsidRPr="00846D6B">
          <w:rPr>
            <w:rFonts w:ascii="Verdana" w:hAnsi="Verdana"/>
            <w:sz w:val="16"/>
          </w:rPr>
          <w:fldChar w:fldCharType="separate"/>
        </w:r>
        <w:r w:rsidR="00BF521F">
          <w:rPr>
            <w:rFonts w:ascii="Verdana" w:hAnsi="Verdana"/>
            <w:noProof/>
            <w:sz w:val="16"/>
          </w:rPr>
          <w:t>9</w:t>
        </w:r>
        <w:r w:rsidRPr="00846D6B">
          <w:rPr>
            <w:rFonts w:ascii="Verdana" w:hAnsi="Verdana"/>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ED2CC" w14:textId="77777777" w:rsidR="00560CCB" w:rsidRDefault="00560CCB" w:rsidP="006817E7">
      <w:r>
        <w:separator/>
      </w:r>
    </w:p>
  </w:footnote>
  <w:footnote w:type="continuationSeparator" w:id="0">
    <w:p w14:paraId="6DA7BA73" w14:textId="77777777" w:rsidR="00560CCB" w:rsidRDefault="00560CCB" w:rsidP="00681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487"/>
    <w:multiLevelType w:val="hybridMultilevel"/>
    <w:tmpl w:val="6B30792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5F4664"/>
    <w:multiLevelType w:val="hybridMultilevel"/>
    <w:tmpl w:val="3CAE6EA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5B10CC7"/>
    <w:multiLevelType w:val="hybridMultilevel"/>
    <w:tmpl w:val="9D74D8EA"/>
    <w:lvl w:ilvl="0" w:tplc="AF5A7DDA">
      <w:start w:val="1"/>
      <w:numFmt w:val="decimal"/>
      <w:lvlText w:val="%1."/>
      <w:lvlJc w:val="left"/>
      <w:pPr>
        <w:ind w:left="975" w:hanging="975"/>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0D360274"/>
    <w:multiLevelType w:val="hybridMultilevel"/>
    <w:tmpl w:val="92F8A01A"/>
    <w:lvl w:ilvl="0" w:tplc="B3400E0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0FCF3B98"/>
    <w:multiLevelType w:val="multilevel"/>
    <w:tmpl w:val="EE7816F4"/>
    <w:lvl w:ilvl="0">
      <w:start w:val="1"/>
      <w:numFmt w:val="bullet"/>
      <w:suff w:val="space"/>
      <w:lvlText w:val="-"/>
      <w:lvlJc w:val="left"/>
      <w:pPr>
        <w:ind w:left="0" w:firstLine="73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50C1A"/>
    <w:multiLevelType w:val="hybridMultilevel"/>
    <w:tmpl w:val="6B7E3E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79C4ABF"/>
    <w:multiLevelType w:val="multilevel"/>
    <w:tmpl w:val="8B42E7E8"/>
    <w:lvl w:ilvl="0">
      <w:numFmt w:val="bullet"/>
      <w:suff w:val="space"/>
      <w:lvlText w:val="•"/>
      <w:lvlJc w:val="left"/>
      <w:pPr>
        <w:ind w:left="1414" w:hanging="705"/>
      </w:pPr>
      <w:rPr>
        <w:rFonts w:ascii="Verdana" w:hAnsi="Verdana"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15:restartNumberingAfterBreak="0">
    <w:nsid w:val="2B1041BE"/>
    <w:multiLevelType w:val="multilevel"/>
    <w:tmpl w:val="024A0D32"/>
    <w:lvl w:ilvl="0">
      <w:start w:val="1"/>
      <w:numFmt w:val="bullet"/>
      <w:suff w:val="space"/>
      <w:lvlText w:val=""/>
      <w:lvlJc w:val="left"/>
      <w:pPr>
        <w:ind w:left="0" w:firstLine="72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7133B7"/>
    <w:multiLevelType w:val="hybridMultilevel"/>
    <w:tmpl w:val="54606D3C"/>
    <w:lvl w:ilvl="0" w:tplc="0402000F">
      <w:start w:val="1"/>
      <w:numFmt w:val="decimal"/>
      <w:lvlText w:val="%1."/>
      <w:lvlJc w:val="left"/>
      <w:pPr>
        <w:tabs>
          <w:tab w:val="num" w:pos="1428"/>
        </w:tabs>
        <w:ind w:left="1428" w:hanging="360"/>
      </w:p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9" w15:restartNumberingAfterBreak="0">
    <w:nsid w:val="302C44A8"/>
    <w:multiLevelType w:val="hybridMultilevel"/>
    <w:tmpl w:val="B8F65430"/>
    <w:lvl w:ilvl="0" w:tplc="E08CE076">
      <w:numFmt w:val="bullet"/>
      <w:lvlText w:val="•"/>
      <w:lvlJc w:val="left"/>
      <w:pPr>
        <w:ind w:left="1414" w:hanging="705"/>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4973EF6"/>
    <w:multiLevelType w:val="multilevel"/>
    <w:tmpl w:val="D228E456"/>
    <w:lvl w:ilvl="0">
      <w:start w:val="1"/>
      <w:numFmt w:val="bullet"/>
      <w:suff w:val="space"/>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E081C"/>
    <w:multiLevelType w:val="multilevel"/>
    <w:tmpl w:val="6D3C2212"/>
    <w:lvl w:ilvl="0">
      <w:start w:val="1"/>
      <w:numFmt w:val="bullet"/>
      <w:suff w:val="space"/>
      <w:lvlText w:val=""/>
      <w:lvlJc w:val="left"/>
      <w:pPr>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00F09"/>
    <w:multiLevelType w:val="multilevel"/>
    <w:tmpl w:val="60CA94EE"/>
    <w:lvl w:ilvl="0">
      <w:start w:val="1"/>
      <w:numFmt w:val="bullet"/>
      <w:suff w:val="space"/>
      <w:lvlText w:val=""/>
      <w:lvlJc w:val="left"/>
      <w:pPr>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34529"/>
    <w:multiLevelType w:val="multilevel"/>
    <w:tmpl w:val="7750AA56"/>
    <w:lvl w:ilvl="0">
      <w:start w:val="1"/>
      <w:numFmt w:val="decimal"/>
      <w:suff w:val="space"/>
      <w:lvlText w:val="%1."/>
      <w:lvlJc w:val="right"/>
      <w:pPr>
        <w:ind w:left="0" w:firstLine="90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4F3E36B3"/>
    <w:multiLevelType w:val="hybridMultilevel"/>
    <w:tmpl w:val="58648D8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3B7841"/>
    <w:multiLevelType w:val="hybridMultilevel"/>
    <w:tmpl w:val="602259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85B6C90"/>
    <w:multiLevelType w:val="hybridMultilevel"/>
    <w:tmpl w:val="4620B1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D9B4D4A"/>
    <w:multiLevelType w:val="hybridMultilevel"/>
    <w:tmpl w:val="5B926F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139D6"/>
    <w:multiLevelType w:val="hybridMultilevel"/>
    <w:tmpl w:val="98265B4A"/>
    <w:lvl w:ilvl="0" w:tplc="0F22D2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7"/>
  </w:num>
  <w:num w:numId="2">
    <w:abstractNumId w:val="8"/>
  </w:num>
  <w:num w:numId="3">
    <w:abstractNumId w:val="3"/>
  </w:num>
  <w:num w:numId="4">
    <w:abstractNumId w:val="18"/>
  </w:num>
  <w:num w:numId="5">
    <w:abstractNumId w:val="5"/>
  </w:num>
  <w:num w:numId="6">
    <w:abstractNumId w:val="2"/>
  </w:num>
  <w:num w:numId="7">
    <w:abstractNumId w:val="11"/>
  </w:num>
  <w:num w:numId="8">
    <w:abstractNumId w:val="12"/>
  </w:num>
  <w:num w:numId="9">
    <w:abstractNumId w:val="7"/>
  </w:num>
  <w:num w:numId="10">
    <w:abstractNumId w:val="4"/>
  </w:num>
  <w:num w:numId="11">
    <w:abstractNumId w:val="13"/>
  </w:num>
  <w:num w:numId="12">
    <w:abstractNumId w:val="1"/>
  </w:num>
  <w:num w:numId="13">
    <w:abstractNumId w:val="16"/>
  </w:num>
  <w:num w:numId="14">
    <w:abstractNumId w:val="15"/>
  </w:num>
  <w:num w:numId="15">
    <w:abstractNumId w:val="0"/>
  </w:num>
  <w:num w:numId="16">
    <w:abstractNumId w:val="14"/>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2"/>
    <w:rsid w:val="00004FB9"/>
    <w:rsid w:val="00014459"/>
    <w:rsid w:val="00014A65"/>
    <w:rsid w:val="00023404"/>
    <w:rsid w:val="00024E97"/>
    <w:rsid w:val="000250FE"/>
    <w:rsid w:val="00031979"/>
    <w:rsid w:val="00035FB9"/>
    <w:rsid w:val="0003662E"/>
    <w:rsid w:val="00041C7A"/>
    <w:rsid w:val="000436BC"/>
    <w:rsid w:val="00053B8B"/>
    <w:rsid w:val="00055D0D"/>
    <w:rsid w:val="00064636"/>
    <w:rsid w:val="00071130"/>
    <w:rsid w:val="00071C05"/>
    <w:rsid w:val="00073F46"/>
    <w:rsid w:val="00076F38"/>
    <w:rsid w:val="000801E6"/>
    <w:rsid w:val="000802BF"/>
    <w:rsid w:val="00081C19"/>
    <w:rsid w:val="00082E6E"/>
    <w:rsid w:val="00092497"/>
    <w:rsid w:val="000A59CA"/>
    <w:rsid w:val="000B09C8"/>
    <w:rsid w:val="000B3728"/>
    <w:rsid w:val="000B3ECB"/>
    <w:rsid w:val="000B7FFA"/>
    <w:rsid w:val="000C0EBB"/>
    <w:rsid w:val="000C1E20"/>
    <w:rsid w:val="000C6F63"/>
    <w:rsid w:val="000D7BE4"/>
    <w:rsid w:val="000E02F6"/>
    <w:rsid w:val="000E2736"/>
    <w:rsid w:val="000E3BF8"/>
    <w:rsid w:val="000E60F8"/>
    <w:rsid w:val="000E6879"/>
    <w:rsid w:val="000F13DD"/>
    <w:rsid w:val="000F3E13"/>
    <w:rsid w:val="000F61DE"/>
    <w:rsid w:val="00100D11"/>
    <w:rsid w:val="0011295B"/>
    <w:rsid w:val="00120658"/>
    <w:rsid w:val="00121DD6"/>
    <w:rsid w:val="00123122"/>
    <w:rsid w:val="00141DDF"/>
    <w:rsid w:val="00146C59"/>
    <w:rsid w:val="001632A0"/>
    <w:rsid w:val="00164F15"/>
    <w:rsid w:val="00167B78"/>
    <w:rsid w:val="001743B3"/>
    <w:rsid w:val="00181FA2"/>
    <w:rsid w:val="00183922"/>
    <w:rsid w:val="00193283"/>
    <w:rsid w:val="00193424"/>
    <w:rsid w:val="00196707"/>
    <w:rsid w:val="001A306A"/>
    <w:rsid w:val="001A4760"/>
    <w:rsid w:val="001B1554"/>
    <w:rsid w:val="001B164D"/>
    <w:rsid w:val="001B41BB"/>
    <w:rsid w:val="001C0648"/>
    <w:rsid w:val="001C22AB"/>
    <w:rsid w:val="001D3642"/>
    <w:rsid w:val="001D5F16"/>
    <w:rsid w:val="001D64DC"/>
    <w:rsid w:val="001E1017"/>
    <w:rsid w:val="001E5ABF"/>
    <w:rsid w:val="001F0C2E"/>
    <w:rsid w:val="001F78BF"/>
    <w:rsid w:val="00213543"/>
    <w:rsid w:val="00215E91"/>
    <w:rsid w:val="00220E31"/>
    <w:rsid w:val="00224180"/>
    <w:rsid w:val="002318AD"/>
    <w:rsid w:val="002322E2"/>
    <w:rsid w:val="00232E88"/>
    <w:rsid w:val="00234282"/>
    <w:rsid w:val="002343BD"/>
    <w:rsid w:val="002356DC"/>
    <w:rsid w:val="00237C68"/>
    <w:rsid w:val="00250103"/>
    <w:rsid w:val="00253BE7"/>
    <w:rsid w:val="00253DEC"/>
    <w:rsid w:val="00255017"/>
    <w:rsid w:val="0025788D"/>
    <w:rsid w:val="00257A41"/>
    <w:rsid w:val="00257F15"/>
    <w:rsid w:val="00260816"/>
    <w:rsid w:val="00261682"/>
    <w:rsid w:val="002629D6"/>
    <w:rsid w:val="0026712B"/>
    <w:rsid w:val="00275E7D"/>
    <w:rsid w:val="00285EBB"/>
    <w:rsid w:val="00287340"/>
    <w:rsid w:val="00291486"/>
    <w:rsid w:val="00295541"/>
    <w:rsid w:val="00296DAC"/>
    <w:rsid w:val="002A4492"/>
    <w:rsid w:val="002A4DF3"/>
    <w:rsid w:val="002A6306"/>
    <w:rsid w:val="002C01C6"/>
    <w:rsid w:val="002C2846"/>
    <w:rsid w:val="002D44BC"/>
    <w:rsid w:val="002E06C2"/>
    <w:rsid w:val="002E2229"/>
    <w:rsid w:val="002E24A2"/>
    <w:rsid w:val="002E250B"/>
    <w:rsid w:val="002E5A67"/>
    <w:rsid w:val="002F0B0F"/>
    <w:rsid w:val="002F5DE9"/>
    <w:rsid w:val="002F6041"/>
    <w:rsid w:val="00300938"/>
    <w:rsid w:val="00300DC4"/>
    <w:rsid w:val="00301567"/>
    <w:rsid w:val="003024B6"/>
    <w:rsid w:val="00311513"/>
    <w:rsid w:val="00317378"/>
    <w:rsid w:val="00317FF5"/>
    <w:rsid w:val="003202B2"/>
    <w:rsid w:val="003202E3"/>
    <w:rsid w:val="003215FB"/>
    <w:rsid w:val="00323A7F"/>
    <w:rsid w:val="003256B9"/>
    <w:rsid w:val="00331BAE"/>
    <w:rsid w:val="00332E57"/>
    <w:rsid w:val="00335C15"/>
    <w:rsid w:val="00341C53"/>
    <w:rsid w:val="0034358E"/>
    <w:rsid w:val="003479D5"/>
    <w:rsid w:val="00350842"/>
    <w:rsid w:val="00363E66"/>
    <w:rsid w:val="00365463"/>
    <w:rsid w:val="00367574"/>
    <w:rsid w:val="00367FA9"/>
    <w:rsid w:val="00394107"/>
    <w:rsid w:val="00395211"/>
    <w:rsid w:val="00397835"/>
    <w:rsid w:val="003A0087"/>
    <w:rsid w:val="003A2B7F"/>
    <w:rsid w:val="003B0C18"/>
    <w:rsid w:val="003B1F9E"/>
    <w:rsid w:val="003B700B"/>
    <w:rsid w:val="003C0FBF"/>
    <w:rsid w:val="003C374F"/>
    <w:rsid w:val="003C614F"/>
    <w:rsid w:val="003D0A3C"/>
    <w:rsid w:val="003D1B81"/>
    <w:rsid w:val="003D6AED"/>
    <w:rsid w:val="003D7D21"/>
    <w:rsid w:val="003E0850"/>
    <w:rsid w:val="003E184F"/>
    <w:rsid w:val="003E4BD0"/>
    <w:rsid w:val="003E5AC8"/>
    <w:rsid w:val="003E5CA4"/>
    <w:rsid w:val="003F3315"/>
    <w:rsid w:val="003F4DE4"/>
    <w:rsid w:val="003F6DFA"/>
    <w:rsid w:val="00403167"/>
    <w:rsid w:val="00403436"/>
    <w:rsid w:val="00407BEB"/>
    <w:rsid w:val="004119F7"/>
    <w:rsid w:val="00414E08"/>
    <w:rsid w:val="00415856"/>
    <w:rsid w:val="004263A0"/>
    <w:rsid w:val="00430EFA"/>
    <w:rsid w:val="0043768F"/>
    <w:rsid w:val="00445C53"/>
    <w:rsid w:val="0045063D"/>
    <w:rsid w:val="00452196"/>
    <w:rsid w:val="004545E2"/>
    <w:rsid w:val="00455C1E"/>
    <w:rsid w:val="00465C83"/>
    <w:rsid w:val="00467646"/>
    <w:rsid w:val="00467B9F"/>
    <w:rsid w:val="0048353A"/>
    <w:rsid w:val="004A1BEB"/>
    <w:rsid w:val="004A5E5F"/>
    <w:rsid w:val="004A6573"/>
    <w:rsid w:val="004A6815"/>
    <w:rsid w:val="004B29FC"/>
    <w:rsid w:val="004B63F7"/>
    <w:rsid w:val="004C35AA"/>
    <w:rsid w:val="004C5ECF"/>
    <w:rsid w:val="004D24B7"/>
    <w:rsid w:val="004D682C"/>
    <w:rsid w:val="004E2CCB"/>
    <w:rsid w:val="00504D79"/>
    <w:rsid w:val="00506DED"/>
    <w:rsid w:val="005117FF"/>
    <w:rsid w:val="0051236A"/>
    <w:rsid w:val="0051385F"/>
    <w:rsid w:val="005205B6"/>
    <w:rsid w:val="00525103"/>
    <w:rsid w:val="005427DD"/>
    <w:rsid w:val="00542AB8"/>
    <w:rsid w:val="005505BB"/>
    <w:rsid w:val="005544EA"/>
    <w:rsid w:val="005549C2"/>
    <w:rsid w:val="00555091"/>
    <w:rsid w:val="005573E8"/>
    <w:rsid w:val="00560CCB"/>
    <w:rsid w:val="00567A54"/>
    <w:rsid w:val="0057129F"/>
    <w:rsid w:val="00572CD2"/>
    <w:rsid w:val="00580872"/>
    <w:rsid w:val="0058451E"/>
    <w:rsid w:val="005855F8"/>
    <w:rsid w:val="0058766F"/>
    <w:rsid w:val="0058779B"/>
    <w:rsid w:val="005A2C9F"/>
    <w:rsid w:val="005A3EC6"/>
    <w:rsid w:val="005C03DC"/>
    <w:rsid w:val="005C0E3B"/>
    <w:rsid w:val="005C253C"/>
    <w:rsid w:val="005C6F3C"/>
    <w:rsid w:val="005D19AC"/>
    <w:rsid w:val="005D4B5A"/>
    <w:rsid w:val="005D699B"/>
    <w:rsid w:val="005E57EA"/>
    <w:rsid w:val="005F07A2"/>
    <w:rsid w:val="00601324"/>
    <w:rsid w:val="006027D7"/>
    <w:rsid w:val="00624458"/>
    <w:rsid w:val="00637F9E"/>
    <w:rsid w:val="00643365"/>
    <w:rsid w:val="00650125"/>
    <w:rsid w:val="00651600"/>
    <w:rsid w:val="00656518"/>
    <w:rsid w:val="00660A60"/>
    <w:rsid w:val="00665DE3"/>
    <w:rsid w:val="00666123"/>
    <w:rsid w:val="00681625"/>
    <w:rsid w:val="006817E7"/>
    <w:rsid w:val="00681FEE"/>
    <w:rsid w:val="00684613"/>
    <w:rsid w:val="00685B57"/>
    <w:rsid w:val="00686399"/>
    <w:rsid w:val="006868C2"/>
    <w:rsid w:val="006873B0"/>
    <w:rsid w:val="00692002"/>
    <w:rsid w:val="0069349C"/>
    <w:rsid w:val="006A22A7"/>
    <w:rsid w:val="006B022B"/>
    <w:rsid w:val="006B12C8"/>
    <w:rsid w:val="006B4B51"/>
    <w:rsid w:val="006B4B98"/>
    <w:rsid w:val="006B4DC7"/>
    <w:rsid w:val="006C0060"/>
    <w:rsid w:val="006C6923"/>
    <w:rsid w:val="006D0CB1"/>
    <w:rsid w:val="006D4962"/>
    <w:rsid w:val="006E68C4"/>
    <w:rsid w:val="006E715B"/>
    <w:rsid w:val="006F0A5A"/>
    <w:rsid w:val="006F6011"/>
    <w:rsid w:val="006F72C5"/>
    <w:rsid w:val="00703B57"/>
    <w:rsid w:val="00715BB4"/>
    <w:rsid w:val="00715E1C"/>
    <w:rsid w:val="00717C4A"/>
    <w:rsid w:val="0072011A"/>
    <w:rsid w:val="00720F3C"/>
    <w:rsid w:val="007301A4"/>
    <w:rsid w:val="0073242B"/>
    <w:rsid w:val="007342F1"/>
    <w:rsid w:val="007354A9"/>
    <w:rsid w:val="00736A3F"/>
    <w:rsid w:val="0074242B"/>
    <w:rsid w:val="007424B2"/>
    <w:rsid w:val="00750E5A"/>
    <w:rsid w:val="007554A6"/>
    <w:rsid w:val="00757029"/>
    <w:rsid w:val="007575C6"/>
    <w:rsid w:val="0076653E"/>
    <w:rsid w:val="0077682F"/>
    <w:rsid w:val="00776C0D"/>
    <w:rsid w:val="007808AE"/>
    <w:rsid w:val="0078749B"/>
    <w:rsid w:val="007935AD"/>
    <w:rsid w:val="007A428D"/>
    <w:rsid w:val="007A5E02"/>
    <w:rsid w:val="007A78AA"/>
    <w:rsid w:val="007B08AC"/>
    <w:rsid w:val="007B2D53"/>
    <w:rsid w:val="007C1124"/>
    <w:rsid w:val="007C3018"/>
    <w:rsid w:val="007C4E8D"/>
    <w:rsid w:val="007C6086"/>
    <w:rsid w:val="007D3EEE"/>
    <w:rsid w:val="007D4537"/>
    <w:rsid w:val="007E5702"/>
    <w:rsid w:val="007E6DF6"/>
    <w:rsid w:val="007E725F"/>
    <w:rsid w:val="007F267F"/>
    <w:rsid w:val="007F30DC"/>
    <w:rsid w:val="007F3202"/>
    <w:rsid w:val="00800B7D"/>
    <w:rsid w:val="00806EC4"/>
    <w:rsid w:val="00807CDE"/>
    <w:rsid w:val="00811F2B"/>
    <w:rsid w:val="00812E88"/>
    <w:rsid w:val="00822E84"/>
    <w:rsid w:val="0082546A"/>
    <w:rsid w:val="008274A6"/>
    <w:rsid w:val="00827949"/>
    <w:rsid w:val="00832057"/>
    <w:rsid w:val="0083279B"/>
    <w:rsid w:val="00835406"/>
    <w:rsid w:val="00835F2D"/>
    <w:rsid w:val="00836CF7"/>
    <w:rsid w:val="008418BA"/>
    <w:rsid w:val="00845083"/>
    <w:rsid w:val="00846611"/>
    <w:rsid w:val="00846D6B"/>
    <w:rsid w:val="00847253"/>
    <w:rsid w:val="0085240B"/>
    <w:rsid w:val="008608EA"/>
    <w:rsid w:val="008615E6"/>
    <w:rsid w:val="008619D1"/>
    <w:rsid w:val="008629EC"/>
    <w:rsid w:val="0086425C"/>
    <w:rsid w:val="00865E62"/>
    <w:rsid w:val="00867A54"/>
    <w:rsid w:val="00880F12"/>
    <w:rsid w:val="008841D9"/>
    <w:rsid w:val="0089026F"/>
    <w:rsid w:val="008911F3"/>
    <w:rsid w:val="008955CB"/>
    <w:rsid w:val="00895765"/>
    <w:rsid w:val="008961F3"/>
    <w:rsid w:val="008975A1"/>
    <w:rsid w:val="008A17AD"/>
    <w:rsid w:val="008A2E41"/>
    <w:rsid w:val="008A57B2"/>
    <w:rsid w:val="008B3BCB"/>
    <w:rsid w:val="008C56F8"/>
    <w:rsid w:val="008F0FFD"/>
    <w:rsid w:val="008F4C30"/>
    <w:rsid w:val="008F5E38"/>
    <w:rsid w:val="0090137A"/>
    <w:rsid w:val="00917308"/>
    <w:rsid w:val="00923131"/>
    <w:rsid w:val="0092725E"/>
    <w:rsid w:val="00930DB7"/>
    <w:rsid w:val="00931454"/>
    <w:rsid w:val="0093515E"/>
    <w:rsid w:val="009413AB"/>
    <w:rsid w:val="00942D95"/>
    <w:rsid w:val="00942E75"/>
    <w:rsid w:val="00943B16"/>
    <w:rsid w:val="00951710"/>
    <w:rsid w:val="00961459"/>
    <w:rsid w:val="00961DF2"/>
    <w:rsid w:val="00964FE9"/>
    <w:rsid w:val="00977E26"/>
    <w:rsid w:val="009804A0"/>
    <w:rsid w:val="00980AE6"/>
    <w:rsid w:val="0098225B"/>
    <w:rsid w:val="00983C88"/>
    <w:rsid w:val="00990CFD"/>
    <w:rsid w:val="009A01FF"/>
    <w:rsid w:val="009A28FE"/>
    <w:rsid w:val="009B01A1"/>
    <w:rsid w:val="009B4B85"/>
    <w:rsid w:val="009B6B3E"/>
    <w:rsid w:val="009C40F2"/>
    <w:rsid w:val="009D35A6"/>
    <w:rsid w:val="009D5D79"/>
    <w:rsid w:val="009E0B66"/>
    <w:rsid w:val="009F0F88"/>
    <w:rsid w:val="009F6E4A"/>
    <w:rsid w:val="00A06A8A"/>
    <w:rsid w:val="00A11BC6"/>
    <w:rsid w:val="00A156BF"/>
    <w:rsid w:val="00A1790F"/>
    <w:rsid w:val="00A2001A"/>
    <w:rsid w:val="00A26A8E"/>
    <w:rsid w:val="00A274A0"/>
    <w:rsid w:val="00A31960"/>
    <w:rsid w:val="00A44843"/>
    <w:rsid w:val="00A50A2C"/>
    <w:rsid w:val="00A604E6"/>
    <w:rsid w:val="00A61565"/>
    <w:rsid w:val="00A618D0"/>
    <w:rsid w:val="00A64068"/>
    <w:rsid w:val="00A65AAB"/>
    <w:rsid w:val="00A73ACC"/>
    <w:rsid w:val="00A745BD"/>
    <w:rsid w:val="00A9174E"/>
    <w:rsid w:val="00A92C54"/>
    <w:rsid w:val="00A96EAE"/>
    <w:rsid w:val="00A97EEF"/>
    <w:rsid w:val="00AA3823"/>
    <w:rsid w:val="00AA3EC6"/>
    <w:rsid w:val="00AA429E"/>
    <w:rsid w:val="00AA6C61"/>
    <w:rsid w:val="00AB3CF5"/>
    <w:rsid w:val="00AC1B74"/>
    <w:rsid w:val="00AC28B5"/>
    <w:rsid w:val="00AC6B74"/>
    <w:rsid w:val="00AD12AD"/>
    <w:rsid w:val="00AD16D8"/>
    <w:rsid w:val="00AD1C5D"/>
    <w:rsid w:val="00AD1F6A"/>
    <w:rsid w:val="00AD25E9"/>
    <w:rsid w:val="00AD337F"/>
    <w:rsid w:val="00AD6BBB"/>
    <w:rsid w:val="00AF0385"/>
    <w:rsid w:val="00AF1784"/>
    <w:rsid w:val="00AF7B47"/>
    <w:rsid w:val="00B0437A"/>
    <w:rsid w:val="00B20F8E"/>
    <w:rsid w:val="00B26D39"/>
    <w:rsid w:val="00B31747"/>
    <w:rsid w:val="00B36304"/>
    <w:rsid w:val="00B442C9"/>
    <w:rsid w:val="00B47035"/>
    <w:rsid w:val="00B60397"/>
    <w:rsid w:val="00B66EC7"/>
    <w:rsid w:val="00B7072B"/>
    <w:rsid w:val="00B74FF5"/>
    <w:rsid w:val="00B80F87"/>
    <w:rsid w:val="00B863E4"/>
    <w:rsid w:val="00B91086"/>
    <w:rsid w:val="00B91B1D"/>
    <w:rsid w:val="00B91BC6"/>
    <w:rsid w:val="00BA116B"/>
    <w:rsid w:val="00BA7C94"/>
    <w:rsid w:val="00BB1EB6"/>
    <w:rsid w:val="00BB2B51"/>
    <w:rsid w:val="00BB495A"/>
    <w:rsid w:val="00BC3D69"/>
    <w:rsid w:val="00BD38CF"/>
    <w:rsid w:val="00BF40EF"/>
    <w:rsid w:val="00BF521F"/>
    <w:rsid w:val="00C01669"/>
    <w:rsid w:val="00C04B14"/>
    <w:rsid w:val="00C059AE"/>
    <w:rsid w:val="00C07A98"/>
    <w:rsid w:val="00C11178"/>
    <w:rsid w:val="00C13584"/>
    <w:rsid w:val="00C14583"/>
    <w:rsid w:val="00C3122C"/>
    <w:rsid w:val="00C32750"/>
    <w:rsid w:val="00C35DC4"/>
    <w:rsid w:val="00C35E9F"/>
    <w:rsid w:val="00C35FAB"/>
    <w:rsid w:val="00C37835"/>
    <w:rsid w:val="00C55295"/>
    <w:rsid w:val="00C55C77"/>
    <w:rsid w:val="00C63C2F"/>
    <w:rsid w:val="00C6570D"/>
    <w:rsid w:val="00C73747"/>
    <w:rsid w:val="00C746FB"/>
    <w:rsid w:val="00C76691"/>
    <w:rsid w:val="00C84FAE"/>
    <w:rsid w:val="00CA0FBD"/>
    <w:rsid w:val="00CA6B6F"/>
    <w:rsid w:val="00CB1D54"/>
    <w:rsid w:val="00CB44B2"/>
    <w:rsid w:val="00CB77C8"/>
    <w:rsid w:val="00CC053A"/>
    <w:rsid w:val="00CC4090"/>
    <w:rsid w:val="00CC5171"/>
    <w:rsid w:val="00CC7B34"/>
    <w:rsid w:val="00CD1474"/>
    <w:rsid w:val="00CD78EC"/>
    <w:rsid w:val="00CD7ED8"/>
    <w:rsid w:val="00CE4A2C"/>
    <w:rsid w:val="00CE7ED6"/>
    <w:rsid w:val="00CF2C5F"/>
    <w:rsid w:val="00CF5AF2"/>
    <w:rsid w:val="00D072E2"/>
    <w:rsid w:val="00D07E80"/>
    <w:rsid w:val="00D12D5B"/>
    <w:rsid w:val="00D153F6"/>
    <w:rsid w:val="00D16FC0"/>
    <w:rsid w:val="00D20D94"/>
    <w:rsid w:val="00D21315"/>
    <w:rsid w:val="00D2141D"/>
    <w:rsid w:val="00D21C6A"/>
    <w:rsid w:val="00D27BB6"/>
    <w:rsid w:val="00D34AFA"/>
    <w:rsid w:val="00D36892"/>
    <w:rsid w:val="00D42F0A"/>
    <w:rsid w:val="00D44EAC"/>
    <w:rsid w:val="00D52418"/>
    <w:rsid w:val="00D62AF2"/>
    <w:rsid w:val="00D64E88"/>
    <w:rsid w:val="00D86342"/>
    <w:rsid w:val="00D86CED"/>
    <w:rsid w:val="00D87E6C"/>
    <w:rsid w:val="00D90134"/>
    <w:rsid w:val="00D90472"/>
    <w:rsid w:val="00D928ED"/>
    <w:rsid w:val="00DA2D84"/>
    <w:rsid w:val="00DB345A"/>
    <w:rsid w:val="00DB55C2"/>
    <w:rsid w:val="00DB57C8"/>
    <w:rsid w:val="00DC20D4"/>
    <w:rsid w:val="00DC3026"/>
    <w:rsid w:val="00DC6B0A"/>
    <w:rsid w:val="00DD3479"/>
    <w:rsid w:val="00DE40B6"/>
    <w:rsid w:val="00DE4C92"/>
    <w:rsid w:val="00DE5DCA"/>
    <w:rsid w:val="00DF6A20"/>
    <w:rsid w:val="00E06538"/>
    <w:rsid w:val="00E12182"/>
    <w:rsid w:val="00E16D22"/>
    <w:rsid w:val="00E17EBA"/>
    <w:rsid w:val="00E23E2E"/>
    <w:rsid w:val="00E319CD"/>
    <w:rsid w:val="00E33C8A"/>
    <w:rsid w:val="00E3493D"/>
    <w:rsid w:val="00E52A8D"/>
    <w:rsid w:val="00E60D96"/>
    <w:rsid w:val="00E617FF"/>
    <w:rsid w:val="00E637AD"/>
    <w:rsid w:val="00E70C2A"/>
    <w:rsid w:val="00E8046B"/>
    <w:rsid w:val="00E818B1"/>
    <w:rsid w:val="00E82768"/>
    <w:rsid w:val="00E860EB"/>
    <w:rsid w:val="00E9216B"/>
    <w:rsid w:val="00E93DC8"/>
    <w:rsid w:val="00E9402A"/>
    <w:rsid w:val="00EA18DE"/>
    <w:rsid w:val="00EA1EC7"/>
    <w:rsid w:val="00EA56AD"/>
    <w:rsid w:val="00EA6E49"/>
    <w:rsid w:val="00EB6690"/>
    <w:rsid w:val="00EC01EF"/>
    <w:rsid w:val="00EC2EFF"/>
    <w:rsid w:val="00ED4DD7"/>
    <w:rsid w:val="00EE5A5A"/>
    <w:rsid w:val="00EF0A34"/>
    <w:rsid w:val="00EF568C"/>
    <w:rsid w:val="00EF6D72"/>
    <w:rsid w:val="00F03956"/>
    <w:rsid w:val="00F177DB"/>
    <w:rsid w:val="00F22CFB"/>
    <w:rsid w:val="00F26442"/>
    <w:rsid w:val="00F2774B"/>
    <w:rsid w:val="00F36E0B"/>
    <w:rsid w:val="00F371BA"/>
    <w:rsid w:val="00F442CB"/>
    <w:rsid w:val="00F443F5"/>
    <w:rsid w:val="00F47EE5"/>
    <w:rsid w:val="00F527F5"/>
    <w:rsid w:val="00F531A0"/>
    <w:rsid w:val="00F53291"/>
    <w:rsid w:val="00F5617C"/>
    <w:rsid w:val="00F57B69"/>
    <w:rsid w:val="00F667C7"/>
    <w:rsid w:val="00F7115D"/>
    <w:rsid w:val="00F71BEB"/>
    <w:rsid w:val="00F72774"/>
    <w:rsid w:val="00F7279C"/>
    <w:rsid w:val="00F73038"/>
    <w:rsid w:val="00F81138"/>
    <w:rsid w:val="00F83A19"/>
    <w:rsid w:val="00F90A46"/>
    <w:rsid w:val="00FA08F5"/>
    <w:rsid w:val="00FA3575"/>
    <w:rsid w:val="00FB6DE7"/>
    <w:rsid w:val="00FC09AD"/>
    <w:rsid w:val="00FC4EAB"/>
    <w:rsid w:val="00FC6BA6"/>
    <w:rsid w:val="00FD5A87"/>
    <w:rsid w:val="00FD7ECF"/>
    <w:rsid w:val="00FD7F47"/>
    <w:rsid w:val="00FE55B1"/>
    <w:rsid w:val="00FE7D70"/>
    <w:rsid w:val="00FF1280"/>
    <w:rsid w:val="00FF7E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513AC"/>
  <w15:docId w15:val="{88D00AC7-6174-40CB-9680-AD6C7CC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40F2"/>
    <w:pPr>
      <w:jc w:val="center"/>
    </w:pPr>
    <w:rPr>
      <w:b/>
      <w:bCs/>
      <w:sz w:val="28"/>
      <w:lang w:eastAsia="en-US"/>
    </w:rPr>
  </w:style>
  <w:style w:type="paragraph" w:customStyle="1" w:styleId="Char">
    <w:name w:val="Char"/>
    <w:basedOn w:val="Normal"/>
    <w:rsid w:val="009C40F2"/>
    <w:pPr>
      <w:tabs>
        <w:tab w:val="left" w:pos="709"/>
      </w:tabs>
    </w:pPr>
    <w:rPr>
      <w:rFonts w:ascii="Tahoma" w:hAnsi="Tahoma"/>
      <w:lang w:val="pl-PL" w:eastAsia="pl-PL"/>
    </w:rPr>
  </w:style>
  <w:style w:type="paragraph" w:customStyle="1" w:styleId="Char1Char">
    <w:name w:val="Char1 Знак Знак Знак Char Знак"/>
    <w:basedOn w:val="Normal"/>
    <w:rsid w:val="00301567"/>
    <w:pPr>
      <w:tabs>
        <w:tab w:val="left" w:pos="709"/>
      </w:tabs>
    </w:pPr>
    <w:rPr>
      <w:rFonts w:ascii="Tahoma" w:hAnsi="Tahoma"/>
      <w:lang w:val="pl-PL" w:eastAsia="pl-PL"/>
    </w:rPr>
  </w:style>
  <w:style w:type="paragraph" w:customStyle="1" w:styleId="CharCharCharCharCharChar">
    <w:name w:val="Char Char Char Char Char Char"/>
    <w:basedOn w:val="Normal"/>
    <w:rsid w:val="00F03956"/>
    <w:rPr>
      <w:lang w:val="pl-PL" w:eastAsia="pl-PL"/>
    </w:rPr>
  </w:style>
  <w:style w:type="paragraph" w:customStyle="1" w:styleId="CharChar3">
    <w:name w:val="Char Char3"/>
    <w:basedOn w:val="Normal"/>
    <w:rsid w:val="00ED4DD7"/>
    <w:pPr>
      <w:tabs>
        <w:tab w:val="left" w:pos="709"/>
      </w:tabs>
    </w:pPr>
    <w:rPr>
      <w:rFonts w:ascii="Tahoma" w:hAnsi="Tahoma"/>
      <w:lang w:val="pl-PL" w:eastAsia="pl-PL"/>
    </w:rPr>
  </w:style>
  <w:style w:type="paragraph" w:styleId="BodyTextIndent2">
    <w:name w:val="Body Text Indent 2"/>
    <w:basedOn w:val="Normal"/>
    <w:rsid w:val="006868C2"/>
    <w:pPr>
      <w:overflowPunct w:val="0"/>
      <w:autoSpaceDE w:val="0"/>
      <w:autoSpaceDN w:val="0"/>
      <w:adjustRightInd w:val="0"/>
      <w:spacing w:after="120" w:line="480" w:lineRule="auto"/>
      <w:ind w:left="283"/>
      <w:textAlignment w:val="baseline"/>
    </w:pPr>
    <w:rPr>
      <w:rFonts w:ascii="Arial" w:hAnsi="Arial"/>
      <w:sz w:val="20"/>
      <w:szCs w:val="20"/>
      <w:lang w:val="en-US" w:eastAsia="en-US"/>
    </w:rPr>
  </w:style>
  <w:style w:type="paragraph" w:styleId="BalloonText">
    <w:name w:val="Balloon Text"/>
    <w:basedOn w:val="Normal"/>
    <w:link w:val="BalloonTextChar"/>
    <w:rsid w:val="00DE4C92"/>
    <w:rPr>
      <w:rFonts w:ascii="Tahoma" w:hAnsi="Tahoma" w:cs="Tahoma"/>
      <w:sz w:val="16"/>
      <w:szCs w:val="16"/>
    </w:rPr>
  </w:style>
  <w:style w:type="character" w:customStyle="1" w:styleId="BalloonTextChar">
    <w:name w:val="Balloon Text Char"/>
    <w:link w:val="BalloonText"/>
    <w:rsid w:val="00DE4C92"/>
    <w:rPr>
      <w:rFonts w:ascii="Tahoma" w:hAnsi="Tahoma" w:cs="Tahoma"/>
      <w:sz w:val="16"/>
      <w:szCs w:val="16"/>
    </w:rPr>
  </w:style>
  <w:style w:type="paragraph" w:styleId="Header">
    <w:name w:val="header"/>
    <w:basedOn w:val="Normal"/>
    <w:link w:val="HeaderChar"/>
    <w:rsid w:val="006817E7"/>
    <w:pPr>
      <w:tabs>
        <w:tab w:val="center" w:pos="4536"/>
        <w:tab w:val="right" w:pos="9072"/>
      </w:tabs>
    </w:pPr>
  </w:style>
  <w:style w:type="character" w:customStyle="1" w:styleId="HeaderChar">
    <w:name w:val="Header Char"/>
    <w:link w:val="Header"/>
    <w:rsid w:val="006817E7"/>
    <w:rPr>
      <w:sz w:val="24"/>
      <w:szCs w:val="24"/>
    </w:rPr>
  </w:style>
  <w:style w:type="paragraph" w:styleId="Footer">
    <w:name w:val="footer"/>
    <w:basedOn w:val="Normal"/>
    <w:link w:val="FooterChar"/>
    <w:uiPriority w:val="99"/>
    <w:rsid w:val="006817E7"/>
    <w:pPr>
      <w:tabs>
        <w:tab w:val="center" w:pos="4536"/>
        <w:tab w:val="right" w:pos="9072"/>
      </w:tabs>
    </w:pPr>
  </w:style>
  <w:style w:type="character" w:customStyle="1" w:styleId="FooterChar">
    <w:name w:val="Footer Char"/>
    <w:link w:val="Footer"/>
    <w:uiPriority w:val="99"/>
    <w:rsid w:val="006817E7"/>
    <w:rPr>
      <w:sz w:val="24"/>
      <w:szCs w:val="24"/>
    </w:rPr>
  </w:style>
  <w:style w:type="character" w:styleId="Strong">
    <w:name w:val="Strong"/>
    <w:uiPriority w:val="22"/>
    <w:qFormat/>
    <w:rsid w:val="00B442C9"/>
    <w:rPr>
      <w:b/>
      <w:bCs/>
    </w:rPr>
  </w:style>
  <w:style w:type="paragraph" w:styleId="ListParagraph">
    <w:name w:val="List Paragraph"/>
    <w:basedOn w:val="Normal"/>
    <w:uiPriority w:val="34"/>
    <w:qFormat/>
    <w:rsid w:val="00064636"/>
    <w:pPr>
      <w:ind w:left="720"/>
      <w:contextualSpacing/>
    </w:pPr>
  </w:style>
  <w:style w:type="character" w:styleId="CommentReference">
    <w:name w:val="annotation reference"/>
    <w:basedOn w:val="DefaultParagraphFont"/>
    <w:semiHidden/>
    <w:unhideWhenUsed/>
    <w:rsid w:val="00296DAC"/>
    <w:rPr>
      <w:sz w:val="16"/>
      <w:szCs w:val="16"/>
    </w:rPr>
  </w:style>
  <w:style w:type="paragraph" w:styleId="CommentText">
    <w:name w:val="annotation text"/>
    <w:basedOn w:val="Normal"/>
    <w:link w:val="CommentTextChar"/>
    <w:semiHidden/>
    <w:unhideWhenUsed/>
    <w:rsid w:val="00296DAC"/>
    <w:rPr>
      <w:sz w:val="20"/>
      <w:szCs w:val="20"/>
    </w:rPr>
  </w:style>
  <w:style w:type="character" w:customStyle="1" w:styleId="CommentTextChar">
    <w:name w:val="Comment Text Char"/>
    <w:basedOn w:val="DefaultParagraphFont"/>
    <w:link w:val="CommentText"/>
    <w:semiHidden/>
    <w:rsid w:val="00296DAC"/>
  </w:style>
  <w:style w:type="paragraph" w:styleId="CommentSubject">
    <w:name w:val="annotation subject"/>
    <w:basedOn w:val="CommentText"/>
    <w:next w:val="CommentText"/>
    <w:link w:val="CommentSubjectChar"/>
    <w:semiHidden/>
    <w:unhideWhenUsed/>
    <w:rsid w:val="00296DAC"/>
    <w:rPr>
      <w:b/>
      <w:bCs/>
    </w:rPr>
  </w:style>
  <w:style w:type="character" w:customStyle="1" w:styleId="CommentSubjectChar">
    <w:name w:val="Comment Subject Char"/>
    <w:basedOn w:val="CommentTextChar"/>
    <w:link w:val="CommentSubject"/>
    <w:semiHidden/>
    <w:rsid w:val="00296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4392">
      <w:bodyDiv w:val="1"/>
      <w:marLeft w:val="0"/>
      <w:marRight w:val="0"/>
      <w:marTop w:val="0"/>
      <w:marBottom w:val="0"/>
      <w:divBdr>
        <w:top w:val="none" w:sz="0" w:space="0" w:color="auto"/>
        <w:left w:val="none" w:sz="0" w:space="0" w:color="auto"/>
        <w:bottom w:val="none" w:sz="0" w:space="0" w:color="auto"/>
        <w:right w:val="none" w:sz="0" w:space="0" w:color="auto"/>
      </w:divBdr>
    </w:div>
    <w:div w:id="7066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МОТИВИ</vt:lpstr>
    </vt:vector>
  </TitlesOfParts>
  <Company>mzg</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МОТИВИ</dc:title>
  <dc:creator>mzg</dc:creator>
  <cp:lastModifiedBy>Mariya Voikova</cp:lastModifiedBy>
  <cp:revision>10</cp:revision>
  <cp:lastPrinted>2024-01-03T15:42:00Z</cp:lastPrinted>
  <dcterms:created xsi:type="dcterms:W3CDTF">2024-07-17T08:15:00Z</dcterms:created>
  <dcterms:modified xsi:type="dcterms:W3CDTF">2024-08-02T13:55:00Z</dcterms:modified>
</cp:coreProperties>
</file>