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93" w:rsidRPr="00163C9B" w:rsidRDefault="00BA7811" w:rsidP="007D770B">
      <w:pPr>
        <w:widowControl w:val="0"/>
        <w:autoSpaceDE w:val="0"/>
        <w:autoSpaceDN w:val="0"/>
        <w:adjustRightInd w:val="0"/>
        <w:spacing w:after="0" w:line="360" w:lineRule="auto"/>
        <w:ind w:right="283"/>
        <w:rPr>
          <w:rFonts w:ascii="Verdana" w:hAnsi="Verdana"/>
          <w:strike/>
          <w:sz w:val="20"/>
          <w:szCs w:val="20"/>
          <w:lang w:val="bg-BG" w:eastAsia="bg-BG"/>
        </w:rPr>
      </w:pPr>
      <w:r w:rsidRPr="00163C9B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4423C3B0" wp14:editId="2B171413">
            <wp:simplePos x="0" y="0"/>
            <wp:positionH relativeFrom="column">
              <wp:posOffset>2329180</wp:posOffset>
            </wp:positionH>
            <wp:positionV relativeFrom="paragraph">
              <wp:posOffset>-278765</wp:posOffset>
            </wp:positionV>
            <wp:extent cx="1243330" cy="1199515"/>
            <wp:effectExtent l="0" t="0" r="0" b="63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993" w:rsidRPr="00163C9B" w:rsidRDefault="00AC7993" w:rsidP="00AA4F2E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ind w:right="-285"/>
        <w:rPr>
          <w:rFonts w:ascii="Verdana" w:hAnsi="Verdana"/>
          <w:noProof/>
          <w:sz w:val="20"/>
          <w:szCs w:val="20"/>
          <w:lang w:val="bg-BG" w:eastAsia="bg-BG"/>
        </w:rPr>
      </w:pPr>
    </w:p>
    <w:p w:rsidR="00AC7993" w:rsidRPr="00163C9B" w:rsidRDefault="00AC7993" w:rsidP="008E0973">
      <w:pPr>
        <w:tabs>
          <w:tab w:val="center" w:pos="4153"/>
          <w:tab w:val="left" w:pos="7230"/>
          <w:tab w:val="left" w:pos="7655"/>
          <w:tab w:val="right" w:pos="8306"/>
        </w:tabs>
        <w:spacing w:after="0" w:line="360" w:lineRule="auto"/>
        <w:ind w:left="-851" w:right="-285"/>
        <w:jc w:val="center"/>
        <w:rPr>
          <w:rFonts w:ascii="Verdana" w:hAnsi="Verdana"/>
          <w:noProof/>
          <w:sz w:val="20"/>
          <w:szCs w:val="20"/>
          <w:lang w:val="bg-BG" w:eastAsia="bg-BG"/>
        </w:rPr>
      </w:pPr>
    </w:p>
    <w:p w:rsidR="00E53711" w:rsidRPr="00163C9B" w:rsidRDefault="00E53711" w:rsidP="008E0973">
      <w:pPr>
        <w:keepNext/>
        <w:spacing w:after="0" w:line="360" w:lineRule="auto"/>
        <w:outlineLvl w:val="0"/>
        <w:rPr>
          <w:rFonts w:ascii="Verdana" w:hAnsi="Verdana"/>
          <w:b/>
          <w:spacing w:val="40"/>
          <w:kern w:val="32"/>
          <w:sz w:val="20"/>
          <w:szCs w:val="20"/>
          <w:lang w:val="bg-BG" w:eastAsia="bg-BG"/>
        </w:rPr>
      </w:pPr>
    </w:p>
    <w:p w:rsidR="00944CF7" w:rsidRPr="00163C9B" w:rsidRDefault="00944CF7" w:rsidP="00944CF7">
      <w:pPr>
        <w:keepNext/>
        <w:spacing w:after="0" w:line="240" w:lineRule="auto"/>
        <w:jc w:val="center"/>
        <w:outlineLvl w:val="0"/>
        <w:rPr>
          <w:rFonts w:ascii="Verdana" w:hAnsi="Verdana" w:cs="Verdana"/>
          <w:spacing w:val="40"/>
          <w:kern w:val="32"/>
          <w:sz w:val="36"/>
          <w:szCs w:val="36"/>
          <w:lang w:val="bg-BG" w:eastAsia="bg-BG"/>
        </w:rPr>
      </w:pPr>
      <w:r w:rsidRPr="00163C9B">
        <w:rPr>
          <w:rFonts w:ascii="Verdana" w:hAnsi="Verdana" w:cs="Verdana"/>
          <w:spacing w:val="40"/>
          <w:kern w:val="32"/>
          <w:sz w:val="36"/>
          <w:szCs w:val="36"/>
          <w:lang w:val="bg-BG" w:eastAsia="bg-BG"/>
        </w:rPr>
        <w:t>РЕПУБЛИКА БЪЛГАРИЯ</w:t>
      </w:r>
    </w:p>
    <w:p w:rsidR="00944CF7" w:rsidRPr="00163C9B" w:rsidRDefault="00944CF7" w:rsidP="00944CF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30"/>
          <w:szCs w:val="30"/>
          <w:lang w:val="bg-BG" w:eastAsia="bg-BG"/>
        </w:rPr>
      </w:pPr>
      <w:r w:rsidRPr="00163C9B">
        <w:rPr>
          <w:rFonts w:ascii="Verdana" w:hAnsi="Verdana" w:cs="Verdana"/>
          <w:spacing w:val="40"/>
          <w:sz w:val="30"/>
          <w:szCs w:val="30"/>
          <w:lang w:val="bg-BG" w:eastAsia="bg-BG"/>
        </w:rPr>
        <w:t>Министър на земеделието</w:t>
      </w:r>
      <w:r w:rsidR="00385FB7">
        <w:rPr>
          <w:rFonts w:ascii="Verdana" w:hAnsi="Verdana" w:cs="Verdana"/>
          <w:spacing w:val="40"/>
          <w:sz w:val="30"/>
          <w:szCs w:val="30"/>
          <w:lang w:val="bg-BG" w:eastAsia="bg-BG"/>
        </w:rPr>
        <w:t xml:space="preserve"> и храните</w:t>
      </w:r>
    </w:p>
    <w:p w:rsidR="006C12FB" w:rsidRDefault="006C12FB" w:rsidP="000D0CF8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6C12FB" w:rsidRDefault="006C12FB" w:rsidP="000D0CF8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AC7993" w:rsidRPr="00163C9B" w:rsidRDefault="00AC7993" w:rsidP="000D0CF8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163C9B">
        <w:rPr>
          <w:rFonts w:ascii="Verdana" w:hAnsi="Verdana"/>
          <w:b/>
          <w:bCs/>
          <w:sz w:val="20"/>
          <w:szCs w:val="20"/>
          <w:lang w:val="bg-BG" w:eastAsia="bg-BG"/>
        </w:rPr>
        <w:t>ДО</w:t>
      </w:r>
    </w:p>
    <w:p w:rsidR="00AC7993" w:rsidRPr="00163C9B" w:rsidRDefault="00AC7993" w:rsidP="000D0CF8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163C9B">
        <w:rPr>
          <w:rFonts w:ascii="Verdana" w:hAnsi="Verdana"/>
          <w:b/>
          <w:bCs/>
          <w:sz w:val="20"/>
          <w:szCs w:val="20"/>
          <w:lang w:val="bg-BG" w:eastAsia="bg-BG"/>
        </w:rPr>
        <w:t>МИНИСТЕРСКИЯ СЪВЕТ</w:t>
      </w:r>
    </w:p>
    <w:p w:rsidR="00EF3B0A" w:rsidRPr="00163C9B" w:rsidRDefault="00AC7993" w:rsidP="000D0CF8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163C9B">
        <w:rPr>
          <w:rFonts w:ascii="Verdana" w:hAnsi="Verdana"/>
          <w:b/>
          <w:bCs/>
          <w:sz w:val="20"/>
          <w:szCs w:val="20"/>
          <w:lang w:val="bg-BG" w:eastAsia="bg-BG"/>
        </w:rPr>
        <w:t>НА РЕПУБЛИКА БЪЛГАРИЯ</w:t>
      </w:r>
    </w:p>
    <w:p w:rsidR="00CD721D" w:rsidRDefault="00CD721D" w:rsidP="000D0CF8">
      <w:pPr>
        <w:keepNext/>
        <w:spacing w:after="0" w:line="360" w:lineRule="auto"/>
        <w:outlineLvl w:val="0"/>
        <w:rPr>
          <w:rFonts w:ascii="Verdana" w:hAnsi="Verdana"/>
          <w:b/>
          <w:bCs/>
          <w:spacing w:val="90"/>
          <w:kern w:val="32"/>
          <w:sz w:val="20"/>
          <w:szCs w:val="20"/>
          <w:lang w:val="bg-BG" w:eastAsia="bg-BG"/>
        </w:rPr>
      </w:pPr>
    </w:p>
    <w:p w:rsidR="006C12FB" w:rsidRPr="00163C9B" w:rsidRDefault="006C12FB" w:rsidP="000D0CF8">
      <w:pPr>
        <w:keepNext/>
        <w:spacing w:after="0" w:line="360" w:lineRule="auto"/>
        <w:outlineLvl w:val="0"/>
        <w:rPr>
          <w:rFonts w:ascii="Verdana" w:hAnsi="Verdana"/>
          <w:b/>
          <w:bCs/>
          <w:spacing w:val="90"/>
          <w:kern w:val="32"/>
          <w:sz w:val="20"/>
          <w:szCs w:val="20"/>
          <w:lang w:val="bg-BG" w:eastAsia="bg-BG"/>
        </w:rPr>
      </w:pPr>
    </w:p>
    <w:p w:rsidR="00AC7993" w:rsidRPr="00163C9B" w:rsidRDefault="00AC7993" w:rsidP="000D0CF8">
      <w:pPr>
        <w:keepNext/>
        <w:spacing w:after="0" w:line="360" w:lineRule="auto"/>
        <w:jc w:val="center"/>
        <w:outlineLvl w:val="0"/>
        <w:rPr>
          <w:rFonts w:ascii="Verdana" w:hAnsi="Verdana"/>
          <w:b/>
          <w:bCs/>
          <w:spacing w:val="90"/>
          <w:kern w:val="32"/>
          <w:sz w:val="24"/>
          <w:szCs w:val="24"/>
          <w:lang w:val="bg-BG" w:eastAsia="bg-BG"/>
        </w:rPr>
      </w:pPr>
      <w:r w:rsidRPr="00163C9B">
        <w:rPr>
          <w:rFonts w:ascii="Verdana" w:hAnsi="Verdana"/>
          <w:b/>
          <w:bCs/>
          <w:spacing w:val="90"/>
          <w:kern w:val="32"/>
          <w:sz w:val="24"/>
          <w:szCs w:val="24"/>
          <w:lang w:val="bg-BG" w:eastAsia="bg-BG"/>
        </w:rPr>
        <w:t>ДОКЛАД</w:t>
      </w:r>
    </w:p>
    <w:p w:rsidR="00AC7993" w:rsidRPr="00163C9B" w:rsidRDefault="00AC7993" w:rsidP="000D0CF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smallCaps/>
          <w:sz w:val="20"/>
          <w:szCs w:val="20"/>
          <w:lang w:val="bg-BG" w:eastAsia="bg-BG"/>
        </w:rPr>
      </w:pPr>
      <w:r w:rsidRPr="00163C9B">
        <w:rPr>
          <w:rFonts w:ascii="Verdana" w:hAnsi="Verdana"/>
          <w:b/>
          <w:smallCaps/>
          <w:sz w:val="20"/>
          <w:szCs w:val="20"/>
          <w:lang w:val="bg-BG" w:eastAsia="bg-BG"/>
        </w:rPr>
        <w:t>от</w:t>
      </w:r>
      <w:r w:rsidR="000302A2">
        <w:rPr>
          <w:rFonts w:ascii="Verdana" w:hAnsi="Verdana"/>
          <w:b/>
          <w:smallCaps/>
          <w:sz w:val="20"/>
          <w:szCs w:val="20"/>
          <w:lang w:val="bg-BG" w:eastAsia="bg-BG"/>
        </w:rPr>
        <w:t xml:space="preserve"> </w:t>
      </w:r>
      <w:r w:rsidR="000302A2" w:rsidRPr="00C5604B">
        <w:rPr>
          <w:rFonts w:ascii="Verdana" w:hAnsi="Verdana"/>
          <w:b/>
          <w:smallCaps/>
          <w:sz w:val="20"/>
          <w:szCs w:val="20"/>
          <w:lang w:val="bg-BG" w:eastAsia="bg-BG"/>
        </w:rPr>
        <w:t xml:space="preserve">д-р </w:t>
      </w:r>
      <w:r w:rsidR="002E6615">
        <w:rPr>
          <w:rFonts w:ascii="Verdana" w:hAnsi="Verdana"/>
          <w:b/>
          <w:smallCaps/>
          <w:sz w:val="20"/>
          <w:szCs w:val="20"/>
          <w:lang w:val="bg-BG" w:eastAsia="bg-BG"/>
        </w:rPr>
        <w:t xml:space="preserve">Георги Тахов </w:t>
      </w:r>
      <w:r w:rsidR="00804836" w:rsidRPr="00163C9B">
        <w:rPr>
          <w:rFonts w:ascii="Verdana" w:hAnsi="Verdana"/>
          <w:b/>
          <w:smallCaps/>
          <w:sz w:val="20"/>
          <w:szCs w:val="20"/>
          <w:lang w:val="bg-BG" w:eastAsia="bg-BG"/>
        </w:rPr>
        <w:t>–</w:t>
      </w:r>
      <w:r w:rsidRPr="00163C9B">
        <w:rPr>
          <w:rFonts w:ascii="Verdana" w:hAnsi="Verdana"/>
          <w:b/>
          <w:smallCaps/>
          <w:sz w:val="20"/>
          <w:szCs w:val="20"/>
          <w:lang w:val="bg-BG" w:eastAsia="bg-BG"/>
        </w:rPr>
        <w:t xml:space="preserve"> министър </w:t>
      </w:r>
      <w:r w:rsidR="00341C8B" w:rsidRPr="00163C9B">
        <w:rPr>
          <w:rFonts w:ascii="Verdana" w:hAnsi="Verdana"/>
          <w:b/>
          <w:smallCaps/>
          <w:sz w:val="20"/>
          <w:szCs w:val="20"/>
          <w:lang w:val="bg-BG" w:eastAsia="bg-BG"/>
        </w:rPr>
        <w:t>на земеделието</w:t>
      </w:r>
      <w:r w:rsidR="00385FB7">
        <w:rPr>
          <w:rFonts w:ascii="Verdana" w:hAnsi="Verdana"/>
          <w:b/>
          <w:smallCaps/>
          <w:sz w:val="20"/>
          <w:szCs w:val="20"/>
          <w:lang w:val="bg-BG" w:eastAsia="bg-BG"/>
        </w:rPr>
        <w:t xml:space="preserve"> и храните</w:t>
      </w:r>
    </w:p>
    <w:p w:rsidR="00AF2347" w:rsidRDefault="00AF2347" w:rsidP="000D0CF8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bg-BG" w:eastAsia="bg-BG"/>
        </w:rPr>
      </w:pPr>
    </w:p>
    <w:p w:rsidR="006C12FB" w:rsidRPr="00163C9B" w:rsidRDefault="006C12FB" w:rsidP="000D0CF8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  <w:lang w:val="bg-BG" w:eastAsia="bg-BG"/>
        </w:rPr>
      </w:pPr>
    </w:p>
    <w:p w:rsidR="00AC7993" w:rsidRPr="00163C9B" w:rsidRDefault="00AC7993" w:rsidP="000D0CF8">
      <w:pPr>
        <w:widowControl w:val="0"/>
        <w:autoSpaceDE w:val="0"/>
        <w:autoSpaceDN w:val="0"/>
        <w:adjustRightInd w:val="0"/>
        <w:spacing w:after="0" w:line="360" w:lineRule="auto"/>
        <w:ind w:left="1106" w:hanging="1106"/>
        <w:jc w:val="both"/>
        <w:rPr>
          <w:rFonts w:ascii="Verdana" w:hAnsi="Verdana"/>
          <w:sz w:val="20"/>
          <w:szCs w:val="20"/>
          <w:lang w:val="bg-BG" w:eastAsia="bg-BG"/>
        </w:rPr>
      </w:pPr>
      <w:r w:rsidRPr="00163C9B">
        <w:rPr>
          <w:rFonts w:ascii="Verdana" w:hAnsi="Verdana"/>
          <w:b/>
          <w:bCs/>
          <w:sz w:val="20"/>
          <w:szCs w:val="20"/>
          <w:lang w:val="bg-BG" w:eastAsia="bg-BG"/>
        </w:rPr>
        <w:t>Относно</w:t>
      </w:r>
      <w:r w:rsidRPr="00163C9B">
        <w:rPr>
          <w:rFonts w:ascii="Verdana" w:hAnsi="Verdana"/>
          <w:b/>
          <w:sz w:val="20"/>
          <w:szCs w:val="20"/>
          <w:lang w:val="bg-BG" w:eastAsia="bg-BG"/>
        </w:rPr>
        <w:t>:</w:t>
      </w:r>
      <w:r w:rsidR="00B97FC3" w:rsidRPr="00163C9B">
        <w:rPr>
          <w:rFonts w:ascii="Verdana" w:hAnsi="Verdana"/>
          <w:sz w:val="20"/>
          <w:szCs w:val="20"/>
          <w:lang w:val="bg-BG" w:eastAsia="bg-BG"/>
        </w:rPr>
        <w:t xml:space="preserve"> Проект на П</w:t>
      </w:r>
      <w:r w:rsidRPr="00163C9B">
        <w:rPr>
          <w:rFonts w:ascii="Verdana" w:hAnsi="Verdana"/>
          <w:sz w:val="20"/>
          <w:szCs w:val="20"/>
          <w:lang w:val="bg-BG" w:eastAsia="bg-BG"/>
        </w:rPr>
        <w:t xml:space="preserve">остановление </w:t>
      </w:r>
      <w:r w:rsidR="00C512AD" w:rsidRPr="00163C9B">
        <w:rPr>
          <w:rFonts w:ascii="Verdana" w:hAnsi="Verdana"/>
          <w:sz w:val="20"/>
          <w:szCs w:val="20"/>
          <w:lang w:val="bg-BG"/>
        </w:rPr>
        <w:t>на</w:t>
      </w:r>
      <w:r w:rsidRPr="00163C9B">
        <w:rPr>
          <w:rFonts w:ascii="Verdana" w:hAnsi="Verdana"/>
          <w:sz w:val="20"/>
          <w:szCs w:val="20"/>
          <w:lang w:val="bg-BG"/>
        </w:rPr>
        <w:t xml:space="preserve"> Министерския съвет за </w:t>
      </w:r>
      <w:r w:rsidR="00515555" w:rsidRPr="00163C9B">
        <w:rPr>
          <w:rFonts w:ascii="Verdana" w:hAnsi="Verdana"/>
          <w:sz w:val="20"/>
          <w:szCs w:val="20"/>
          <w:lang w:val="bg-BG"/>
        </w:rPr>
        <w:t xml:space="preserve">приемане на Тарифа за таксите, които се събират от Българската агенция по безопасност на храните </w:t>
      </w:r>
    </w:p>
    <w:p w:rsidR="00944CF7" w:rsidRDefault="00944CF7" w:rsidP="000D0CF8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6C12FB" w:rsidRPr="00163C9B" w:rsidRDefault="006C12FB" w:rsidP="000D0CF8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AC7993" w:rsidRPr="00163C9B" w:rsidRDefault="00AC7993" w:rsidP="000D0CF8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163C9B">
        <w:rPr>
          <w:rFonts w:ascii="Verdana" w:hAnsi="Verdana"/>
          <w:b/>
          <w:bCs/>
          <w:sz w:val="20"/>
          <w:szCs w:val="20"/>
          <w:lang w:val="bg-BG" w:eastAsia="bg-BG"/>
        </w:rPr>
        <w:t>УВАЖАЕМИ ГОСПОДИН МИНИСТЪР-ПРЕДСЕДАТЕЛ,</w:t>
      </w:r>
    </w:p>
    <w:p w:rsidR="00AC7993" w:rsidRPr="00163C9B" w:rsidRDefault="00AC7993" w:rsidP="000D0CF8">
      <w:pPr>
        <w:widowControl w:val="0"/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163C9B">
        <w:rPr>
          <w:rFonts w:ascii="Verdana" w:hAnsi="Verdana"/>
          <w:b/>
          <w:bCs/>
          <w:sz w:val="20"/>
          <w:szCs w:val="20"/>
          <w:lang w:val="bg-BG" w:eastAsia="bg-BG"/>
        </w:rPr>
        <w:t>УВАЖАЕМИ ГОСПОЖИ И ГОСПОДА МИНИСТРИ,</w:t>
      </w:r>
    </w:p>
    <w:p w:rsidR="009C6C4F" w:rsidRPr="00163C9B" w:rsidRDefault="00AC7993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bCs/>
          <w:iCs/>
          <w:spacing w:val="4"/>
          <w:sz w:val="20"/>
          <w:szCs w:val="20"/>
          <w:lang w:val="bg-BG"/>
        </w:rPr>
      </w:pPr>
      <w:r w:rsidRPr="00163C9B">
        <w:rPr>
          <w:rFonts w:ascii="Verdana" w:hAnsi="Verdana"/>
          <w:spacing w:val="4"/>
          <w:sz w:val="20"/>
          <w:szCs w:val="20"/>
          <w:lang w:val="bg-BG" w:eastAsia="bg-BG"/>
        </w:rPr>
        <w:t>На основание чл. 31, ал. 2 от Устройствения правилник на Министерския съвет и на неговата администрация, внасям за разглеждане о</w:t>
      </w:r>
      <w:r w:rsidR="00B97FC3" w:rsidRPr="00163C9B">
        <w:rPr>
          <w:rFonts w:ascii="Verdana" w:hAnsi="Verdana"/>
          <w:spacing w:val="4"/>
          <w:sz w:val="20"/>
          <w:szCs w:val="20"/>
          <w:lang w:val="bg-BG" w:eastAsia="bg-BG"/>
        </w:rPr>
        <w:t>т Министерския съвет проект на П</w:t>
      </w:r>
      <w:r w:rsidRPr="00163C9B">
        <w:rPr>
          <w:rFonts w:ascii="Verdana" w:hAnsi="Verdana"/>
          <w:spacing w:val="4"/>
          <w:sz w:val="20"/>
          <w:szCs w:val="20"/>
          <w:lang w:val="bg-BG" w:eastAsia="bg-BG"/>
        </w:rPr>
        <w:t xml:space="preserve">остановление </w:t>
      </w:r>
      <w:r w:rsidR="00C512AD" w:rsidRPr="00163C9B">
        <w:rPr>
          <w:rFonts w:ascii="Verdana" w:hAnsi="Verdana"/>
          <w:spacing w:val="4"/>
          <w:sz w:val="20"/>
          <w:szCs w:val="20"/>
          <w:lang w:val="bg-BG"/>
        </w:rPr>
        <w:t xml:space="preserve">на Министерския съвет за </w:t>
      </w:r>
      <w:r w:rsidR="00CB24DC" w:rsidRPr="00163C9B">
        <w:rPr>
          <w:rFonts w:ascii="Verdana" w:hAnsi="Verdana"/>
          <w:spacing w:val="4"/>
          <w:sz w:val="20"/>
          <w:szCs w:val="20"/>
          <w:lang w:val="bg-BG"/>
        </w:rPr>
        <w:t>приемане на Тарифа за таксите, които се събират от Българската агенция по безопасност на храните</w:t>
      </w:r>
      <w:r w:rsidR="00C85699">
        <w:rPr>
          <w:rFonts w:ascii="Verdana" w:hAnsi="Verdana"/>
          <w:spacing w:val="4"/>
          <w:sz w:val="20"/>
          <w:szCs w:val="20"/>
          <w:lang w:val="bg-BG"/>
        </w:rPr>
        <w:t xml:space="preserve"> (БАБХ)</w:t>
      </w:r>
      <w:r w:rsidR="00C73CD7" w:rsidRPr="00163C9B">
        <w:rPr>
          <w:rFonts w:ascii="Verdana" w:hAnsi="Verdana"/>
          <w:spacing w:val="4"/>
          <w:sz w:val="20"/>
          <w:szCs w:val="20"/>
          <w:lang w:val="bg-BG"/>
        </w:rPr>
        <w:t>.</w:t>
      </w:r>
    </w:p>
    <w:p w:rsidR="00AF2347" w:rsidRPr="00163C9B" w:rsidRDefault="00AF2347" w:rsidP="000D0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Courier New" w:hAnsi="Verdana"/>
          <w:b/>
          <w:sz w:val="20"/>
          <w:lang w:val="bg-BG"/>
        </w:rPr>
      </w:pPr>
    </w:p>
    <w:p w:rsidR="00CB24DC" w:rsidRPr="006C12FB" w:rsidRDefault="00CB24DC" w:rsidP="000D0CF8">
      <w:pPr>
        <w:spacing w:after="0" w:line="360" w:lineRule="auto"/>
        <w:ind w:firstLine="709"/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/>
        </w:rPr>
      </w:pPr>
      <w:r w:rsidRPr="006C12FB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Причини, които налагат приемането на акта</w:t>
      </w:r>
    </w:p>
    <w:p w:rsidR="00CB24DC" w:rsidRPr="006C12FB" w:rsidRDefault="0041317A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6C12FB">
        <w:rPr>
          <w:rFonts w:ascii="Verdana" w:hAnsi="Verdana"/>
          <w:sz w:val="20"/>
          <w:lang w:val="bg-BG"/>
        </w:rPr>
        <w:t>Настъпили п</w:t>
      </w:r>
      <w:r w:rsidR="00CB24DC" w:rsidRPr="006C12FB">
        <w:rPr>
          <w:rFonts w:ascii="Verdana" w:hAnsi="Verdana"/>
          <w:sz w:val="20"/>
          <w:lang w:val="bg-BG"/>
        </w:rPr>
        <w:t xml:space="preserve">ромени в </w:t>
      </w:r>
      <w:r w:rsidR="003658B1">
        <w:rPr>
          <w:rFonts w:ascii="Verdana" w:hAnsi="Verdana"/>
          <w:sz w:val="20"/>
          <w:lang w:val="bg-BG"/>
        </w:rPr>
        <w:t>правото на ЕС и националната нормативна уредба</w:t>
      </w:r>
      <w:r w:rsidR="00A378B8" w:rsidRPr="006C12FB">
        <w:rPr>
          <w:rFonts w:ascii="Verdana" w:hAnsi="Verdana"/>
          <w:sz w:val="20"/>
          <w:lang w:val="bg-BG"/>
        </w:rPr>
        <w:t xml:space="preserve"> в периода от 2019 г. до 202</w:t>
      </w:r>
      <w:r w:rsidR="000713CA" w:rsidRPr="006C12FB">
        <w:rPr>
          <w:rFonts w:ascii="Verdana" w:hAnsi="Verdana"/>
          <w:sz w:val="20"/>
          <w:lang w:val="bg-BG"/>
        </w:rPr>
        <w:t>3</w:t>
      </w:r>
      <w:r w:rsidR="00A378B8" w:rsidRPr="006C12FB">
        <w:rPr>
          <w:rFonts w:ascii="Verdana" w:hAnsi="Verdana"/>
          <w:sz w:val="20"/>
          <w:lang w:val="bg-BG"/>
        </w:rPr>
        <w:t xml:space="preserve"> г.</w:t>
      </w:r>
      <w:r w:rsidR="00CB24DC" w:rsidRPr="006C12FB">
        <w:rPr>
          <w:rFonts w:ascii="Verdana" w:hAnsi="Verdana"/>
          <w:sz w:val="20"/>
          <w:lang w:val="bg-BG"/>
        </w:rPr>
        <w:t>, водещи до съществени изменения в правилата и изискванията за извършване на официален контрол по цялата агрохранителна верига, вкл. и неговото финансиране, а именно:</w:t>
      </w:r>
    </w:p>
    <w:p w:rsidR="00CB24DC" w:rsidRPr="006C12FB" w:rsidRDefault="00A378B8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6C12FB">
        <w:rPr>
          <w:rFonts w:ascii="Verdana" w:hAnsi="Verdana"/>
          <w:sz w:val="20"/>
          <w:lang w:val="bg-BG"/>
        </w:rPr>
        <w:t>Влезли в</w:t>
      </w:r>
      <w:r w:rsidR="00CB24DC" w:rsidRPr="006C12FB">
        <w:rPr>
          <w:rFonts w:ascii="Verdana" w:hAnsi="Verdana"/>
          <w:sz w:val="20"/>
          <w:lang w:val="bg-BG"/>
        </w:rPr>
        <w:t xml:space="preserve"> сила нови нормативни актове</w:t>
      </w:r>
      <w:r w:rsidR="009A6F50" w:rsidRPr="006C12FB">
        <w:rPr>
          <w:rFonts w:ascii="Verdana" w:hAnsi="Verdana"/>
          <w:sz w:val="20"/>
          <w:lang w:val="bg-BG"/>
        </w:rPr>
        <w:t>, свързани с официалния контрол по цялата агрохранителна верига</w:t>
      </w:r>
      <w:r w:rsidR="00CB24DC" w:rsidRPr="006C12FB">
        <w:rPr>
          <w:rFonts w:ascii="Verdana" w:hAnsi="Verdana"/>
          <w:sz w:val="20"/>
          <w:lang w:val="bg-BG"/>
        </w:rPr>
        <w:t>:</w:t>
      </w:r>
    </w:p>
    <w:p w:rsidR="00CB24DC" w:rsidRPr="006C12FB" w:rsidRDefault="00CB24DC" w:rsidP="000D0C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6C12FB">
        <w:rPr>
          <w:rFonts w:ascii="Verdana" w:hAnsi="Verdana"/>
          <w:sz w:val="20"/>
          <w:lang w:val="bg-BG"/>
        </w:rPr>
        <w:t xml:space="preserve">Регламент (EС) 2017/625 на Европейския парламент и на Съвета от 15 март </w:t>
      </w:r>
      <w:r w:rsidRPr="006C12FB">
        <w:rPr>
          <w:rFonts w:ascii="Verdana" w:hAnsi="Verdana"/>
          <w:sz w:val="20"/>
          <w:lang w:val="bg-BG"/>
        </w:rPr>
        <w:lastRenderedPageBreak/>
        <w:t>2017 година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(EО) № 396/2005, (EО) № 1069/2009, (EО) № 1107/2009, (EС) № 1151/2012, (ЕС) № 652/2014, (EС) 2016/429 и (EС) 2016/2031 на Европейския парламент и на Съвета, регламенти (EО) № 1/2005 и (EО) № 1099/2009 на Съвета и директиви 98/58/EО, 1999/74/EО, 2007/43/EО, 2008/119/EО и 2008/120/EО на Съвета, и за отмяна на регламенти (EО) № 854/2004 и (EО) № 882/2004 на Европейския парламент и на Съвета, директиви 89/608/ЕИО, 89/662/ЕИО, 90/425/ЕИО, 91/496/ЕИО, 96/23/EО, 96/93/EО и 97/78/EО на Съвета и Решение 92/438/EИО на Съвета</w:t>
      </w:r>
      <w:r w:rsidR="00123BFC" w:rsidRPr="006C12FB">
        <w:rPr>
          <w:rFonts w:ascii="Verdana" w:hAnsi="Verdana"/>
          <w:sz w:val="20"/>
          <w:lang w:val="ru-RU"/>
        </w:rPr>
        <w:t xml:space="preserve"> </w:t>
      </w:r>
      <w:r w:rsidR="00123BFC" w:rsidRPr="006C12FB">
        <w:rPr>
          <w:rFonts w:ascii="Verdana" w:hAnsi="Verdana"/>
          <w:sz w:val="20"/>
          <w:lang w:val="bg-BG"/>
        </w:rPr>
        <w:t>(</w:t>
      </w:r>
      <w:r w:rsidR="00680F6A">
        <w:rPr>
          <w:rFonts w:ascii="Verdana" w:hAnsi="Verdana"/>
          <w:sz w:val="20"/>
          <w:lang w:val="bg-BG"/>
        </w:rPr>
        <w:t>О</w:t>
      </w:r>
      <w:r w:rsidR="00123BFC" w:rsidRPr="006C12FB">
        <w:rPr>
          <w:rFonts w:ascii="Verdana" w:hAnsi="Verdana"/>
          <w:sz w:val="20"/>
          <w:lang w:val="bg-BG"/>
        </w:rPr>
        <w:t xml:space="preserve">В, </w:t>
      </w:r>
      <w:r w:rsidR="00123BFC" w:rsidRPr="006C12FB">
        <w:rPr>
          <w:rFonts w:ascii="Verdana" w:hAnsi="Verdana"/>
          <w:sz w:val="20"/>
        </w:rPr>
        <w:t>L</w:t>
      </w:r>
      <w:r w:rsidR="00123BFC" w:rsidRPr="006C12FB">
        <w:rPr>
          <w:rFonts w:ascii="Verdana" w:hAnsi="Verdana"/>
          <w:sz w:val="20"/>
          <w:lang w:val="bg-BG"/>
        </w:rPr>
        <w:t xml:space="preserve"> 95/</w:t>
      </w:r>
      <w:r w:rsidR="00123BFC" w:rsidRPr="006C12FB">
        <w:rPr>
          <w:rFonts w:ascii="Verdana" w:hAnsi="Verdana"/>
          <w:sz w:val="20"/>
          <w:lang w:val="ru-RU"/>
        </w:rPr>
        <w:t>2017</w:t>
      </w:r>
      <w:r w:rsidR="00123BFC" w:rsidRPr="006C12FB">
        <w:rPr>
          <w:rFonts w:ascii="Verdana" w:hAnsi="Verdana"/>
          <w:sz w:val="20"/>
          <w:lang w:val="bg-BG"/>
        </w:rPr>
        <w:t>),</w:t>
      </w:r>
      <w:r w:rsidR="00E62E25" w:rsidRPr="006C12FB">
        <w:rPr>
          <w:rFonts w:ascii="Verdana" w:hAnsi="Verdana"/>
          <w:sz w:val="20"/>
          <w:lang w:val="bg-BG"/>
        </w:rPr>
        <w:t>(</w:t>
      </w:r>
      <w:r w:rsidRPr="006C12FB">
        <w:rPr>
          <w:rFonts w:ascii="Verdana" w:hAnsi="Verdana"/>
          <w:sz w:val="20"/>
          <w:lang w:val="bg-BG"/>
        </w:rPr>
        <w:t>Регламент (EС) 2017/625</w:t>
      </w:r>
      <w:r w:rsidR="00E62E25" w:rsidRPr="006C12FB">
        <w:rPr>
          <w:rFonts w:ascii="Verdana" w:hAnsi="Verdana"/>
          <w:sz w:val="20"/>
          <w:lang w:val="bg-BG"/>
        </w:rPr>
        <w:t>)</w:t>
      </w:r>
      <w:r w:rsidR="00123BFC" w:rsidRPr="006C12FB">
        <w:rPr>
          <w:rFonts w:ascii="Verdana" w:hAnsi="Verdana"/>
          <w:sz w:val="20"/>
          <w:lang w:val="bg-BG"/>
        </w:rPr>
        <w:t xml:space="preserve"> </w:t>
      </w:r>
      <w:r w:rsidR="00E833E5" w:rsidRPr="006C12FB">
        <w:rPr>
          <w:rFonts w:ascii="Verdana" w:hAnsi="Verdana"/>
          <w:sz w:val="20"/>
          <w:lang w:val="bg-BG"/>
        </w:rPr>
        <w:t xml:space="preserve">се </w:t>
      </w:r>
      <w:r w:rsidR="009A6F50" w:rsidRPr="006C12FB">
        <w:rPr>
          <w:rFonts w:ascii="Verdana" w:hAnsi="Verdana"/>
          <w:sz w:val="20"/>
          <w:lang w:val="bg-BG"/>
        </w:rPr>
        <w:t xml:space="preserve">прилага </w:t>
      </w:r>
      <w:r w:rsidR="00E833E5" w:rsidRPr="006C12FB">
        <w:rPr>
          <w:rFonts w:ascii="Verdana" w:hAnsi="Verdana"/>
          <w:sz w:val="20"/>
          <w:lang w:val="bg-BG"/>
        </w:rPr>
        <w:t>от 14.12.2019 г.</w:t>
      </w:r>
      <w:r w:rsidRPr="006C12FB">
        <w:rPr>
          <w:rFonts w:ascii="Verdana" w:hAnsi="Verdana"/>
          <w:sz w:val="20"/>
          <w:lang w:val="bg-BG"/>
        </w:rPr>
        <w:t>;</w:t>
      </w:r>
    </w:p>
    <w:p w:rsidR="00CB24DC" w:rsidRPr="006C12FB" w:rsidRDefault="00CB24DC" w:rsidP="000D0C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  <w:sz w:val="20"/>
          <w:lang w:val="bg-BG"/>
        </w:rPr>
      </w:pPr>
      <w:r w:rsidRPr="006C12FB">
        <w:rPr>
          <w:rFonts w:ascii="Verdana" w:hAnsi="Verdana"/>
          <w:sz w:val="20"/>
          <w:lang w:val="bg-BG"/>
        </w:rPr>
        <w:t>Регламент (ЕС) 2019/6 на Европейс</w:t>
      </w:r>
      <w:r w:rsidR="000C7C91" w:rsidRPr="006C12FB">
        <w:rPr>
          <w:rFonts w:ascii="Verdana" w:hAnsi="Verdana"/>
          <w:sz w:val="20"/>
          <w:lang w:val="bg-BG"/>
        </w:rPr>
        <w:t xml:space="preserve">кия парламент и на Съвета от 11 </w:t>
      </w:r>
      <w:r w:rsidRPr="006C12FB">
        <w:rPr>
          <w:rFonts w:ascii="Verdana" w:hAnsi="Verdana"/>
          <w:sz w:val="20"/>
          <w:lang w:val="bg-BG"/>
        </w:rPr>
        <w:t>декември 2018 година относно ветеринарните лекарствени продукти и за отмяна на Директива 2001/82/ЕО</w:t>
      </w:r>
      <w:r w:rsidR="009A6F50" w:rsidRPr="006C12FB">
        <w:rPr>
          <w:rFonts w:ascii="Verdana" w:hAnsi="Verdana"/>
          <w:sz w:val="20"/>
          <w:lang w:val="bg-BG"/>
        </w:rPr>
        <w:t xml:space="preserve"> се прилага</w:t>
      </w:r>
      <w:r w:rsidR="00E833E5" w:rsidRPr="006C12FB">
        <w:rPr>
          <w:rFonts w:ascii="Verdana" w:hAnsi="Verdana"/>
          <w:sz w:val="20"/>
          <w:lang w:val="bg-BG"/>
        </w:rPr>
        <w:t xml:space="preserve"> от 28.01.2022 г.</w:t>
      </w:r>
      <w:r w:rsidR="009976A3" w:rsidRPr="006C12FB">
        <w:rPr>
          <w:rFonts w:ascii="Verdana" w:hAnsi="Verdana"/>
          <w:sz w:val="20"/>
          <w:lang w:val="bg-BG"/>
        </w:rPr>
        <w:t xml:space="preserve"> </w:t>
      </w:r>
      <w:r w:rsidR="005976B6" w:rsidRPr="006C12FB">
        <w:rPr>
          <w:rFonts w:ascii="Verdana" w:hAnsi="Verdana"/>
          <w:sz w:val="20"/>
          <w:lang w:val="bg-BG"/>
        </w:rPr>
        <w:t xml:space="preserve">(ОВ, </w:t>
      </w:r>
      <w:r w:rsidR="005976B6" w:rsidRPr="006C12FB">
        <w:rPr>
          <w:rFonts w:ascii="Verdana" w:hAnsi="Verdana"/>
          <w:sz w:val="20"/>
        </w:rPr>
        <w:t>L</w:t>
      </w:r>
      <w:r w:rsidR="005976B6" w:rsidRPr="006C12FB">
        <w:rPr>
          <w:rFonts w:ascii="Verdana" w:hAnsi="Verdana"/>
          <w:sz w:val="20"/>
          <w:lang w:val="ru-RU"/>
        </w:rPr>
        <w:t xml:space="preserve"> 4/2019</w:t>
      </w:r>
      <w:r w:rsidR="005976B6" w:rsidRPr="006C12FB">
        <w:rPr>
          <w:rFonts w:ascii="Verdana" w:hAnsi="Verdana"/>
          <w:sz w:val="20"/>
          <w:lang w:val="bg-BG"/>
        </w:rPr>
        <w:t xml:space="preserve">), </w:t>
      </w:r>
      <w:r w:rsidR="00235436" w:rsidRPr="006C12FB">
        <w:rPr>
          <w:rFonts w:ascii="Verdana" w:hAnsi="Verdana"/>
          <w:sz w:val="20"/>
          <w:lang w:val="bg-BG"/>
        </w:rPr>
        <w:t>(</w:t>
      </w:r>
      <w:r w:rsidR="009976A3" w:rsidRPr="006C12FB">
        <w:rPr>
          <w:rFonts w:ascii="Verdana" w:hAnsi="Verdana"/>
          <w:sz w:val="20"/>
          <w:lang w:val="bg-BG"/>
        </w:rPr>
        <w:t>Регламент (ЕС) 2019/6</w:t>
      </w:r>
      <w:r w:rsidR="00235436" w:rsidRPr="006C12FB">
        <w:rPr>
          <w:rFonts w:ascii="Verdana" w:hAnsi="Verdana"/>
          <w:sz w:val="20"/>
          <w:lang w:val="bg-BG"/>
        </w:rPr>
        <w:t>)</w:t>
      </w:r>
      <w:r w:rsidRPr="006C12FB">
        <w:rPr>
          <w:rFonts w:ascii="Verdana" w:hAnsi="Verdana"/>
          <w:sz w:val="20"/>
          <w:lang w:val="bg-BG"/>
        </w:rPr>
        <w:t>;</w:t>
      </w:r>
    </w:p>
    <w:p w:rsidR="0020746E" w:rsidRPr="006C12FB" w:rsidRDefault="006E1D5F" w:rsidP="000D0CF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  <w:lang w:val="ru-RU"/>
        </w:rPr>
      </w:pPr>
      <w:r w:rsidRPr="006C12FB">
        <w:rPr>
          <w:rFonts w:ascii="Verdana" w:hAnsi="Verdana"/>
          <w:sz w:val="20"/>
          <w:lang w:val="ru-RU"/>
        </w:rPr>
        <w:t>Закон за управление на агрохранителната верига (ЗУАВ)</w:t>
      </w:r>
      <w:r w:rsidR="0020746E" w:rsidRPr="006C12FB">
        <w:rPr>
          <w:rFonts w:ascii="Verdana" w:hAnsi="Verdana"/>
          <w:sz w:val="20"/>
          <w:lang w:val="bg-BG"/>
        </w:rPr>
        <w:t>;</w:t>
      </w:r>
    </w:p>
    <w:p w:rsidR="006E1D5F" w:rsidRPr="006C12FB" w:rsidRDefault="006E1D5F" w:rsidP="000D0CF8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Verdana" w:hAnsi="Verdana"/>
          <w:sz w:val="20"/>
          <w:szCs w:val="20"/>
        </w:rPr>
      </w:pPr>
      <w:r w:rsidRPr="006C12FB">
        <w:rPr>
          <w:rFonts w:ascii="Verdana" w:hAnsi="Verdana"/>
          <w:sz w:val="20"/>
          <w:szCs w:val="20"/>
        </w:rPr>
        <w:t>Закон за храните (ЗХ)</w:t>
      </w:r>
      <w:r w:rsidR="0020746E" w:rsidRPr="006C12FB">
        <w:rPr>
          <w:rFonts w:ascii="Verdana" w:hAnsi="Verdana"/>
          <w:sz w:val="20"/>
          <w:szCs w:val="20"/>
        </w:rPr>
        <w:t>;</w:t>
      </w:r>
    </w:p>
    <w:p w:rsidR="00CB24DC" w:rsidRPr="006C12FB" w:rsidRDefault="009A6F50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6C12FB">
        <w:rPr>
          <w:rFonts w:ascii="Verdana" w:hAnsi="Verdana"/>
          <w:sz w:val="20"/>
          <w:lang w:val="bg-BG"/>
        </w:rPr>
        <w:t>В горепосочения период с</w:t>
      </w:r>
      <w:r w:rsidR="00CB24DC" w:rsidRPr="006C12FB">
        <w:rPr>
          <w:rFonts w:ascii="Verdana" w:hAnsi="Verdana"/>
          <w:sz w:val="20"/>
          <w:lang w:val="bg-BG"/>
        </w:rPr>
        <w:t xml:space="preserve">ъщо така </w:t>
      </w:r>
      <w:r w:rsidR="004025FE" w:rsidRPr="006C12FB">
        <w:rPr>
          <w:rFonts w:ascii="Verdana" w:hAnsi="Verdana"/>
          <w:sz w:val="20"/>
          <w:lang w:val="bg-BG"/>
        </w:rPr>
        <w:t>са</w:t>
      </w:r>
      <w:r w:rsidR="00CB24DC" w:rsidRPr="006C12FB">
        <w:rPr>
          <w:rFonts w:ascii="Verdana" w:hAnsi="Verdana"/>
          <w:sz w:val="20"/>
          <w:lang w:val="bg-BG"/>
        </w:rPr>
        <w:t xml:space="preserve"> изменени и </w:t>
      </w:r>
      <w:r w:rsidRPr="006C12FB">
        <w:rPr>
          <w:rFonts w:ascii="Verdana" w:hAnsi="Verdana"/>
          <w:sz w:val="20"/>
          <w:lang w:val="bg-BG"/>
        </w:rPr>
        <w:t xml:space="preserve">допълнени </w:t>
      </w:r>
      <w:r w:rsidR="00CB24DC" w:rsidRPr="006C12FB">
        <w:rPr>
          <w:rFonts w:ascii="Verdana" w:hAnsi="Verdana"/>
          <w:sz w:val="20"/>
          <w:lang w:val="bg-BG"/>
        </w:rPr>
        <w:t>няк</w:t>
      </w:r>
      <w:r w:rsidR="000C7C91" w:rsidRPr="006C12FB">
        <w:rPr>
          <w:rFonts w:ascii="Verdana" w:hAnsi="Verdana"/>
          <w:sz w:val="20"/>
          <w:lang w:val="bg-BG"/>
        </w:rPr>
        <w:t>ои действащи нормативни актове:</w:t>
      </w:r>
    </w:p>
    <w:p w:rsidR="00CB24DC" w:rsidRPr="006C12FB" w:rsidRDefault="00CB24DC" w:rsidP="000D0C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  <w:sz w:val="20"/>
          <w:lang w:val="bg-BG"/>
        </w:rPr>
      </w:pPr>
      <w:r w:rsidRPr="006C12FB">
        <w:rPr>
          <w:rFonts w:ascii="Verdana" w:hAnsi="Verdana"/>
          <w:sz w:val="20"/>
          <w:lang w:val="bg-BG"/>
        </w:rPr>
        <w:t xml:space="preserve">Закона за ветеринарномедицинската дейност </w:t>
      </w:r>
      <w:r w:rsidR="00AE77C6" w:rsidRPr="006C12FB">
        <w:rPr>
          <w:rFonts w:ascii="Verdana" w:hAnsi="Verdana"/>
          <w:sz w:val="20"/>
          <w:lang w:val="bg-BG"/>
        </w:rPr>
        <w:t>(ЗВД);</w:t>
      </w:r>
    </w:p>
    <w:p w:rsidR="00CB24DC" w:rsidRPr="006C12FB" w:rsidRDefault="00163C9B" w:rsidP="000D0C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  <w:strike/>
          <w:sz w:val="20"/>
          <w:lang w:val="bg-BG"/>
        </w:rPr>
      </w:pPr>
      <w:r w:rsidRPr="006C12FB">
        <w:rPr>
          <w:rFonts w:ascii="Verdana" w:hAnsi="Verdana"/>
          <w:sz w:val="20"/>
          <w:lang w:val="bg-BG"/>
        </w:rPr>
        <w:t>Закона</w:t>
      </w:r>
      <w:r w:rsidR="00CB24DC" w:rsidRPr="006C12FB">
        <w:rPr>
          <w:rFonts w:ascii="Verdana" w:hAnsi="Verdana"/>
          <w:sz w:val="20"/>
          <w:lang w:val="bg-BG"/>
        </w:rPr>
        <w:t xml:space="preserve"> за защита на растенията </w:t>
      </w:r>
      <w:r w:rsidR="00AE77C6" w:rsidRPr="006C12FB">
        <w:rPr>
          <w:rFonts w:ascii="Verdana" w:hAnsi="Verdana"/>
          <w:sz w:val="20"/>
          <w:lang w:val="bg-BG"/>
        </w:rPr>
        <w:t>(ЗЗР)</w:t>
      </w:r>
      <w:r w:rsidR="00B8442E" w:rsidRPr="006C12FB">
        <w:rPr>
          <w:rFonts w:ascii="Verdana" w:hAnsi="Verdana"/>
          <w:sz w:val="20"/>
          <w:lang w:val="bg-BG"/>
        </w:rPr>
        <w:t>;</w:t>
      </w:r>
    </w:p>
    <w:p w:rsidR="00B8442E" w:rsidRPr="006C12FB" w:rsidRDefault="00B8442E" w:rsidP="000D0C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Verdana" w:hAnsi="Verdana"/>
          <w:strike/>
          <w:sz w:val="20"/>
          <w:lang w:val="bg-BG"/>
        </w:rPr>
      </w:pPr>
      <w:r w:rsidRPr="006C12FB">
        <w:rPr>
          <w:rFonts w:ascii="Verdana" w:hAnsi="Verdana"/>
          <w:sz w:val="20"/>
          <w:lang w:val="bg-BG"/>
        </w:rPr>
        <w:t>Закон за фуражите (ЗФ).</w:t>
      </w:r>
    </w:p>
    <w:p w:rsidR="00CB24DC" w:rsidRPr="006C12F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6C12FB">
        <w:rPr>
          <w:rFonts w:ascii="Verdana" w:hAnsi="Verdana"/>
          <w:sz w:val="20"/>
          <w:lang w:val="bg-BG"/>
        </w:rPr>
        <w:t>Основното изм</w:t>
      </w:r>
      <w:r w:rsidR="00E62E25" w:rsidRPr="006C12FB">
        <w:rPr>
          <w:rFonts w:ascii="Verdana" w:hAnsi="Verdana"/>
          <w:sz w:val="20"/>
          <w:lang w:val="bg-BG"/>
        </w:rPr>
        <w:t xml:space="preserve">енение в законодателството </w:t>
      </w:r>
      <w:r w:rsidR="00C274DD" w:rsidRPr="006C12FB">
        <w:rPr>
          <w:rFonts w:ascii="Verdana" w:hAnsi="Verdana"/>
          <w:sz w:val="20"/>
          <w:lang w:val="bg-BG"/>
        </w:rPr>
        <w:t>е свърза</w:t>
      </w:r>
      <w:r w:rsidR="00E62E25" w:rsidRPr="006C12FB">
        <w:rPr>
          <w:rFonts w:ascii="Verdana" w:hAnsi="Verdana"/>
          <w:sz w:val="20"/>
          <w:lang w:val="bg-BG"/>
        </w:rPr>
        <w:t>но влизане в сила на</w:t>
      </w:r>
      <w:r w:rsidR="00C274DD" w:rsidRPr="006C12FB">
        <w:rPr>
          <w:rFonts w:ascii="Verdana" w:hAnsi="Verdana"/>
          <w:sz w:val="20"/>
          <w:lang w:val="bg-BG"/>
        </w:rPr>
        <w:t xml:space="preserve"> </w:t>
      </w:r>
      <w:r w:rsidRPr="006C12FB">
        <w:rPr>
          <w:rFonts w:ascii="Verdana" w:hAnsi="Verdana"/>
          <w:sz w:val="20"/>
          <w:lang w:val="bg-BG"/>
        </w:rPr>
        <w:t>Регламент (EС) 2017/625, който</w:t>
      </w:r>
      <w:r w:rsidR="00C274DD" w:rsidRPr="006C12FB">
        <w:rPr>
          <w:rFonts w:ascii="Verdana" w:hAnsi="Verdana"/>
          <w:sz w:val="20"/>
          <w:lang w:val="bg-BG"/>
        </w:rPr>
        <w:t xml:space="preserve"> определя нов подход на официал</w:t>
      </w:r>
      <w:r w:rsidRPr="006C12FB">
        <w:rPr>
          <w:rFonts w:ascii="Verdana" w:hAnsi="Verdana"/>
          <w:sz w:val="20"/>
          <w:lang w:val="bg-BG"/>
        </w:rPr>
        <w:t>н</w:t>
      </w:r>
      <w:r w:rsidR="00C274DD" w:rsidRPr="006C12FB">
        <w:rPr>
          <w:rFonts w:ascii="Verdana" w:hAnsi="Verdana"/>
          <w:sz w:val="20"/>
          <w:lang w:val="bg-BG"/>
        </w:rPr>
        <w:t>ия</w:t>
      </w:r>
      <w:r w:rsidRPr="006C12FB">
        <w:rPr>
          <w:rFonts w:ascii="Verdana" w:hAnsi="Verdana"/>
          <w:sz w:val="20"/>
          <w:lang w:val="bg-BG"/>
        </w:rPr>
        <w:t xml:space="preserve"> контрол по цялата агрохранителна верига – от фермата до масата, като дава нови насоки във финансирането му.</w:t>
      </w:r>
    </w:p>
    <w:p w:rsidR="00CB24DC" w:rsidRPr="00163C9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>Съгласно член 288 от Договора за функционирането на Европейския съюз/ предишен член 249 от Договора за създаване на Европейската общност</w:t>
      </w:r>
      <w:r w:rsidR="00C274DD" w:rsidRPr="00163C9B">
        <w:rPr>
          <w:rFonts w:ascii="Verdana" w:hAnsi="Verdana"/>
          <w:sz w:val="20"/>
          <w:szCs w:val="20"/>
          <w:lang w:val="bg-BG"/>
        </w:rPr>
        <w:t>/</w:t>
      </w:r>
      <w:r w:rsidRPr="00163C9B">
        <w:rPr>
          <w:rFonts w:ascii="Verdana" w:hAnsi="Verdana"/>
          <w:sz w:val="20"/>
          <w:szCs w:val="20"/>
          <w:lang w:val="bg-BG"/>
        </w:rPr>
        <w:t xml:space="preserve">, всеки  регламент на </w:t>
      </w:r>
      <w:r w:rsidR="0038366D" w:rsidRPr="00163C9B">
        <w:rPr>
          <w:rFonts w:ascii="Verdana" w:hAnsi="Verdana"/>
          <w:sz w:val="20"/>
          <w:szCs w:val="20"/>
          <w:lang w:val="bg-BG"/>
        </w:rPr>
        <w:t xml:space="preserve">Европейския съюз /ЕС/ </w:t>
      </w:r>
      <w:r w:rsidRPr="00163C9B">
        <w:rPr>
          <w:rFonts w:ascii="Verdana" w:hAnsi="Verdana"/>
          <w:sz w:val="20"/>
          <w:szCs w:val="20"/>
          <w:lang w:val="bg-BG"/>
        </w:rPr>
        <w:t>е „</w:t>
      </w:r>
      <w:r w:rsidR="00394326" w:rsidRPr="00163C9B">
        <w:rPr>
          <w:rFonts w:ascii="Verdana" w:hAnsi="Verdana"/>
          <w:sz w:val="20"/>
          <w:szCs w:val="20"/>
          <w:lang w:val="bg-BG"/>
        </w:rPr>
        <w:t xml:space="preserve">акт с общо приложение, </w:t>
      </w:r>
      <w:r w:rsidRPr="00163C9B">
        <w:rPr>
          <w:rFonts w:ascii="Verdana" w:hAnsi="Verdana"/>
          <w:sz w:val="20"/>
          <w:szCs w:val="20"/>
          <w:lang w:val="bg-BG"/>
        </w:rPr>
        <w:t>задължителен в своята цялост и се прилага пряко във всички държави – членки“</w:t>
      </w:r>
      <w:r w:rsidR="00C274DD" w:rsidRPr="00163C9B">
        <w:rPr>
          <w:rFonts w:ascii="Verdana" w:hAnsi="Verdana"/>
          <w:sz w:val="20"/>
          <w:szCs w:val="20"/>
          <w:lang w:val="bg-BG"/>
        </w:rPr>
        <w:t xml:space="preserve">. Разпоредбата на </w:t>
      </w:r>
      <w:r w:rsidRPr="00163C9B">
        <w:rPr>
          <w:rFonts w:ascii="Verdana" w:hAnsi="Verdana"/>
          <w:sz w:val="20"/>
          <w:szCs w:val="20"/>
          <w:lang w:val="bg-BG"/>
        </w:rPr>
        <w:t>чл. 167 от Регламент (EС) 2017/625</w:t>
      </w:r>
      <w:r w:rsidR="000C09AB" w:rsidRPr="00163C9B">
        <w:rPr>
          <w:rFonts w:ascii="Verdana" w:hAnsi="Verdana"/>
          <w:sz w:val="20"/>
          <w:szCs w:val="20"/>
          <w:lang w:val="bg-BG"/>
        </w:rPr>
        <w:t>, същ</w:t>
      </w:r>
      <w:r w:rsidRPr="00163C9B">
        <w:rPr>
          <w:rFonts w:ascii="Verdana" w:hAnsi="Verdana"/>
          <w:sz w:val="20"/>
          <w:szCs w:val="20"/>
          <w:lang w:val="bg-BG"/>
        </w:rPr>
        <w:t>о</w:t>
      </w:r>
      <w:r w:rsidR="000C09AB" w:rsidRPr="00163C9B">
        <w:rPr>
          <w:rFonts w:ascii="Verdana" w:hAnsi="Verdana"/>
          <w:sz w:val="20"/>
          <w:szCs w:val="20"/>
          <w:lang w:val="bg-BG"/>
        </w:rPr>
        <w:t xml:space="preserve"> потвърждава </w:t>
      </w:r>
      <w:r w:rsidRPr="00163C9B">
        <w:rPr>
          <w:rFonts w:ascii="Verdana" w:hAnsi="Verdana"/>
          <w:sz w:val="20"/>
          <w:szCs w:val="20"/>
          <w:lang w:val="bg-BG"/>
        </w:rPr>
        <w:t>задължителн</w:t>
      </w:r>
      <w:r w:rsidR="000C09AB" w:rsidRPr="00163C9B">
        <w:rPr>
          <w:rFonts w:ascii="Verdana" w:hAnsi="Verdana"/>
          <w:sz w:val="20"/>
          <w:szCs w:val="20"/>
          <w:lang w:val="bg-BG"/>
        </w:rPr>
        <w:t xml:space="preserve">ото пряко </w:t>
      </w:r>
      <w:r w:rsidRPr="00163C9B">
        <w:rPr>
          <w:rFonts w:ascii="Verdana" w:hAnsi="Verdana"/>
          <w:sz w:val="20"/>
          <w:szCs w:val="20"/>
          <w:lang w:val="bg-BG"/>
        </w:rPr>
        <w:t>прил</w:t>
      </w:r>
      <w:r w:rsidR="000C09AB" w:rsidRPr="00163C9B">
        <w:rPr>
          <w:rFonts w:ascii="Verdana" w:hAnsi="Verdana"/>
          <w:sz w:val="20"/>
          <w:szCs w:val="20"/>
          <w:lang w:val="bg-BG"/>
        </w:rPr>
        <w:t>ожение</w:t>
      </w:r>
      <w:r w:rsidRPr="00163C9B">
        <w:rPr>
          <w:rFonts w:ascii="Verdana" w:hAnsi="Verdana"/>
          <w:sz w:val="20"/>
          <w:szCs w:val="20"/>
          <w:lang w:val="bg-BG"/>
        </w:rPr>
        <w:t xml:space="preserve"> </w:t>
      </w:r>
      <w:r w:rsidR="000C09AB" w:rsidRPr="00163C9B">
        <w:rPr>
          <w:rFonts w:ascii="Verdana" w:hAnsi="Verdana"/>
          <w:sz w:val="20"/>
          <w:szCs w:val="20"/>
          <w:lang w:val="bg-BG"/>
        </w:rPr>
        <w:t xml:space="preserve">в неговата цялост </w:t>
      </w:r>
      <w:r w:rsidR="00EE7020" w:rsidRPr="00163C9B">
        <w:rPr>
          <w:rFonts w:ascii="Verdana" w:hAnsi="Verdana"/>
          <w:sz w:val="20"/>
          <w:szCs w:val="20"/>
          <w:lang w:val="bg-BG"/>
        </w:rPr>
        <w:t>на територията на</w:t>
      </w:r>
      <w:r w:rsidRPr="00163C9B">
        <w:rPr>
          <w:rFonts w:ascii="Verdana" w:hAnsi="Verdana"/>
          <w:sz w:val="20"/>
          <w:szCs w:val="20"/>
          <w:lang w:val="bg-BG"/>
        </w:rPr>
        <w:t xml:space="preserve"> всички държав</w:t>
      </w:r>
      <w:r w:rsidR="00ED366F">
        <w:rPr>
          <w:rFonts w:ascii="Verdana" w:hAnsi="Verdana"/>
          <w:sz w:val="20"/>
          <w:szCs w:val="20"/>
          <w:lang w:val="bg-BG"/>
        </w:rPr>
        <w:t>и – членки на Европейския съюз.</w:t>
      </w:r>
    </w:p>
    <w:p w:rsidR="00CB24DC" w:rsidRPr="00163C9B" w:rsidRDefault="002835E3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 xml:space="preserve">В тази връзка се създава задължение за </w:t>
      </w:r>
      <w:r w:rsidR="00CB24DC" w:rsidRPr="00163C9B">
        <w:rPr>
          <w:rFonts w:ascii="Verdana" w:hAnsi="Verdana"/>
          <w:sz w:val="20"/>
          <w:szCs w:val="20"/>
          <w:lang w:val="bg-BG"/>
        </w:rPr>
        <w:t xml:space="preserve">Република България като държава – членка на Европейския съюз да актуализира събираните такси при извършване на официален контрол, като се изпълнят изискванията за включване на разходите, определени в </w:t>
      </w:r>
      <w:r w:rsidR="00C7532D">
        <w:rPr>
          <w:rFonts w:ascii="Verdana" w:hAnsi="Verdana"/>
          <w:sz w:val="20"/>
          <w:szCs w:val="20"/>
          <w:lang w:val="bg-BG"/>
        </w:rPr>
        <w:t xml:space="preserve">чл. 80 и </w:t>
      </w:r>
      <w:r w:rsidR="00CB24DC" w:rsidRPr="00163C9B">
        <w:rPr>
          <w:rFonts w:ascii="Verdana" w:hAnsi="Verdana"/>
          <w:sz w:val="20"/>
          <w:szCs w:val="20"/>
          <w:lang w:val="bg-BG"/>
        </w:rPr>
        <w:t>чл.</w:t>
      </w:r>
      <w:r w:rsidR="00ED366F">
        <w:rPr>
          <w:rFonts w:ascii="Verdana" w:hAnsi="Verdana"/>
          <w:sz w:val="20"/>
          <w:szCs w:val="20"/>
          <w:lang w:val="bg-BG"/>
        </w:rPr>
        <w:t xml:space="preserve"> 81 от Регламент (EС) 2017/625.</w:t>
      </w:r>
    </w:p>
    <w:p w:rsidR="00CB24DC" w:rsidRPr="00163C9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 xml:space="preserve">В </w:t>
      </w:r>
      <w:bookmarkStart w:id="0" w:name="_Hlk84143535"/>
      <w:r w:rsidR="00C7532D">
        <w:rPr>
          <w:rFonts w:ascii="Verdana" w:hAnsi="Verdana"/>
          <w:sz w:val="20"/>
          <w:szCs w:val="20"/>
          <w:lang w:val="bg-BG"/>
        </w:rPr>
        <w:t xml:space="preserve">чл. 80 и </w:t>
      </w:r>
      <w:r w:rsidRPr="00163C9B">
        <w:rPr>
          <w:rFonts w:ascii="Verdana" w:hAnsi="Verdana"/>
          <w:sz w:val="20"/>
          <w:szCs w:val="20"/>
          <w:lang w:val="bg-BG"/>
        </w:rPr>
        <w:t xml:space="preserve">чл. 81 от Регламент (EС) 2017/625 </w:t>
      </w:r>
      <w:bookmarkEnd w:id="0"/>
      <w:r w:rsidRPr="00163C9B">
        <w:rPr>
          <w:rFonts w:ascii="Verdana" w:hAnsi="Verdana"/>
          <w:sz w:val="20"/>
          <w:szCs w:val="20"/>
          <w:lang w:val="bg-BG"/>
        </w:rPr>
        <w:t>ясно са определени</w:t>
      </w:r>
      <w:r w:rsidR="00C704D3" w:rsidRPr="00163C9B">
        <w:rPr>
          <w:rFonts w:ascii="Verdana" w:hAnsi="Verdana"/>
          <w:sz w:val="20"/>
          <w:szCs w:val="20"/>
          <w:lang w:val="bg-BG"/>
        </w:rPr>
        <w:t xml:space="preserve"> </w:t>
      </w:r>
      <w:r w:rsidRPr="00163C9B">
        <w:rPr>
          <w:rFonts w:ascii="Verdana" w:hAnsi="Verdana"/>
          <w:sz w:val="20"/>
          <w:szCs w:val="20"/>
          <w:lang w:val="bg-BG"/>
        </w:rPr>
        <w:t xml:space="preserve">разходите, </w:t>
      </w:r>
      <w:r w:rsidRPr="00163C9B">
        <w:rPr>
          <w:rFonts w:ascii="Verdana" w:hAnsi="Verdana"/>
          <w:sz w:val="20"/>
          <w:szCs w:val="20"/>
          <w:lang w:val="bg-BG"/>
        </w:rPr>
        <w:lastRenderedPageBreak/>
        <w:t>които трябва да бъдат включени</w:t>
      </w:r>
      <w:r w:rsidRPr="00163C9B">
        <w:rPr>
          <w:lang w:val="bg-BG"/>
        </w:rPr>
        <w:t xml:space="preserve"> </w:t>
      </w:r>
      <w:r w:rsidRPr="00163C9B">
        <w:rPr>
          <w:rFonts w:ascii="Verdana" w:hAnsi="Verdana"/>
          <w:sz w:val="20"/>
          <w:szCs w:val="20"/>
          <w:lang w:val="bg-BG"/>
        </w:rPr>
        <w:t>при определянето на</w:t>
      </w:r>
      <w:r w:rsidRPr="00163C9B">
        <w:rPr>
          <w:lang w:val="bg-BG"/>
        </w:rPr>
        <w:t xml:space="preserve"> </w:t>
      </w:r>
      <w:r w:rsidRPr="00163C9B">
        <w:rPr>
          <w:rFonts w:ascii="Verdana" w:hAnsi="Verdana"/>
          <w:sz w:val="20"/>
          <w:szCs w:val="20"/>
          <w:lang w:val="bg-BG"/>
        </w:rPr>
        <w:t xml:space="preserve">таксите за официалния контрол. В </w:t>
      </w:r>
      <w:r w:rsidR="00C704D3" w:rsidRPr="00163C9B">
        <w:rPr>
          <w:rFonts w:ascii="Verdana" w:hAnsi="Verdana"/>
          <w:sz w:val="20"/>
          <w:szCs w:val="20"/>
          <w:lang w:val="bg-BG"/>
        </w:rPr>
        <w:t xml:space="preserve">сега действащата </w:t>
      </w:r>
      <w:r w:rsidRPr="00163C9B">
        <w:rPr>
          <w:rFonts w:ascii="Verdana" w:hAnsi="Verdana"/>
          <w:sz w:val="20"/>
          <w:szCs w:val="20"/>
          <w:lang w:val="bg-BG"/>
        </w:rPr>
        <w:t xml:space="preserve">Тарифа за таксите, които се събират от БАБХ не са включени всички </w:t>
      </w:r>
      <w:r w:rsidR="00C704D3" w:rsidRPr="00163C9B">
        <w:rPr>
          <w:rFonts w:ascii="Verdana" w:hAnsi="Verdana"/>
          <w:sz w:val="20"/>
          <w:szCs w:val="20"/>
          <w:lang w:val="bg-BG"/>
        </w:rPr>
        <w:t>критерии</w:t>
      </w:r>
      <w:r w:rsidR="00530DE7" w:rsidRPr="00163C9B">
        <w:rPr>
          <w:rFonts w:ascii="Verdana" w:hAnsi="Verdana"/>
          <w:sz w:val="20"/>
          <w:szCs w:val="20"/>
          <w:lang w:val="bg-BG"/>
        </w:rPr>
        <w:t>, по които се определят</w:t>
      </w:r>
      <w:r w:rsidR="00C704D3" w:rsidRPr="00163C9B">
        <w:rPr>
          <w:rFonts w:ascii="Verdana" w:hAnsi="Verdana"/>
          <w:sz w:val="20"/>
          <w:szCs w:val="20"/>
          <w:lang w:val="bg-BG"/>
        </w:rPr>
        <w:t xml:space="preserve"> </w:t>
      </w:r>
      <w:r w:rsidRPr="00163C9B">
        <w:rPr>
          <w:rFonts w:ascii="Verdana" w:hAnsi="Verdana"/>
          <w:sz w:val="20"/>
          <w:szCs w:val="20"/>
          <w:lang w:val="bg-BG"/>
        </w:rPr>
        <w:t>задължителни</w:t>
      </w:r>
      <w:r w:rsidR="00530DE7" w:rsidRPr="00163C9B">
        <w:rPr>
          <w:rFonts w:ascii="Verdana" w:hAnsi="Verdana"/>
          <w:sz w:val="20"/>
          <w:szCs w:val="20"/>
          <w:lang w:val="bg-BG"/>
        </w:rPr>
        <w:t>те</w:t>
      </w:r>
      <w:r w:rsidRPr="00163C9B">
        <w:rPr>
          <w:rFonts w:ascii="Verdana" w:hAnsi="Verdana"/>
          <w:sz w:val="20"/>
          <w:szCs w:val="20"/>
          <w:lang w:val="bg-BG"/>
        </w:rPr>
        <w:t xml:space="preserve"> разходи</w:t>
      </w:r>
      <w:r w:rsidR="00C704D3" w:rsidRPr="00163C9B">
        <w:rPr>
          <w:rFonts w:ascii="Verdana" w:hAnsi="Verdana"/>
          <w:sz w:val="20"/>
          <w:szCs w:val="20"/>
          <w:lang w:val="bg-BG"/>
        </w:rPr>
        <w:t>,</w:t>
      </w:r>
      <w:r w:rsidRPr="00163C9B">
        <w:rPr>
          <w:rFonts w:ascii="Verdana" w:hAnsi="Verdana"/>
          <w:sz w:val="20"/>
          <w:szCs w:val="20"/>
          <w:lang w:val="bg-BG"/>
        </w:rPr>
        <w:t xml:space="preserve"> </w:t>
      </w:r>
      <w:r w:rsidR="00C704D3" w:rsidRPr="00163C9B">
        <w:rPr>
          <w:rFonts w:ascii="Verdana" w:hAnsi="Verdana"/>
          <w:sz w:val="20"/>
          <w:szCs w:val="20"/>
          <w:lang w:val="bg-BG"/>
        </w:rPr>
        <w:t xml:space="preserve">цитирани </w:t>
      </w:r>
      <w:r w:rsidRPr="00163C9B">
        <w:rPr>
          <w:rFonts w:ascii="Verdana" w:hAnsi="Verdana"/>
          <w:sz w:val="20"/>
          <w:szCs w:val="20"/>
          <w:lang w:val="bg-BG"/>
        </w:rPr>
        <w:t xml:space="preserve">в </w:t>
      </w:r>
      <w:r w:rsidR="00DC4A70" w:rsidRPr="00163C9B">
        <w:rPr>
          <w:rFonts w:ascii="Verdana" w:hAnsi="Verdana"/>
          <w:sz w:val="20"/>
          <w:szCs w:val="20"/>
          <w:lang w:val="bg-BG"/>
        </w:rPr>
        <w:t>същата разпоредба</w:t>
      </w:r>
      <w:r w:rsidR="00ED366F">
        <w:rPr>
          <w:rFonts w:ascii="Verdana" w:hAnsi="Verdana"/>
          <w:sz w:val="20"/>
          <w:szCs w:val="20"/>
          <w:lang w:val="bg-BG"/>
        </w:rPr>
        <w:t>.</w:t>
      </w:r>
    </w:p>
    <w:p w:rsidR="00CB24DC" w:rsidRPr="00163C9B" w:rsidRDefault="00C704D3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lang w:val="bg-BG"/>
        </w:rPr>
        <w:t xml:space="preserve">С оглед </w:t>
      </w:r>
      <w:r w:rsidR="00CB24DC" w:rsidRPr="00163C9B">
        <w:rPr>
          <w:rFonts w:ascii="Verdana" w:hAnsi="Verdana"/>
          <w:sz w:val="20"/>
          <w:lang w:val="bg-BG"/>
        </w:rPr>
        <w:t>изменения</w:t>
      </w:r>
      <w:r w:rsidRPr="00163C9B">
        <w:rPr>
          <w:rFonts w:ascii="Verdana" w:hAnsi="Verdana"/>
          <w:sz w:val="20"/>
          <w:lang w:val="bg-BG"/>
        </w:rPr>
        <w:t>та</w:t>
      </w:r>
      <w:r w:rsidR="00CB24DC" w:rsidRPr="00163C9B">
        <w:rPr>
          <w:rFonts w:ascii="Verdana" w:hAnsi="Verdana"/>
          <w:sz w:val="20"/>
          <w:lang w:val="bg-BG"/>
        </w:rPr>
        <w:t xml:space="preserve"> </w:t>
      </w:r>
      <w:r w:rsidRPr="00163C9B">
        <w:rPr>
          <w:rFonts w:ascii="Verdana" w:hAnsi="Verdana"/>
          <w:sz w:val="20"/>
          <w:lang w:val="bg-BG"/>
        </w:rPr>
        <w:t xml:space="preserve">и допълненията </w:t>
      </w:r>
      <w:r w:rsidR="00CB24DC" w:rsidRPr="00163C9B">
        <w:rPr>
          <w:rFonts w:ascii="Verdana" w:hAnsi="Verdana"/>
          <w:sz w:val="20"/>
          <w:lang w:val="bg-BG"/>
        </w:rPr>
        <w:t xml:space="preserve">в </w:t>
      </w:r>
      <w:r w:rsidRPr="00163C9B">
        <w:rPr>
          <w:rFonts w:ascii="Verdana" w:hAnsi="Verdana"/>
          <w:sz w:val="20"/>
          <w:lang w:val="bg-BG"/>
        </w:rPr>
        <w:t xml:space="preserve">горепосоченото </w:t>
      </w:r>
      <w:r w:rsidR="00CB24DC" w:rsidRPr="00163C9B">
        <w:rPr>
          <w:rFonts w:ascii="Verdana" w:hAnsi="Verdana"/>
          <w:sz w:val="20"/>
          <w:lang w:val="bg-BG"/>
        </w:rPr>
        <w:t xml:space="preserve">европейско и национално законодателството </w:t>
      </w:r>
      <w:r w:rsidR="00FD7D2B" w:rsidRPr="00163C9B">
        <w:rPr>
          <w:rFonts w:ascii="Verdana" w:hAnsi="Verdana"/>
          <w:sz w:val="20"/>
          <w:lang w:val="bg-BG"/>
        </w:rPr>
        <w:t xml:space="preserve">се </w:t>
      </w:r>
      <w:r w:rsidR="00CB24DC" w:rsidRPr="00163C9B">
        <w:rPr>
          <w:rFonts w:ascii="Verdana" w:hAnsi="Verdana"/>
          <w:sz w:val="20"/>
          <w:lang w:val="bg-BG"/>
        </w:rPr>
        <w:t xml:space="preserve">налага въвеждането на нови такси и изменението на вече съществуващи такива за осъществяването на официалния контрол по агрохранителната верига. </w:t>
      </w:r>
      <w:r w:rsidR="00CB24DC" w:rsidRPr="00163C9B">
        <w:rPr>
          <w:rFonts w:ascii="Verdana" w:hAnsi="Verdana"/>
          <w:sz w:val="20"/>
          <w:szCs w:val="20"/>
          <w:lang w:val="bg-BG"/>
        </w:rPr>
        <w:t xml:space="preserve">В проекта </w:t>
      </w:r>
      <w:r w:rsidR="00792022" w:rsidRPr="00163C9B">
        <w:rPr>
          <w:rFonts w:ascii="Verdana" w:hAnsi="Verdana"/>
          <w:sz w:val="20"/>
          <w:szCs w:val="20"/>
          <w:lang w:val="bg-BG"/>
        </w:rPr>
        <w:t xml:space="preserve">на </w:t>
      </w:r>
      <w:r w:rsidR="00FD7D2B" w:rsidRPr="00163C9B">
        <w:rPr>
          <w:rFonts w:ascii="Verdana" w:hAnsi="Verdana"/>
          <w:sz w:val="20"/>
          <w:szCs w:val="20"/>
          <w:lang w:val="bg-BG"/>
        </w:rPr>
        <w:t xml:space="preserve">новата </w:t>
      </w:r>
      <w:r w:rsidR="00CB24DC" w:rsidRPr="00163C9B">
        <w:rPr>
          <w:rFonts w:ascii="Verdana" w:hAnsi="Verdana"/>
          <w:sz w:val="20"/>
          <w:szCs w:val="20"/>
          <w:lang w:val="bg-BG"/>
        </w:rPr>
        <w:t xml:space="preserve">Тарифа за таксите, които се събират от БАБХ са изменени, допълнени и прецизирани текстовете по всички членове </w:t>
      </w:r>
      <w:r w:rsidR="005218F4" w:rsidRPr="00163C9B">
        <w:rPr>
          <w:rFonts w:ascii="Verdana" w:hAnsi="Verdana"/>
          <w:sz w:val="20"/>
          <w:szCs w:val="20"/>
          <w:lang w:val="bg-BG"/>
        </w:rPr>
        <w:t>от</w:t>
      </w:r>
      <w:r w:rsidR="00CB24DC" w:rsidRPr="00163C9B">
        <w:rPr>
          <w:rFonts w:ascii="Verdana" w:hAnsi="Verdana"/>
          <w:sz w:val="20"/>
          <w:szCs w:val="20"/>
          <w:lang w:val="bg-BG"/>
        </w:rPr>
        <w:t xml:space="preserve"> </w:t>
      </w:r>
      <w:r w:rsidR="00FD7D2B" w:rsidRPr="00163C9B">
        <w:rPr>
          <w:rFonts w:ascii="Verdana" w:hAnsi="Verdana"/>
          <w:sz w:val="20"/>
          <w:szCs w:val="20"/>
          <w:lang w:val="bg-BG"/>
        </w:rPr>
        <w:t>сега</w:t>
      </w:r>
      <w:r w:rsidR="00565147">
        <w:rPr>
          <w:rFonts w:ascii="Verdana" w:hAnsi="Verdana"/>
          <w:sz w:val="20"/>
          <w:szCs w:val="20"/>
          <w:lang w:val="bg-BG"/>
        </w:rPr>
        <w:t xml:space="preserve"> </w:t>
      </w:r>
      <w:r w:rsidR="001F34B4">
        <w:rPr>
          <w:rFonts w:ascii="Verdana" w:hAnsi="Verdana"/>
          <w:sz w:val="20"/>
          <w:szCs w:val="20"/>
          <w:lang w:val="bg-BG"/>
        </w:rPr>
        <w:t xml:space="preserve"> </w:t>
      </w:r>
      <w:r w:rsidR="00FD7D2B" w:rsidRPr="00163C9B">
        <w:rPr>
          <w:rFonts w:ascii="Verdana" w:hAnsi="Verdana"/>
          <w:sz w:val="20"/>
          <w:szCs w:val="20"/>
          <w:lang w:val="bg-BG"/>
        </w:rPr>
        <w:t>действащата Тарифа</w:t>
      </w:r>
      <w:r w:rsidR="00ED366F">
        <w:rPr>
          <w:rFonts w:ascii="Verdana" w:hAnsi="Verdana"/>
          <w:sz w:val="20"/>
          <w:szCs w:val="20"/>
          <w:lang w:val="bg-BG"/>
        </w:rPr>
        <w:t>.</w:t>
      </w:r>
    </w:p>
    <w:p w:rsidR="00CB24DC" w:rsidRPr="00163C9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 xml:space="preserve">За привеждане в съответствие </w:t>
      </w:r>
      <w:r w:rsidR="00310510">
        <w:rPr>
          <w:rFonts w:ascii="Verdana" w:hAnsi="Verdana"/>
          <w:sz w:val="20"/>
          <w:szCs w:val="20"/>
          <w:lang w:val="bg-BG"/>
        </w:rPr>
        <w:t>с</w:t>
      </w:r>
      <w:r w:rsidRPr="00163C9B">
        <w:rPr>
          <w:rFonts w:ascii="Verdana" w:hAnsi="Verdana"/>
          <w:sz w:val="20"/>
          <w:szCs w:val="20"/>
          <w:lang w:val="bg-BG"/>
        </w:rPr>
        <w:t xml:space="preserve"> новия подход в законодателството в проекта на </w:t>
      </w:r>
      <w:r w:rsidR="00553495">
        <w:rPr>
          <w:rFonts w:ascii="Verdana" w:hAnsi="Verdana"/>
          <w:sz w:val="20"/>
          <w:szCs w:val="20"/>
          <w:lang w:val="bg-BG"/>
        </w:rPr>
        <w:t>Т</w:t>
      </w:r>
      <w:r w:rsidRPr="00163C9B">
        <w:rPr>
          <w:rFonts w:ascii="Verdana" w:hAnsi="Verdana"/>
          <w:sz w:val="20"/>
          <w:szCs w:val="20"/>
          <w:lang w:val="bg-BG"/>
        </w:rPr>
        <w:t>арифа за таксите</w:t>
      </w:r>
      <w:r w:rsidR="00553495">
        <w:rPr>
          <w:rFonts w:ascii="Verdana" w:hAnsi="Verdana"/>
          <w:sz w:val="20"/>
          <w:szCs w:val="20"/>
          <w:lang w:val="bg-BG"/>
        </w:rPr>
        <w:t xml:space="preserve">, които се събират от </w:t>
      </w:r>
      <w:r w:rsidR="00C34AC3">
        <w:rPr>
          <w:rFonts w:ascii="Verdana" w:hAnsi="Verdana"/>
          <w:sz w:val="20"/>
          <w:szCs w:val="20"/>
          <w:lang w:val="bg-BG"/>
        </w:rPr>
        <w:t>БАБХ</w:t>
      </w:r>
      <w:r w:rsidRPr="00163C9B">
        <w:rPr>
          <w:rFonts w:ascii="Verdana" w:hAnsi="Verdana"/>
          <w:sz w:val="20"/>
          <w:szCs w:val="20"/>
          <w:lang w:val="bg-BG"/>
        </w:rPr>
        <w:t xml:space="preserve"> се обособява Част първа</w:t>
      </w:r>
      <w:r w:rsidR="002C7552" w:rsidRPr="00163C9B">
        <w:rPr>
          <w:rFonts w:ascii="Verdana" w:hAnsi="Verdana"/>
          <w:sz w:val="20"/>
          <w:szCs w:val="20"/>
          <w:lang w:val="bg-BG"/>
        </w:rPr>
        <w:t>,</w:t>
      </w:r>
      <w:r w:rsidRPr="00163C9B">
        <w:rPr>
          <w:rFonts w:ascii="Verdana" w:hAnsi="Verdana"/>
          <w:sz w:val="20"/>
          <w:szCs w:val="20"/>
          <w:lang w:val="bg-BG"/>
        </w:rPr>
        <w:t xml:space="preserve"> </w:t>
      </w:r>
      <w:r w:rsidR="002C7552" w:rsidRPr="00163C9B">
        <w:rPr>
          <w:rFonts w:ascii="Verdana" w:hAnsi="Verdana"/>
          <w:sz w:val="20"/>
          <w:szCs w:val="20"/>
          <w:lang w:val="bg-BG"/>
        </w:rPr>
        <w:t xml:space="preserve">в която са включени </w:t>
      </w:r>
      <w:r w:rsidRPr="00163C9B">
        <w:rPr>
          <w:rFonts w:ascii="Verdana" w:hAnsi="Verdana"/>
          <w:sz w:val="20"/>
          <w:szCs w:val="20"/>
          <w:lang w:val="bg-BG"/>
        </w:rPr>
        <w:t xml:space="preserve">общи такси, определени от унифицираните изисквания за официален контрол по цялата агрохранителна верига на Регламент (EС) 2017/625 и </w:t>
      </w:r>
      <w:r w:rsidR="002C7552" w:rsidRPr="00163C9B">
        <w:rPr>
          <w:rFonts w:ascii="Verdana" w:hAnsi="Verdana"/>
          <w:sz w:val="20"/>
          <w:szCs w:val="20"/>
          <w:lang w:val="bg-BG"/>
        </w:rPr>
        <w:t>ЗУАВ</w:t>
      </w:r>
      <w:r w:rsidRPr="00163C9B">
        <w:rPr>
          <w:rFonts w:ascii="Verdana" w:hAnsi="Verdana"/>
          <w:sz w:val="20"/>
          <w:szCs w:val="20"/>
          <w:lang w:val="bg-BG"/>
        </w:rPr>
        <w:t xml:space="preserve">. Тези такси ще се прилагат </w:t>
      </w:r>
      <w:r w:rsidR="002C7552" w:rsidRPr="00163C9B">
        <w:rPr>
          <w:rFonts w:ascii="Verdana" w:hAnsi="Verdana"/>
          <w:sz w:val="20"/>
          <w:szCs w:val="20"/>
          <w:lang w:val="bg-BG"/>
        </w:rPr>
        <w:t xml:space="preserve">по </w:t>
      </w:r>
      <w:r w:rsidRPr="00163C9B">
        <w:rPr>
          <w:rFonts w:ascii="Verdana" w:hAnsi="Verdana"/>
          <w:sz w:val="20"/>
          <w:szCs w:val="20"/>
          <w:lang w:val="bg-BG"/>
        </w:rPr>
        <w:t>всички направления за контрол на агрохранителната верига и изчисляването им</w:t>
      </w:r>
      <w:r w:rsidR="002C7552" w:rsidRPr="00163C9B">
        <w:rPr>
          <w:rFonts w:ascii="Verdana" w:hAnsi="Verdana"/>
          <w:sz w:val="20"/>
          <w:szCs w:val="20"/>
          <w:lang w:val="bg-BG"/>
        </w:rPr>
        <w:t xml:space="preserve"> е </w:t>
      </w:r>
      <w:r w:rsidRPr="00163C9B">
        <w:rPr>
          <w:rFonts w:ascii="Verdana" w:hAnsi="Verdana"/>
          <w:sz w:val="20"/>
          <w:szCs w:val="20"/>
          <w:lang w:val="bg-BG"/>
        </w:rPr>
        <w:t>съобразе</w:t>
      </w:r>
      <w:r w:rsidR="002C7552" w:rsidRPr="00163C9B">
        <w:rPr>
          <w:rFonts w:ascii="Verdana" w:hAnsi="Verdana"/>
          <w:sz w:val="20"/>
          <w:szCs w:val="20"/>
          <w:lang w:val="bg-BG"/>
        </w:rPr>
        <w:t>но</w:t>
      </w:r>
      <w:r w:rsidRPr="00163C9B">
        <w:rPr>
          <w:rFonts w:ascii="Verdana" w:hAnsi="Verdana"/>
          <w:sz w:val="20"/>
          <w:szCs w:val="20"/>
          <w:lang w:val="bg-BG"/>
        </w:rPr>
        <w:t xml:space="preserve"> с изискванията на чл.</w:t>
      </w:r>
      <w:r w:rsidR="00ED366F">
        <w:rPr>
          <w:rFonts w:ascii="Verdana" w:hAnsi="Verdana"/>
          <w:sz w:val="20"/>
          <w:szCs w:val="20"/>
          <w:lang w:val="bg-BG"/>
        </w:rPr>
        <w:t xml:space="preserve"> 82 от Регламент (EС) 2017/625.</w:t>
      </w:r>
    </w:p>
    <w:p w:rsidR="00CB24DC" w:rsidRPr="00163C9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 xml:space="preserve">Останалата част от структурата на тарифата се запазва по контролни направления, като във всяка част </w:t>
      </w:r>
      <w:r w:rsidR="00544947" w:rsidRPr="00163C9B">
        <w:rPr>
          <w:rFonts w:ascii="Verdana" w:hAnsi="Verdana"/>
          <w:sz w:val="20"/>
          <w:szCs w:val="20"/>
          <w:lang w:val="bg-BG"/>
        </w:rPr>
        <w:t xml:space="preserve">се </w:t>
      </w:r>
      <w:r w:rsidRPr="00163C9B">
        <w:rPr>
          <w:rFonts w:ascii="Verdana" w:hAnsi="Verdana"/>
          <w:sz w:val="20"/>
          <w:szCs w:val="20"/>
          <w:lang w:val="bg-BG"/>
        </w:rPr>
        <w:t>нанасят изменения, съобразени с измененията на специализираните закони, както следва:</w:t>
      </w:r>
    </w:p>
    <w:p w:rsidR="00CB24DC" w:rsidRPr="00163C9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>За извършен официален контрол на граничните контролни пунктове (ГКП) и контролни пунктове (КП) на територията на България при въвеждане на животни и стоки с произход трети държави посочени в член 47, параграф 1 от Регламент (ЕС) 20</w:t>
      </w:r>
      <w:r w:rsidR="00001BD6" w:rsidRPr="00163C9B">
        <w:rPr>
          <w:rFonts w:ascii="Verdana" w:hAnsi="Verdana"/>
          <w:sz w:val="20"/>
          <w:szCs w:val="20"/>
          <w:lang w:val="bg-BG"/>
        </w:rPr>
        <w:t>17/625 се събират задължителни т</w:t>
      </w:r>
      <w:r w:rsidRPr="00163C9B">
        <w:rPr>
          <w:rFonts w:ascii="Verdana" w:hAnsi="Verdana"/>
          <w:sz w:val="20"/>
          <w:szCs w:val="20"/>
          <w:lang w:val="bg-BG"/>
        </w:rPr>
        <w:t>акси в изпълнение на разпоредбите на чл. 7</w:t>
      </w:r>
      <w:r w:rsidR="00DC53C5" w:rsidRPr="00163C9B">
        <w:rPr>
          <w:rFonts w:ascii="Verdana" w:hAnsi="Verdana"/>
          <w:sz w:val="20"/>
          <w:szCs w:val="20"/>
          <w:lang w:val="bg-BG"/>
        </w:rPr>
        <w:t>9 от същия</w:t>
      </w:r>
      <w:r w:rsidRPr="00163C9B">
        <w:rPr>
          <w:rFonts w:ascii="Verdana" w:hAnsi="Verdana"/>
          <w:sz w:val="20"/>
          <w:szCs w:val="20"/>
          <w:lang w:val="bg-BG"/>
        </w:rPr>
        <w:t>. Размера на събираните такси е такъв, че да покрие на</w:t>
      </w:r>
      <w:r w:rsidR="00FA4863" w:rsidRPr="00163C9B">
        <w:rPr>
          <w:rFonts w:ascii="Verdana" w:hAnsi="Verdana"/>
          <w:sz w:val="20"/>
          <w:szCs w:val="20"/>
          <w:lang w:val="bg-BG"/>
        </w:rPr>
        <w:t>правените разходи от страна на к</w:t>
      </w:r>
      <w:r w:rsidRPr="00163C9B">
        <w:rPr>
          <w:rFonts w:ascii="Verdana" w:hAnsi="Verdana"/>
          <w:sz w:val="20"/>
          <w:szCs w:val="20"/>
          <w:lang w:val="bg-BG"/>
        </w:rPr>
        <w:t>омпетентния орган за изпълнение на официалните дейности и за него се прилагат минималните стойности</w:t>
      </w:r>
      <w:r w:rsidR="00CE68BB" w:rsidRPr="00163C9B">
        <w:rPr>
          <w:rFonts w:ascii="Verdana" w:hAnsi="Verdana"/>
          <w:sz w:val="20"/>
          <w:szCs w:val="20"/>
          <w:lang w:val="bg-BG"/>
        </w:rPr>
        <w:t>,</w:t>
      </w:r>
      <w:r w:rsidRPr="00163C9B">
        <w:rPr>
          <w:rFonts w:ascii="Verdana" w:hAnsi="Verdana"/>
          <w:sz w:val="20"/>
          <w:szCs w:val="20"/>
          <w:lang w:val="bg-BG"/>
        </w:rPr>
        <w:t xml:space="preserve"> посочени в Приложение IV</w:t>
      </w:r>
      <w:r w:rsidR="00D16F84" w:rsidRPr="00163C9B">
        <w:rPr>
          <w:rFonts w:ascii="Verdana" w:hAnsi="Verdana"/>
          <w:sz w:val="20"/>
          <w:szCs w:val="20"/>
          <w:lang w:val="bg-BG"/>
        </w:rPr>
        <w:t>, Глава I</w:t>
      </w:r>
      <w:r w:rsidRPr="00163C9B">
        <w:rPr>
          <w:rFonts w:ascii="Verdana" w:hAnsi="Verdana"/>
          <w:sz w:val="20"/>
          <w:szCs w:val="20"/>
          <w:lang w:val="bg-BG"/>
        </w:rPr>
        <w:t xml:space="preserve"> на </w:t>
      </w:r>
      <w:r w:rsidR="00FA4863" w:rsidRPr="00163C9B">
        <w:rPr>
          <w:rFonts w:ascii="Verdana" w:hAnsi="Verdana"/>
          <w:sz w:val="20"/>
          <w:szCs w:val="20"/>
          <w:lang w:val="bg-BG"/>
        </w:rPr>
        <w:t>Регламент (EС) 2017/625</w:t>
      </w:r>
      <w:r w:rsidRPr="00163C9B">
        <w:rPr>
          <w:rFonts w:ascii="Verdana" w:hAnsi="Verdana"/>
          <w:sz w:val="20"/>
          <w:szCs w:val="20"/>
          <w:lang w:val="bg-BG"/>
        </w:rPr>
        <w:t>, като същите са из</w:t>
      </w:r>
      <w:r w:rsidR="00244FD2">
        <w:rPr>
          <w:rFonts w:ascii="Verdana" w:hAnsi="Verdana"/>
          <w:sz w:val="20"/>
          <w:szCs w:val="20"/>
          <w:lang w:val="bg-BG"/>
        </w:rPr>
        <w:t>числени в левова равностойност.</w:t>
      </w:r>
    </w:p>
    <w:p w:rsidR="00CB24DC" w:rsidRPr="00163C9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>Таксите, събирани</w:t>
      </w:r>
      <w:r w:rsidR="00244FD2">
        <w:rPr>
          <w:rFonts w:ascii="Verdana" w:hAnsi="Verdana"/>
          <w:sz w:val="20"/>
          <w:szCs w:val="20"/>
          <w:lang w:val="bg-BG"/>
        </w:rPr>
        <w:t xml:space="preserve"> за извършен официален контрол </w:t>
      </w:r>
      <w:r w:rsidRPr="00163C9B">
        <w:rPr>
          <w:rFonts w:ascii="Verdana" w:hAnsi="Verdana"/>
          <w:sz w:val="20"/>
          <w:szCs w:val="20"/>
          <w:lang w:val="bg-BG"/>
        </w:rPr>
        <w:t xml:space="preserve">на пратки с продукти от животински произход и живи животни от Нова Зеландия (съгласно </w:t>
      </w:r>
      <w:r w:rsidR="00ED6039" w:rsidRPr="00244FD2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ru-RU"/>
        </w:rPr>
        <w:t>Решение на Съвета от 15</w:t>
      </w:r>
      <w:r w:rsidR="00244FD2" w:rsidRPr="00244FD2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ED6039" w:rsidRPr="00244FD2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ru-RU"/>
        </w:rPr>
        <w:t>ноември 1999 година за изменение на Решение 97/132/ЕО относно сключването на споразумението между Европейската общност и Нова Зеландия относно санитарните мерки, приложими за търговията с живи животни и животински продукти</w:t>
      </w:r>
      <w:r w:rsidR="00ED6039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bg-BG"/>
        </w:rPr>
        <w:t xml:space="preserve"> </w:t>
      </w:r>
      <w:r w:rsidR="00ED6039" w:rsidRPr="00ED6039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bg-BG"/>
        </w:rPr>
        <w:t>(</w:t>
      </w:r>
      <w:r w:rsidR="00137254">
        <w:rPr>
          <w:rStyle w:val="Emphasis"/>
          <w:rFonts w:ascii="Verdana" w:hAnsi="Verdana" w:cs="Segoe UI"/>
          <w:i w:val="0"/>
          <w:color w:val="333333"/>
          <w:sz w:val="20"/>
          <w:szCs w:val="20"/>
          <w:shd w:val="clear" w:color="auto" w:fill="FFFFFF"/>
        </w:rPr>
        <w:t>O</w:t>
      </w:r>
      <w:r w:rsidR="00137254">
        <w:rPr>
          <w:rStyle w:val="Emphasis"/>
          <w:rFonts w:ascii="Verdana" w:hAnsi="Verdana" w:cs="Segoe UI"/>
          <w:i w:val="0"/>
          <w:color w:val="333333"/>
          <w:sz w:val="20"/>
          <w:szCs w:val="20"/>
          <w:shd w:val="clear" w:color="auto" w:fill="FFFFFF"/>
          <w:lang w:val="bg-BG"/>
        </w:rPr>
        <w:t>В</w:t>
      </w:r>
      <w:r w:rsidR="00ED6039" w:rsidRPr="00244FD2">
        <w:rPr>
          <w:rStyle w:val="Emphasis"/>
          <w:rFonts w:ascii="Verdana" w:hAnsi="Verdana" w:cs="Segoe UI"/>
          <w:i w:val="0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ED6039" w:rsidRPr="00ED6039">
        <w:rPr>
          <w:rStyle w:val="Emphasis"/>
          <w:rFonts w:ascii="Verdana" w:hAnsi="Verdana" w:cs="Segoe UI"/>
          <w:i w:val="0"/>
          <w:color w:val="333333"/>
          <w:sz w:val="20"/>
          <w:szCs w:val="20"/>
          <w:shd w:val="clear" w:color="auto" w:fill="FFFFFF"/>
        </w:rPr>
        <w:t>L</w:t>
      </w:r>
      <w:r w:rsidR="00ED6039" w:rsidRPr="00244FD2">
        <w:rPr>
          <w:rStyle w:val="Emphasis"/>
          <w:rFonts w:ascii="Verdana" w:hAnsi="Verdana" w:cs="Segoe UI"/>
          <w:i w:val="0"/>
          <w:color w:val="333333"/>
          <w:sz w:val="20"/>
          <w:szCs w:val="20"/>
          <w:shd w:val="clear" w:color="auto" w:fill="FFFFFF"/>
          <w:lang w:val="ru-RU"/>
        </w:rPr>
        <w:t xml:space="preserve"> 332, 23.12.1999</w:t>
      </w:r>
      <w:r w:rsidRPr="00825E46">
        <w:rPr>
          <w:rFonts w:ascii="Verdana" w:hAnsi="Verdana"/>
          <w:sz w:val="20"/>
          <w:szCs w:val="20"/>
          <w:lang w:val="bg-BG"/>
        </w:rPr>
        <w:t>)</w:t>
      </w:r>
      <w:r w:rsidRPr="00163C9B">
        <w:rPr>
          <w:rFonts w:ascii="Verdana" w:hAnsi="Verdana"/>
          <w:sz w:val="20"/>
          <w:szCs w:val="20"/>
          <w:lang w:val="bg-BG"/>
        </w:rPr>
        <w:t xml:space="preserve"> се събират на основание споразумение между Европейската общност и Нова Зеландия за санитарните мерки приложими към търговията с живи животни и продукти от животински произход от 1997 и Приложение VIII, Б от него</w:t>
      </w:r>
      <w:r w:rsidR="00244FD2" w:rsidRPr="00244FD2">
        <w:rPr>
          <w:rFonts w:ascii="Verdana" w:hAnsi="Verdana"/>
          <w:sz w:val="20"/>
          <w:szCs w:val="20"/>
          <w:lang w:val="ru-RU"/>
        </w:rPr>
        <w:t xml:space="preserve"> </w:t>
      </w:r>
      <w:r w:rsidR="00244FD2">
        <w:rPr>
          <w:rFonts w:ascii="Verdana" w:hAnsi="Verdana"/>
          <w:sz w:val="20"/>
          <w:szCs w:val="20"/>
          <w:lang w:val="bg-BG"/>
        </w:rPr>
        <w:t>–</w:t>
      </w:r>
      <w:r w:rsidR="00244FD2" w:rsidRPr="00244FD2">
        <w:rPr>
          <w:rFonts w:ascii="Verdana" w:hAnsi="Verdana"/>
          <w:sz w:val="20"/>
          <w:szCs w:val="20"/>
          <w:lang w:val="ru-RU"/>
        </w:rPr>
        <w:t xml:space="preserve"> </w:t>
      </w:r>
      <w:r w:rsidRPr="00163C9B">
        <w:rPr>
          <w:rFonts w:ascii="Verdana" w:hAnsi="Verdana"/>
          <w:sz w:val="20"/>
          <w:szCs w:val="20"/>
          <w:lang w:val="bg-BG"/>
        </w:rPr>
        <w:t>Такси за инспекция</w:t>
      </w:r>
      <w:r w:rsidR="009071BC" w:rsidRPr="00163C9B">
        <w:rPr>
          <w:rFonts w:ascii="Verdana" w:hAnsi="Verdana"/>
          <w:sz w:val="20"/>
          <w:szCs w:val="20"/>
          <w:lang w:val="bg-BG"/>
        </w:rPr>
        <w:t>.</w:t>
      </w:r>
    </w:p>
    <w:p w:rsidR="004E415B" w:rsidRPr="00542EDC" w:rsidRDefault="00CB24DC" w:rsidP="00C560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 xml:space="preserve">Таксите за извършване на дезинфекция на влизащи в страната превозни средства се събират на основание </w:t>
      </w:r>
      <w:r w:rsidR="00E501A4" w:rsidRPr="00163C9B">
        <w:rPr>
          <w:rFonts w:ascii="Verdana" w:hAnsi="Verdana"/>
          <w:sz w:val="20"/>
          <w:szCs w:val="20"/>
          <w:lang w:val="bg-BG"/>
        </w:rPr>
        <w:t>чл. 188, ал.</w:t>
      </w:r>
      <w:r w:rsidR="00244FD2" w:rsidRPr="00244FD2">
        <w:rPr>
          <w:rFonts w:ascii="Verdana" w:hAnsi="Verdana"/>
          <w:sz w:val="20"/>
          <w:szCs w:val="20"/>
          <w:lang w:val="ru-RU"/>
        </w:rPr>
        <w:t xml:space="preserve"> </w:t>
      </w:r>
      <w:r w:rsidR="00E501A4" w:rsidRPr="00163C9B">
        <w:rPr>
          <w:rFonts w:ascii="Verdana" w:hAnsi="Verdana"/>
          <w:sz w:val="20"/>
          <w:szCs w:val="20"/>
          <w:lang w:val="bg-BG"/>
        </w:rPr>
        <w:t>1, т.</w:t>
      </w:r>
      <w:r w:rsidR="00244FD2" w:rsidRPr="00244FD2">
        <w:rPr>
          <w:rFonts w:ascii="Verdana" w:hAnsi="Verdana"/>
          <w:sz w:val="20"/>
          <w:szCs w:val="20"/>
          <w:lang w:val="ru-RU"/>
        </w:rPr>
        <w:t xml:space="preserve"> </w:t>
      </w:r>
      <w:r w:rsidR="00E501A4" w:rsidRPr="00163C9B">
        <w:rPr>
          <w:rFonts w:ascii="Verdana" w:hAnsi="Verdana"/>
          <w:sz w:val="20"/>
          <w:szCs w:val="20"/>
          <w:lang w:val="bg-BG"/>
        </w:rPr>
        <w:t xml:space="preserve">4 </w:t>
      </w:r>
      <w:r w:rsidRPr="00163C9B">
        <w:rPr>
          <w:rFonts w:ascii="Verdana" w:hAnsi="Verdana"/>
          <w:sz w:val="20"/>
          <w:szCs w:val="20"/>
          <w:lang w:val="bg-BG"/>
        </w:rPr>
        <w:t>Закона за ветеринарномедицинската дейност.</w:t>
      </w:r>
    </w:p>
    <w:p w:rsidR="009071BC" w:rsidRPr="00163C9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lastRenderedPageBreak/>
        <w:t xml:space="preserve">Таксите, които се събират при осъществяване на официален контрол при въвеждане на пратки биологични продукти и продуктите в преход към биологично </w:t>
      </w:r>
      <w:r w:rsidRPr="00FF650E">
        <w:rPr>
          <w:rFonts w:ascii="Verdana" w:hAnsi="Verdana"/>
          <w:sz w:val="20"/>
          <w:szCs w:val="20"/>
          <w:lang w:val="bg-BG"/>
        </w:rPr>
        <w:t>производство с произход от трети държави се основават на изпълнението на чл. 45</w:t>
      </w:r>
      <w:r w:rsidR="001A2767" w:rsidRPr="00FF650E">
        <w:rPr>
          <w:rFonts w:ascii="Verdana" w:hAnsi="Verdana"/>
          <w:sz w:val="20"/>
          <w:szCs w:val="20"/>
          <w:lang w:val="bg-BG"/>
        </w:rPr>
        <w:t xml:space="preserve">, параграф </w:t>
      </w:r>
      <w:r w:rsidRPr="00FF650E">
        <w:rPr>
          <w:rFonts w:ascii="Verdana" w:hAnsi="Verdana"/>
          <w:sz w:val="20"/>
          <w:szCs w:val="20"/>
          <w:lang w:val="bg-BG"/>
        </w:rPr>
        <w:t xml:space="preserve">5 от </w:t>
      </w:r>
      <w:r w:rsidR="006214D0" w:rsidRPr="00244FD2">
        <w:rPr>
          <w:rFonts w:ascii="Verdana" w:hAnsi="Verdana" w:cs="Segoe UI"/>
          <w:bCs/>
          <w:sz w:val="20"/>
          <w:szCs w:val="20"/>
          <w:shd w:val="clear" w:color="auto" w:fill="FFFFFF"/>
          <w:lang w:val="ru-RU"/>
        </w:rPr>
        <w:t>Регламент (ЕС) 2018/848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(ЕО) № 834/2007 на Съвета</w:t>
      </w:r>
      <w:r w:rsidR="006214D0" w:rsidRPr="00FF650E">
        <w:rPr>
          <w:rFonts w:ascii="Verdana" w:hAnsi="Verdana" w:cs="Segoe UI"/>
          <w:bCs/>
          <w:sz w:val="20"/>
          <w:szCs w:val="20"/>
          <w:shd w:val="clear" w:color="auto" w:fill="FFFFFF"/>
          <w:lang w:val="bg-BG"/>
        </w:rPr>
        <w:t xml:space="preserve"> (</w:t>
      </w:r>
      <w:r w:rsidR="00137254">
        <w:rPr>
          <w:rStyle w:val="Emphasis"/>
          <w:rFonts w:ascii="Verdana" w:hAnsi="Verdana" w:cs="Segoe UI"/>
          <w:i w:val="0"/>
          <w:sz w:val="20"/>
          <w:szCs w:val="20"/>
          <w:shd w:val="clear" w:color="auto" w:fill="FFFFFF"/>
        </w:rPr>
        <w:t>O</w:t>
      </w:r>
      <w:r w:rsidR="00137254">
        <w:rPr>
          <w:rStyle w:val="Emphasis"/>
          <w:rFonts w:ascii="Verdana" w:hAnsi="Verdana" w:cs="Segoe UI"/>
          <w:i w:val="0"/>
          <w:sz w:val="20"/>
          <w:szCs w:val="20"/>
          <w:shd w:val="clear" w:color="auto" w:fill="FFFFFF"/>
          <w:lang w:val="bg-BG"/>
        </w:rPr>
        <w:t>В</w:t>
      </w:r>
      <w:r w:rsidR="006214D0" w:rsidRPr="00244FD2">
        <w:rPr>
          <w:rStyle w:val="Emphasis"/>
          <w:rFonts w:ascii="Verdana" w:hAnsi="Verdana" w:cs="Segoe UI"/>
          <w:i w:val="0"/>
          <w:sz w:val="20"/>
          <w:szCs w:val="20"/>
          <w:shd w:val="clear" w:color="auto" w:fill="FFFFFF"/>
          <w:lang w:val="ru-RU"/>
        </w:rPr>
        <w:t xml:space="preserve"> </w:t>
      </w:r>
      <w:r w:rsidR="006214D0" w:rsidRPr="00FF650E">
        <w:rPr>
          <w:rStyle w:val="Emphasis"/>
          <w:rFonts w:ascii="Verdana" w:hAnsi="Verdana" w:cs="Segoe UI"/>
          <w:i w:val="0"/>
          <w:sz w:val="20"/>
          <w:szCs w:val="20"/>
          <w:shd w:val="clear" w:color="auto" w:fill="FFFFFF"/>
        </w:rPr>
        <w:t>L</w:t>
      </w:r>
      <w:r w:rsidR="006214D0" w:rsidRPr="00244FD2">
        <w:rPr>
          <w:rStyle w:val="Emphasis"/>
          <w:rFonts w:ascii="Verdana" w:hAnsi="Verdana" w:cs="Segoe UI"/>
          <w:i w:val="0"/>
          <w:sz w:val="20"/>
          <w:szCs w:val="20"/>
          <w:shd w:val="clear" w:color="auto" w:fill="FFFFFF"/>
          <w:lang w:val="ru-RU"/>
        </w:rPr>
        <w:t xml:space="preserve"> 150/.2018</w:t>
      </w:r>
      <w:r w:rsidR="006214D0" w:rsidRPr="00FF650E">
        <w:rPr>
          <w:rFonts w:ascii="Verdana" w:hAnsi="Verdana" w:cs="Segoe UI"/>
          <w:bCs/>
          <w:sz w:val="20"/>
          <w:szCs w:val="20"/>
          <w:shd w:val="clear" w:color="auto" w:fill="FFFFFF"/>
          <w:lang w:val="bg-BG"/>
        </w:rPr>
        <w:t>)</w:t>
      </w:r>
      <w:r w:rsidRPr="00FF650E">
        <w:rPr>
          <w:rFonts w:ascii="Verdana" w:hAnsi="Verdana"/>
          <w:sz w:val="20"/>
          <w:szCs w:val="20"/>
          <w:lang w:val="bg-BG"/>
        </w:rPr>
        <w:t>, в съответствие с член 47, парагра</w:t>
      </w:r>
      <w:r w:rsidR="00244FD2">
        <w:rPr>
          <w:rFonts w:ascii="Verdana" w:hAnsi="Verdana"/>
          <w:sz w:val="20"/>
          <w:szCs w:val="20"/>
          <w:lang w:val="bg-BG"/>
        </w:rPr>
        <w:t>ф 1 от Регламент (ЕС) 2017/625.</w:t>
      </w:r>
    </w:p>
    <w:p w:rsidR="00CB24DC" w:rsidRPr="00163C9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b/>
          <w:sz w:val="20"/>
          <w:szCs w:val="20"/>
          <w:lang w:val="bg-BG"/>
        </w:rPr>
        <w:t xml:space="preserve">Таксите по </w:t>
      </w:r>
      <w:r w:rsidR="00166DFA" w:rsidRPr="00163C9B">
        <w:rPr>
          <w:rFonts w:ascii="Verdana" w:hAnsi="Verdana"/>
          <w:b/>
          <w:sz w:val="20"/>
          <w:szCs w:val="20"/>
          <w:lang w:val="bg-BG"/>
        </w:rPr>
        <w:t xml:space="preserve">контролно направление във връзка със </w:t>
      </w:r>
      <w:r w:rsidRPr="00163C9B">
        <w:rPr>
          <w:rFonts w:ascii="Verdana" w:hAnsi="Verdana"/>
          <w:b/>
          <w:sz w:val="20"/>
          <w:szCs w:val="20"/>
          <w:lang w:val="bg-BG"/>
        </w:rPr>
        <w:t>Закона за защита на растенията</w:t>
      </w:r>
      <w:r w:rsidRPr="00163C9B">
        <w:rPr>
          <w:rFonts w:ascii="Verdana" w:hAnsi="Verdana"/>
          <w:sz w:val="20"/>
          <w:szCs w:val="20"/>
          <w:lang w:val="bg-BG"/>
        </w:rPr>
        <w:t xml:space="preserve"> </w:t>
      </w:r>
      <w:r w:rsidR="006E5F34" w:rsidRPr="00163C9B">
        <w:rPr>
          <w:rFonts w:ascii="Verdana" w:hAnsi="Verdana"/>
          <w:sz w:val="20"/>
          <w:szCs w:val="20"/>
          <w:lang w:val="bg-BG"/>
        </w:rPr>
        <w:t xml:space="preserve">/ЗЗР/ </w:t>
      </w:r>
      <w:r w:rsidR="00B16ED3" w:rsidRPr="00163C9B">
        <w:rPr>
          <w:rFonts w:ascii="Verdana" w:hAnsi="Verdana"/>
          <w:sz w:val="20"/>
          <w:szCs w:val="20"/>
          <w:lang w:val="bg-BG"/>
        </w:rPr>
        <w:t xml:space="preserve">уреждат обществените отношения, свързани с прилагане на фитосанитарните мерки по Международната конвенция по растителна защита и </w:t>
      </w:r>
      <w:r w:rsidRPr="00163C9B">
        <w:rPr>
          <w:rFonts w:ascii="Verdana" w:hAnsi="Verdana"/>
          <w:sz w:val="20"/>
          <w:szCs w:val="20"/>
          <w:lang w:val="bg-BG"/>
        </w:rPr>
        <w:t>са въведени, за да покрият разходите, свързани с мерките по прилагане на Регламент (ЕО) № 1107/2009 на Европейския парламент и на Съвета от 21 октомври 2009 г. относно пускането на пазара на продукти за растителна защита и за отмяна на директиви 79/117/ЕИО и 91/414/ЕИО на Съвета (ОВ, L 309/</w:t>
      </w:r>
      <w:r w:rsidR="00123BFC">
        <w:rPr>
          <w:rFonts w:ascii="Verdana" w:hAnsi="Verdana"/>
          <w:sz w:val="20"/>
          <w:szCs w:val="20"/>
          <w:lang w:val="bg-BG"/>
        </w:rPr>
        <w:t>2009 г.)</w:t>
      </w:r>
      <w:r w:rsidR="00B77EA2">
        <w:rPr>
          <w:rFonts w:ascii="Verdana" w:hAnsi="Verdana"/>
          <w:sz w:val="20"/>
          <w:szCs w:val="20"/>
          <w:lang w:val="bg-BG"/>
        </w:rPr>
        <w:t xml:space="preserve">, </w:t>
      </w:r>
      <w:r w:rsidR="00EF4AAC">
        <w:rPr>
          <w:rFonts w:ascii="Verdana" w:hAnsi="Verdana"/>
          <w:sz w:val="20"/>
          <w:szCs w:val="20"/>
          <w:lang w:val="bg-BG"/>
        </w:rPr>
        <w:t>(</w:t>
      </w:r>
      <w:r w:rsidRPr="00163C9B">
        <w:rPr>
          <w:rFonts w:ascii="Verdana" w:hAnsi="Verdana"/>
          <w:sz w:val="20"/>
          <w:szCs w:val="20"/>
          <w:lang w:val="bg-BG"/>
        </w:rPr>
        <w:t>Регламент (ЕО) № 1107/2009</w:t>
      </w:r>
      <w:r w:rsidR="00EF4AAC">
        <w:rPr>
          <w:rFonts w:ascii="Verdana" w:hAnsi="Verdana"/>
          <w:sz w:val="20"/>
          <w:szCs w:val="20"/>
          <w:lang w:val="bg-BG"/>
        </w:rPr>
        <w:t>)</w:t>
      </w:r>
      <w:r w:rsidRPr="00163C9B">
        <w:rPr>
          <w:rFonts w:ascii="Verdana" w:hAnsi="Verdana"/>
          <w:sz w:val="20"/>
          <w:szCs w:val="20"/>
          <w:lang w:val="bg-BG"/>
        </w:rPr>
        <w:t>, мерките по прилагане на Регламент (ЕО) № 2003/2003 на Европейския парламент и на Съвета от 13 октомври 20</w:t>
      </w:r>
      <w:r w:rsidR="00235E05">
        <w:rPr>
          <w:rFonts w:ascii="Verdana" w:hAnsi="Verdana"/>
          <w:sz w:val="20"/>
          <w:szCs w:val="20"/>
          <w:lang w:val="bg-BG"/>
        </w:rPr>
        <w:t xml:space="preserve">03 г. относно торовете, </w:t>
      </w:r>
      <w:r w:rsidR="00EF4AAC">
        <w:rPr>
          <w:rFonts w:ascii="Verdana" w:hAnsi="Verdana"/>
          <w:sz w:val="20"/>
          <w:szCs w:val="20"/>
          <w:lang w:val="bg-BG"/>
        </w:rPr>
        <w:t>(</w:t>
      </w:r>
      <w:r w:rsidRPr="00163C9B">
        <w:rPr>
          <w:rFonts w:ascii="Verdana" w:hAnsi="Verdana"/>
          <w:sz w:val="20"/>
          <w:szCs w:val="20"/>
          <w:lang w:val="bg-BG"/>
        </w:rPr>
        <w:t>Регламент (ЕО) № 2003/2003</w:t>
      </w:r>
      <w:r w:rsidR="00EF4AAC">
        <w:rPr>
          <w:rFonts w:ascii="Verdana" w:hAnsi="Verdana"/>
          <w:sz w:val="20"/>
          <w:szCs w:val="20"/>
          <w:lang w:val="bg-BG"/>
        </w:rPr>
        <w:t>)</w:t>
      </w:r>
      <w:r w:rsidRPr="00163C9B">
        <w:rPr>
          <w:rFonts w:ascii="Verdana" w:hAnsi="Verdana"/>
          <w:sz w:val="20"/>
          <w:szCs w:val="20"/>
          <w:lang w:val="bg-BG"/>
        </w:rPr>
        <w:t xml:space="preserve">, </w:t>
      </w:r>
      <w:r w:rsidR="00B16ED3" w:rsidRPr="00163C9B">
        <w:rPr>
          <w:rFonts w:ascii="Verdana" w:hAnsi="Verdana"/>
          <w:sz w:val="20"/>
          <w:szCs w:val="20"/>
          <w:lang w:val="bg-BG"/>
        </w:rPr>
        <w:t xml:space="preserve">Регламент на Европейския парламент и на Съвета (ЕС) 2016/2031 от 26 октомври 2016 г. за защитните мерки срещу вредителите по растенията, за изменение на регламенти (EС) № 228/2013, (EС) № 652/2014 и (EС) № 1143/2014 на Европейския парламент и на Съвета и за отмяна на директиви 69/464/EИО, 74/647/EИО, 93/85/EИО, 98/57/EО, 2000/29/EО, 2006/91/EО и 2007/33/EО на Съвета (ОВ, L 317/4 от 23 ноември 2016 г.), </w:t>
      </w:r>
      <w:r w:rsidR="00EF4AAC">
        <w:rPr>
          <w:rFonts w:ascii="Verdana" w:hAnsi="Verdana"/>
          <w:sz w:val="20"/>
          <w:szCs w:val="20"/>
          <w:lang w:val="bg-BG"/>
        </w:rPr>
        <w:t>(</w:t>
      </w:r>
      <w:r w:rsidR="00B16ED3" w:rsidRPr="00163C9B">
        <w:rPr>
          <w:rFonts w:ascii="Verdana" w:hAnsi="Verdana"/>
          <w:sz w:val="20"/>
          <w:szCs w:val="20"/>
          <w:lang w:val="bg-BG"/>
        </w:rPr>
        <w:t>Регламент (ЕС) 2016/2031</w:t>
      </w:r>
      <w:r w:rsidR="00EF4AAC">
        <w:rPr>
          <w:rFonts w:ascii="Verdana" w:hAnsi="Verdana"/>
          <w:sz w:val="20"/>
          <w:szCs w:val="20"/>
          <w:lang w:val="bg-BG"/>
        </w:rPr>
        <w:t>)</w:t>
      </w:r>
      <w:r w:rsidR="00B16ED3" w:rsidRPr="00163C9B">
        <w:rPr>
          <w:rFonts w:ascii="Verdana" w:hAnsi="Verdana"/>
          <w:sz w:val="20"/>
          <w:szCs w:val="20"/>
          <w:lang w:val="bg-BG"/>
        </w:rPr>
        <w:t xml:space="preserve">, и актовете по прилагането му, </w:t>
      </w:r>
      <w:r w:rsidRPr="00163C9B">
        <w:rPr>
          <w:rFonts w:ascii="Verdana" w:hAnsi="Verdana"/>
          <w:sz w:val="20"/>
          <w:szCs w:val="20"/>
          <w:lang w:val="bg-BG"/>
        </w:rPr>
        <w:t>дейностите по регистрация на торове, подобрители на почвата, биологично активни вещества и хранителни субстрати,</w:t>
      </w:r>
      <w:r w:rsidR="003525DF" w:rsidRPr="003525DF">
        <w:t xml:space="preserve"> </w:t>
      </w:r>
      <w:r w:rsidR="003525DF" w:rsidRPr="003525DF">
        <w:rPr>
          <w:rFonts w:ascii="Verdana" w:hAnsi="Verdana"/>
          <w:sz w:val="20"/>
          <w:szCs w:val="20"/>
          <w:lang w:val="bg-BG"/>
        </w:rPr>
        <w:t>без нанесена маркировка „СЕ“</w:t>
      </w:r>
      <w:r w:rsidRPr="00163C9B">
        <w:rPr>
          <w:rFonts w:ascii="Verdana" w:hAnsi="Verdana"/>
          <w:sz w:val="20"/>
          <w:szCs w:val="20"/>
          <w:lang w:val="bg-BG"/>
        </w:rPr>
        <w:t xml:space="preserve"> и контрола върху тях, дейностите по Закона за защита на растенията и подзаконовите нормативни актове по прилагането му.</w:t>
      </w:r>
    </w:p>
    <w:p w:rsidR="009C6BEE" w:rsidRPr="00163C9B" w:rsidRDefault="009C6BEE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 xml:space="preserve">По смисъла на чл. 75, параграфи 1 и 2 от Регламент (ЕО) № 1107/2009 г. </w:t>
      </w:r>
      <w:r w:rsidR="007A1B07" w:rsidRPr="00163C9B">
        <w:rPr>
          <w:rFonts w:ascii="Verdana" w:hAnsi="Verdana"/>
          <w:sz w:val="20"/>
          <w:szCs w:val="20"/>
          <w:lang w:val="bg-BG"/>
        </w:rPr>
        <w:t>както и на основание чл. 4 във връзка с чл.</w:t>
      </w:r>
      <w:r w:rsidR="00244FD2" w:rsidRPr="00244FD2">
        <w:rPr>
          <w:rFonts w:ascii="Verdana" w:hAnsi="Verdana"/>
          <w:sz w:val="20"/>
          <w:szCs w:val="20"/>
          <w:lang w:val="ru-RU"/>
        </w:rPr>
        <w:t xml:space="preserve"> </w:t>
      </w:r>
      <w:r w:rsidR="007A1B07" w:rsidRPr="00163C9B">
        <w:rPr>
          <w:rFonts w:ascii="Verdana" w:hAnsi="Verdana"/>
          <w:sz w:val="20"/>
          <w:szCs w:val="20"/>
          <w:lang w:val="bg-BG"/>
        </w:rPr>
        <w:t xml:space="preserve">1, параграф 2, б. „з“ от Регламент (ЕС) 2017/625 </w:t>
      </w:r>
      <w:r w:rsidRPr="00163C9B">
        <w:rPr>
          <w:rFonts w:ascii="Verdana" w:hAnsi="Verdana"/>
          <w:sz w:val="20"/>
          <w:szCs w:val="20"/>
          <w:lang w:val="bg-BG"/>
        </w:rPr>
        <w:t>БАБХ е компетентен и координиращ национален орган</w:t>
      </w:r>
      <w:r w:rsidR="007A1B07" w:rsidRPr="00163C9B">
        <w:rPr>
          <w:rFonts w:ascii="Verdana" w:hAnsi="Verdana"/>
          <w:sz w:val="20"/>
          <w:szCs w:val="20"/>
          <w:lang w:val="bg-BG"/>
        </w:rPr>
        <w:t>, както и орган, който предоставя отговорността за организиране или извършване на официален контрол и други официал</w:t>
      </w:r>
      <w:r w:rsidR="00244FD2">
        <w:rPr>
          <w:rFonts w:ascii="Verdana" w:hAnsi="Verdana"/>
          <w:sz w:val="20"/>
          <w:szCs w:val="20"/>
          <w:lang w:val="bg-BG"/>
        </w:rPr>
        <w:t>ни дейности.</w:t>
      </w:r>
    </w:p>
    <w:p w:rsidR="00F25751" w:rsidRPr="00A70FB4" w:rsidRDefault="00F25751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A70FB4">
        <w:rPr>
          <w:rFonts w:ascii="Verdana" w:hAnsi="Verdana"/>
          <w:sz w:val="20"/>
          <w:szCs w:val="20"/>
          <w:lang w:val="bg-BG"/>
        </w:rPr>
        <w:t xml:space="preserve">В проектът за нова Тарифа за таксите, които се събират от </w:t>
      </w:r>
      <w:r w:rsidR="001732A1" w:rsidRPr="00A70FB4">
        <w:rPr>
          <w:rFonts w:ascii="Verdana" w:hAnsi="Verdana"/>
          <w:sz w:val="20"/>
          <w:szCs w:val="20"/>
          <w:lang w:val="bg-BG"/>
        </w:rPr>
        <w:t>БАБХ</w:t>
      </w:r>
      <w:r w:rsidRPr="00A70FB4">
        <w:rPr>
          <w:rFonts w:ascii="Verdana" w:hAnsi="Verdana"/>
          <w:sz w:val="20"/>
          <w:szCs w:val="20"/>
          <w:lang w:val="bg-BG"/>
        </w:rPr>
        <w:t xml:space="preserve"> са въведени и такси, за да покрият разходите, свързани с прилагане на мерките, произтичащи от </w:t>
      </w:r>
      <w:r w:rsidR="00BA0AAD" w:rsidRPr="00244FD2">
        <w:rPr>
          <w:rFonts w:ascii="Verdana" w:hAnsi="Verdana" w:cs="Segoe UI"/>
          <w:bCs/>
          <w:sz w:val="20"/>
          <w:szCs w:val="20"/>
          <w:shd w:val="clear" w:color="auto" w:fill="FFFFFF"/>
          <w:lang w:val="ru-RU"/>
        </w:rPr>
        <w:t>Регламент (</w:t>
      </w:r>
      <w:r w:rsidR="00BA0AAD" w:rsidRPr="00A70FB4">
        <w:rPr>
          <w:rFonts w:ascii="Verdana" w:hAnsi="Verdana" w:cs="Segoe UI"/>
          <w:bCs/>
          <w:sz w:val="20"/>
          <w:szCs w:val="20"/>
          <w:shd w:val="clear" w:color="auto" w:fill="FFFFFF"/>
        </w:rPr>
        <w:t>E</w:t>
      </w:r>
      <w:r w:rsidR="00BA0AAD" w:rsidRPr="00244FD2">
        <w:rPr>
          <w:rFonts w:ascii="Verdana" w:hAnsi="Verdana" w:cs="Segoe UI"/>
          <w:bCs/>
          <w:sz w:val="20"/>
          <w:szCs w:val="20"/>
          <w:shd w:val="clear" w:color="auto" w:fill="FFFFFF"/>
          <w:lang w:val="ru-RU"/>
        </w:rPr>
        <w:t>С) 2016/2031</w:t>
      </w:r>
      <w:r w:rsidRPr="00A70FB4">
        <w:rPr>
          <w:rFonts w:ascii="Verdana" w:hAnsi="Verdana"/>
          <w:sz w:val="20"/>
          <w:szCs w:val="20"/>
          <w:lang w:val="bg-BG"/>
        </w:rPr>
        <w:t xml:space="preserve">. Промяната в размера на таксите за фитосанитарен контрол се обуславя по няколко причини. Една от тях е свързана с необходимостта от стимулиране на износа на растения и растителни продукти за трети държави. Регламент (ЕС) 2016/2031 въвежда задължението за вписване в Официалния регистър на професионалните оператори на всички износители на растения, растителни продукти и други обекти, които на практика подлежат на фитосанитарен контрол, преди издаване на фитосанитарен сертификат, с цел да се гарантира </w:t>
      </w:r>
      <w:r w:rsidRPr="00A70FB4">
        <w:rPr>
          <w:rFonts w:ascii="Verdana" w:hAnsi="Verdana"/>
          <w:sz w:val="20"/>
          <w:szCs w:val="20"/>
          <w:lang w:val="bg-BG"/>
        </w:rPr>
        <w:lastRenderedPageBreak/>
        <w:t>съответствие на изнасяните пратки с фитосанитарните изисквания на т</w:t>
      </w:r>
      <w:r w:rsidR="00244FD2">
        <w:rPr>
          <w:rFonts w:ascii="Verdana" w:hAnsi="Verdana"/>
          <w:sz w:val="20"/>
          <w:szCs w:val="20"/>
          <w:lang w:val="bg-BG"/>
        </w:rPr>
        <w:t>ретите държави-вносители.</w:t>
      </w:r>
    </w:p>
    <w:p w:rsidR="00F25751" w:rsidRPr="00163C9B" w:rsidRDefault="00F25751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 xml:space="preserve">Въведено е издаването на нов документ </w:t>
      </w:r>
      <w:r w:rsidR="00244FD2">
        <w:rPr>
          <w:rFonts w:ascii="Verdana" w:hAnsi="Verdana"/>
          <w:sz w:val="20"/>
          <w:szCs w:val="20"/>
          <w:lang w:val="bg-BG"/>
        </w:rPr>
        <w:t>–</w:t>
      </w:r>
      <w:r w:rsidRPr="00163C9B">
        <w:rPr>
          <w:rFonts w:ascii="Verdana" w:hAnsi="Verdana"/>
          <w:sz w:val="20"/>
          <w:szCs w:val="20"/>
          <w:lang w:val="bg-BG"/>
        </w:rPr>
        <w:t xml:space="preserve"> предекспортен сертификат, в случаите когато държавата членка по износ е различна от държавата членка по произход.</w:t>
      </w:r>
    </w:p>
    <w:p w:rsidR="00F25751" w:rsidRPr="00163C9B" w:rsidRDefault="00F25751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>При движение в рамките на територията на Европейския съюз, растенията и растителните продукти се придружават от растителен паспорт. С прилагането на Регламент (ЕС) 2016/2031, з</w:t>
      </w:r>
      <w:r w:rsidR="00244FD2">
        <w:rPr>
          <w:rFonts w:ascii="Verdana" w:hAnsi="Verdana"/>
          <w:sz w:val="20"/>
          <w:szCs w:val="20"/>
          <w:lang w:val="bg-BG"/>
        </w:rPr>
        <w:t xml:space="preserve">начително се разширява обхвата </w:t>
      </w:r>
      <w:r w:rsidRPr="00163C9B">
        <w:rPr>
          <w:rFonts w:ascii="Verdana" w:hAnsi="Verdana"/>
          <w:sz w:val="20"/>
          <w:szCs w:val="20"/>
          <w:lang w:val="bg-BG"/>
        </w:rPr>
        <w:t xml:space="preserve">на растенията, растителните продукти и другите обекти, за които се изисква растителен </w:t>
      </w:r>
      <w:r w:rsidR="000F33BD" w:rsidRPr="00163C9B">
        <w:rPr>
          <w:rFonts w:ascii="Verdana" w:hAnsi="Verdana"/>
          <w:sz w:val="20"/>
          <w:szCs w:val="20"/>
          <w:lang w:val="bg-BG"/>
        </w:rPr>
        <w:t xml:space="preserve">паспорт при тяхното движение в </w:t>
      </w:r>
      <w:r w:rsidRPr="00163C9B">
        <w:rPr>
          <w:rFonts w:ascii="Verdana" w:hAnsi="Verdana"/>
          <w:sz w:val="20"/>
          <w:szCs w:val="20"/>
          <w:lang w:val="bg-BG"/>
        </w:rPr>
        <w:t>рамките на територията на ЕС.</w:t>
      </w:r>
    </w:p>
    <w:p w:rsidR="00CB24DC" w:rsidRPr="00163C9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 xml:space="preserve">Официалният контрол и другите официални дейности, свързани с процеса на разрешаване на продукти за растителна защита и тяхното биологично изпитване, имат за цел защита на здравето на хората и животните и опазване на околната среда. Контролът върху употребата на продукти за растителна защита, съгласно изискванията на Директива 2009/128/ЕО на Европейския парламент и на Съвета от 21 октомври 2009 г. за създаване на рамка за действие на Общността за постигане на устойчива употреба на пестициди (ОВ, L 309/71 от 24 ноември 2009 г.), </w:t>
      </w:r>
      <w:r w:rsidR="004D3739">
        <w:rPr>
          <w:rFonts w:ascii="Verdana" w:hAnsi="Verdana"/>
          <w:sz w:val="20"/>
          <w:szCs w:val="20"/>
          <w:lang w:val="bg-BG"/>
        </w:rPr>
        <w:t>(</w:t>
      </w:r>
      <w:r w:rsidRPr="00163C9B">
        <w:rPr>
          <w:rFonts w:ascii="Verdana" w:hAnsi="Verdana"/>
          <w:sz w:val="20"/>
          <w:szCs w:val="20"/>
          <w:lang w:val="bg-BG"/>
        </w:rPr>
        <w:t>Директива 2009/128/ЕО</w:t>
      </w:r>
      <w:r w:rsidR="004D3739">
        <w:rPr>
          <w:rFonts w:ascii="Verdana" w:hAnsi="Verdana"/>
          <w:sz w:val="20"/>
          <w:szCs w:val="20"/>
          <w:lang w:val="bg-BG"/>
        </w:rPr>
        <w:t>)</w:t>
      </w:r>
      <w:r w:rsidRPr="00163C9B">
        <w:rPr>
          <w:rFonts w:ascii="Verdana" w:hAnsi="Verdana"/>
          <w:sz w:val="20"/>
          <w:szCs w:val="20"/>
          <w:lang w:val="bg-BG"/>
        </w:rPr>
        <w:t xml:space="preserve">, и контролът върху производството, пускането на пазара, търговията, преопаковането и употребата им, се осъществяват по реда на Регламент (EС) 2017/625, </w:t>
      </w:r>
      <w:r w:rsidR="007159D0" w:rsidRPr="00163C9B">
        <w:rPr>
          <w:rFonts w:ascii="Verdana" w:hAnsi="Verdana"/>
          <w:sz w:val="20"/>
          <w:szCs w:val="20"/>
          <w:lang w:val="bg-BG"/>
        </w:rPr>
        <w:t>ЗУАВ</w:t>
      </w:r>
      <w:r w:rsidRPr="00163C9B">
        <w:rPr>
          <w:rFonts w:ascii="Verdana" w:hAnsi="Verdana"/>
          <w:sz w:val="20"/>
          <w:szCs w:val="20"/>
          <w:lang w:val="bg-BG"/>
        </w:rPr>
        <w:t xml:space="preserve">, </w:t>
      </w:r>
      <w:r w:rsidR="007159D0" w:rsidRPr="00163C9B">
        <w:rPr>
          <w:rFonts w:ascii="Verdana" w:hAnsi="Verdana"/>
          <w:sz w:val="20"/>
          <w:szCs w:val="20"/>
          <w:lang w:val="bg-BG"/>
        </w:rPr>
        <w:t>ЗЗР</w:t>
      </w:r>
      <w:r w:rsidRPr="00163C9B">
        <w:rPr>
          <w:rFonts w:ascii="Verdana" w:hAnsi="Verdana"/>
          <w:sz w:val="20"/>
          <w:szCs w:val="20"/>
          <w:lang w:val="bg-BG"/>
        </w:rPr>
        <w:t xml:space="preserve"> и подзаконовите нормативни актове по прилагането им. Контролът върху „</w:t>
      </w:r>
      <w:r w:rsidR="000448E9" w:rsidRPr="000448E9">
        <w:rPr>
          <w:rFonts w:ascii="Verdana" w:hAnsi="Verdana"/>
          <w:sz w:val="20"/>
          <w:szCs w:val="20"/>
          <w:lang w:val="bg-BG"/>
        </w:rPr>
        <w:t>ЕС продуктите за наторяване</w:t>
      </w:r>
      <w:r w:rsidRPr="00163C9B">
        <w:rPr>
          <w:rFonts w:ascii="Verdana" w:hAnsi="Verdana"/>
          <w:sz w:val="20"/>
          <w:szCs w:val="20"/>
          <w:lang w:val="bg-BG"/>
        </w:rPr>
        <w:t xml:space="preserve">“ се осъществява по реда на </w:t>
      </w:r>
      <w:r w:rsidR="003525DF" w:rsidRPr="003525DF">
        <w:rPr>
          <w:rFonts w:ascii="Verdana" w:hAnsi="Verdana"/>
          <w:sz w:val="20"/>
          <w:szCs w:val="20"/>
          <w:lang w:val="bg-BG"/>
        </w:rPr>
        <w:t>Регламент (ЕС) № 2019/1009 на Европейския парламент и на Съвета от 5 юни 2019 година за определяне на правила за предоставяне на пазара на ЕС продукти за наторяване и за изменение на регламенти (ЕО) № 1069/2009 и (ЕО) № 1107/2009 и за отмяна на Регламент (ЕО) № 2003/2003</w:t>
      </w:r>
      <w:r w:rsidR="00086B05" w:rsidRPr="00163C9B">
        <w:rPr>
          <w:rFonts w:ascii="Verdana" w:hAnsi="Verdana"/>
          <w:sz w:val="20"/>
          <w:szCs w:val="20"/>
          <w:lang w:val="bg-BG"/>
        </w:rPr>
        <w:t xml:space="preserve"> /Регламент (ЕО) № </w:t>
      </w:r>
      <w:r w:rsidR="003525DF">
        <w:rPr>
          <w:rFonts w:ascii="Verdana" w:hAnsi="Verdana"/>
          <w:sz w:val="20"/>
          <w:szCs w:val="20"/>
          <w:lang w:val="bg-BG"/>
        </w:rPr>
        <w:t>2019/1009</w:t>
      </w:r>
      <w:r w:rsidR="00086B05" w:rsidRPr="00163C9B">
        <w:rPr>
          <w:rFonts w:ascii="Verdana" w:hAnsi="Verdana"/>
          <w:sz w:val="20"/>
          <w:szCs w:val="20"/>
          <w:lang w:val="bg-BG"/>
        </w:rPr>
        <w:t>/</w:t>
      </w:r>
      <w:r w:rsidRPr="00163C9B">
        <w:rPr>
          <w:rFonts w:ascii="Verdana" w:hAnsi="Verdana"/>
          <w:sz w:val="20"/>
          <w:szCs w:val="20"/>
          <w:lang w:val="bg-BG"/>
        </w:rPr>
        <w:t xml:space="preserve">, а контролът върху торовете, подобрителите на почвата, биологично активните вещества и хранителните субстрати – по реда на </w:t>
      </w:r>
      <w:r w:rsidR="008C54FE" w:rsidRPr="00163C9B">
        <w:rPr>
          <w:rFonts w:ascii="Verdana" w:hAnsi="Verdana"/>
          <w:sz w:val="20"/>
          <w:szCs w:val="20"/>
          <w:lang w:val="bg-BG"/>
        </w:rPr>
        <w:t>ЗЗР</w:t>
      </w:r>
      <w:r w:rsidRPr="00163C9B">
        <w:rPr>
          <w:rFonts w:ascii="Verdana" w:hAnsi="Verdana"/>
          <w:sz w:val="20"/>
          <w:szCs w:val="20"/>
          <w:lang w:val="bg-BG"/>
        </w:rPr>
        <w:t xml:space="preserve"> и </w:t>
      </w:r>
      <w:r w:rsidR="00235E05">
        <w:rPr>
          <w:rFonts w:ascii="Verdana" w:hAnsi="Verdana"/>
          <w:sz w:val="20"/>
          <w:szCs w:val="20"/>
          <w:lang w:val="bg-BG"/>
        </w:rPr>
        <w:t>подзаконов нормативен акт по прилагането му</w:t>
      </w:r>
      <w:r w:rsidR="00081403" w:rsidRPr="00163C9B">
        <w:rPr>
          <w:rFonts w:ascii="Verdana" w:hAnsi="Verdana"/>
          <w:sz w:val="20"/>
          <w:szCs w:val="20"/>
          <w:lang w:val="bg-BG"/>
        </w:rPr>
        <w:t>.</w:t>
      </w:r>
    </w:p>
    <w:p w:rsidR="00CB24DC" w:rsidRPr="00163C9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 xml:space="preserve">За извършване на дейностите по </w:t>
      </w:r>
      <w:r w:rsidR="00BE575D" w:rsidRPr="00163C9B">
        <w:rPr>
          <w:rFonts w:ascii="Verdana" w:hAnsi="Verdana"/>
          <w:sz w:val="20"/>
          <w:szCs w:val="20"/>
          <w:lang w:val="bg-BG"/>
        </w:rPr>
        <w:t>ЗЗР</w:t>
      </w:r>
      <w:r w:rsidRPr="00163C9B">
        <w:rPr>
          <w:rFonts w:ascii="Verdana" w:hAnsi="Verdana"/>
          <w:sz w:val="20"/>
          <w:szCs w:val="20"/>
          <w:lang w:val="bg-BG"/>
        </w:rPr>
        <w:t xml:space="preserve"> и подзаконовите нормативни актове по прилагане</w:t>
      </w:r>
      <w:r w:rsidR="00777F6C" w:rsidRPr="00163C9B">
        <w:rPr>
          <w:rFonts w:ascii="Verdana" w:hAnsi="Verdana"/>
          <w:sz w:val="20"/>
          <w:szCs w:val="20"/>
          <w:lang w:val="bg-BG"/>
        </w:rPr>
        <w:t>то му</w:t>
      </w:r>
      <w:r w:rsidRPr="00163C9B">
        <w:rPr>
          <w:rFonts w:ascii="Verdana" w:hAnsi="Verdana"/>
          <w:sz w:val="20"/>
          <w:szCs w:val="20"/>
          <w:lang w:val="bg-BG"/>
        </w:rPr>
        <w:t>, за издаване на разрешения, удостоверения и сертификати, за извършване на контрол, за лабораторни изпитвания и в други предвидени от закона случаи, както и за извършване на услуги на физически и юридически лица, е предвидено да се събират такси съгласно тарифата по чл. 3, ал. 4 от Закона за Българската агенция по безопасност на храните</w:t>
      </w:r>
      <w:r w:rsidR="005E6B0A" w:rsidRPr="00163C9B">
        <w:rPr>
          <w:rFonts w:ascii="Verdana" w:hAnsi="Verdana"/>
          <w:sz w:val="20"/>
          <w:szCs w:val="20"/>
          <w:lang w:val="bg-BG"/>
        </w:rPr>
        <w:t xml:space="preserve"> </w:t>
      </w:r>
      <w:r w:rsidR="00163C9B">
        <w:rPr>
          <w:rFonts w:ascii="Verdana" w:hAnsi="Verdana"/>
          <w:sz w:val="20"/>
          <w:szCs w:val="20"/>
          <w:lang w:val="bg-BG"/>
        </w:rPr>
        <w:t>(</w:t>
      </w:r>
      <w:r w:rsidR="005E6B0A" w:rsidRPr="00163C9B">
        <w:rPr>
          <w:rFonts w:ascii="Verdana" w:hAnsi="Verdana"/>
          <w:sz w:val="20"/>
          <w:szCs w:val="20"/>
          <w:lang w:val="bg-BG"/>
        </w:rPr>
        <w:t>ЗБАБХ</w:t>
      </w:r>
      <w:r w:rsidR="00163C9B">
        <w:rPr>
          <w:rFonts w:ascii="Verdana" w:hAnsi="Verdana"/>
          <w:sz w:val="20"/>
          <w:szCs w:val="20"/>
          <w:lang w:val="bg-BG"/>
        </w:rPr>
        <w:t>)</w:t>
      </w:r>
      <w:r w:rsidRPr="00163C9B">
        <w:rPr>
          <w:rFonts w:ascii="Verdana" w:hAnsi="Verdana"/>
          <w:sz w:val="20"/>
          <w:szCs w:val="20"/>
          <w:lang w:val="bg-BG"/>
        </w:rPr>
        <w:t>.</w:t>
      </w:r>
    </w:p>
    <w:p w:rsidR="00CB24DC" w:rsidRPr="00163C9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 xml:space="preserve">Таксите по </w:t>
      </w:r>
      <w:r w:rsidR="00577D9C" w:rsidRPr="00163C9B">
        <w:rPr>
          <w:rFonts w:ascii="Verdana" w:hAnsi="Verdana"/>
          <w:sz w:val="20"/>
          <w:szCs w:val="20"/>
          <w:lang w:val="bg-BG"/>
        </w:rPr>
        <w:t>ЗЗР</w:t>
      </w:r>
      <w:r w:rsidRPr="00163C9B">
        <w:rPr>
          <w:rFonts w:ascii="Verdana" w:hAnsi="Verdana"/>
          <w:sz w:val="20"/>
          <w:szCs w:val="20"/>
          <w:lang w:val="bg-BG"/>
        </w:rPr>
        <w:t xml:space="preserve"> са определени по прозрачен начин, отговарят на реалните разходи за съответните дейности, съответстват на действителната обща стойност на разходите за всяка извършена дейност и са в съответствие с чл. 74 от Регламент (ЕО) № 1107/2009</w:t>
      </w:r>
      <w:r w:rsidR="005E1C81">
        <w:rPr>
          <w:rFonts w:ascii="Verdana" w:hAnsi="Verdana"/>
          <w:sz w:val="20"/>
          <w:szCs w:val="20"/>
        </w:rPr>
        <w:t xml:space="preserve"> </w:t>
      </w:r>
      <w:r w:rsidRPr="00163C9B">
        <w:rPr>
          <w:rFonts w:ascii="Verdana" w:hAnsi="Verdana"/>
          <w:sz w:val="20"/>
          <w:szCs w:val="20"/>
          <w:lang w:val="bg-BG"/>
        </w:rPr>
        <w:t>и чл. 19 от Директива 2009/128/ЕО</w:t>
      </w:r>
      <w:r w:rsidR="0030534C" w:rsidRPr="00163C9B">
        <w:rPr>
          <w:rFonts w:ascii="Verdana" w:hAnsi="Verdana"/>
          <w:sz w:val="20"/>
          <w:szCs w:val="20"/>
          <w:lang w:val="bg-BG"/>
        </w:rPr>
        <w:t xml:space="preserve"> на Европейския парламент и на Съвета от 21 октомври 2009 г. за създаване на рамка за действие на Общността за постигане на устойчива употреба на пестициди</w:t>
      </w:r>
      <w:r w:rsidRPr="00163C9B">
        <w:rPr>
          <w:rFonts w:ascii="Verdana" w:hAnsi="Verdana"/>
          <w:sz w:val="20"/>
          <w:szCs w:val="20"/>
          <w:lang w:val="bg-BG"/>
        </w:rPr>
        <w:t>.</w:t>
      </w:r>
    </w:p>
    <w:p w:rsidR="00CB24DC" w:rsidRPr="00163C9B" w:rsidRDefault="00166DFA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b/>
          <w:sz w:val="20"/>
          <w:szCs w:val="20"/>
          <w:lang w:val="bg-BG"/>
        </w:rPr>
        <w:lastRenderedPageBreak/>
        <w:t xml:space="preserve">Таксите по контролно направление във връзка със </w:t>
      </w:r>
      <w:r w:rsidR="00CB24DC" w:rsidRPr="00163C9B">
        <w:rPr>
          <w:rFonts w:ascii="Verdana" w:hAnsi="Verdana"/>
          <w:b/>
          <w:sz w:val="20"/>
          <w:szCs w:val="20"/>
          <w:lang w:val="bg-BG"/>
        </w:rPr>
        <w:t>Закона за прилагане на общата организация на пазарите на земеделски продукти на Европейския съюз</w:t>
      </w:r>
      <w:r w:rsidR="00CB24DC" w:rsidRPr="00163C9B">
        <w:rPr>
          <w:rFonts w:ascii="Verdana" w:hAnsi="Verdana"/>
          <w:sz w:val="20"/>
          <w:szCs w:val="20"/>
          <w:lang w:val="bg-BG"/>
        </w:rPr>
        <w:t xml:space="preserve"> са във връзка с контрола за съответствие на пресните плодове и зеленчуци на всички етапи от търговията с приложимите стандарти на съгласно чл. 75 и 76 от </w:t>
      </w:r>
      <w:r w:rsidR="00B94D42" w:rsidRPr="00244FD2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ru-RU"/>
        </w:rPr>
        <w:t>Регламент (ЕС) № 1308/2013 на Европейския парламент и на Съвета от 17</w:t>
      </w:r>
      <w:r w:rsidR="00244FD2" w:rsidRPr="00244FD2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B94D42" w:rsidRPr="00244FD2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ru-RU"/>
        </w:rPr>
        <w:t>декември 2013 година за установяване на обща организация на пазарите на селскостопански продукти и за отмяна на регламенти (ЕИО) №</w:t>
      </w:r>
      <w:r w:rsidR="00244FD2" w:rsidRPr="00244FD2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B94D42" w:rsidRPr="00244FD2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ru-RU"/>
        </w:rPr>
        <w:t>922/72, (ЕИО) №</w:t>
      </w:r>
      <w:r w:rsidR="00244FD2" w:rsidRPr="00244FD2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B94D42" w:rsidRPr="00244FD2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ru-RU"/>
        </w:rPr>
        <w:t>234/79, (ЕО) №</w:t>
      </w:r>
      <w:r w:rsidR="00244FD2" w:rsidRPr="00244FD2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B94D42" w:rsidRPr="00244FD2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ru-RU"/>
        </w:rPr>
        <w:t>1037/2001 и (ЕО) №</w:t>
      </w:r>
      <w:r w:rsidR="00244FD2" w:rsidRPr="00244FD2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B94D42" w:rsidRPr="00244FD2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ru-RU"/>
        </w:rPr>
        <w:t>1234/2007</w:t>
      </w:r>
      <w:r w:rsidR="00B94D42" w:rsidRPr="00702EBE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bg-BG"/>
        </w:rPr>
        <w:t xml:space="preserve"> (</w:t>
      </w:r>
      <w:r w:rsidR="00137254">
        <w:rPr>
          <w:rStyle w:val="Emphasis"/>
          <w:rFonts w:ascii="Verdana" w:hAnsi="Verdana" w:cs="Segoe UI"/>
          <w:i w:val="0"/>
          <w:color w:val="333333"/>
          <w:sz w:val="20"/>
          <w:szCs w:val="20"/>
          <w:shd w:val="clear" w:color="auto" w:fill="FFFFFF"/>
        </w:rPr>
        <w:t>O</w:t>
      </w:r>
      <w:r w:rsidR="00137254">
        <w:rPr>
          <w:rStyle w:val="Emphasis"/>
          <w:rFonts w:ascii="Verdana" w:hAnsi="Verdana" w:cs="Segoe UI"/>
          <w:i w:val="0"/>
          <w:color w:val="333333"/>
          <w:sz w:val="20"/>
          <w:szCs w:val="20"/>
          <w:shd w:val="clear" w:color="auto" w:fill="FFFFFF"/>
          <w:lang w:val="bg-BG"/>
        </w:rPr>
        <w:t>В</w:t>
      </w:r>
      <w:r w:rsidR="00B94D42" w:rsidRPr="00244FD2">
        <w:rPr>
          <w:rStyle w:val="Emphasis"/>
          <w:rFonts w:ascii="Verdana" w:hAnsi="Verdana" w:cs="Segoe UI"/>
          <w:i w:val="0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="00B94D42" w:rsidRPr="00702EBE">
        <w:rPr>
          <w:rStyle w:val="Emphasis"/>
          <w:rFonts w:ascii="Verdana" w:hAnsi="Verdana" w:cs="Segoe UI"/>
          <w:i w:val="0"/>
          <w:color w:val="333333"/>
          <w:sz w:val="20"/>
          <w:szCs w:val="20"/>
          <w:shd w:val="clear" w:color="auto" w:fill="FFFFFF"/>
        </w:rPr>
        <w:t>L</w:t>
      </w:r>
      <w:r w:rsidR="00B94D42" w:rsidRPr="00244FD2">
        <w:rPr>
          <w:rStyle w:val="Emphasis"/>
          <w:rFonts w:ascii="Verdana" w:hAnsi="Verdana" w:cs="Segoe UI"/>
          <w:i w:val="0"/>
          <w:color w:val="333333"/>
          <w:sz w:val="20"/>
          <w:szCs w:val="20"/>
          <w:shd w:val="clear" w:color="auto" w:fill="FFFFFF"/>
          <w:lang w:val="ru-RU"/>
        </w:rPr>
        <w:t xml:space="preserve"> 347,</w:t>
      </w:r>
      <w:r w:rsidR="00B94D42" w:rsidRPr="00702EBE">
        <w:rPr>
          <w:rStyle w:val="Emphasis"/>
          <w:rFonts w:ascii="Verdana" w:hAnsi="Verdana" w:cs="Segoe UI"/>
          <w:i w:val="0"/>
          <w:color w:val="333333"/>
          <w:sz w:val="20"/>
          <w:szCs w:val="20"/>
          <w:shd w:val="clear" w:color="auto" w:fill="FFFFFF"/>
          <w:lang w:val="bg-BG"/>
        </w:rPr>
        <w:t>2013</w:t>
      </w:r>
      <w:r w:rsidR="00B94D42" w:rsidRPr="00702EBE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bg-BG"/>
        </w:rPr>
        <w:t xml:space="preserve">), </w:t>
      </w:r>
      <w:r w:rsidR="004D3739">
        <w:rPr>
          <w:rFonts w:ascii="Verdana" w:hAnsi="Verdana" w:cs="Segoe UI"/>
          <w:bCs/>
          <w:color w:val="333333"/>
          <w:sz w:val="20"/>
          <w:szCs w:val="20"/>
          <w:shd w:val="clear" w:color="auto" w:fill="FFFFFF"/>
          <w:lang w:val="bg-BG"/>
        </w:rPr>
        <w:t>(</w:t>
      </w:r>
      <w:r w:rsidR="00CB24DC" w:rsidRPr="00702EBE">
        <w:rPr>
          <w:rFonts w:ascii="Verdana" w:hAnsi="Verdana"/>
          <w:sz w:val="20"/>
          <w:szCs w:val="20"/>
          <w:lang w:val="bg-BG"/>
        </w:rPr>
        <w:t>Регламент</w:t>
      </w:r>
      <w:r w:rsidR="00CB24DC" w:rsidRPr="00163C9B">
        <w:rPr>
          <w:rFonts w:ascii="Verdana" w:hAnsi="Verdana"/>
          <w:sz w:val="20"/>
          <w:szCs w:val="20"/>
          <w:lang w:val="bg-BG"/>
        </w:rPr>
        <w:t xml:space="preserve"> (ЕС) № 1308/2013</w:t>
      </w:r>
      <w:r w:rsidR="004D3739">
        <w:rPr>
          <w:rFonts w:ascii="Verdana" w:hAnsi="Verdana"/>
          <w:sz w:val="20"/>
          <w:szCs w:val="20"/>
          <w:lang w:val="bg-BG"/>
        </w:rPr>
        <w:t>)</w:t>
      </w:r>
      <w:r w:rsidR="00CB24DC" w:rsidRPr="00163C9B">
        <w:rPr>
          <w:rFonts w:ascii="Verdana" w:hAnsi="Verdana"/>
          <w:sz w:val="20"/>
          <w:szCs w:val="20"/>
          <w:lang w:val="bg-BG"/>
        </w:rPr>
        <w:t xml:space="preserve"> и Дял II, Глава II на Регламент за изпълнение (ЕС) № 543/2011 на Комисията от 7 юни 2011 г. за определяне на подробни правила за прилагането на Регламент (ЕО) № 1234/2007 на Съвета по отношение на секторите на плодовете и зеленчуците и на преработените плодове и зеленчуци</w:t>
      </w:r>
      <w:r w:rsidR="00A43979">
        <w:rPr>
          <w:rFonts w:ascii="Verdana" w:hAnsi="Verdana"/>
          <w:sz w:val="20"/>
          <w:szCs w:val="20"/>
          <w:lang w:val="bg-BG"/>
        </w:rPr>
        <w:t xml:space="preserve"> (ОВ, </w:t>
      </w:r>
      <w:r w:rsidR="00A43979">
        <w:rPr>
          <w:rFonts w:ascii="Verdana" w:hAnsi="Verdana"/>
          <w:sz w:val="20"/>
          <w:szCs w:val="20"/>
        </w:rPr>
        <w:t>L</w:t>
      </w:r>
      <w:r w:rsidR="00A43979" w:rsidRPr="00244FD2">
        <w:rPr>
          <w:rFonts w:ascii="Verdana" w:hAnsi="Verdana"/>
          <w:sz w:val="20"/>
          <w:szCs w:val="20"/>
          <w:lang w:val="ru-RU"/>
        </w:rPr>
        <w:t xml:space="preserve"> 157/2011</w:t>
      </w:r>
      <w:r w:rsidR="004D3739">
        <w:rPr>
          <w:rFonts w:ascii="Verdana" w:hAnsi="Verdana"/>
          <w:sz w:val="20"/>
          <w:szCs w:val="20"/>
          <w:lang w:val="ru-RU"/>
        </w:rPr>
        <w:t xml:space="preserve">) </w:t>
      </w:r>
      <w:r w:rsidR="004D3739">
        <w:rPr>
          <w:rFonts w:ascii="Verdana" w:hAnsi="Verdana"/>
          <w:sz w:val="20"/>
          <w:szCs w:val="20"/>
          <w:lang w:val="bg-BG"/>
        </w:rPr>
        <w:t>(</w:t>
      </w:r>
      <w:r w:rsidR="00A43979" w:rsidRPr="00163C9B">
        <w:rPr>
          <w:rFonts w:ascii="Verdana" w:hAnsi="Verdana"/>
          <w:sz w:val="20"/>
          <w:szCs w:val="20"/>
          <w:lang w:val="bg-BG"/>
        </w:rPr>
        <w:t>Регламент за изпълнение (ЕС) № 543/2011</w:t>
      </w:r>
      <w:r w:rsidR="004D3739">
        <w:rPr>
          <w:rFonts w:ascii="Verdana" w:hAnsi="Verdana"/>
          <w:sz w:val="20"/>
          <w:szCs w:val="20"/>
          <w:lang w:val="bg-BG"/>
        </w:rPr>
        <w:t>)</w:t>
      </w:r>
      <w:r w:rsidR="00CB24DC" w:rsidRPr="00163C9B">
        <w:rPr>
          <w:rFonts w:ascii="Verdana" w:hAnsi="Verdana"/>
          <w:sz w:val="20"/>
          <w:szCs w:val="20"/>
          <w:lang w:val="bg-BG"/>
        </w:rPr>
        <w:t xml:space="preserve">. При установено съответствие се издава сертификат за съответствие по образец, съгласно Приложение ІІІ на Регламент </w:t>
      </w:r>
      <w:r w:rsidR="00D24232">
        <w:rPr>
          <w:rFonts w:ascii="Verdana" w:hAnsi="Verdana"/>
          <w:sz w:val="20"/>
          <w:szCs w:val="20"/>
          <w:lang w:val="bg-BG"/>
        </w:rPr>
        <w:t xml:space="preserve">за изпълнение </w:t>
      </w:r>
      <w:r w:rsidR="00CB24DC" w:rsidRPr="00163C9B">
        <w:rPr>
          <w:rFonts w:ascii="Verdana" w:hAnsi="Verdana"/>
          <w:sz w:val="20"/>
          <w:szCs w:val="20"/>
          <w:lang w:val="bg-BG"/>
        </w:rPr>
        <w:t xml:space="preserve">(ЕС) № 543/2011, за който се събира такса в размер, определен в тарифата по </w:t>
      </w:r>
      <w:r w:rsidR="005613FC" w:rsidRPr="00163C9B">
        <w:rPr>
          <w:rFonts w:ascii="Verdana" w:hAnsi="Verdana"/>
          <w:sz w:val="20"/>
          <w:szCs w:val="20"/>
          <w:lang w:val="bg-BG"/>
        </w:rPr>
        <w:t>ЗБАБХ</w:t>
      </w:r>
      <w:r w:rsidR="00CB24DC" w:rsidRPr="00163C9B">
        <w:rPr>
          <w:rFonts w:ascii="Verdana" w:hAnsi="Verdana"/>
          <w:sz w:val="20"/>
          <w:szCs w:val="20"/>
          <w:lang w:val="bg-BG"/>
        </w:rPr>
        <w:t>. Сертификат за съответствие се издава след извършен контрол за съответствие на пресните плодове и зеленчуци с пазарните стандарти на ЕС при внос от трети държави, реекспорт, износ, както и при вътрешна търговия за реализ</w:t>
      </w:r>
      <w:r w:rsidR="00244FD2">
        <w:rPr>
          <w:rFonts w:ascii="Verdana" w:hAnsi="Verdana"/>
          <w:sz w:val="20"/>
          <w:szCs w:val="20"/>
          <w:lang w:val="bg-BG"/>
        </w:rPr>
        <w:t>ация на пазара и за преработка.</w:t>
      </w:r>
    </w:p>
    <w:p w:rsidR="00CB24DC" w:rsidRPr="00163C9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b/>
          <w:sz w:val="20"/>
          <w:szCs w:val="20"/>
          <w:lang w:val="bg-BG"/>
        </w:rPr>
        <w:t>Таксите по</w:t>
      </w:r>
      <w:r w:rsidRPr="00163C9B">
        <w:rPr>
          <w:rFonts w:ascii="Verdana" w:hAnsi="Verdana"/>
          <w:sz w:val="20"/>
          <w:szCs w:val="20"/>
          <w:lang w:val="bg-BG"/>
        </w:rPr>
        <w:t xml:space="preserve"> </w:t>
      </w:r>
      <w:r w:rsidR="00166DFA" w:rsidRPr="00163C9B">
        <w:rPr>
          <w:rFonts w:ascii="Verdana" w:hAnsi="Verdana"/>
          <w:b/>
          <w:sz w:val="20"/>
          <w:szCs w:val="20"/>
          <w:lang w:val="bg-BG"/>
        </w:rPr>
        <w:t xml:space="preserve">контролно направление във връзка със </w:t>
      </w:r>
      <w:r w:rsidRPr="00163C9B">
        <w:rPr>
          <w:rFonts w:ascii="Verdana" w:hAnsi="Verdana"/>
          <w:b/>
          <w:sz w:val="20"/>
          <w:szCs w:val="20"/>
          <w:lang w:val="bg-BG"/>
        </w:rPr>
        <w:t>Закон за ветеринарномедицинска дейност</w:t>
      </w:r>
      <w:r w:rsidRPr="00163C9B">
        <w:rPr>
          <w:rFonts w:ascii="Verdana" w:hAnsi="Verdana"/>
          <w:sz w:val="20"/>
          <w:szCs w:val="20"/>
          <w:lang w:val="bg-BG"/>
        </w:rPr>
        <w:t xml:space="preserve"> са въведени, за да покрият разходите, свързани с мерките по прилагане на измененията му, свързани с въвеждане или отпадане на </w:t>
      </w:r>
      <w:r w:rsidR="00FB08FC" w:rsidRPr="00163C9B">
        <w:rPr>
          <w:rFonts w:ascii="Verdana" w:hAnsi="Verdana"/>
          <w:sz w:val="20"/>
          <w:szCs w:val="20"/>
          <w:lang w:val="bg-BG"/>
        </w:rPr>
        <w:t>нуждата от определени такси.</w:t>
      </w:r>
    </w:p>
    <w:p w:rsidR="00CB24DC" w:rsidRPr="00163C9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 xml:space="preserve">В проекта на тарифата обособява се нов раздел „Такси по Закона за ветеринарномедицинската дейност, във връзка с Регламент (ЕО) № 1069/2009 за установяване на здравни правила относно странични животински продукти и производни продукти, непредназначени за консумация от </w:t>
      </w:r>
      <w:r w:rsidRPr="00825E46">
        <w:rPr>
          <w:rFonts w:ascii="Verdana" w:hAnsi="Verdana"/>
          <w:sz w:val="20"/>
          <w:szCs w:val="20"/>
          <w:lang w:val="bg-BG"/>
        </w:rPr>
        <w:t>човека</w:t>
      </w:r>
      <w:r w:rsidR="00751351" w:rsidRPr="00825E46">
        <w:rPr>
          <w:rFonts w:ascii="Verdana" w:hAnsi="Verdana"/>
          <w:sz w:val="20"/>
          <w:szCs w:val="20"/>
          <w:lang w:val="bg-BG"/>
        </w:rPr>
        <w:t xml:space="preserve"> </w:t>
      </w:r>
      <w:r w:rsidR="00ED366F">
        <w:rPr>
          <w:rFonts w:ascii="Verdana" w:hAnsi="Verdana"/>
          <w:bCs/>
          <w:sz w:val="20"/>
          <w:szCs w:val="20"/>
          <w:shd w:val="clear" w:color="auto" w:fill="FFFFFF"/>
          <w:lang w:val="bg-BG"/>
        </w:rPr>
        <w:t xml:space="preserve">и за отмяна на Регламент (ЕО) № </w:t>
      </w:r>
      <w:r w:rsidR="00751351" w:rsidRPr="00825E46">
        <w:rPr>
          <w:rFonts w:ascii="Verdana" w:hAnsi="Verdana"/>
          <w:bCs/>
          <w:sz w:val="20"/>
          <w:szCs w:val="20"/>
          <w:shd w:val="clear" w:color="auto" w:fill="FFFFFF"/>
          <w:lang w:val="bg-BG"/>
        </w:rPr>
        <w:t>1774/2002 (Регламент за страничните животински продукти)</w:t>
      </w:r>
      <w:r w:rsidRPr="00825E46">
        <w:rPr>
          <w:rFonts w:ascii="Verdana" w:hAnsi="Verdana"/>
          <w:sz w:val="20"/>
          <w:szCs w:val="20"/>
          <w:lang w:val="bg-BG"/>
        </w:rPr>
        <w:t>, което е в съответствие с останалата част от тарифата, същата да бъде по направления, които са обособени от правни актове на Европейския</w:t>
      </w:r>
      <w:r w:rsidRPr="00163C9B">
        <w:rPr>
          <w:rFonts w:ascii="Verdana" w:hAnsi="Verdana"/>
          <w:sz w:val="20"/>
          <w:szCs w:val="20"/>
          <w:lang w:val="bg-BG"/>
        </w:rPr>
        <w:t xml:space="preserve"> съюз.</w:t>
      </w:r>
    </w:p>
    <w:p w:rsidR="00CB24DC" w:rsidRPr="00B70CF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 xml:space="preserve">Също така Регламент (ЕС) 2019/6 относно ветеринарните лекарствени продукти се прилага от 28 януари 2022 г. изисква държавите членки да променят националните си законодателства за ветеринарни лекарствени продукти, така че да се създадат необходимите условия и правни процедури, необходими за прилагането на регламента в неговата цялост, включително по отношение събирането на такси за дейностите и задачите, извършвани на национално равнище. Произтичащите от Регламент (ЕС) 2019/6 промени в регулирането на ветеринарните лекарствени продукти в ЕС налагат въвеждането на такси в тарифата на БАБХ за регистриране или одобряване на дейности, които до този момент не са били правно регламентирани и съответно не е имало такси за тях, както и хармонизиране на </w:t>
      </w:r>
      <w:r w:rsidRPr="00163C9B">
        <w:rPr>
          <w:rFonts w:ascii="Verdana" w:hAnsi="Verdana"/>
          <w:sz w:val="20"/>
          <w:szCs w:val="20"/>
          <w:lang w:val="bg-BG"/>
        </w:rPr>
        <w:lastRenderedPageBreak/>
        <w:t xml:space="preserve">използваната терминология в съответствие с изискванията на регламента. В тази връзка в проекта на тарифата за таксите са включени такси за предоставянето на административни услуги по отношение на въведения с регламента режим за регистрация на производители, вносители и дистрибутори на активни вещества за ветеринарномедицински цели; разрешаване на паралелна търговия с ветеринарни лекарствени продукти в рамките на ЕС; продажба от разстояние на дребно на ветеринарни лекарствени продукти; регистрация на някои категории хомеопатични ветеринарни лекарствени продукти; извършване на промени в разрешенията за търговия с ветеринарни лекарствени </w:t>
      </w:r>
      <w:r w:rsidRPr="00B70CFB">
        <w:rPr>
          <w:rFonts w:ascii="Verdana" w:hAnsi="Verdana"/>
          <w:sz w:val="20"/>
          <w:szCs w:val="20"/>
          <w:lang w:val="bg-BG"/>
        </w:rPr>
        <w:t>продукти.</w:t>
      </w:r>
    </w:p>
    <w:p w:rsidR="00CB24DC" w:rsidRPr="00163C9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B70CFB">
        <w:rPr>
          <w:rFonts w:ascii="Verdana" w:hAnsi="Verdana"/>
          <w:b/>
          <w:sz w:val="20"/>
          <w:szCs w:val="20"/>
          <w:lang w:val="bg-BG"/>
        </w:rPr>
        <w:t xml:space="preserve">Таксите по </w:t>
      </w:r>
      <w:r w:rsidR="009C6BEE" w:rsidRPr="00B70CFB">
        <w:rPr>
          <w:rFonts w:ascii="Verdana" w:hAnsi="Verdana"/>
          <w:b/>
          <w:sz w:val="20"/>
          <w:szCs w:val="20"/>
          <w:lang w:val="bg-BG"/>
        </w:rPr>
        <w:t xml:space="preserve">контролно направление във връзка </w:t>
      </w:r>
      <w:r w:rsidR="0067362E" w:rsidRPr="00B70CFB">
        <w:rPr>
          <w:rFonts w:ascii="Verdana" w:hAnsi="Verdana"/>
          <w:b/>
          <w:sz w:val="20"/>
          <w:szCs w:val="20"/>
          <w:lang w:val="bg-BG"/>
        </w:rPr>
        <w:t xml:space="preserve">със </w:t>
      </w:r>
      <w:r w:rsidRPr="00B70CFB">
        <w:rPr>
          <w:rFonts w:ascii="Verdana" w:hAnsi="Verdana"/>
          <w:b/>
          <w:sz w:val="20"/>
          <w:szCs w:val="20"/>
          <w:lang w:val="bg-BG"/>
        </w:rPr>
        <w:t>Закон за храните</w:t>
      </w:r>
      <w:r w:rsidRPr="00B70CFB">
        <w:rPr>
          <w:rFonts w:ascii="Verdana" w:hAnsi="Verdana"/>
          <w:sz w:val="20"/>
          <w:szCs w:val="20"/>
          <w:lang w:val="bg-BG"/>
        </w:rPr>
        <w:t xml:space="preserve"> са въведени, за да покрият разходите, свързани с измененията </w:t>
      </w:r>
      <w:r w:rsidRPr="00163C9B">
        <w:rPr>
          <w:rFonts w:ascii="Verdana" w:hAnsi="Verdana"/>
          <w:sz w:val="20"/>
          <w:szCs w:val="20"/>
          <w:lang w:val="bg-BG"/>
        </w:rPr>
        <w:t>в режимите по регистрация или одобрение както и с въведените нови регистрационни режими за обектите и дейностите на всички етапи на преработка, преработка и/или дистрибуция на храните. Промените в законодателството въвеждат задължителен предварителен контрол на проектите на новоизграждащи се или реконструирани обекти от агрохранителната верига за които следва да се опр</w:t>
      </w:r>
      <w:r w:rsidR="000C7C91" w:rsidRPr="00163C9B">
        <w:rPr>
          <w:rFonts w:ascii="Verdana" w:hAnsi="Verdana"/>
          <w:sz w:val="20"/>
          <w:szCs w:val="20"/>
          <w:lang w:val="bg-BG"/>
        </w:rPr>
        <w:t>едели нова такса в тарифата.</w:t>
      </w:r>
    </w:p>
    <w:p w:rsidR="00CB24DC" w:rsidRPr="00163C9B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>В чл. 78-85 от Регламент (EС) 2017/625 ясно са разписани правилата за финансиране на официалния контрол и на другите официални дейности. Това налага нов начин за изчисляване на съществуващите такси, събирани от БАБХ за осъществяване на официален контрол по цялата агрохранителна верига. Промяната на нормативната уредба и произлизащите от нея нови правни норми води до възникване на необходимост от въвеждане и на някои н</w:t>
      </w:r>
      <w:r w:rsidR="004B6AC6">
        <w:rPr>
          <w:rFonts w:ascii="Verdana" w:hAnsi="Verdana"/>
          <w:sz w:val="20"/>
          <w:szCs w:val="20"/>
          <w:lang w:val="bg-BG"/>
        </w:rPr>
        <w:t>ови такси за официален контрол.</w:t>
      </w:r>
    </w:p>
    <w:p w:rsidR="00CB24DC" w:rsidRDefault="00CB24DC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 xml:space="preserve">Таксите в проекта за </w:t>
      </w:r>
      <w:r w:rsidR="00AE36D2">
        <w:rPr>
          <w:rFonts w:ascii="Verdana" w:hAnsi="Verdana"/>
          <w:sz w:val="20"/>
          <w:szCs w:val="20"/>
          <w:lang w:val="bg-BG"/>
        </w:rPr>
        <w:t>нова</w:t>
      </w:r>
      <w:r w:rsidRPr="00163C9B">
        <w:rPr>
          <w:rFonts w:ascii="Verdana" w:hAnsi="Verdana"/>
          <w:sz w:val="20"/>
          <w:szCs w:val="20"/>
          <w:lang w:val="bg-BG"/>
        </w:rPr>
        <w:t xml:space="preserve"> </w:t>
      </w:r>
      <w:r w:rsidR="00AE36D2">
        <w:rPr>
          <w:rFonts w:ascii="Verdana" w:hAnsi="Verdana"/>
          <w:sz w:val="20"/>
          <w:szCs w:val="20"/>
          <w:lang w:val="bg-BG"/>
        </w:rPr>
        <w:t>Т</w:t>
      </w:r>
      <w:r w:rsidRPr="00163C9B">
        <w:rPr>
          <w:rFonts w:ascii="Verdana" w:hAnsi="Verdana"/>
          <w:sz w:val="20"/>
          <w:szCs w:val="20"/>
          <w:lang w:val="bg-BG"/>
        </w:rPr>
        <w:t xml:space="preserve">арифата са изчислени на база на методите, посочени в чл. </w:t>
      </w:r>
      <w:r w:rsidRPr="001728C9">
        <w:rPr>
          <w:rFonts w:ascii="Verdana" w:hAnsi="Verdana"/>
          <w:sz w:val="20"/>
          <w:szCs w:val="20"/>
          <w:lang w:val="bg-BG"/>
        </w:rPr>
        <w:t xml:space="preserve">82 от Регламент (EС) 2017/625, като са взети предвид реалните разходи, извършени през </w:t>
      </w:r>
      <w:r w:rsidR="0067362E" w:rsidRPr="001728C9">
        <w:rPr>
          <w:rFonts w:ascii="Verdana" w:hAnsi="Verdana"/>
          <w:sz w:val="20"/>
          <w:szCs w:val="20"/>
          <w:lang w:val="bg-BG"/>
        </w:rPr>
        <w:t>предходни години</w:t>
      </w:r>
      <w:r w:rsidRPr="001728C9">
        <w:rPr>
          <w:rFonts w:ascii="Verdana" w:hAnsi="Verdana"/>
          <w:sz w:val="20"/>
          <w:szCs w:val="20"/>
          <w:lang w:val="bg-BG"/>
        </w:rPr>
        <w:t>.</w:t>
      </w:r>
    </w:p>
    <w:p w:rsidR="00444238" w:rsidRPr="002A7DCF" w:rsidRDefault="00444238" w:rsidP="000D0C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  <w:r w:rsidRPr="002A7DCF">
        <w:rPr>
          <w:rFonts w:ascii="Verdana" w:hAnsi="Verdana"/>
          <w:color w:val="000000" w:themeColor="text1"/>
          <w:sz w:val="20"/>
          <w:szCs w:val="20"/>
          <w:lang w:val="bg-BG"/>
        </w:rPr>
        <w:t>Проектът е включен в Оперативната програма на Министерския съвет за периода 1 януари – 30 юни 2024 г.</w:t>
      </w:r>
    </w:p>
    <w:p w:rsidR="000C7C91" w:rsidRPr="00163C9B" w:rsidRDefault="000C7C91" w:rsidP="000D0CF8">
      <w:pPr>
        <w:spacing w:after="0" w:line="360" w:lineRule="auto"/>
        <w:ind w:firstLine="709"/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/>
        </w:rPr>
      </w:pPr>
    </w:p>
    <w:p w:rsidR="00CB24DC" w:rsidRPr="00163C9B" w:rsidRDefault="00CB24DC" w:rsidP="000D0CF8">
      <w:pPr>
        <w:spacing w:after="0" w:line="360" w:lineRule="auto"/>
        <w:ind w:firstLine="709"/>
        <w:jc w:val="both"/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/>
        </w:rPr>
      </w:pPr>
      <w:r w:rsidRPr="00163C9B"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/>
        </w:rPr>
        <w:t>Цели</w:t>
      </w:r>
    </w:p>
    <w:p w:rsidR="00137254" w:rsidRPr="00137254" w:rsidRDefault="00137254" w:rsidP="0013725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1. </w:t>
      </w:r>
      <w:r w:rsidRPr="00137254">
        <w:rPr>
          <w:rFonts w:ascii="Verdana" w:hAnsi="Verdana"/>
          <w:sz w:val="20"/>
          <w:szCs w:val="20"/>
          <w:lang w:val="bg-BG"/>
        </w:rPr>
        <w:t>Гарантиране наличието на подходящи финансови средства за осигуряване на персонала и другите ресурси, необходими на компетентните органи за извършването на официалния контрол и другите официални дейности в съответствие с Регламент (EС) 2017/625 и промените в националната нормативна уредба и Регламент (EС) 2019/6.</w:t>
      </w:r>
    </w:p>
    <w:p w:rsidR="00137254" w:rsidRPr="00137254" w:rsidRDefault="00137254" w:rsidP="0013725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37254">
        <w:rPr>
          <w:rFonts w:ascii="Verdana" w:hAnsi="Verdana"/>
          <w:sz w:val="20"/>
          <w:szCs w:val="20"/>
          <w:lang w:val="bg-BG"/>
        </w:rPr>
        <w:t xml:space="preserve">2. Създаване на равнопоставеност по отношение на всички оператори при събирането на новите такси и гарантиране на поставянето им при еднакви условия при извършвания официален контрол. </w:t>
      </w:r>
    </w:p>
    <w:p w:rsidR="00137254" w:rsidRPr="00163C9B" w:rsidRDefault="00137254" w:rsidP="00137254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37254">
        <w:rPr>
          <w:rFonts w:ascii="Verdana" w:hAnsi="Verdana"/>
          <w:sz w:val="20"/>
          <w:szCs w:val="20"/>
          <w:lang w:val="bg-BG"/>
        </w:rPr>
        <w:lastRenderedPageBreak/>
        <w:t>3. Увеличаване на приходите в националния бюджет и осигуряване на необходимото финансиране на дейностите за осъществяване на официален контрол, с което ще бъде изпълнено изискването на чл. 78, параграф 1 от Регламент (EС) 2017/625 и чл.137, параграф 2 от Регламент (EС) 2019/6.</w:t>
      </w:r>
    </w:p>
    <w:p w:rsidR="00EF51F2" w:rsidRDefault="00EF51F2" w:rsidP="000D0CF8">
      <w:pPr>
        <w:widowControl w:val="0"/>
        <w:spacing w:after="0" w:line="360" w:lineRule="auto"/>
        <w:ind w:firstLine="709"/>
        <w:rPr>
          <w:rFonts w:ascii="Verdana" w:hAnsi="Verdana"/>
          <w:b/>
          <w:sz w:val="20"/>
          <w:szCs w:val="20"/>
          <w:shd w:val="clear" w:color="auto" w:fill="FEFEFE"/>
          <w:lang w:val="bg-BG"/>
        </w:rPr>
      </w:pPr>
    </w:p>
    <w:p w:rsidR="00CB24DC" w:rsidRPr="00163C9B" w:rsidRDefault="00CB24DC" w:rsidP="000D0CF8">
      <w:pPr>
        <w:widowControl w:val="0"/>
        <w:spacing w:after="0" w:line="360" w:lineRule="auto"/>
        <w:ind w:firstLine="709"/>
        <w:jc w:val="both"/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/>
        </w:rPr>
      </w:pPr>
      <w:r w:rsidRPr="00163C9B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Очаквани резултати от прилагането на акта</w:t>
      </w:r>
    </w:p>
    <w:p w:rsidR="00CB24DC" w:rsidRPr="00163C9B" w:rsidRDefault="00CB24DC" w:rsidP="000D0CF8">
      <w:pPr>
        <w:widowControl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>С предложения проект</w:t>
      </w:r>
      <w:r w:rsidRPr="00163C9B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163C9B">
        <w:rPr>
          <w:rFonts w:ascii="Verdana" w:hAnsi="Verdana"/>
          <w:sz w:val="20"/>
          <w:szCs w:val="20"/>
          <w:lang w:val="bg-BG"/>
        </w:rPr>
        <w:t xml:space="preserve">за </w:t>
      </w:r>
      <w:r w:rsidR="006D1761" w:rsidRPr="00163C9B">
        <w:rPr>
          <w:rFonts w:ascii="Verdana" w:hAnsi="Verdana"/>
          <w:sz w:val="20"/>
          <w:szCs w:val="20"/>
          <w:lang w:val="bg-BG"/>
        </w:rPr>
        <w:t xml:space="preserve">нова </w:t>
      </w:r>
      <w:r w:rsidRPr="00163C9B">
        <w:rPr>
          <w:rFonts w:ascii="Verdana" w:hAnsi="Verdana"/>
          <w:sz w:val="20"/>
          <w:szCs w:val="20"/>
          <w:lang w:val="bg-BG"/>
        </w:rPr>
        <w:t xml:space="preserve">Тарифа за таксите, които се събират от </w:t>
      </w:r>
      <w:r w:rsidR="00A70374">
        <w:rPr>
          <w:rFonts w:ascii="Verdana" w:hAnsi="Verdana"/>
          <w:sz w:val="20"/>
          <w:szCs w:val="20"/>
          <w:lang w:val="bg-BG"/>
        </w:rPr>
        <w:t>БАБХ</w:t>
      </w:r>
      <w:r w:rsidRPr="00163C9B">
        <w:rPr>
          <w:rFonts w:ascii="Verdana" w:hAnsi="Verdana"/>
          <w:sz w:val="20"/>
          <w:szCs w:val="20"/>
          <w:lang w:val="bg-BG"/>
        </w:rPr>
        <w:t xml:space="preserve"> ще се постигне подобряване събирането на таксите, свързани с упражняване на официален контрол, регламентиран от българското законодателство и за</w:t>
      </w:r>
      <w:r w:rsidR="006D1761" w:rsidRPr="00163C9B">
        <w:rPr>
          <w:rFonts w:ascii="Verdana" w:hAnsi="Verdana"/>
          <w:sz w:val="20"/>
          <w:szCs w:val="20"/>
          <w:lang w:val="bg-BG"/>
        </w:rPr>
        <w:t xml:space="preserve">конодателството на Европейския </w:t>
      </w:r>
      <w:r w:rsidRPr="00163C9B">
        <w:rPr>
          <w:rFonts w:ascii="Verdana" w:hAnsi="Verdana"/>
          <w:sz w:val="20"/>
          <w:szCs w:val="20"/>
          <w:lang w:val="bg-BG"/>
        </w:rPr>
        <w:t>съюз. Обхващането на дейности и сектори от агрохранителната верига, които понастоящем не заплащат такси за официален контрол, както и актуализирането на таксите спрямо инфлацията, ще доведе до увеличаване на приходите в националния бюджет. Това от своя страна ще доведе до по-голяма гъвкавост и по-добра материална обезпеченост на официалния контрол, без да бъде намалена неговата честота и ще спомогне за повишаване на ефикасността и ефективността му.</w:t>
      </w:r>
    </w:p>
    <w:p w:rsidR="000C7C91" w:rsidRPr="00163C9B" w:rsidRDefault="000C7C91" w:rsidP="000D0CF8">
      <w:pPr>
        <w:spacing w:after="0" w:line="360" w:lineRule="auto"/>
        <w:ind w:firstLine="709"/>
        <w:rPr>
          <w:rFonts w:ascii="Verdana" w:hAnsi="Verdana"/>
          <w:b/>
          <w:sz w:val="20"/>
          <w:szCs w:val="20"/>
          <w:shd w:val="clear" w:color="auto" w:fill="FEFEFE"/>
          <w:lang w:val="bg-BG"/>
        </w:rPr>
      </w:pPr>
    </w:p>
    <w:p w:rsidR="00CB24DC" w:rsidRPr="00163C9B" w:rsidRDefault="00CB24DC" w:rsidP="000D0CF8">
      <w:pPr>
        <w:spacing w:after="0" w:line="360" w:lineRule="auto"/>
        <w:ind w:firstLine="709"/>
        <w:jc w:val="both"/>
        <w:rPr>
          <w:rFonts w:ascii="Verdana" w:hAnsi="Verdana"/>
          <w:b/>
          <w:sz w:val="20"/>
          <w:szCs w:val="20"/>
          <w:shd w:val="clear" w:color="auto" w:fill="FEFEFE"/>
          <w:lang w:val="bg-BG"/>
        </w:rPr>
      </w:pPr>
      <w:r w:rsidRPr="00163C9B">
        <w:rPr>
          <w:rFonts w:ascii="Verdana" w:hAnsi="Verdana"/>
          <w:b/>
          <w:sz w:val="20"/>
          <w:szCs w:val="20"/>
          <w:shd w:val="clear" w:color="auto" w:fill="FEFEFE"/>
          <w:lang w:val="bg-BG"/>
        </w:rPr>
        <w:t>Финансови и други средства, необходими за прилагането на новата уредба</w:t>
      </w:r>
    </w:p>
    <w:p w:rsidR="002F71EF" w:rsidRDefault="00CB24DC" w:rsidP="000D0CF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ru-RU"/>
        </w:rPr>
      </w:pPr>
      <w:r w:rsidRPr="002F71EF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За приемането на проекта </w:t>
      </w:r>
      <w:r w:rsidR="00DB1537" w:rsidRPr="002F71EF">
        <w:rPr>
          <w:rFonts w:ascii="Verdana" w:hAnsi="Verdana"/>
          <w:sz w:val="20"/>
          <w:szCs w:val="20"/>
          <w:lang w:val="bg-BG"/>
        </w:rPr>
        <w:t xml:space="preserve">за нова Тарифа за таксите, които се събират от БАБХ, </w:t>
      </w:r>
      <w:r w:rsidRPr="002F71EF">
        <w:rPr>
          <w:rFonts w:ascii="Verdana" w:hAnsi="Verdana"/>
          <w:sz w:val="20"/>
          <w:szCs w:val="20"/>
          <w:shd w:val="clear" w:color="auto" w:fill="FEFEFE"/>
          <w:lang w:val="bg-BG"/>
        </w:rPr>
        <w:t>са необходими допълнителни разходи/трансфери/други плащания по бюджета на Министерството на земеделието</w:t>
      </w:r>
      <w:r w:rsidR="00385FB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и храните</w:t>
      </w:r>
      <w:r w:rsidRPr="002F71EF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2F71EF" w:rsidRPr="00244FD2">
        <w:rPr>
          <w:rFonts w:ascii="Verdana" w:hAnsi="Verdana"/>
          <w:sz w:val="20"/>
          <w:szCs w:val="20"/>
          <w:lang w:val="ru-RU"/>
        </w:rPr>
        <w:t xml:space="preserve">като очакваният размер на приходите, които ще постъпват допълнително в държавния бюджет е в годишен размер на около 19 240 хил. лв., а необходимите допълнителни средства по бюджета на БАБХ за обезпечаването на разходите за официалния контрол </w:t>
      </w:r>
      <w:r w:rsidR="00283945">
        <w:rPr>
          <w:rFonts w:ascii="Verdana" w:hAnsi="Verdana"/>
          <w:sz w:val="20"/>
          <w:szCs w:val="20"/>
          <w:lang w:val="ru-RU"/>
        </w:rPr>
        <w:t>–</w:t>
      </w:r>
      <w:r w:rsidR="002F71EF" w:rsidRPr="00244FD2">
        <w:rPr>
          <w:rFonts w:ascii="Verdana" w:hAnsi="Verdana"/>
          <w:sz w:val="20"/>
          <w:szCs w:val="20"/>
          <w:lang w:val="ru-RU"/>
        </w:rPr>
        <w:t xml:space="preserve"> в размер на около 6 540 хил. лв. Така изчислените суми са посочени за 2024 г., 2025 г. и 2026 г. Разходите за 2023 г., в размер на 3 270</w:t>
      </w:r>
      <w:r w:rsidR="002F71EF" w:rsidRPr="00244FD2">
        <w:rPr>
          <w:rFonts w:ascii="Verdana" w:hAnsi="Verdana"/>
          <w:lang w:val="ru-RU"/>
        </w:rPr>
        <w:t xml:space="preserve"> </w:t>
      </w:r>
      <w:r w:rsidR="002F71EF" w:rsidRPr="00244FD2">
        <w:rPr>
          <w:rFonts w:ascii="Verdana" w:hAnsi="Verdana"/>
          <w:sz w:val="20"/>
          <w:szCs w:val="20"/>
          <w:lang w:val="ru-RU"/>
        </w:rPr>
        <w:t>хил. лв., са посочени за период от половин година.</w:t>
      </w:r>
    </w:p>
    <w:p w:rsidR="00F545CC" w:rsidRPr="00AD7ECF" w:rsidRDefault="00F545CC" w:rsidP="000D0CF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ru-RU"/>
        </w:rPr>
      </w:pPr>
      <w:r w:rsidRPr="00AD7ECF">
        <w:rPr>
          <w:rFonts w:ascii="Verdana" w:hAnsi="Verdana"/>
          <w:sz w:val="20"/>
          <w:szCs w:val="20"/>
          <w:lang w:val="ru-RU"/>
        </w:rPr>
        <w:t>Приложеният проект на акт води до въздействие върху държавния бюджет, поради което е приложена финансова обосновка, съгласно чл. 35, ал. 1, т. 4, буква „а“ от Устройствения правилник на Министерския съвет и на неговата администрация.</w:t>
      </w:r>
    </w:p>
    <w:p w:rsidR="00F545CC" w:rsidRPr="00244FD2" w:rsidRDefault="00F545CC" w:rsidP="000D0CF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ru-RU"/>
        </w:rPr>
      </w:pPr>
    </w:p>
    <w:p w:rsidR="00FF2380" w:rsidRPr="00163C9B" w:rsidRDefault="00FF2380" w:rsidP="000D0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Courier New" w:hAnsi="Verdana"/>
          <w:b/>
          <w:sz w:val="20"/>
          <w:szCs w:val="20"/>
          <w:lang w:val="bg-BG"/>
        </w:rPr>
      </w:pPr>
      <w:r w:rsidRPr="00163C9B">
        <w:rPr>
          <w:rFonts w:ascii="Verdana" w:eastAsia="Courier New" w:hAnsi="Verdana"/>
          <w:b/>
          <w:sz w:val="20"/>
          <w:szCs w:val="20"/>
          <w:lang w:val="bg-BG"/>
        </w:rPr>
        <w:t>Анализ за съответствие с правото на Европейския съюз</w:t>
      </w:r>
    </w:p>
    <w:p w:rsidR="00590AD5" w:rsidRPr="00163C9B" w:rsidRDefault="00590AD5" w:rsidP="000D0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163C9B">
        <w:rPr>
          <w:rFonts w:ascii="Verdana" w:hAnsi="Verdana"/>
          <w:sz w:val="20"/>
          <w:szCs w:val="20"/>
          <w:lang w:val="bg-BG" w:eastAsia="bg-BG"/>
        </w:rPr>
        <w:t>С проекта на постановление</w:t>
      </w:r>
      <w:r w:rsidR="00DB1537" w:rsidRPr="00163C9B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за приемането на </w:t>
      </w:r>
      <w:r w:rsidR="00DB1537" w:rsidRPr="00163C9B">
        <w:rPr>
          <w:rFonts w:ascii="Verdana" w:hAnsi="Verdana"/>
          <w:sz w:val="20"/>
          <w:szCs w:val="20"/>
          <w:lang w:val="bg-BG"/>
        </w:rPr>
        <w:t>Тарифа за таксите, които се събират от БАБХ</w:t>
      </w:r>
      <w:r w:rsidRPr="00163C9B">
        <w:rPr>
          <w:rFonts w:ascii="Verdana" w:hAnsi="Verdana"/>
          <w:sz w:val="20"/>
          <w:szCs w:val="20"/>
          <w:lang w:val="bg-BG" w:eastAsia="bg-BG"/>
        </w:rPr>
        <w:t xml:space="preserve"> не се транспонират актове на институции на Европейския съюз, поради което не е изготвена и представена таблица за съответствието с правото на Европейския съюз.</w:t>
      </w:r>
    </w:p>
    <w:p w:rsidR="003836F4" w:rsidRPr="00163C9B" w:rsidRDefault="003836F4" w:rsidP="000D0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Courier New" w:hAnsi="Verdana"/>
          <w:b/>
          <w:sz w:val="20"/>
          <w:szCs w:val="20"/>
          <w:lang w:val="bg-BG"/>
        </w:rPr>
      </w:pPr>
    </w:p>
    <w:p w:rsidR="005D0167" w:rsidRDefault="005D0167" w:rsidP="000D0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Courier New" w:hAnsi="Verdana"/>
          <w:b/>
          <w:sz w:val="20"/>
          <w:szCs w:val="20"/>
          <w:lang w:val="bg-BG"/>
        </w:rPr>
      </w:pPr>
    </w:p>
    <w:p w:rsidR="005D0167" w:rsidRDefault="005D0167" w:rsidP="000D0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Courier New" w:hAnsi="Verdana"/>
          <w:b/>
          <w:sz w:val="20"/>
          <w:szCs w:val="20"/>
          <w:lang w:val="bg-BG"/>
        </w:rPr>
      </w:pPr>
    </w:p>
    <w:p w:rsidR="00FF2380" w:rsidRDefault="00FF2380" w:rsidP="000D0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Courier New" w:hAnsi="Verdana"/>
          <w:b/>
          <w:sz w:val="20"/>
          <w:szCs w:val="20"/>
          <w:lang w:val="bg-BG"/>
        </w:rPr>
      </w:pPr>
      <w:r w:rsidRPr="00163C9B">
        <w:rPr>
          <w:rFonts w:ascii="Verdana" w:eastAsia="Courier New" w:hAnsi="Verdana"/>
          <w:b/>
          <w:sz w:val="20"/>
          <w:szCs w:val="20"/>
          <w:lang w:val="bg-BG"/>
        </w:rPr>
        <w:lastRenderedPageBreak/>
        <w:t>Информация за проведените обществени консултации</w:t>
      </w:r>
    </w:p>
    <w:p w:rsidR="005D0167" w:rsidRPr="00163C9B" w:rsidRDefault="005D0167" w:rsidP="000D0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Courier New" w:hAnsi="Verdana"/>
          <w:b/>
          <w:sz w:val="20"/>
          <w:szCs w:val="20"/>
          <w:lang w:val="bg-BG"/>
        </w:rPr>
      </w:pPr>
    </w:p>
    <w:p w:rsidR="006C5FFA" w:rsidRPr="00163C9B" w:rsidRDefault="006C5FFA" w:rsidP="000D0CF8">
      <w:pPr>
        <w:spacing w:after="0" w:line="360" w:lineRule="auto"/>
        <w:ind w:firstLine="709"/>
        <w:jc w:val="both"/>
        <w:rPr>
          <w:rFonts w:ascii="Verdana" w:hAnsi="Verdana" w:cs="Verdana"/>
          <w:sz w:val="20"/>
          <w:szCs w:val="20"/>
          <w:lang w:val="bg-BG"/>
        </w:rPr>
      </w:pPr>
      <w:r w:rsidRPr="00163C9B">
        <w:rPr>
          <w:rFonts w:ascii="Verdana" w:hAnsi="Verdana" w:cs="Verdana"/>
          <w:sz w:val="20"/>
          <w:szCs w:val="20"/>
          <w:lang w:val="bg-BG"/>
        </w:rPr>
        <w:t>На основание чл. 26, ал. 3 и 4 от Закона за нормативните актове проекта на постановление</w:t>
      </w:r>
      <w:r w:rsidRPr="00542EDC">
        <w:rPr>
          <w:rFonts w:ascii="Verdana" w:hAnsi="Verdana" w:cs="Verdana"/>
          <w:sz w:val="20"/>
          <w:szCs w:val="20"/>
          <w:lang w:val="bg-BG"/>
        </w:rPr>
        <w:t xml:space="preserve">, </w:t>
      </w:r>
      <w:r w:rsidR="000314AF" w:rsidRPr="00542EDC">
        <w:rPr>
          <w:rFonts w:ascii="Verdana" w:hAnsi="Verdana" w:cs="Verdana"/>
          <w:sz w:val="20"/>
          <w:szCs w:val="20"/>
          <w:lang w:val="bg-BG"/>
        </w:rPr>
        <w:t xml:space="preserve">проекта на тарифа, </w:t>
      </w:r>
      <w:r w:rsidRPr="00542EDC">
        <w:rPr>
          <w:rFonts w:ascii="Verdana" w:hAnsi="Verdana" w:cs="Verdana"/>
          <w:sz w:val="20"/>
          <w:szCs w:val="20"/>
          <w:lang w:val="bg-BG"/>
        </w:rPr>
        <w:t>доклада (мотивите)</w:t>
      </w:r>
      <w:r w:rsidR="000314AF" w:rsidRPr="00542EDC">
        <w:rPr>
          <w:rFonts w:ascii="Verdana" w:hAnsi="Verdana" w:cs="Verdana"/>
          <w:sz w:val="20"/>
          <w:szCs w:val="20"/>
          <w:lang w:val="bg-BG"/>
        </w:rPr>
        <w:t>,</w:t>
      </w:r>
      <w:r w:rsidRPr="00542EDC">
        <w:rPr>
          <w:rFonts w:ascii="Verdana" w:hAnsi="Verdana" w:cs="Verdana"/>
          <w:sz w:val="20"/>
          <w:szCs w:val="20"/>
          <w:lang w:val="bg-BG"/>
        </w:rPr>
        <w:t xml:space="preserve"> частичната предварителната оценка на </w:t>
      </w:r>
      <w:r w:rsidR="00A42DA9" w:rsidRPr="00542EDC">
        <w:rPr>
          <w:rFonts w:ascii="Verdana" w:hAnsi="Verdana" w:cs="Verdana"/>
          <w:sz w:val="20"/>
          <w:szCs w:val="20"/>
          <w:lang w:val="bg-BG"/>
        </w:rPr>
        <w:t xml:space="preserve">въздействието </w:t>
      </w:r>
      <w:r w:rsidR="000314AF" w:rsidRPr="00542EDC">
        <w:rPr>
          <w:rFonts w:ascii="Verdana" w:hAnsi="Verdana" w:cs="Verdana"/>
          <w:sz w:val="20"/>
          <w:szCs w:val="20"/>
          <w:lang w:val="bg-BG"/>
        </w:rPr>
        <w:t xml:space="preserve">и становището на дирекция „Модернизация на администрацията“ в администрацията на Министерския съвет </w:t>
      </w:r>
      <w:r w:rsidRPr="00542EDC">
        <w:rPr>
          <w:rFonts w:ascii="Verdana" w:hAnsi="Verdana" w:cs="Verdana"/>
          <w:sz w:val="20"/>
          <w:szCs w:val="20"/>
          <w:lang w:val="bg-BG"/>
        </w:rPr>
        <w:t>са публикувани на интернет страницата на Министерството на земеделието</w:t>
      </w:r>
      <w:r w:rsidR="006E2AD1" w:rsidRPr="00542EDC">
        <w:rPr>
          <w:rFonts w:ascii="Verdana" w:hAnsi="Verdana" w:cs="Verdana"/>
          <w:sz w:val="20"/>
          <w:szCs w:val="20"/>
          <w:lang w:val="bg-BG"/>
        </w:rPr>
        <w:t xml:space="preserve"> </w:t>
      </w:r>
      <w:r w:rsidR="00385FB7">
        <w:rPr>
          <w:rFonts w:ascii="Verdana" w:hAnsi="Verdana" w:cs="Verdana"/>
          <w:sz w:val="20"/>
          <w:szCs w:val="20"/>
          <w:lang w:val="bg-BG"/>
        </w:rPr>
        <w:t xml:space="preserve">и храните </w:t>
      </w:r>
      <w:r w:rsidRPr="00542EDC">
        <w:rPr>
          <w:rFonts w:ascii="Verdana" w:hAnsi="Verdana" w:cs="Verdana"/>
          <w:sz w:val="20"/>
          <w:szCs w:val="20"/>
          <w:lang w:val="bg-BG"/>
        </w:rPr>
        <w:t xml:space="preserve">и на Портала за обществени консултации със срок за предложения </w:t>
      </w:r>
      <w:r w:rsidRPr="00163C9B">
        <w:rPr>
          <w:rFonts w:ascii="Verdana" w:hAnsi="Verdana" w:cs="Verdana"/>
          <w:sz w:val="20"/>
          <w:szCs w:val="20"/>
          <w:lang w:val="bg-BG"/>
        </w:rPr>
        <w:t>и становища</w:t>
      </w:r>
      <w:r w:rsidR="000314AF" w:rsidRPr="00163C9B">
        <w:rPr>
          <w:rFonts w:ascii="Verdana" w:hAnsi="Verdana" w:cs="Verdana"/>
          <w:sz w:val="20"/>
          <w:szCs w:val="20"/>
          <w:lang w:val="bg-BG"/>
        </w:rPr>
        <w:t xml:space="preserve"> </w:t>
      </w:r>
      <w:r w:rsidRPr="00163C9B">
        <w:rPr>
          <w:rFonts w:ascii="Verdana" w:hAnsi="Verdana" w:cs="Verdana"/>
          <w:sz w:val="20"/>
          <w:szCs w:val="20"/>
          <w:lang w:val="bg-BG"/>
        </w:rPr>
        <w:t xml:space="preserve">30 дни. </w:t>
      </w:r>
    </w:p>
    <w:p w:rsidR="006C5FFA" w:rsidRPr="00163C9B" w:rsidRDefault="006C5FFA" w:rsidP="000D0CF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/>
        </w:rPr>
        <w:t>В съответствие с изискванията на чл. 26, ал. 5 от Закона за нормативните актове справката за постъпилите предложения заедно с обосновка за неприетите предложения в резултат на проведената обществена консултация е публикувана на интернет страницата на Министерството на земеделието</w:t>
      </w:r>
      <w:r w:rsidR="00A42DA9" w:rsidRPr="00163C9B">
        <w:rPr>
          <w:rFonts w:ascii="Verdana" w:hAnsi="Verdana"/>
          <w:sz w:val="20"/>
          <w:szCs w:val="20"/>
          <w:lang w:val="bg-BG"/>
        </w:rPr>
        <w:t xml:space="preserve"> </w:t>
      </w:r>
      <w:r w:rsidR="00385FB7" w:rsidRPr="00385FB7">
        <w:rPr>
          <w:rFonts w:ascii="Verdana" w:hAnsi="Verdana"/>
          <w:sz w:val="20"/>
          <w:szCs w:val="20"/>
          <w:lang w:val="bg-BG"/>
        </w:rPr>
        <w:t xml:space="preserve">и храните </w:t>
      </w:r>
      <w:r w:rsidRPr="00163C9B">
        <w:rPr>
          <w:rFonts w:ascii="Verdana" w:hAnsi="Verdana"/>
          <w:sz w:val="20"/>
          <w:szCs w:val="20"/>
          <w:lang w:val="bg-BG"/>
        </w:rPr>
        <w:t>и на Пор</w:t>
      </w:r>
      <w:r w:rsidR="000C7C91" w:rsidRPr="00163C9B">
        <w:rPr>
          <w:rFonts w:ascii="Verdana" w:hAnsi="Verdana"/>
          <w:sz w:val="20"/>
          <w:szCs w:val="20"/>
          <w:lang w:val="bg-BG"/>
        </w:rPr>
        <w:t>тала за обществени консултации.</w:t>
      </w:r>
    </w:p>
    <w:p w:rsidR="006C12FB" w:rsidRDefault="006C12FB" w:rsidP="000D0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1D7C91" w:rsidRDefault="008A769A" w:rsidP="000D0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163C9B">
        <w:rPr>
          <w:rFonts w:ascii="Verdana" w:hAnsi="Verdana"/>
          <w:sz w:val="20"/>
          <w:szCs w:val="20"/>
          <w:lang w:val="bg-BG" w:eastAsia="bg-BG"/>
        </w:rPr>
        <w:t>Проектът на постановление на Министерския съвет е съгласуван в съответствие с разпоредбите на чл. 32 от Устройствения правилник на Министерския съвет и на неговата администрация. Направените целесъобразни бележки и предложения са отразени. Приложена е</w:t>
      </w:r>
      <w:r w:rsidR="008E0973" w:rsidRPr="00163C9B">
        <w:rPr>
          <w:rFonts w:ascii="Verdana" w:hAnsi="Verdana"/>
          <w:sz w:val="20"/>
          <w:szCs w:val="20"/>
          <w:lang w:val="bg-BG" w:eastAsia="bg-BG"/>
        </w:rPr>
        <w:t xml:space="preserve"> справка за отразяване на постъпили</w:t>
      </w:r>
      <w:r w:rsidRPr="00163C9B">
        <w:rPr>
          <w:rFonts w:ascii="Verdana" w:hAnsi="Verdana"/>
          <w:sz w:val="20"/>
          <w:szCs w:val="20"/>
          <w:lang w:val="bg-BG" w:eastAsia="bg-BG"/>
        </w:rPr>
        <w:t>те становища.</w:t>
      </w:r>
    </w:p>
    <w:p w:rsidR="00F545CC" w:rsidRPr="00163C9B" w:rsidRDefault="00F545CC" w:rsidP="000D0CF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AC7993" w:rsidRPr="00163C9B" w:rsidRDefault="00AC7993" w:rsidP="000D0CF8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163C9B">
        <w:rPr>
          <w:rFonts w:ascii="Verdana" w:hAnsi="Verdana"/>
          <w:b/>
          <w:bCs/>
          <w:sz w:val="20"/>
          <w:szCs w:val="20"/>
          <w:lang w:val="bg-BG" w:eastAsia="bg-BG"/>
        </w:rPr>
        <w:t>УВАЖАЕМИ ГОСПОДИН МИНИСТЪР-ПРЕДСЕДАТЕЛ,</w:t>
      </w:r>
    </w:p>
    <w:p w:rsidR="00F56111" w:rsidRPr="00163C9B" w:rsidRDefault="00AC7993" w:rsidP="000D0CF8">
      <w:pPr>
        <w:widowControl w:val="0"/>
        <w:autoSpaceDE w:val="0"/>
        <w:autoSpaceDN w:val="0"/>
        <w:adjustRightInd w:val="0"/>
        <w:spacing w:after="120" w:line="360" w:lineRule="auto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163C9B">
        <w:rPr>
          <w:rFonts w:ascii="Verdana" w:hAnsi="Verdana"/>
          <w:b/>
          <w:bCs/>
          <w:sz w:val="20"/>
          <w:szCs w:val="20"/>
          <w:lang w:val="bg-BG" w:eastAsia="bg-BG"/>
        </w:rPr>
        <w:t>УВАЖАЕМИ ГОСПОЖИ И ГОСПОДА МИНИСТРИ,</w:t>
      </w:r>
    </w:p>
    <w:p w:rsidR="00944CF7" w:rsidRPr="00163C9B" w:rsidRDefault="00AC7993" w:rsidP="000D0C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/>
          <w:spacing w:val="4"/>
          <w:sz w:val="20"/>
          <w:szCs w:val="20"/>
          <w:lang w:val="bg-BG"/>
        </w:rPr>
      </w:pPr>
      <w:r w:rsidRPr="00163C9B">
        <w:rPr>
          <w:rFonts w:ascii="Verdana" w:hAnsi="Verdana"/>
          <w:sz w:val="20"/>
          <w:szCs w:val="20"/>
          <w:lang w:val="bg-BG" w:eastAsia="bg-BG"/>
        </w:rPr>
        <w:t>Във връзка с гореизложеното и на основание чл. 8, ал. 1 от Устройствения правилник на Министерския съвет и на неговата администрация предлагам Министерския съвет д</w:t>
      </w:r>
      <w:r w:rsidR="00C6775C" w:rsidRPr="00163C9B">
        <w:rPr>
          <w:rFonts w:ascii="Verdana" w:hAnsi="Verdana"/>
          <w:sz w:val="20"/>
          <w:szCs w:val="20"/>
          <w:lang w:val="bg-BG" w:eastAsia="bg-BG"/>
        </w:rPr>
        <w:t xml:space="preserve">а приеме предложения проект на </w:t>
      </w:r>
      <w:r w:rsidR="00E53711" w:rsidRPr="00163C9B">
        <w:rPr>
          <w:rFonts w:ascii="Verdana" w:hAnsi="Verdana"/>
          <w:sz w:val="20"/>
          <w:szCs w:val="20"/>
          <w:lang w:val="bg-BG" w:eastAsia="bg-BG"/>
        </w:rPr>
        <w:t xml:space="preserve">Постановление </w:t>
      </w:r>
      <w:r w:rsidR="00607B57" w:rsidRPr="00163C9B">
        <w:rPr>
          <w:rFonts w:ascii="Verdana" w:hAnsi="Verdana"/>
          <w:spacing w:val="4"/>
          <w:sz w:val="20"/>
          <w:szCs w:val="20"/>
          <w:lang w:val="bg-BG"/>
        </w:rPr>
        <w:t xml:space="preserve">на Министерския съвет за приемане на Тарифа за таксите, които се събират от </w:t>
      </w:r>
      <w:r w:rsidR="00A70374">
        <w:rPr>
          <w:rFonts w:ascii="Verdana" w:hAnsi="Verdana"/>
          <w:spacing w:val="4"/>
          <w:sz w:val="20"/>
          <w:szCs w:val="20"/>
          <w:lang w:val="bg-BG"/>
        </w:rPr>
        <w:t>Б</w:t>
      </w:r>
      <w:r w:rsidR="00CC4BAC">
        <w:rPr>
          <w:rFonts w:ascii="Verdana" w:hAnsi="Verdana"/>
          <w:spacing w:val="4"/>
          <w:sz w:val="20"/>
          <w:szCs w:val="20"/>
          <w:lang w:val="bg-BG"/>
        </w:rPr>
        <w:t>ългарската агенция по безопасност на храните</w:t>
      </w:r>
      <w:r w:rsidR="00607B57" w:rsidRPr="00163C9B">
        <w:rPr>
          <w:rFonts w:ascii="Verdana" w:hAnsi="Verdana"/>
          <w:spacing w:val="4"/>
          <w:sz w:val="20"/>
          <w:szCs w:val="20"/>
          <w:lang w:val="bg-BG"/>
        </w:rPr>
        <w:t>.</w:t>
      </w:r>
    </w:p>
    <w:p w:rsidR="00607B57" w:rsidRPr="00163C9B" w:rsidRDefault="00607B57" w:rsidP="00F545CC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1"/>
        <w:gridCol w:w="6873"/>
      </w:tblGrid>
      <w:tr w:rsidR="00241DA7" w:rsidRPr="00302315" w:rsidTr="00241DA7">
        <w:tc>
          <w:tcPr>
            <w:tcW w:w="1781" w:type="dxa"/>
          </w:tcPr>
          <w:p w:rsidR="00241DA7" w:rsidRPr="00163C9B" w:rsidRDefault="00241DA7" w:rsidP="00F545CC">
            <w:pPr>
              <w:overflowPunct w:val="0"/>
              <w:autoSpaceDE w:val="0"/>
              <w:autoSpaceDN w:val="0"/>
              <w:adjustRightInd w:val="0"/>
              <w:spacing w:after="0" w:line="348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163C9B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Приложениe: </w:t>
            </w:r>
          </w:p>
        </w:tc>
        <w:tc>
          <w:tcPr>
            <w:tcW w:w="6873" w:type="dxa"/>
          </w:tcPr>
          <w:p w:rsidR="001D5746" w:rsidRPr="00F06BD9" w:rsidRDefault="001D5746" w:rsidP="000D0CF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F06BD9">
              <w:rPr>
                <w:sz w:val="20"/>
                <w:szCs w:val="20"/>
              </w:rPr>
              <w:t>Проект на Постановление на Министерския съвет</w:t>
            </w:r>
            <w:r w:rsidR="00163C9B" w:rsidRPr="00F06BD9">
              <w:rPr>
                <w:sz w:val="20"/>
                <w:szCs w:val="20"/>
              </w:rPr>
              <w:t>;</w:t>
            </w:r>
          </w:p>
          <w:p w:rsidR="00900990" w:rsidRPr="00163C9B" w:rsidRDefault="008A26B6" w:rsidP="000D0CF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163C9B">
              <w:rPr>
                <w:sz w:val="20"/>
                <w:szCs w:val="20"/>
              </w:rPr>
              <w:t xml:space="preserve">Проект на </w:t>
            </w:r>
            <w:r w:rsidR="00900990" w:rsidRPr="00163C9B">
              <w:rPr>
                <w:sz w:val="20"/>
                <w:szCs w:val="20"/>
              </w:rPr>
              <w:t>Тарифа за таксите, които се събират от Българска</w:t>
            </w:r>
            <w:r w:rsidR="005E7035" w:rsidRPr="00163C9B">
              <w:rPr>
                <w:sz w:val="20"/>
                <w:szCs w:val="20"/>
              </w:rPr>
              <w:t>та</w:t>
            </w:r>
            <w:r w:rsidR="00900990" w:rsidRPr="00163C9B">
              <w:rPr>
                <w:sz w:val="20"/>
                <w:szCs w:val="20"/>
              </w:rPr>
              <w:t xml:space="preserve"> агенция по безопасност на храните;</w:t>
            </w:r>
          </w:p>
          <w:p w:rsidR="00900990" w:rsidRDefault="00900990" w:rsidP="000D0CF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163C9B">
              <w:rPr>
                <w:sz w:val="20"/>
                <w:szCs w:val="20"/>
              </w:rPr>
              <w:t>Методика за изчисляване на таксите по тарифата за таксите, които се събират от Българска</w:t>
            </w:r>
            <w:r w:rsidR="005E7035" w:rsidRPr="00163C9B">
              <w:rPr>
                <w:sz w:val="20"/>
                <w:szCs w:val="20"/>
              </w:rPr>
              <w:t>та</w:t>
            </w:r>
            <w:r w:rsidRPr="00163C9B">
              <w:rPr>
                <w:sz w:val="20"/>
                <w:szCs w:val="20"/>
              </w:rPr>
              <w:t xml:space="preserve"> аген</w:t>
            </w:r>
            <w:r w:rsidR="000C7C91" w:rsidRPr="00163C9B">
              <w:rPr>
                <w:sz w:val="20"/>
                <w:szCs w:val="20"/>
              </w:rPr>
              <w:t>ция по безопасност на храните;</w:t>
            </w:r>
          </w:p>
          <w:p w:rsidR="00ED366F" w:rsidRPr="0059438B" w:rsidRDefault="00ED366F" w:rsidP="000D0CF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59438B">
              <w:rPr>
                <w:color w:val="000000" w:themeColor="text1"/>
                <w:sz w:val="20"/>
                <w:szCs w:val="20"/>
              </w:rPr>
              <w:t>План-сметки</w:t>
            </w:r>
            <w:r w:rsidRPr="0059438B">
              <w:rPr>
                <w:color w:val="000000" w:themeColor="text1"/>
                <w:sz w:val="20"/>
                <w:szCs w:val="20"/>
                <w:lang w:val="en-US"/>
              </w:rPr>
              <w:t>;</w:t>
            </w:r>
          </w:p>
          <w:p w:rsidR="00365C1E" w:rsidRPr="00163C9B" w:rsidRDefault="00365C1E" w:rsidP="000D0CF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163C9B">
              <w:rPr>
                <w:sz w:val="20"/>
                <w:szCs w:val="20"/>
              </w:rPr>
              <w:t>Частична предварителна оценка на въздействието</w:t>
            </w:r>
            <w:r w:rsidR="00B50993" w:rsidRPr="00163C9B">
              <w:rPr>
                <w:sz w:val="20"/>
                <w:szCs w:val="20"/>
              </w:rPr>
              <w:t>;</w:t>
            </w:r>
          </w:p>
          <w:p w:rsidR="00B50993" w:rsidRPr="00163C9B" w:rsidRDefault="00B50993" w:rsidP="000D0CF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163C9B">
              <w:rPr>
                <w:sz w:val="20"/>
                <w:szCs w:val="20"/>
              </w:rPr>
              <w:t>Становище на дирекция „Модернизация на администрацията“ към Министерски съвет;</w:t>
            </w:r>
          </w:p>
          <w:p w:rsidR="002124CF" w:rsidRPr="00163C9B" w:rsidRDefault="00811DA1" w:rsidP="000D0CF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163C9B">
              <w:rPr>
                <w:sz w:val="20"/>
                <w:szCs w:val="20"/>
              </w:rPr>
              <w:t>Финансова обосновка;</w:t>
            </w:r>
          </w:p>
          <w:p w:rsidR="00D20D7D" w:rsidRPr="00163C9B" w:rsidRDefault="00302315" w:rsidP="000D0CF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302315">
              <w:rPr>
                <w:sz w:val="20"/>
                <w:szCs w:val="20"/>
              </w:rPr>
              <w:lastRenderedPageBreak/>
              <w:t>Справка за отразяване на становищата, постъпили по реда на чл. 32 – 34 от Устройствения правилник на Министерския съвет и на неговата администрация</w:t>
            </w:r>
            <w:r w:rsidR="00D20D7D" w:rsidRPr="00163C9B">
              <w:rPr>
                <w:sz w:val="20"/>
                <w:szCs w:val="20"/>
              </w:rPr>
              <w:t>;</w:t>
            </w:r>
          </w:p>
          <w:p w:rsidR="00D20D7D" w:rsidRPr="00163C9B" w:rsidRDefault="00D20D7D" w:rsidP="000D0CF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163C9B">
              <w:rPr>
                <w:sz w:val="20"/>
                <w:szCs w:val="20"/>
              </w:rPr>
              <w:t>Постъпили становища;</w:t>
            </w:r>
          </w:p>
          <w:p w:rsidR="00D20D7D" w:rsidRDefault="00D20D7D" w:rsidP="000D0CF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163C9B">
              <w:rPr>
                <w:sz w:val="20"/>
                <w:szCs w:val="20"/>
              </w:rPr>
              <w:t>Справка за проведената обществена консултация</w:t>
            </w:r>
            <w:r w:rsidR="002124CF" w:rsidRPr="00163C9B">
              <w:rPr>
                <w:sz w:val="20"/>
                <w:szCs w:val="20"/>
              </w:rPr>
              <w:t>;</w:t>
            </w:r>
          </w:p>
          <w:p w:rsidR="004B6AC6" w:rsidRPr="00D30C2B" w:rsidRDefault="004B6AC6" w:rsidP="000D0CF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30C2B">
              <w:rPr>
                <w:sz w:val="20"/>
                <w:szCs w:val="20"/>
              </w:rPr>
              <w:t>Постъпили становища и предложения от проведената обществена консултация</w:t>
            </w:r>
            <w:r w:rsidRPr="00D30C2B">
              <w:rPr>
                <w:sz w:val="20"/>
                <w:szCs w:val="20"/>
                <w:lang w:val="en-US"/>
              </w:rPr>
              <w:t>;</w:t>
            </w:r>
          </w:p>
          <w:p w:rsidR="002124CF" w:rsidRPr="00163C9B" w:rsidRDefault="002124CF" w:rsidP="000D0CF8">
            <w:pPr>
              <w:pStyle w:val="ListParagraph"/>
              <w:numPr>
                <w:ilvl w:val="0"/>
                <w:numId w:val="7"/>
              </w:numPr>
              <w:overflowPunct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163C9B">
              <w:rPr>
                <w:sz w:val="20"/>
                <w:szCs w:val="20"/>
              </w:rPr>
              <w:t>Проект на съобщение за средствата за масово осведомяване</w:t>
            </w:r>
            <w:r w:rsidR="00811DA1" w:rsidRPr="00163C9B">
              <w:rPr>
                <w:sz w:val="20"/>
                <w:szCs w:val="20"/>
              </w:rPr>
              <w:t>.</w:t>
            </w:r>
          </w:p>
        </w:tc>
      </w:tr>
    </w:tbl>
    <w:p w:rsidR="00C22A0D" w:rsidRPr="00F545CC" w:rsidRDefault="00C22A0D" w:rsidP="00F545CC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C22A0D" w:rsidRDefault="00C22A0D" w:rsidP="00F545CC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0D0CF8" w:rsidRPr="00F545CC" w:rsidRDefault="000D0CF8" w:rsidP="00F545CC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7B7D64" w:rsidRPr="00BF708E" w:rsidRDefault="004B6AC6" w:rsidP="00F545CC">
      <w:pPr>
        <w:widowControl w:val="0"/>
        <w:autoSpaceDE w:val="0"/>
        <w:autoSpaceDN w:val="0"/>
        <w:adjustRightInd w:val="0"/>
        <w:spacing w:after="0" w:line="348" w:lineRule="auto"/>
        <w:ind w:right="-425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8042E9">
        <w:rPr>
          <w:rFonts w:ascii="Verdana" w:hAnsi="Verdana"/>
          <w:b/>
          <w:caps/>
          <w:sz w:val="20"/>
          <w:szCs w:val="20"/>
          <w:lang w:val="bg-BG" w:eastAsia="bg-BG"/>
        </w:rPr>
        <w:t xml:space="preserve">д-р </w:t>
      </w:r>
      <w:r w:rsidR="00C55878">
        <w:rPr>
          <w:rFonts w:ascii="Verdana" w:hAnsi="Verdana"/>
          <w:b/>
          <w:caps/>
          <w:sz w:val="20"/>
          <w:szCs w:val="20"/>
          <w:lang w:val="bg-BG" w:eastAsia="bg-BG"/>
        </w:rPr>
        <w:t>ГЕОРГИ ТАХОВ</w:t>
      </w:r>
    </w:p>
    <w:p w:rsidR="000D0CF8" w:rsidRPr="003B4559" w:rsidRDefault="00AC7993" w:rsidP="003B4559">
      <w:pPr>
        <w:widowControl w:val="0"/>
        <w:autoSpaceDE w:val="0"/>
        <w:autoSpaceDN w:val="0"/>
        <w:adjustRightInd w:val="0"/>
        <w:spacing w:after="0" w:line="348" w:lineRule="auto"/>
        <w:ind w:right="-425"/>
        <w:jc w:val="both"/>
        <w:rPr>
          <w:rFonts w:ascii="Verdana" w:hAnsi="Verdana"/>
          <w:bCs/>
          <w:i/>
          <w:iCs/>
          <w:sz w:val="20"/>
          <w:szCs w:val="20"/>
          <w:lang w:val="bg-BG" w:eastAsia="bg-BG"/>
        </w:rPr>
      </w:pPr>
      <w:r w:rsidRPr="00163C9B">
        <w:rPr>
          <w:rFonts w:ascii="Verdana" w:hAnsi="Verdana"/>
          <w:bCs/>
          <w:i/>
          <w:iCs/>
          <w:sz w:val="20"/>
          <w:szCs w:val="20"/>
          <w:lang w:val="bg-BG" w:eastAsia="bg-BG"/>
        </w:rPr>
        <w:t>Министър на земеделиет</w:t>
      </w:r>
      <w:r w:rsidR="00B11600">
        <w:rPr>
          <w:rFonts w:ascii="Verdana" w:hAnsi="Verdana"/>
          <w:bCs/>
          <w:i/>
          <w:iCs/>
          <w:sz w:val="20"/>
          <w:szCs w:val="20"/>
          <w:lang w:val="bg-BG" w:eastAsia="bg-BG"/>
        </w:rPr>
        <w:t>о</w:t>
      </w:r>
      <w:r w:rsidR="00F37CC5">
        <w:rPr>
          <w:rFonts w:ascii="Verdana" w:hAnsi="Verdana"/>
          <w:bCs/>
          <w:i/>
          <w:iCs/>
          <w:sz w:val="20"/>
          <w:szCs w:val="20"/>
          <w:lang w:eastAsia="bg-BG"/>
        </w:rPr>
        <w:t xml:space="preserve"> </w:t>
      </w:r>
      <w:r w:rsidR="00F37CC5">
        <w:rPr>
          <w:rFonts w:ascii="Verdana" w:hAnsi="Verdana"/>
          <w:bCs/>
          <w:i/>
          <w:iCs/>
          <w:sz w:val="20"/>
          <w:szCs w:val="20"/>
          <w:lang w:val="bg-BG" w:eastAsia="bg-BG"/>
        </w:rPr>
        <w:t>и храните</w:t>
      </w:r>
      <w:bookmarkStart w:id="1" w:name="_GoBack"/>
      <w:bookmarkEnd w:id="1"/>
    </w:p>
    <w:sectPr w:rsidR="000D0CF8" w:rsidRPr="003B4559" w:rsidSect="000302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30E" w:rsidRDefault="003A030E">
      <w:r>
        <w:separator/>
      </w:r>
    </w:p>
  </w:endnote>
  <w:endnote w:type="continuationSeparator" w:id="0">
    <w:p w:rsidR="003A030E" w:rsidRDefault="003A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C6" w:rsidRDefault="004B6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64825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986C72" w:rsidRPr="00E53711" w:rsidRDefault="00804836" w:rsidP="006C12FB">
        <w:pPr>
          <w:pStyle w:val="Footer"/>
          <w:spacing w:before="120"/>
          <w:jc w:val="right"/>
          <w:rPr>
            <w:rFonts w:ascii="Verdana" w:hAnsi="Verdana"/>
            <w:sz w:val="16"/>
            <w:szCs w:val="16"/>
          </w:rPr>
        </w:pPr>
        <w:r w:rsidRPr="00E53711">
          <w:rPr>
            <w:rFonts w:ascii="Verdana" w:hAnsi="Verdana"/>
            <w:sz w:val="16"/>
            <w:szCs w:val="16"/>
          </w:rPr>
          <w:fldChar w:fldCharType="begin"/>
        </w:r>
        <w:r w:rsidRPr="00E53711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E53711">
          <w:rPr>
            <w:rFonts w:ascii="Verdana" w:hAnsi="Verdana"/>
            <w:sz w:val="16"/>
            <w:szCs w:val="16"/>
          </w:rPr>
          <w:fldChar w:fldCharType="separate"/>
        </w:r>
        <w:r w:rsidR="003B4559">
          <w:rPr>
            <w:rFonts w:ascii="Verdana" w:hAnsi="Verdana"/>
            <w:noProof/>
            <w:sz w:val="16"/>
            <w:szCs w:val="16"/>
          </w:rPr>
          <w:t>9</w:t>
        </w:r>
        <w:r w:rsidRPr="00E53711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C6" w:rsidRDefault="004B6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30E" w:rsidRDefault="003A030E">
      <w:r>
        <w:separator/>
      </w:r>
    </w:p>
  </w:footnote>
  <w:footnote w:type="continuationSeparator" w:id="0">
    <w:p w:rsidR="003A030E" w:rsidRDefault="003A0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C6" w:rsidRDefault="004B6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C6" w:rsidRDefault="004B6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C9B" w:rsidRDefault="00163C9B" w:rsidP="00163C9B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sz w:val="16"/>
        <w:szCs w:val="16"/>
        <w:lang w:val="bg-BG"/>
      </w:rPr>
    </w:pPr>
    <w:r w:rsidRPr="00A270DB">
      <w:rPr>
        <w:rFonts w:ascii="Verdana" w:hAnsi="Verdana"/>
        <w:sz w:val="16"/>
        <w:szCs w:val="16"/>
        <w:lang w:val="bg-BG"/>
      </w:rPr>
      <w:t>Класификация на информацията:</w:t>
    </w:r>
  </w:p>
  <w:p w:rsidR="00163C9B" w:rsidRPr="00A270DB" w:rsidRDefault="00163C9B" w:rsidP="00163C9B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sz w:val="16"/>
        <w:szCs w:val="16"/>
        <w:lang w:val="bg-BG"/>
      </w:rPr>
    </w:pPr>
    <w:r w:rsidRPr="00A270DB">
      <w:rPr>
        <w:rFonts w:ascii="Verdana" w:hAnsi="Verdana"/>
        <w:sz w:val="16"/>
        <w:szCs w:val="16"/>
        <w:lang w:val="bg-BG"/>
      </w:rPr>
      <w:t xml:space="preserve">Ниво </w:t>
    </w:r>
    <w:r w:rsidR="00844B83">
      <w:rPr>
        <w:rFonts w:ascii="Verdana" w:hAnsi="Verdana"/>
        <w:sz w:val="16"/>
        <w:szCs w:val="16"/>
        <w:lang w:val="bg-BG"/>
      </w:rPr>
      <w:t>0</w:t>
    </w:r>
    <w:r w:rsidRPr="00A270DB">
      <w:rPr>
        <w:rFonts w:ascii="Verdana" w:hAnsi="Verdana"/>
        <w:sz w:val="16"/>
        <w:szCs w:val="16"/>
        <w:lang w:val="bg-BG"/>
      </w:rPr>
      <w:t>, TLP-</w:t>
    </w:r>
    <w:r>
      <w:rPr>
        <w:rFonts w:ascii="Verdana" w:hAnsi="Verdana"/>
        <w:sz w:val="16"/>
        <w:szCs w:val="16"/>
      </w:rPr>
      <w:t>WHITE</w:t>
    </w:r>
  </w:p>
  <w:p w:rsidR="003A0C39" w:rsidRPr="003A0C39" w:rsidRDefault="003A0C39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113B"/>
    <w:multiLevelType w:val="multilevel"/>
    <w:tmpl w:val="834A54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4B2C0B"/>
    <w:multiLevelType w:val="hybridMultilevel"/>
    <w:tmpl w:val="879A84EE"/>
    <w:lvl w:ilvl="0" w:tplc="32BE2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CA613E"/>
    <w:multiLevelType w:val="multilevel"/>
    <w:tmpl w:val="871803AA"/>
    <w:lvl w:ilvl="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B0C4B"/>
    <w:multiLevelType w:val="hybridMultilevel"/>
    <w:tmpl w:val="5566B5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70384"/>
    <w:multiLevelType w:val="multilevel"/>
    <w:tmpl w:val="5F628B28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97D5560"/>
    <w:multiLevelType w:val="hybridMultilevel"/>
    <w:tmpl w:val="28ACC06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6E76E7"/>
    <w:multiLevelType w:val="multilevel"/>
    <w:tmpl w:val="FCA608E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93"/>
    <w:rsid w:val="00001BD6"/>
    <w:rsid w:val="00003FD8"/>
    <w:rsid w:val="00005ADF"/>
    <w:rsid w:val="0000631B"/>
    <w:rsid w:val="00017FD2"/>
    <w:rsid w:val="00022EE7"/>
    <w:rsid w:val="000302A2"/>
    <w:rsid w:val="000314AF"/>
    <w:rsid w:val="00032291"/>
    <w:rsid w:val="00032852"/>
    <w:rsid w:val="00032F22"/>
    <w:rsid w:val="00035390"/>
    <w:rsid w:val="00036942"/>
    <w:rsid w:val="000448E9"/>
    <w:rsid w:val="00067751"/>
    <w:rsid w:val="00067DF6"/>
    <w:rsid w:val="000713CA"/>
    <w:rsid w:val="00071E16"/>
    <w:rsid w:val="00073ACA"/>
    <w:rsid w:val="00074844"/>
    <w:rsid w:val="00081403"/>
    <w:rsid w:val="0008685D"/>
    <w:rsid w:val="00086B05"/>
    <w:rsid w:val="000A46A0"/>
    <w:rsid w:val="000A4D3E"/>
    <w:rsid w:val="000C09AB"/>
    <w:rsid w:val="000C3131"/>
    <w:rsid w:val="000C4476"/>
    <w:rsid w:val="000C586C"/>
    <w:rsid w:val="000C7C91"/>
    <w:rsid w:val="000D0CF8"/>
    <w:rsid w:val="000D17A2"/>
    <w:rsid w:val="000D5089"/>
    <w:rsid w:val="000E4044"/>
    <w:rsid w:val="000F1F75"/>
    <w:rsid w:val="000F29C2"/>
    <w:rsid w:val="000F2EC8"/>
    <w:rsid w:val="000F33BD"/>
    <w:rsid w:val="000F6474"/>
    <w:rsid w:val="00100FB8"/>
    <w:rsid w:val="0011068A"/>
    <w:rsid w:val="001130B9"/>
    <w:rsid w:val="0012034D"/>
    <w:rsid w:val="001217E8"/>
    <w:rsid w:val="00123BFC"/>
    <w:rsid w:val="001342D6"/>
    <w:rsid w:val="00137254"/>
    <w:rsid w:val="00153F3E"/>
    <w:rsid w:val="00163C9B"/>
    <w:rsid w:val="001656AE"/>
    <w:rsid w:val="0016637C"/>
    <w:rsid w:val="00166DFA"/>
    <w:rsid w:val="001711F2"/>
    <w:rsid w:val="001728C9"/>
    <w:rsid w:val="001732A1"/>
    <w:rsid w:val="001834C8"/>
    <w:rsid w:val="00193583"/>
    <w:rsid w:val="001974DD"/>
    <w:rsid w:val="001A14F2"/>
    <w:rsid w:val="001A2767"/>
    <w:rsid w:val="001A3374"/>
    <w:rsid w:val="001A60FA"/>
    <w:rsid w:val="001A64D4"/>
    <w:rsid w:val="001B3775"/>
    <w:rsid w:val="001B687C"/>
    <w:rsid w:val="001C155C"/>
    <w:rsid w:val="001D0CF6"/>
    <w:rsid w:val="001D3B8A"/>
    <w:rsid w:val="001D5746"/>
    <w:rsid w:val="001D7C91"/>
    <w:rsid w:val="001E55A0"/>
    <w:rsid w:val="001F34B4"/>
    <w:rsid w:val="0020000C"/>
    <w:rsid w:val="002055E7"/>
    <w:rsid w:val="0020746E"/>
    <w:rsid w:val="00211D52"/>
    <w:rsid w:val="002124CF"/>
    <w:rsid w:val="00216125"/>
    <w:rsid w:val="00217FD6"/>
    <w:rsid w:val="00233B6E"/>
    <w:rsid w:val="00235436"/>
    <w:rsid w:val="00235E05"/>
    <w:rsid w:val="00240219"/>
    <w:rsid w:val="00241DA7"/>
    <w:rsid w:val="00242468"/>
    <w:rsid w:val="00244FD2"/>
    <w:rsid w:val="00247138"/>
    <w:rsid w:val="00252297"/>
    <w:rsid w:val="002634EC"/>
    <w:rsid w:val="002740F8"/>
    <w:rsid w:val="002742F4"/>
    <w:rsid w:val="002835E3"/>
    <w:rsid w:val="00283945"/>
    <w:rsid w:val="00287BB0"/>
    <w:rsid w:val="002947D8"/>
    <w:rsid w:val="002A15FF"/>
    <w:rsid w:val="002A7C86"/>
    <w:rsid w:val="002A7DCF"/>
    <w:rsid w:val="002C0ECD"/>
    <w:rsid w:val="002C1A38"/>
    <w:rsid w:val="002C2B9E"/>
    <w:rsid w:val="002C5798"/>
    <w:rsid w:val="002C641A"/>
    <w:rsid w:val="002C70F3"/>
    <w:rsid w:val="002C7552"/>
    <w:rsid w:val="002D04F7"/>
    <w:rsid w:val="002D749B"/>
    <w:rsid w:val="002E6615"/>
    <w:rsid w:val="002F71EF"/>
    <w:rsid w:val="00302315"/>
    <w:rsid w:val="0030534C"/>
    <w:rsid w:val="0030683B"/>
    <w:rsid w:val="00310510"/>
    <w:rsid w:val="00311444"/>
    <w:rsid w:val="00313348"/>
    <w:rsid w:val="0031558C"/>
    <w:rsid w:val="00316D6E"/>
    <w:rsid w:val="00316E5E"/>
    <w:rsid w:val="0032532E"/>
    <w:rsid w:val="003266E6"/>
    <w:rsid w:val="0032709D"/>
    <w:rsid w:val="003331E6"/>
    <w:rsid w:val="00341C8B"/>
    <w:rsid w:val="003454C2"/>
    <w:rsid w:val="003525DF"/>
    <w:rsid w:val="003658B1"/>
    <w:rsid w:val="00365C1E"/>
    <w:rsid w:val="00383118"/>
    <w:rsid w:val="0038366D"/>
    <w:rsid w:val="003836F4"/>
    <w:rsid w:val="00385FB7"/>
    <w:rsid w:val="00394326"/>
    <w:rsid w:val="003A030E"/>
    <w:rsid w:val="003A0C39"/>
    <w:rsid w:val="003B05BA"/>
    <w:rsid w:val="003B4559"/>
    <w:rsid w:val="003B4675"/>
    <w:rsid w:val="003B6FA8"/>
    <w:rsid w:val="003C0522"/>
    <w:rsid w:val="003C3D08"/>
    <w:rsid w:val="003D12AC"/>
    <w:rsid w:val="003D1D90"/>
    <w:rsid w:val="003E16DC"/>
    <w:rsid w:val="003E303C"/>
    <w:rsid w:val="003E50B9"/>
    <w:rsid w:val="003E7541"/>
    <w:rsid w:val="003F6818"/>
    <w:rsid w:val="00400439"/>
    <w:rsid w:val="004025FE"/>
    <w:rsid w:val="00407D42"/>
    <w:rsid w:val="0041317A"/>
    <w:rsid w:val="00421321"/>
    <w:rsid w:val="0042738B"/>
    <w:rsid w:val="004339E5"/>
    <w:rsid w:val="004418A4"/>
    <w:rsid w:val="00444238"/>
    <w:rsid w:val="00452CC0"/>
    <w:rsid w:val="00457C78"/>
    <w:rsid w:val="004659A1"/>
    <w:rsid w:val="004719CD"/>
    <w:rsid w:val="00475D0F"/>
    <w:rsid w:val="00483434"/>
    <w:rsid w:val="00483A2A"/>
    <w:rsid w:val="0048496F"/>
    <w:rsid w:val="004A41A2"/>
    <w:rsid w:val="004A6F13"/>
    <w:rsid w:val="004B631F"/>
    <w:rsid w:val="004B6AC6"/>
    <w:rsid w:val="004B7B83"/>
    <w:rsid w:val="004D3739"/>
    <w:rsid w:val="004D6551"/>
    <w:rsid w:val="004E415B"/>
    <w:rsid w:val="00501D05"/>
    <w:rsid w:val="005046E9"/>
    <w:rsid w:val="00511796"/>
    <w:rsid w:val="00515555"/>
    <w:rsid w:val="00516F97"/>
    <w:rsid w:val="005218F4"/>
    <w:rsid w:val="00530DE7"/>
    <w:rsid w:val="00542EDC"/>
    <w:rsid w:val="00543A83"/>
    <w:rsid w:val="00544947"/>
    <w:rsid w:val="00544C86"/>
    <w:rsid w:val="00553495"/>
    <w:rsid w:val="005613FC"/>
    <w:rsid w:val="00561C9D"/>
    <w:rsid w:val="00565147"/>
    <w:rsid w:val="0057034E"/>
    <w:rsid w:val="00577D3E"/>
    <w:rsid w:val="00577D9C"/>
    <w:rsid w:val="00590AD5"/>
    <w:rsid w:val="005927A7"/>
    <w:rsid w:val="0059438B"/>
    <w:rsid w:val="00595AF5"/>
    <w:rsid w:val="005976B6"/>
    <w:rsid w:val="00597E32"/>
    <w:rsid w:val="005A1751"/>
    <w:rsid w:val="005A29A4"/>
    <w:rsid w:val="005B43C2"/>
    <w:rsid w:val="005C048C"/>
    <w:rsid w:val="005C1E04"/>
    <w:rsid w:val="005C2FA1"/>
    <w:rsid w:val="005C3E39"/>
    <w:rsid w:val="005C4E36"/>
    <w:rsid w:val="005D0167"/>
    <w:rsid w:val="005E1C81"/>
    <w:rsid w:val="005E6B0A"/>
    <w:rsid w:val="005E7035"/>
    <w:rsid w:val="005E7670"/>
    <w:rsid w:val="006038CB"/>
    <w:rsid w:val="00607B57"/>
    <w:rsid w:val="006124BD"/>
    <w:rsid w:val="00620983"/>
    <w:rsid w:val="006214D0"/>
    <w:rsid w:val="00626587"/>
    <w:rsid w:val="00640E05"/>
    <w:rsid w:val="00643606"/>
    <w:rsid w:val="0064555E"/>
    <w:rsid w:val="00646AEA"/>
    <w:rsid w:val="00663C73"/>
    <w:rsid w:val="00670E33"/>
    <w:rsid w:val="0067362E"/>
    <w:rsid w:val="0067750A"/>
    <w:rsid w:val="00680F6A"/>
    <w:rsid w:val="00683316"/>
    <w:rsid w:val="00686456"/>
    <w:rsid w:val="0069408A"/>
    <w:rsid w:val="0069483F"/>
    <w:rsid w:val="006A3A4D"/>
    <w:rsid w:val="006B170A"/>
    <w:rsid w:val="006B1790"/>
    <w:rsid w:val="006B4D7B"/>
    <w:rsid w:val="006B5561"/>
    <w:rsid w:val="006C12FB"/>
    <w:rsid w:val="006C293F"/>
    <w:rsid w:val="006C5FFA"/>
    <w:rsid w:val="006D1761"/>
    <w:rsid w:val="006D539F"/>
    <w:rsid w:val="006E1D5F"/>
    <w:rsid w:val="006E2AD1"/>
    <w:rsid w:val="006E312E"/>
    <w:rsid w:val="006E5F34"/>
    <w:rsid w:val="006F5E42"/>
    <w:rsid w:val="00700D09"/>
    <w:rsid w:val="00701078"/>
    <w:rsid w:val="00702377"/>
    <w:rsid w:val="00702EBE"/>
    <w:rsid w:val="0071483C"/>
    <w:rsid w:val="007159D0"/>
    <w:rsid w:val="00716501"/>
    <w:rsid w:val="0072374D"/>
    <w:rsid w:val="00723F17"/>
    <w:rsid w:val="00727487"/>
    <w:rsid w:val="00731B12"/>
    <w:rsid w:val="00732C67"/>
    <w:rsid w:val="00746FD7"/>
    <w:rsid w:val="00750D43"/>
    <w:rsid w:val="00751267"/>
    <w:rsid w:val="00751351"/>
    <w:rsid w:val="007550BC"/>
    <w:rsid w:val="007644FE"/>
    <w:rsid w:val="00773738"/>
    <w:rsid w:val="00773E77"/>
    <w:rsid w:val="00776A3C"/>
    <w:rsid w:val="00777F6C"/>
    <w:rsid w:val="00783C65"/>
    <w:rsid w:val="00783DD2"/>
    <w:rsid w:val="00792022"/>
    <w:rsid w:val="00794309"/>
    <w:rsid w:val="00796F24"/>
    <w:rsid w:val="007A0580"/>
    <w:rsid w:val="007A0EE5"/>
    <w:rsid w:val="007A1B07"/>
    <w:rsid w:val="007B4099"/>
    <w:rsid w:val="007B7D64"/>
    <w:rsid w:val="007C06AF"/>
    <w:rsid w:val="007C3326"/>
    <w:rsid w:val="007D66E4"/>
    <w:rsid w:val="007D673B"/>
    <w:rsid w:val="007D770B"/>
    <w:rsid w:val="007E080D"/>
    <w:rsid w:val="007F3496"/>
    <w:rsid w:val="008042E9"/>
    <w:rsid w:val="00804836"/>
    <w:rsid w:val="0080646C"/>
    <w:rsid w:val="00811DA1"/>
    <w:rsid w:val="00825E46"/>
    <w:rsid w:val="00834EC0"/>
    <w:rsid w:val="0083785C"/>
    <w:rsid w:val="00844B83"/>
    <w:rsid w:val="00845C88"/>
    <w:rsid w:val="00847761"/>
    <w:rsid w:val="008547AC"/>
    <w:rsid w:val="00857372"/>
    <w:rsid w:val="00857A1F"/>
    <w:rsid w:val="00861788"/>
    <w:rsid w:val="0086215C"/>
    <w:rsid w:val="008911D2"/>
    <w:rsid w:val="008955F0"/>
    <w:rsid w:val="008A01F9"/>
    <w:rsid w:val="008A0F6D"/>
    <w:rsid w:val="008A26B6"/>
    <w:rsid w:val="008A6EF2"/>
    <w:rsid w:val="008A769A"/>
    <w:rsid w:val="008B34FA"/>
    <w:rsid w:val="008B6386"/>
    <w:rsid w:val="008C438F"/>
    <w:rsid w:val="008C54FE"/>
    <w:rsid w:val="008D56C1"/>
    <w:rsid w:val="008D65D4"/>
    <w:rsid w:val="008E0973"/>
    <w:rsid w:val="008F3EA7"/>
    <w:rsid w:val="008F5D28"/>
    <w:rsid w:val="00900990"/>
    <w:rsid w:val="009071BC"/>
    <w:rsid w:val="00932673"/>
    <w:rsid w:val="00940CF4"/>
    <w:rsid w:val="00944CF7"/>
    <w:rsid w:val="00945E6C"/>
    <w:rsid w:val="00950308"/>
    <w:rsid w:val="00961200"/>
    <w:rsid w:val="009619DD"/>
    <w:rsid w:val="00964405"/>
    <w:rsid w:val="00982CBD"/>
    <w:rsid w:val="00986C72"/>
    <w:rsid w:val="00997503"/>
    <w:rsid w:val="009976A3"/>
    <w:rsid w:val="009A1D24"/>
    <w:rsid w:val="009A6F50"/>
    <w:rsid w:val="009A7C24"/>
    <w:rsid w:val="009B5B86"/>
    <w:rsid w:val="009B6BE4"/>
    <w:rsid w:val="009B6C1E"/>
    <w:rsid w:val="009C6BEE"/>
    <w:rsid w:val="009C6C4F"/>
    <w:rsid w:val="009E019A"/>
    <w:rsid w:val="009E6EE2"/>
    <w:rsid w:val="00A00760"/>
    <w:rsid w:val="00A17BAB"/>
    <w:rsid w:val="00A2061C"/>
    <w:rsid w:val="00A378B8"/>
    <w:rsid w:val="00A413A1"/>
    <w:rsid w:val="00A42928"/>
    <w:rsid w:val="00A42DA9"/>
    <w:rsid w:val="00A43979"/>
    <w:rsid w:val="00A445D2"/>
    <w:rsid w:val="00A450E2"/>
    <w:rsid w:val="00A513CE"/>
    <w:rsid w:val="00A538FB"/>
    <w:rsid w:val="00A579C4"/>
    <w:rsid w:val="00A70374"/>
    <w:rsid w:val="00A70FB4"/>
    <w:rsid w:val="00A71EDA"/>
    <w:rsid w:val="00A77382"/>
    <w:rsid w:val="00A81775"/>
    <w:rsid w:val="00A92E24"/>
    <w:rsid w:val="00AA38A0"/>
    <w:rsid w:val="00AA4961"/>
    <w:rsid w:val="00AA4F2E"/>
    <w:rsid w:val="00AA5FC2"/>
    <w:rsid w:val="00AB78D9"/>
    <w:rsid w:val="00AC421B"/>
    <w:rsid w:val="00AC7993"/>
    <w:rsid w:val="00AD5F88"/>
    <w:rsid w:val="00AD7ECF"/>
    <w:rsid w:val="00AE36D2"/>
    <w:rsid w:val="00AE46EB"/>
    <w:rsid w:val="00AE77C6"/>
    <w:rsid w:val="00AF2347"/>
    <w:rsid w:val="00B076B2"/>
    <w:rsid w:val="00B0784D"/>
    <w:rsid w:val="00B10829"/>
    <w:rsid w:val="00B11600"/>
    <w:rsid w:val="00B15E46"/>
    <w:rsid w:val="00B16ED3"/>
    <w:rsid w:val="00B17A06"/>
    <w:rsid w:val="00B2518A"/>
    <w:rsid w:val="00B26C42"/>
    <w:rsid w:val="00B30DA4"/>
    <w:rsid w:val="00B426C6"/>
    <w:rsid w:val="00B43428"/>
    <w:rsid w:val="00B44A20"/>
    <w:rsid w:val="00B50993"/>
    <w:rsid w:val="00B53777"/>
    <w:rsid w:val="00B54F05"/>
    <w:rsid w:val="00B578A1"/>
    <w:rsid w:val="00B610E2"/>
    <w:rsid w:val="00B65A84"/>
    <w:rsid w:val="00B6788B"/>
    <w:rsid w:val="00B70CFB"/>
    <w:rsid w:val="00B73AD3"/>
    <w:rsid w:val="00B77EA2"/>
    <w:rsid w:val="00B8442E"/>
    <w:rsid w:val="00B90D7E"/>
    <w:rsid w:val="00B9466C"/>
    <w:rsid w:val="00B94D42"/>
    <w:rsid w:val="00B97FC3"/>
    <w:rsid w:val="00BA0AAD"/>
    <w:rsid w:val="00BA6153"/>
    <w:rsid w:val="00BA7811"/>
    <w:rsid w:val="00BB3165"/>
    <w:rsid w:val="00BB5581"/>
    <w:rsid w:val="00BB7BC4"/>
    <w:rsid w:val="00BC5650"/>
    <w:rsid w:val="00BD1BF7"/>
    <w:rsid w:val="00BD29D6"/>
    <w:rsid w:val="00BE2E2B"/>
    <w:rsid w:val="00BE3364"/>
    <w:rsid w:val="00BE4138"/>
    <w:rsid w:val="00BE575D"/>
    <w:rsid w:val="00BE6A26"/>
    <w:rsid w:val="00BE7320"/>
    <w:rsid w:val="00BF41B0"/>
    <w:rsid w:val="00BF4F67"/>
    <w:rsid w:val="00BF708E"/>
    <w:rsid w:val="00BF7D72"/>
    <w:rsid w:val="00C22A0D"/>
    <w:rsid w:val="00C274DD"/>
    <w:rsid w:val="00C34AC3"/>
    <w:rsid w:val="00C512AD"/>
    <w:rsid w:val="00C51FFA"/>
    <w:rsid w:val="00C54CE1"/>
    <w:rsid w:val="00C55878"/>
    <w:rsid w:val="00C55F2F"/>
    <w:rsid w:val="00C5604B"/>
    <w:rsid w:val="00C61472"/>
    <w:rsid w:val="00C62B42"/>
    <w:rsid w:val="00C63BF0"/>
    <w:rsid w:val="00C6775C"/>
    <w:rsid w:val="00C704D3"/>
    <w:rsid w:val="00C73CD7"/>
    <w:rsid w:val="00C74432"/>
    <w:rsid w:val="00C7532D"/>
    <w:rsid w:val="00C83034"/>
    <w:rsid w:val="00C85699"/>
    <w:rsid w:val="00CA2A54"/>
    <w:rsid w:val="00CB001D"/>
    <w:rsid w:val="00CB2399"/>
    <w:rsid w:val="00CB24DC"/>
    <w:rsid w:val="00CC142D"/>
    <w:rsid w:val="00CC4BAC"/>
    <w:rsid w:val="00CD0252"/>
    <w:rsid w:val="00CD0E70"/>
    <w:rsid w:val="00CD3277"/>
    <w:rsid w:val="00CD6EF0"/>
    <w:rsid w:val="00CD721D"/>
    <w:rsid w:val="00CE34C3"/>
    <w:rsid w:val="00CE68BB"/>
    <w:rsid w:val="00CE6F56"/>
    <w:rsid w:val="00CF1FC6"/>
    <w:rsid w:val="00CF31A5"/>
    <w:rsid w:val="00CF51A0"/>
    <w:rsid w:val="00D05507"/>
    <w:rsid w:val="00D11888"/>
    <w:rsid w:val="00D14F87"/>
    <w:rsid w:val="00D16F84"/>
    <w:rsid w:val="00D20D7D"/>
    <w:rsid w:val="00D24232"/>
    <w:rsid w:val="00D30C2B"/>
    <w:rsid w:val="00D435E7"/>
    <w:rsid w:val="00D44A06"/>
    <w:rsid w:val="00D510D9"/>
    <w:rsid w:val="00D53517"/>
    <w:rsid w:val="00D56A2B"/>
    <w:rsid w:val="00D60E25"/>
    <w:rsid w:val="00D64D1A"/>
    <w:rsid w:val="00D714B1"/>
    <w:rsid w:val="00D72D6F"/>
    <w:rsid w:val="00D75B69"/>
    <w:rsid w:val="00D91574"/>
    <w:rsid w:val="00D959CF"/>
    <w:rsid w:val="00D97C6F"/>
    <w:rsid w:val="00DA7E00"/>
    <w:rsid w:val="00DB1537"/>
    <w:rsid w:val="00DB2497"/>
    <w:rsid w:val="00DB3CF8"/>
    <w:rsid w:val="00DC4A70"/>
    <w:rsid w:val="00DC53C5"/>
    <w:rsid w:val="00DC6FD5"/>
    <w:rsid w:val="00DD6494"/>
    <w:rsid w:val="00DD7D62"/>
    <w:rsid w:val="00DF6AFC"/>
    <w:rsid w:val="00E02635"/>
    <w:rsid w:val="00E02ECA"/>
    <w:rsid w:val="00E04CA6"/>
    <w:rsid w:val="00E06973"/>
    <w:rsid w:val="00E11F52"/>
    <w:rsid w:val="00E136C3"/>
    <w:rsid w:val="00E1403E"/>
    <w:rsid w:val="00E31B0F"/>
    <w:rsid w:val="00E32C1E"/>
    <w:rsid w:val="00E348D8"/>
    <w:rsid w:val="00E44383"/>
    <w:rsid w:val="00E501A4"/>
    <w:rsid w:val="00E530A5"/>
    <w:rsid w:val="00E53711"/>
    <w:rsid w:val="00E600A8"/>
    <w:rsid w:val="00E62E25"/>
    <w:rsid w:val="00E63C92"/>
    <w:rsid w:val="00E65E12"/>
    <w:rsid w:val="00E700CC"/>
    <w:rsid w:val="00E74124"/>
    <w:rsid w:val="00E744DB"/>
    <w:rsid w:val="00E7507B"/>
    <w:rsid w:val="00E802D2"/>
    <w:rsid w:val="00E80645"/>
    <w:rsid w:val="00E833E5"/>
    <w:rsid w:val="00E836D2"/>
    <w:rsid w:val="00EA212D"/>
    <w:rsid w:val="00EA41A9"/>
    <w:rsid w:val="00EB2243"/>
    <w:rsid w:val="00EB6E85"/>
    <w:rsid w:val="00ED0FC8"/>
    <w:rsid w:val="00ED366F"/>
    <w:rsid w:val="00ED6039"/>
    <w:rsid w:val="00EE7020"/>
    <w:rsid w:val="00EF3B0A"/>
    <w:rsid w:val="00EF4AAC"/>
    <w:rsid w:val="00EF51F2"/>
    <w:rsid w:val="00F01D5E"/>
    <w:rsid w:val="00F04C44"/>
    <w:rsid w:val="00F067E7"/>
    <w:rsid w:val="00F06BD9"/>
    <w:rsid w:val="00F11E90"/>
    <w:rsid w:val="00F219CE"/>
    <w:rsid w:val="00F25751"/>
    <w:rsid w:val="00F30E8A"/>
    <w:rsid w:val="00F37CC5"/>
    <w:rsid w:val="00F40146"/>
    <w:rsid w:val="00F423E6"/>
    <w:rsid w:val="00F52DDE"/>
    <w:rsid w:val="00F545CC"/>
    <w:rsid w:val="00F548D8"/>
    <w:rsid w:val="00F56111"/>
    <w:rsid w:val="00F642D6"/>
    <w:rsid w:val="00F674C1"/>
    <w:rsid w:val="00F70372"/>
    <w:rsid w:val="00F85B0B"/>
    <w:rsid w:val="00FA0064"/>
    <w:rsid w:val="00FA2FB3"/>
    <w:rsid w:val="00FA4863"/>
    <w:rsid w:val="00FA72E3"/>
    <w:rsid w:val="00FB08FC"/>
    <w:rsid w:val="00FB5603"/>
    <w:rsid w:val="00FB6C41"/>
    <w:rsid w:val="00FC3988"/>
    <w:rsid w:val="00FD27FE"/>
    <w:rsid w:val="00FD7759"/>
    <w:rsid w:val="00FD7D2B"/>
    <w:rsid w:val="00FE26C1"/>
    <w:rsid w:val="00FE5843"/>
    <w:rsid w:val="00FE662A"/>
    <w:rsid w:val="00FE7520"/>
    <w:rsid w:val="00FF2380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016951"/>
  <w15:docId w15:val="{CEF64AEC-DAF5-40F8-98BB-CB0F3135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99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44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9408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79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7993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AC7993"/>
    <w:rPr>
      <w:color w:val="0000FF"/>
      <w:u w:val="single"/>
    </w:rPr>
  </w:style>
  <w:style w:type="character" w:customStyle="1" w:styleId="newdocreference1">
    <w:name w:val="newdocreference1"/>
    <w:basedOn w:val="DefaultParagraphFont"/>
    <w:rsid w:val="00AC7993"/>
    <w:rPr>
      <w:i w:val="0"/>
      <w:iCs w:val="0"/>
      <w:color w:val="0000FF"/>
      <w:u w:val="single"/>
    </w:rPr>
  </w:style>
  <w:style w:type="paragraph" w:styleId="BodyText">
    <w:name w:val="Body Text"/>
    <w:basedOn w:val="Normal"/>
    <w:link w:val="BodyTextChar"/>
    <w:rsid w:val="00C74432"/>
    <w:pPr>
      <w:spacing w:after="0" w:line="240" w:lineRule="auto"/>
      <w:jc w:val="center"/>
    </w:pPr>
    <w:rPr>
      <w:rFonts w:ascii="Times New Roman" w:eastAsia="Calibri" w:hAnsi="Times New Roman"/>
      <w:b/>
      <w:bCs/>
      <w:i/>
      <w:iCs/>
      <w:lang w:val="bg-BG"/>
    </w:rPr>
  </w:style>
  <w:style w:type="character" w:customStyle="1" w:styleId="BodyTextChar">
    <w:name w:val="Body Text Char"/>
    <w:basedOn w:val="DefaultParagraphFont"/>
    <w:link w:val="BodyText"/>
    <w:locked/>
    <w:rsid w:val="00C74432"/>
    <w:rPr>
      <w:rFonts w:eastAsia="Calibri"/>
      <w:b/>
      <w:bCs/>
      <w:i/>
      <w:iCs/>
      <w:sz w:val="22"/>
      <w:szCs w:val="22"/>
      <w:lang w:val="bg-BG" w:eastAsia="en-US" w:bidi="ar-SA"/>
    </w:rPr>
  </w:style>
  <w:style w:type="paragraph" w:styleId="BodyTextIndent2">
    <w:name w:val="Body Text Indent 2"/>
    <w:basedOn w:val="Normal"/>
    <w:link w:val="BodyTextIndent2Char"/>
    <w:rsid w:val="00C74432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locked/>
    <w:rsid w:val="00C74432"/>
    <w:rPr>
      <w:rFonts w:eastAsia="Calibri"/>
      <w:sz w:val="24"/>
      <w:szCs w:val="24"/>
      <w:lang w:val="bg-BG" w:eastAsia="bg-BG" w:bidi="ar-SA"/>
    </w:rPr>
  </w:style>
  <w:style w:type="paragraph" w:styleId="ListParagraph">
    <w:name w:val="List Paragraph"/>
    <w:basedOn w:val="Normal"/>
    <w:uiPriority w:val="99"/>
    <w:qFormat/>
    <w:rsid w:val="008048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rsid w:val="0080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4836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45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AA4961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B4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26C6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9408A"/>
    <w:rPr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44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3ACD-7691-4C6D-84D7-8DAB13EC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10</Pages>
  <Words>3313</Words>
  <Characters>18889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mzh</Company>
  <LinksUpToDate>false</LinksUpToDate>
  <CharactersWithSpaces>22158</CharactersWithSpaces>
  <SharedDoc>false</SharedDoc>
  <HLinks>
    <vt:vector size="36" baseType="variant">
      <vt:variant>
        <vt:i4>458771</vt:i4>
      </vt:variant>
      <vt:variant>
        <vt:i4>15</vt:i4>
      </vt:variant>
      <vt:variant>
        <vt:i4>0</vt:i4>
      </vt:variant>
      <vt:variant>
        <vt:i4>5</vt:i4>
      </vt:variant>
      <vt:variant>
        <vt:lpwstr>http://www.mzh.government.bg/</vt:lpwstr>
      </vt:variant>
      <vt:variant>
        <vt:lpwstr/>
      </vt:variant>
      <vt:variant>
        <vt:i4>262216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apis://Base=NARH&amp;DocCode=5384516071&amp;Type=201/</vt:lpwstr>
      </vt:variant>
      <vt:variant>
        <vt:lpwstr/>
      </vt:variant>
      <vt:variant>
        <vt:i4>2687090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apis://Base=NARH&amp;DocCode=10900518002&amp;Type=201/</vt:lpwstr>
      </vt:variant>
      <vt:variant>
        <vt:lpwstr/>
      </vt:variant>
      <vt:variant>
        <vt:i4>3080319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apis://Base=NARH&amp;DocCode=10900516034&amp;Type=201/</vt:lpwstr>
      </vt:variant>
      <vt:variant>
        <vt:lpwstr/>
      </vt:variant>
      <vt:variant>
        <vt:i4>2818172</vt:i4>
      </vt:variant>
      <vt:variant>
        <vt:i4>3</vt:i4>
      </vt:variant>
      <vt:variant>
        <vt:i4>0</vt:i4>
      </vt:variant>
      <vt:variant>
        <vt:i4>5</vt:i4>
      </vt:variant>
      <vt:variant>
        <vt:lpwstr>apis://Base=NARH&amp;DocCode=10900515030&amp;Type=201/</vt:lpwstr>
      </vt:variant>
      <vt:variant>
        <vt:lpwstr/>
      </vt:variant>
      <vt:variant>
        <vt:i4>2818168</vt:i4>
      </vt:variant>
      <vt:variant>
        <vt:i4>0</vt:i4>
      </vt:variant>
      <vt:variant>
        <vt:i4>0</vt:i4>
      </vt:variant>
      <vt:variant>
        <vt:i4>5</vt:i4>
      </vt:variant>
      <vt:variant>
        <vt:lpwstr>apis://Base=NARH&amp;DocCode=10900514060&amp;Type=201/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dfileva</dc:creator>
  <cp:keywords/>
  <dc:description/>
  <cp:lastModifiedBy>Aleksandar Angelov</cp:lastModifiedBy>
  <cp:revision>39</cp:revision>
  <cp:lastPrinted>2024-04-12T10:46:00Z</cp:lastPrinted>
  <dcterms:created xsi:type="dcterms:W3CDTF">2023-03-27T11:09:00Z</dcterms:created>
  <dcterms:modified xsi:type="dcterms:W3CDTF">2024-08-02T13:49:00Z</dcterms:modified>
</cp:coreProperties>
</file>