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BC5" w:rsidRPr="00B92765" w:rsidRDefault="00865BC5" w:rsidP="008C5484">
      <w:pPr>
        <w:spacing w:line="358" w:lineRule="auto"/>
        <w:jc w:val="center"/>
        <w:rPr>
          <w:rFonts w:ascii="Verdana" w:eastAsiaTheme="minorEastAsia" w:hAnsi="Verdana"/>
          <w:b/>
          <w:bCs/>
          <w:spacing w:val="20"/>
          <w:sz w:val="24"/>
          <w:szCs w:val="24"/>
          <w:highlight w:val="white"/>
          <w:shd w:val="clear" w:color="auto" w:fill="FEFEFE"/>
          <w:lang w:eastAsia="en-US"/>
        </w:rPr>
      </w:pPr>
      <w:r w:rsidRPr="00B92765">
        <w:rPr>
          <w:rFonts w:ascii="Verdana" w:eastAsiaTheme="minorEastAsia" w:hAnsi="Verdana"/>
          <w:b/>
          <w:bCs/>
          <w:spacing w:val="20"/>
          <w:sz w:val="24"/>
          <w:szCs w:val="24"/>
          <w:highlight w:val="white"/>
          <w:shd w:val="clear" w:color="auto" w:fill="FEFEFE"/>
          <w:lang w:eastAsia="en-US"/>
        </w:rPr>
        <w:t>МИНИСТЕРСТВО НА ЗЕМЕДЕЛИЕТО И ХРАНИТЕ</w:t>
      </w:r>
    </w:p>
    <w:p w:rsidR="001E7567" w:rsidRPr="005E1AC8" w:rsidRDefault="001E7567" w:rsidP="008C5484">
      <w:pPr>
        <w:tabs>
          <w:tab w:val="left" w:pos="1134"/>
        </w:tabs>
        <w:spacing w:line="358" w:lineRule="auto"/>
        <w:ind w:firstLine="851"/>
        <w:jc w:val="right"/>
        <w:rPr>
          <w:rFonts w:ascii="Verdana" w:hAnsi="Verdana"/>
          <w:bCs/>
          <w:highlight w:val="white"/>
          <w:shd w:val="clear" w:color="auto" w:fill="FEFEFE"/>
        </w:rPr>
      </w:pPr>
      <w:r w:rsidRPr="005E1AC8">
        <w:rPr>
          <w:rFonts w:ascii="Verdana" w:hAnsi="Verdana"/>
          <w:bCs/>
          <w:highlight w:val="white"/>
          <w:shd w:val="clear" w:color="auto" w:fill="FEFEFE"/>
        </w:rPr>
        <w:t>Проект</w:t>
      </w:r>
    </w:p>
    <w:p w:rsidR="006C69B7" w:rsidRPr="00854A2B" w:rsidRDefault="006C69B7" w:rsidP="008C5484">
      <w:pPr>
        <w:tabs>
          <w:tab w:val="left" w:pos="1134"/>
        </w:tabs>
        <w:spacing w:line="358" w:lineRule="auto"/>
        <w:jc w:val="center"/>
        <w:rPr>
          <w:rFonts w:ascii="Verdana" w:hAnsi="Verdana"/>
          <w:bCs/>
          <w:shd w:val="clear" w:color="auto" w:fill="FEFEFE"/>
        </w:rPr>
      </w:pPr>
    </w:p>
    <w:p w:rsidR="008B573B" w:rsidRPr="00C5653C" w:rsidRDefault="00B92765" w:rsidP="008C5484">
      <w:pPr>
        <w:tabs>
          <w:tab w:val="left" w:pos="1134"/>
        </w:tabs>
        <w:spacing w:line="358" w:lineRule="auto"/>
        <w:jc w:val="center"/>
        <w:rPr>
          <w:rFonts w:ascii="Verdana" w:hAnsi="Verdana"/>
          <w:bCs/>
          <w:iCs/>
          <w:highlight w:val="white"/>
          <w:shd w:val="clear" w:color="auto" w:fill="FEFEFE"/>
          <w:lang w:eastAsia="en-US"/>
        </w:rPr>
      </w:pPr>
      <w:r>
        <w:rPr>
          <w:rFonts w:ascii="Verdana" w:hAnsi="Verdana"/>
          <w:b/>
          <w:bCs/>
          <w:shd w:val="clear" w:color="auto" w:fill="FEFEFE"/>
        </w:rPr>
        <w:t>Наредба за изменение и допълнение на Наредба № 5</w:t>
      </w:r>
      <w:r w:rsidRPr="003D743D">
        <w:rPr>
          <w:rFonts w:ascii="Verdana" w:hAnsi="Verdana"/>
          <w:b/>
          <w:bCs/>
          <w:shd w:val="clear" w:color="auto" w:fill="FEFEFE"/>
          <w:lang w:val="ru-RU"/>
        </w:rPr>
        <w:t xml:space="preserve"> </w:t>
      </w:r>
      <w:r w:rsidRPr="00F17BFB">
        <w:rPr>
          <w:rFonts w:ascii="Verdana" w:hAnsi="Verdana"/>
          <w:b/>
          <w:bCs/>
          <w:shd w:val="clear" w:color="auto" w:fill="FEFEFE"/>
        </w:rPr>
        <w:t xml:space="preserve">от </w:t>
      </w:r>
      <w:r>
        <w:rPr>
          <w:rFonts w:ascii="Verdana" w:hAnsi="Verdana"/>
          <w:b/>
          <w:bCs/>
          <w:shd w:val="clear" w:color="auto" w:fill="FEFEFE"/>
        </w:rPr>
        <w:t xml:space="preserve">2018 г. </w:t>
      </w:r>
      <w:r w:rsidRPr="00F17BFB">
        <w:rPr>
          <w:rFonts w:ascii="Verdana" w:hAnsi="Verdana"/>
          <w:b/>
          <w:bCs/>
          <w:shd w:val="clear" w:color="auto" w:fill="FEFEFE"/>
        </w:rPr>
        <w:t xml:space="preserve">за прилагане на правилата на биологично производство, етикетиране и контрол, и за издаване на разрешение за контролна дейност за спазване на правилата на биологичното </w:t>
      </w:r>
      <w:r w:rsidRPr="00C5653C">
        <w:rPr>
          <w:rFonts w:ascii="Verdana" w:hAnsi="Verdana"/>
          <w:b/>
          <w:bCs/>
          <w:shd w:val="clear" w:color="auto" w:fill="FEFEFE"/>
        </w:rPr>
        <w:t>производство, както и за последващ официален надзор върху контролиращите лица</w:t>
      </w:r>
      <w:r w:rsidR="00263769" w:rsidRPr="00C5653C">
        <w:rPr>
          <w:rFonts w:ascii="Verdana" w:hAnsi="Verdana"/>
          <w:b/>
          <w:bCs/>
          <w:shd w:val="clear" w:color="auto" w:fill="FEFEFE"/>
        </w:rPr>
        <w:t xml:space="preserve"> </w:t>
      </w:r>
      <w:r w:rsidR="008B573B" w:rsidRPr="00C5653C">
        <w:rPr>
          <w:rFonts w:ascii="Verdana" w:eastAsiaTheme="minorEastAsia" w:hAnsi="Verdana"/>
          <w:lang w:val="ru-RU" w:eastAsia="en-US"/>
        </w:rPr>
        <w:t>(</w:t>
      </w:r>
      <w:r w:rsidR="008B573B" w:rsidRPr="00C5653C">
        <w:rPr>
          <w:rFonts w:ascii="Verdana" w:eastAsiaTheme="minorEastAsia" w:hAnsi="Verdana"/>
          <w:lang w:eastAsia="en-US"/>
        </w:rPr>
        <w:t>о</w:t>
      </w:r>
      <w:r w:rsidR="008B573B" w:rsidRPr="00C5653C">
        <w:rPr>
          <w:rFonts w:ascii="Verdana" w:hAnsi="Verdana"/>
          <w:iCs/>
          <w:highlight w:val="white"/>
          <w:shd w:val="clear" w:color="auto" w:fill="FEFEFE"/>
          <w:lang w:eastAsia="en-US"/>
        </w:rPr>
        <w:t xml:space="preserve">бн., ДВ, бр. 75 от 2018 г.; изм., бр. 93 от 2018 г., бр. 35 от 2019 г. и </w:t>
      </w:r>
      <w:r w:rsidR="008B573B" w:rsidRPr="00C5653C">
        <w:rPr>
          <w:rFonts w:ascii="Verdana" w:hAnsi="Verdana"/>
          <w:bCs/>
          <w:iCs/>
          <w:highlight w:val="white"/>
          <w:shd w:val="clear" w:color="auto" w:fill="FEFEFE"/>
          <w:lang w:eastAsia="en-US"/>
        </w:rPr>
        <w:t xml:space="preserve">бр. 33 от 2020 г., </w:t>
      </w:r>
      <w:r w:rsidR="008B573B" w:rsidRPr="00C5653C">
        <w:rPr>
          <w:rFonts w:ascii="Verdana" w:hAnsi="Verdana"/>
          <w:bCs/>
          <w:shd w:val="clear" w:color="auto" w:fill="FEFEFE"/>
        </w:rPr>
        <w:t>изм. и доп. бр.</w:t>
      </w:r>
      <w:r w:rsidR="008B573B" w:rsidRPr="00C5653C">
        <w:rPr>
          <w:rFonts w:ascii="Verdana" w:hAnsi="Verdana"/>
          <w:bCs/>
          <w:shd w:val="clear" w:color="auto" w:fill="FEFEFE"/>
          <w:lang w:val="ru-RU"/>
        </w:rPr>
        <w:t xml:space="preserve"> </w:t>
      </w:r>
      <w:r w:rsidR="008B573B" w:rsidRPr="00C5653C">
        <w:rPr>
          <w:rFonts w:ascii="Verdana" w:hAnsi="Verdana"/>
          <w:bCs/>
          <w:shd w:val="clear" w:color="auto" w:fill="FEFEFE"/>
        </w:rPr>
        <w:t>103 от 2022</w:t>
      </w:r>
      <w:r w:rsidR="008B573B" w:rsidRPr="00C5653C">
        <w:rPr>
          <w:rFonts w:ascii="Verdana" w:hAnsi="Verdana"/>
          <w:bCs/>
          <w:shd w:val="clear" w:color="auto" w:fill="FEFEFE"/>
          <w:lang w:val="ru-RU"/>
        </w:rPr>
        <w:t xml:space="preserve"> </w:t>
      </w:r>
      <w:r w:rsidR="008B573B" w:rsidRPr="00C5653C">
        <w:rPr>
          <w:rFonts w:ascii="Verdana" w:hAnsi="Verdana"/>
          <w:bCs/>
          <w:shd w:val="clear" w:color="auto" w:fill="FEFEFE"/>
        </w:rPr>
        <w:t>г.</w:t>
      </w:r>
      <w:r w:rsidR="008B573B" w:rsidRPr="00C5653C">
        <w:rPr>
          <w:rFonts w:ascii="Verdana" w:hAnsi="Verdana"/>
          <w:iCs/>
          <w:highlight w:val="white"/>
          <w:shd w:val="clear" w:color="auto" w:fill="FEFEFE"/>
          <w:lang w:eastAsia="en-US"/>
        </w:rPr>
        <w:t>)</w:t>
      </w:r>
    </w:p>
    <w:p w:rsidR="006C69B7" w:rsidRPr="000C4F2E" w:rsidRDefault="006C69B7" w:rsidP="008C5484">
      <w:pPr>
        <w:tabs>
          <w:tab w:val="left" w:pos="1134"/>
        </w:tabs>
        <w:spacing w:line="358" w:lineRule="auto"/>
        <w:ind w:firstLine="709"/>
        <w:jc w:val="both"/>
        <w:rPr>
          <w:rFonts w:ascii="Verdana" w:hAnsi="Verdana" w:cs="TimokCYR"/>
        </w:rPr>
      </w:pPr>
    </w:p>
    <w:p w:rsidR="0070667B" w:rsidRPr="0070667B" w:rsidRDefault="00C10402" w:rsidP="008C5484">
      <w:pPr>
        <w:tabs>
          <w:tab w:val="left" w:pos="1134"/>
        </w:tabs>
        <w:spacing w:line="358" w:lineRule="auto"/>
        <w:ind w:firstLine="709"/>
        <w:jc w:val="both"/>
        <w:rPr>
          <w:rFonts w:ascii="Verdana" w:hAnsi="Verdana" w:cs="TimokCYR"/>
        </w:rPr>
      </w:pPr>
      <w:r w:rsidRPr="00E47A09">
        <w:rPr>
          <w:rFonts w:ascii="Verdana" w:hAnsi="Verdana" w:cs="TimokCYR"/>
          <w:b/>
        </w:rPr>
        <w:t>§ 1.</w:t>
      </w:r>
      <w:r>
        <w:rPr>
          <w:rFonts w:ascii="Verdana" w:hAnsi="Verdana" w:cs="TimokCYR"/>
          <w:b/>
        </w:rPr>
        <w:t xml:space="preserve"> </w:t>
      </w:r>
      <w:r w:rsidR="0070667B" w:rsidRPr="0070667B">
        <w:rPr>
          <w:rFonts w:ascii="Verdana" w:hAnsi="Verdana" w:cs="TimokCYR"/>
        </w:rPr>
        <w:t>В чл. 2 се правят следните изменения и допълнения:</w:t>
      </w:r>
    </w:p>
    <w:p w:rsidR="0070667B" w:rsidRPr="0070667B" w:rsidRDefault="0070667B" w:rsidP="008C5484">
      <w:pPr>
        <w:tabs>
          <w:tab w:val="left" w:pos="1134"/>
        </w:tabs>
        <w:spacing w:line="358" w:lineRule="auto"/>
        <w:ind w:firstLine="709"/>
        <w:jc w:val="both"/>
        <w:rPr>
          <w:rFonts w:ascii="Verdana" w:hAnsi="Verdana" w:cs="TimokCYR"/>
        </w:rPr>
      </w:pPr>
      <w:r>
        <w:rPr>
          <w:rFonts w:ascii="Verdana" w:hAnsi="Verdana" w:cs="TimokCYR"/>
        </w:rPr>
        <w:t>1. В ал. 1 думите „Министърът на земеделието“</w:t>
      </w:r>
      <w:r w:rsidRPr="0070667B">
        <w:rPr>
          <w:rFonts w:ascii="Verdana" w:hAnsi="Verdana" w:cs="TimokCYR"/>
        </w:rPr>
        <w:t xml:space="preserve"> се заменят с „Минис</w:t>
      </w:r>
      <w:r w:rsidR="00557F44">
        <w:rPr>
          <w:rFonts w:ascii="Verdana" w:hAnsi="Verdana" w:cs="TimokCYR"/>
        </w:rPr>
        <w:t>търът на земеделието и храните“.</w:t>
      </w:r>
    </w:p>
    <w:p w:rsidR="0070667B" w:rsidRPr="0070667B" w:rsidRDefault="0070667B" w:rsidP="008C5484">
      <w:pPr>
        <w:tabs>
          <w:tab w:val="left" w:pos="1134"/>
        </w:tabs>
        <w:spacing w:line="358" w:lineRule="auto"/>
        <w:ind w:firstLine="709"/>
        <w:jc w:val="both"/>
        <w:rPr>
          <w:rFonts w:ascii="Verdana" w:hAnsi="Verdana" w:cs="TimokCYR"/>
        </w:rPr>
      </w:pPr>
      <w:r w:rsidRPr="0070667B">
        <w:rPr>
          <w:rFonts w:ascii="Verdana" w:hAnsi="Verdana" w:cs="TimokCYR"/>
        </w:rPr>
        <w:t>2. В ал. 2 думите „</w:t>
      </w:r>
      <w:r w:rsidR="00743D7E" w:rsidRPr="00743D7E">
        <w:rPr>
          <w:rFonts w:ascii="Verdana" w:hAnsi="Verdana" w:cs="TimokCYR"/>
        </w:rPr>
        <w:t>Устройствения правилник на Министерството на земеделието</w:t>
      </w:r>
      <w:r w:rsidRPr="0070667B">
        <w:rPr>
          <w:rFonts w:ascii="Verdana" w:hAnsi="Verdana" w:cs="TimokCYR"/>
        </w:rPr>
        <w:t>“ се заменят с „</w:t>
      </w:r>
      <w:r w:rsidR="00743D7E" w:rsidRPr="00743D7E">
        <w:rPr>
          <w:rFonts w:ascii="Verdana" w:hAnsi="Verdana" w:cs="TimokCYR"/>
        </w:rPr>
        <w:t xml:space="preserve">Устройствения правилник </w:t>
      </w:r>
      <w:r w:rsidR="00743D7E">
        <w:rPr>
          <w:rFonts w:ascii="Verdana" w:hAnsi="Verdana" w:cs="TimokCYR"/>
        </w:rPr>
        <w:t xml:space="preserve">на </w:t>
      </w:r>
      <w:r w:rsidRPr="0070667B">
        <w:rPr>
          <w:rFonts w:ascii="Verdana" w:hAnsi="Verdana" w:cs="TimokCYR"/>
        </w:rPr>
        <w:t>Министерството на земеделието и храните“.</w:t>
      </w:r>
    </w:p>
    <w:p w:rsidR="0070667B" w:rsidRPr="0070667B" w:rsidRDefault="0070667B" w:rsidP="008C5484">
      <w:pPr>
        <w:tabs>
          <w:tab w:val="left" w:pos="1134"/>
        </w:tabs>
        <w:spacing w:line="358" w:lineRule="auto"/>
        <w:ind w:firstLine="709"/>
        <w:jc w:val="both"/>
        <w:rPr>
          <w:rFonts w:ascii="Verdana" w:hAnsi="Verdana" w:cs="TimokCYR"/>
        </w:rPr>
      </w:pPr>
      <w:r w:rsidRPr="0070667B">
        <w:rPr>
          <w:rFonts w:ascii="Verdana" w:hAnsi="Verdana" w:cs="TimokCYR"/>
        </w:rPr>
        <w:t>3. В ал. 3 и 4 думите „Министърът на земеделието“ се заменят с „Министърът на земеделието и храните“.</w:t>
      </w:r>
    </w:p>
    <w:p w:rsidR="0070667B" w:rsidRPr="0070667B" w:rsidRDefault="0070667B" w:rsidP="008C5484">
      <w:pPr>
        <w:tabs>
          <w:tab w:val="left" w:pos="1134"/>
        </w:tabs>
        <w:spacing w:line="358" w:lineRule="auto"/>
        <w:ind w:firstLine="709"/>
        <w:jc w:val="both"/>
        <w:rPr>
          <w:rFonts w:ascii="Verdana" w:hAnsi="Verdana" w:cs="TimokCYR"/>
        </w:rPr>
      </w:pPr>
      <w:r w:rsidRPr="0070667B">
        <w:rPr>
          <w:rFonts w:ascii="Verdana" w:hAnsi="Verdana" w:cs="TimokCYR"/>
        </w:rPr>
        <w:t>4. В ал. 5:</w:t>
      </w:r>
    </w:p>
    <w:p w:rsidR="0070667B" w:rsidRPr="0070667B" w:rsidRDefault="0070667B" w:rsidP="008C5484">
      <w:pPr>
        <w:tabs>
          <w:tab w:val="left" w:pos="1134"/>
        </w:tabs>
        <w:spacing w:line="358" w:lineRule="auto"/>
        <w:ind w:firstLine="709"/>
        <w:jc w:val="both"/>
        <w:rPr>
          <w:rFonts w:ascii="Verdana" w:hAnsi="Verdana" w:cs="TimokCYR"/>
        </w:rPr>
      </w:pPr>
      <w:r w:rsidRPr="0070667B">
        <w:rPr>
          <w:rFonts w:ascii="Verdana" w:hAnsi="Verdana" w:cs="TimokCYR"/>
        </w:rPr>
        <w:t>а) в основния текст думите „Министърът на земеделието“ се заменят с „Министърът на земеделието и храните“;</w:t>
      </w:r>
    </w:p>
    <w:p w:rsidR="0070667B" w:rsidRPr="0070667B" w:rsidRDefault="0070667B" w:rsidP="008C5484">
      <w:pPr>
        <w:tabs>
          <w:tab w:val="left" w:pos="1134"/>
        </w:tabs>
        <w:spacing w:line="358" w:lineRule="auto"/>
        <w:ind w:firstLine="709"/>
        <w:jc w:val="both"/>
        <w:rPr>
          <w:rFonts w:ascii="Verdana" w:hAnsi="Verdana" w:cs="TimokCYR"/>
        </w:rPr>
      </w:pPr>
      <w:r w:rsidRPr="004E1D78">
        <w:rPr>
          <w:rFonts w:ascii="Verdana" w:hAnsi="Verdana" w:cs="TimokCYR"/>
        </w:rPr>
        <w:t>б) в т.</w:t>
      </w:r>
      <w:r w:rsidR="00254E33">
        <w:rPr>
          <w:rFonts w:ascii="Verdana" w:hAnsi="Verdana" w:cs="TimokCYR"/>
        </w:rPr>
        <w:t xml:space="preserve"> 3 след думата „</w:t>
      </w:r>
      <w:r w:rsidRPr="004E1D78">
        <w:rPr>
          <w:rFonts w:ascii="Verdana" w:hAnsi="Verdana" w:cs="TimokCYR"/>
        </w:rPr>
        <w:t xml:space="preserve">овцете“ се </w:t>
      </w:r>
      <w:r w:rsidR="005372CB" w:rsidRPr="004E1D78">
        <w:rPr>
          <w:rFonts w:ascii="Verdana" w:hAnsi="Verdana" w:cs="TimokCYR"/>
        </w:rPr>
        <w:t>добавя „</w:t>
      </w:r>
      <w:r w:rsidR="00254E33">
        <w:rPr>
          <w:rFonts w:ascii="Verdana" w:hAnsi="Verdana" w:cs="TimokCYR"/>
        </w:rPr>
        <w:t>обезроговяване и“, а след „живота“ се поставя точка и текста до края се заличава.</w:t>
      </w:r>
    </w:p>
    <w:p w:rsidR="0070667B" w:rsidRPr="0070667B" w:rsidRDefault="0070667B" w:rsidP="008C5484">
      <w:pPr>
        <w:tabs>
          <w:tab w:val="left" w:pos="1134"/>
        </w:tabs>
        <w:spacing w:line="358" w:lineRule="auto"/>
        <w:ind w:firstLine="709"/>
        <w:jc w:val="both"/>
        <w:rPr>
          <w:rFonts w:ascii="Verdana" w:hAnsi="Verdana" w:cs="TimokCYR"/>
        </w:rPr>
      </w:pPr>
      <w:r w:rsidRPr="0070667B">
        <w:rPr>
          <w:rFonts w:ascii="Verdana" w:hAnsi="Verdana" w:cs="TimokCYR"/>
        </w:rPr>
        <w:t xml:space="preserve">в) в т. 7 и 8 накрая се добавя „като предостави </w:t>
      </w:r>
      <w:r w:rsidR="00557F44">
        <w:rPr>
          <w:rFonts w:ascii="Verdana" w:hAnsi="Verdana" w:cs="TimokCYR"/>
        </w:rPr>
        <w:t>разрешение на всички оператори</w:t>
      </w:r>
      <w:r w:rsidR="00200514" w:rsidRPr="00200514">
        <w:t xml:space="preserve"> </w:t>
      </w:r>
      <w:r w:rsidR="00200514">
        <w:rPr>
          <w:rFonts w:ascii="Verdana" w:hAnsi="Verdana" w:cs="TimokCYR"/>
        </w:rPr>
        <w:t>в страната</w:t>
      </w:r>
      <w:r w:rsidR="00557F44">
        <w:rPr>
          <w:rFonts w:ascii="Verdana" w:hAnsi="Verdana" w:cs="TimokCYR"/>
        </w:rPr>
        <w:t>“;</w:t>
      </w:r>
    </w:p>
    <w:p w:rsidR="0070667B" w:rsidRPr="0070667B" w:rsidRDefault="0070667B" w:rsidP="008C5484">
      <w:pPr>
        <w:tabs>
          <w:tab w:val="left" w:pos="1134"/>
        </w:tabs>
        <w:spacing w:line="358" w:lineRule="auto"/>
        <w:ind w:firstLine="709"/>
        <w:jc w:val="both"/>
        <w:rPr>
          <w:rFonts w:ascii="Verdana" w:hAnsi="Verdana" w:cs="TimokCYR"/>
        </w:rPr>
      </w:pPr>
      <w:r w:rsidRPr="0070667B">
        <w:rPr>
          <w:rFonts w:ascii="Verdana" w:hAnsi="Verdana" w:cs="TimokCYR"/>
        </w:rPr>
        <w:t>г) създава се т. 11:</w:t>
      </w:r>
    </w:p>
    <w:p w:rsidR="0070667B" w:rsidRPr="0070667B" w:rsidRDefault="0070667B" w:rsidP="008C5484">
      <w:pPr>
        <w:tabs>
          <w:tab w:val="left" w:pos="1134"/>
        </w:tabs>
        <w:spacing w:line="358" w:lineRule="auto"/>
        <w:ind w:firstLine="709"/>
        <w:jc w:val="both"/>
        <w:rPr>
          <w:rFonts w:ascii="Verdana" w:hAnsi="Verdana" w:cs="TimokCYR"/>
        </w:rPr>
      </w:pPr>
      <w:r w:rsidRPr="0070667B">
        <w:rPr>
          <w:rFonts w:ascii="Verdana" w:hAnsi="Verdana" w:cs="TimokCYR"/>
        </w:rPr>
        <w:t>„11. събиран</w:t>
      </w:r>
      <w:r w:rsidR="00B16C41">
        <w:rPr>
          <w:rFonts w:ascii="Verdana" w:hAnsi="Verdana" w:cs="TimokCYR"/>
        </w:rPr>
        <w:t>е на мекотел</w:t>
      </w:r>
      <w:r w:rsidRPr="0070667B">
        <w:rPr>
          <w:rFonts w:ascii="Verdana" w:hAnsi="Verdana" w:cs="TimokCYR"/>
        </w:rPr>
        <w:t>и индивиди за разплод от естествената среда съгласно Приложение II, Част III, т. 3.2.1, буква "</w:t>
      </w:r>
      <w:r w:rsidR="00557F44">
        <w:rPr>
          <w:rFonts w:ascii="Verdana" w:hAnsi="Verdana" w:cs="TimokCYR"/>
        </w:rPr>
        <w:t>г" от Регламент (ЕС) 2018/848.“</w:t>
      </w:r>
    </w:p>
    <w:p w:rsidR="0070667B" w:rsidRPr="0070667B" w:rsidRDefault="0070667B" w:rsidP="008C5484">
      <w:pPr>
        <w:tabs>
          <w:tab w:val="left" w:pos="1134"/>
        </w:tabs>
        <w:spacing w:line="358" w:lineRule="auto"/>
        <w:ind w:firstLine="709"/>
        <w:jc w:val="both"/>
        <w:rPr>
          <w:rFonts w:ascii="Verdana" w:hAnsi="Verdana" w:cs="TimokCYR"/>
        </w:rPr>
      </w:pPr>
      <w:r w:rsidRPr="0070667B">
        <w:rPr>
          <w:rFonts w:ascii="Verdana" w:hAnsi="Verdana" w:cs="TimokCYR"/>
        </w:rPr>
        <w:t>5. В ал. 6:</w:t>
      </w:r>
    </w:p>
    <w:p w:rsidR="0070667B" w:rsidRPr="0070667B" w:rsidRDefault="0070667B" w:rsidP="008C5484">
      <w:pPr>
        <w:tabs>
          <w:tab w:val="left" w:pos="1134"/>
        </w:tabs>
        <w:spacing w:line="358" w:lineRule="auto"/>
        <w:ind w:firstLine="709"/>
        <w:jc w:val="both"/>
        <w:rPr>
          <w:rFonts w:ascii="Verdana" w:hAnsi="Verdana" w:cs="TimokCYR"/>
        </w:rPr>
      </w:pPr>
      <w:r w:rsidRPr="0070667B">
        <w:rPr>
          <w:rFonts w:ascii="Verdana" w:hAnsi="Verdana" w:cs="TimokCYR"/>
        </w:rPr>
        <w:t>а) в основния текст думите „Министърът на земеделието“ се заменят с  „Министърът на земеделието и храните“;</w:t>
      </w:r>
    </w:p>
    <w:p w:rsidR="0070667B" w:rsidRPr="0070667B" w:rsidRDefault="0070667B" w:rsidP="008C5484">
      <w:pPr>
        <w:tabs>
          <w:tab w:val="left" w:pos="1134"/>
        </w:tabs>
        <w:spacing w:line="358" w:lineRule="auto"/>
        <w:ind w:firstLine="709"/>
        <w:jc w:val="both"/>
        <w:rPr>
          <w:rFonts w:ascii="Verdana" w:hAnsi="Verdana" w:cs="TimokCYR"/>
        </w:rPr>
      </w:pPr>
      <w:r w:rsidRPr="0070667B">
        <w:rPr>
          <w:rFonts w:ascii="Verdana" w:hAnsi="Verdana" w:cs="TimokCYR"/>
        </w:rPr>
        <w:t>б) в т. 2 думите „Министерството на земеделието“ се заменят с „Министерството на земеделието и храните (МЗХ)</w:t>
      </w:r>
      <w:r w:rsidR="00557F44">
        <w:rPr>
          <w:rFonts w:ascii="Verdana" w:hAnsi="Verdana" w:cs="TimokCYR"/>
        </w:rPr>
        <w:t>“</w:t>
      </w:r>
      <w:r w:rsidRPr="0070667B">
        <w:rPr>
          <w:rFonts w:ascii="Verdana" w:hAnsi="Verdana" w:cs="TimokCYR"/>
        </w:rPr>
        <w:t>.</w:t>
      </w:r>
    </w:p>
    <w:p w:rsidR="0070667B" w:rsidRPr="0070667B" w:rsidRDefault="0070667B" w:rsidP="008C5484">
      <w:pPr>
        <w:tabs>
          <w:tab w:val="left" w:pos="1134"/>
        </w:tabs>
        <w:spacing w:line="358" w:lineRule="auto"/>
        <w:ind w:firstLine="709"/>
        <w:jc w:val="both"/>
        <w:rPr>
          <w:rFonts w:ascii="Verdana" w:hAnsi="Verdana" w:cs="TimokCYR"/>
        </w:rPr>
      </w:pPr>
      <w:r w:rsidRPr="0070667B">
        <w:rPr>
          <w:rFonts w:ascii="Verdana" w:hAnsi="Verdana" w:cs="TimokCYR"/>
        </w:rPr>
        <w:t>6. В ал. 7 думите „Министерството на земеделието (МЗм)“ се заменят с „МЗХ“.</w:t>
      </w:r>
    </w:p>
    <w:p w:rsidR="0070667B" w:rsidRPr="0070667B" w:rsidRDefault="0070667B" w:rsidP="008C5484">
      <w:pPr>
        <w:tabs>
          <w:tab w:val="left" w:pos="1134"/>
        </w:tabs>
        <w:spacing w:line="358" w:lineRule="auto"/>
        <w:ind w:firstLine="709"/>
        <w:jc w:val="both"/>
        <w:rPr>
          <w:rFonts w:ascii="Verdana" w:hAnsi="Verdana" w:cs="TimokCYR"/>
        </w:rPr>
      </w:pPr>
      <w:r w:rsidRPr="0070667B">
        <w:rPr>
          <w:rFonts w:ascii="Verdana" w:hAnsi="Verdana" w:cs="TimokCYR"/>
        </w:rPr>
        <w:t>7. В ал. 8 думите „Министерството на земеделието“ се заменят с „Министерството на земеделието и храните.</w:t>
      </w:r>
    </w:p>
    <w:p w:rsidR="003B48A5" w:rsidRDefault="0070667B" w:rsidP="008C5484">
      <w:pPr>
        <w:tabs>
          <w:tab w:val="left" w:pos="1134"/>
        </w:tabs>
        <w:spacing w:line="358" w:lineRule="auto"/>
        <w:ind w:firstLine="709"/>
        <w:jc w:val="both"/>
        <w:rPr>
          <w:rFonts w:ascii="Verdana" w:hAnsi="Verdana" w:cs="TimokCYR"/>
        </w:rPr>
      </w:pPr>
      <w:r w:rsidRPr="0070667B">
        <w:rPr>
          <w:rFonts w:ascii="Verdana" w:hAnsi="Verdana" w:cs="TimokCYR"/>
        </w:rPr>
        <w:t>8. В ал. 9 думите „т. 2“ се заменят с „т. 3 и 6“.</w:t>
      </w:r>
    </w:p>
    <w:p w:rsidR="00557F44" w:rsidRPr="00D877C0" w:rsidRDefault="00557F44" w:rsidP="008C5484">
      <w:pPr>
        <w:tabs>
          <w:tab w:val="left" w:pos="1134"/>
        </w:tabs>
        <w:spacing w:line="358" w:lineRule="auto"/>
        <w:ind w:firstLine="709"/>
        <w:jc w:val="both"/>
        <w:rPr>
          <w:rFonts w:ascii="Verdana" w:hAnsi="Verdana" w:cs="TimokCYR"/>
        </w:rPr>
      </w:pPr>
    </w:p>
    <w:p w:rsidR="008E795D" w:rsidRPr="000A36B5" w:rsidRDefault="008E795D" w:rsidP="008C5484">
      <w:pPr>
        <w:tabs>
          <w:tab w:val="left" w:pos="1134"/>
        </w:tabs>
        <w:spacing w:line="358" w:lineRule="auto"/>
        <w:ind w:firstLine="709"/>
        <w:jc w:val="both"/>
        <w:rPr>
          <w:rFonts w:ascii="Verdana" w:hAnsi="Verdana" w:cs="TimokCYR"/>
        </w:rPr>
      </w:pPr>
      <w:r w:rsidRPr="000A36B5">
        <w:rPr>
          <w:rFonts w:ascii="Verdana" w:hAnsi="Verdana" w:cs="TimokCYR"/>
          <w:b/>
        </w:rPr>
        <w:t xml:space="preserve">§ 2. </w:t>
      </w:r>
      <w:r w:rsidRPr="000A36B5">
        <w:rPr>
          <w:rFonts w:ascii="Verdana" w:hAnsi="Verdana" w:cs="TimokCYR"/>
        </w:rPr>
        <w:t xml:space="preserve">В чл. </w:t>
      </w:r>
      <w:r w:rsidR="00104664">
        <w:rPr>
          <w:rFonts w:ascii="Verdana" w:hAnsi="Verdana" w:cs="TimokCYR"/>
        </w:rPr>
        <w:t>8</w:t>
      </w:r>
      <w:r w:rsidRPr="000A36B5">
        <w:rPr>
          <w:rFonts w:ascii="Verdana" w:hAnsi="Verdana" w:cs="TimokCYR"/>
        </w:rPr>
        <w:t xml:space="preserve"> се правят следните изменения:</w:t>
      </w:r>
    </w:p>
    <w:p w:rsidR="008E795D" w:rsidRDefault="00104664" w:rsidP="008C5484">
      <w:pPr>
        <w:tabs>
          <w:tab w:val="left" w:pos="1134"/>
        </w:tabs>
        <w:spacing w:line="358" w:lineRule="auto"/>
        <w:ind w:firstLine="709"/>
        <w:jc w:val="both"/>
        <w:rPr>
          <w:rFonts w:ascii="Verdana" w:hAnsi="Verdana" w:cs="TimokCYR"/>
        </w:rPr>
      </w:pPr>
      <w:r>
        <w:rPr>
          <w:rFonts w:ascii="Verdana" w:hAnsi="Verdana" w:cs="TimokCYR"/>
        </w:rPr>
        <w:t>1. А</w:t>
      </w:r>
      <w:r w:rsidR="008E795D" w:rsidRPr="000A36B5">
        <w:rPr>
          <w:rFonts w:ascii="Verdana" w:hAnsi="Verdana" w:cs="TimokCYR"/>
        </w:rPr>
        <w:t>л</w:t>
      </w:r>
      <w:r>
        <w:rPr>
          <w:rFonts w:ascii="Verdana" w:hAnsi="Verdana" w:cs="TimokCYR"/>
        </w:rPr>
        <w:t>инея</w:t>
      </w:r>
      <w:r w:rsidR="008E795D" w:rsidRPr="000A36B5">
        <w:rPr>
          <w:rFonts w:ascii="Verdana" w:hAnsi="Verdana" w:cs="TimokCYR"/>
        </w:rPr>
        <w:t xml:space="preserve"> 2 </w:t>
      </w:r>
      <w:r>
        <w:rPr>
          <w:rFonts w:ascii="Verdana" w:hAnsi="Verdana" w:cs="TimokCYR"/>
        </w:rPr>
        <w:t>се изменя така:</w:t>
      </w:r>
    </w:p>
    <w:p w:rsidR="00104664" w:rsidRPr="000A36B5" w:rsidRDefault="00104664" w:rsidP="008C5484">
      <w:pPr>
        <w:tabs>
          <w:tab w:val="left" w:pos="1134"/>
        </w:tabs>
        <w:spacing w:line="358" w:lineRule="auto"/>
        <w:ind w:firstLine="709"/>
        <w:jc w:val="both"/>
        <w:rPr>
          <w:rFonts w:ascii="Verdana" w:hAnsi="Verdana" w:cs="TimokCYR"/>
        </w:rPr>
      </w:pPr>
      <w:r>
        <w:rPr>
          <w:rFonts w:ascii="Verdana" w:hAnsi="Verdana" w:cs="TimokCYR"/>
        </w:rPr>
        <w:t>„</w:t>
      </w:r>
      <w:r w:rsidRPr="00104664">
        <w:rPr>
          <w:rFonts w:ascii="Verdana" w:hAnsi="Verdana" w:cs="TimokCYR"/>
        </w:rPr>
        <w:t xml:space="preserve">(2) Годишната план-програма е по образец на контролиращото лице и съдържа най-малко информация за култури, разпределени по поземлени имоти със съответната </w:t>
      </w:r>
      <w:r w:rsidRPr="00104664">
        <w:rPr>
          <w:rFonts w:ascii="Verdana" w:hAnsi="Verdana" w:cs="TimokCYR"/>
        </w:rPr>
        <w:lastRenderedPageBreak/>
        <w:t xml:space="preserve">площ, периода на </w:t>
      </w:r>
      <w:r>
        <w:rPr>
          <w:rFonts w:ascii="Verdana" w:hAnsi="Verdana" w:cs="TimokCYR"/>
        </w:rPr>
        <w:t>засяване/годината на засаждане,</w:t>
      </w:r>
      <w:r w:rsidRPr="00104664">
        <w:rPr>
          <w:rFonts w:ascii="Verdana" w:hAnsi="Verdana" w:cs="TimokCYR"/>
        </w:rPr>
        <w:t xml:space="preserve"> и прогнозен добив от всяка култура, с изключение на постоянно затревени площи за дейност животновъдство.</w:t>
      </w:r>
      <w:r>
        <w:rPr>
          <w:rFonts w:ascii="Verdana" w:hAnsi="Verdana" w:cs="TimokCYR"/>
        </w:rPr>
        <w:t>“</w:t>
      </w:r>
    </w:p>
    <w:p w:rsidR="008E795D" w:rsidRPr="000A36B5" w:rsidRDefault="008E795D" w:rsidP="008C5484">
      <w:pPr>
        <w:tabs>
          <w:tab w:val="left" w:pos="1134"/>
        </w:tabs>
        <w:spacing w:line="358" w:lineRule="auto"/>
        <w:ind w:firstLine="709"/>
        <w:jc w:val="both"/>
        <w:rPr>
          <w:rFonts w:ascii="Verdana" w:hAnsi="Verdana" w:cs="TimokCYR"/>
        </w:rPr>
      </w:pPr>
      <w:r w:rsidRPr="000A36B5">
        <w:rPr>
          <w:rFonts w:ascii="Verdana" w:hAnsi="Verdana" w:cs="TimokCYR"/>
        </w:rPr>
        <w:t xml:space="preserve">2. </w:t>
      </w:r>
      <w:r w:rsidR="005A51F4">
        <w:rPr>
          <w:rFonts w:ascii="Verdana" w:hAnsi="Verdana" w:cs="TimokCYR"/>
        </w:rPr>
        <w:t>В ал. 3 цифрата „3“ се заменя с думата „пет“</w:t>
      </w:r>
      <w:r w:rsidRPr="000A36B5">
        <w:rPr>
          <w:rFonts w:ascii="Verdana" w:hAnsi="Verdana" w:cs="TimokCYR"/>
        </w:rPr>
        <w:t>.</w:t>
      </w:r>
    </w:p>
    <w:p w:rsidR="008E795D" w:rsidRPr="003B576F" w:rsidRDefault="008E795D" w:rsidP="008C5484">
      <w:pPr>
        <w:tabs>
          <w:tab w:val="left" w:pos="1134"/>
        </w:tabs>
        <w:spacing w:line="358" w:lineRule="auto"/>
        <w:ind w:firstLine="709"/>
        <w:jc w:val="both"/>
        <w:rPr>
          <w:rFonts w:ascii="Verdana" w:hAnsi="Verdana" w:cs="TimokCYR"/>
          <w:highlight w:val="yellow"/>
        </w:rPr>
      </w:pPr>
    </w:p>
    <w:p w:rsidR="008E795D" w:rsidRDefault="008E795D" w:rsidP="008C5484">
      <w:pPr>
        <w:tabs>
          <w:tab w:val="left" w:pos="1134"/>
        </w:tabs>
        <w:spacing w:line="358" w:lineRule="auto"/>
        <w:ind w:firstLine="709"/>
        <w:jc w:val="both"/>
        <w:rPr>
          <w:rFonts w:ascii="Verdana" w:hAnsi="Verdana" w:cs="TimokCYR"/>
        </w:rPr>
      </w:pPr>
      <w:r w:rsidRPr="000A36B5">
        <w:rPr>
          <w:rFonts w:ascii="Verdana" w:hAnsi="Verdana" w:cs="TimokCYR"/>
          <w:b/>
        </w:rPr>
        <w:t xml:space="preserve">§ 3. </w:t>
      </w:r>
      <w:r w:rsidR="00AA7A9C" w:rsidRPr="00AA7A9C">
        <w:rPr>
          <w:rFonts w:ascii="Verdana" w:hAnsi="Verdana" w:cs="TimokCYR"/>
        </w:rPr>
        <w:t xml:space="preserve">В чл. </w:t>
      </w:r>
      <w:r w:rsidR="00AA7A9C">
        <w:rPr>
          <w:rFonts w:ascii="Verdana" w:hAnsi="Verdana" w:cs="TimokCYR"/>
        </w:rPr>
        <w:t>10</w:t>
      </w:r>
      <w:r w:rsidR="006F1D70">
        <w:rPr>
          <w:rFonts w:ascii="Verdana" w:hAnsi="Verdana" w:cs="TimokCYR"/>
        </w:rPr>
        <w:t xml:space="preserve"> се правят следните</w:t>
      </w:r>
      <w:r w:rsidR="00AA7A9C" w:rsidRPr="00AA7A9C">
        <w:rPr>
          <w:rFonts w:ascii="Verdana" w:hAnsi="Verdana" w:cs="TimokCYR"/>
        </w:rPr>
        <w:t xml:space="preserve"> допълнения:</w:t>
      </w:r>
    </w:p>
    <w:p w:rsidR="00AA7A9C" w:rsidRPr="000A36B5" w:rsidRDefault="00AA7A9C" w:rsidP="008C5484">
      <w:pPr>
        <w:tabs>
          <w:tab w:val="left" w:pos="1134"/>
        </w:tabs>
        <w:spacing w:line="358" w:lineRule="auto"/>
        <w:ind w:firstLine="709"/>
        <w:jc w:val="both"/>
        <w:rPr>
          <w:rFonts w:ascii="Verdana" w:hAnsi="Verdana" w:cs="TimokCYR"/>
          <w:b/>
        </w:rPr>
      </w:pPr>
      <w:r>
        <w:rPr>
          <w:rFonts w:ascii="Verdana" w:hAnsi="Verdana" w:cs="TimokCYR"/>
        </w:rPr>
        <w:t>1. В ал. 2 след думите „</w:t>
      </w:r>
      <w:r w:rsidR="003E577C" w:rsidRPr="003E577C">
        <w:rPr>
          <w:rFonts w:ascii="Verdana" w:hAnsi="Verdana" w:cs="TimokCYR"/>
        </w:rPr>
        <w:t>Приложение II</w:t>
      </w:r>
      <w:r w:rsidR="00557F44">
        <w:rPr>
          <w:rFonts w:ascii="Verdana" w:hAnsi="Verdana" w:cs="TimokCYR"/>
        </w:rPr>
        <w:t>, Част II, т. 1.9.1.1, буква „а““</w:t>
      </w:r>
      <w:r>
        <w:rPr>
          <w:rFonts w:ascii="Verdana" w:hAnsi="Verdana" w:cs="TimokCYR"/>
        </w:rPr>
        <w:t xml:space="preserve"> се добавя</w:t>
      </w:r>
      <w:r w:rsidRPr="00AA7A9C">
        <w:rPr>
          <w:rFonts w:ascii="Verdana" w:hAnsi="Verdana" w:cs="TimokCYR"/>
        </w:rPr>
        <w:t xml:space="preserve"> </w:t>
      </w:r>
      <w:r>
        <w:rPr>
          <w:rFonts w:ascii="Verdana" w:hAnsi="Verdana" w:cs="TimokCYR"/>
        </w:rPr>
        <w:t>„</w:t>
      </w:r>
      <w:r w:rsidRPr="00AA7A9C">
        <w:rPr>
          <w:rFonts w:ascii="Verdana" w:hAnsi="Verdana" w:cs="TimokCYR"/>
        </w:rPr>
        <w:t>и т. 1.9.3.1,</w:t>
      </w:r>
      <w:r w:rsidR="003E577C">
        <w:rPr>
          <w:rFonts w:ascii="Verdana" w:hAnsi="Verdana" w:cs="TimokCYR"/>
        </w:rPr>
        <w:t xml:space="preserve"> буква „а“.</w:t>
      </w:r>
    </w:p>
    <w:p w:rsidR="008E795D" w:rsidRPr="007142E1" w:rsidRDefault="00D434EC" w:rsidP="008C5484">
      <w:pPr>
        <w:tabs>
          <w:tab w:val="left" w:pos="1134"/>
        </w:tabs>
        <w:spacing w:line="358" w:lineRule="auto"/>
        <w:ind w:firstLine="709"/>
        <w:jc w:val="both"/>
        <w:rPr>
          <w:rFonts w:ascii="Verdana" w:hAnsi="Verdana" w:cs="TimokCYR"/>
        </w:rPr>
      </w:pPr>
      <w:r w:rsidRPr="007142E1">
        <w:rPr>
          <w:rFonts w:ascii="Verdana" w:hAnsi="Verdana" w:cs="TimokCYR"/>
        </w:rPr>
        <w:t>2. Създава се</w:t>
      </w:r>
      <w:r w:rsidR="00AA7A9C" w:rsidRPr="007142E1">
        <w:rPr>
          <w:rFonts w:ascii="Verdana" w:hAnsi="Verdana" w:cs="TimokCYR"/>
        </w:rPr>
        <w:t xml:space="preserve"> ал. 4:</w:t>
      </w:r>
    </w:p>
    <w:p w:rsidR="00AA7A9C" w:rsidRDefault="00AA7A9C" w:rsidP="008C5484">
      <w:pPr>
        <w:tabs>
          <w:tab w:val="left" w:pos="1134"/>
        </w:tabs>
        <w:spacing w:line="358" w:lineRule="auto"/>
        <w:ind w:firstLine="709"/>
        <w:jc w:val="both"/>
        <w:rPr>
          <w:rFonts w:ascii="Verdana" w:hAnsi="Verdana" w:cs="TimokCYR"/>
        </w:rPr>
      </w:pPr>
      <w:r w:rsidRPr="007142E1">
        <w:rPr>
          <w:rFonts w:ascii="Verdana" w:hAnsi="Verdana" w:cs="TimokCYR"/>
        </w:rPr>
        <w:t xml:space="preserve">„(4) За целите на Приложение II, Част II, т. 1.6.7 от Регламент (ЕС) 2018/848 </w:t>
      </w:r>
      <w:r w:rsidRPr="00275F34">
        <w:rPr>
          <w:rFonts w:ascii="Verdana" w:hAnsi="Verdana" w:cs="TimokCYR"/>
          <w:spacing w:val="-2"/>
        </w:rPr>
        <w:t>подходящата гъстота на животните, която не надвишава границите от 170 кг органичен</w:t>
      </w:r>
      <w:r w:rsidRPr="00AA7A9C">
        <w:rPr>
          <w:rFonts w:ascii="Verdana" w:hAnsi="Verdana" w:cs="TimokCYR"/>
        </w:rPr>
        <w:t xml:space="preserve"> азот на година и на хектар земеделска площ е определена в Приложение № </w:t>
      </w:r>
      <w:r w:rsidR="00765525">
        <w:rPr>
          <w:rFonts w:ascii="Verdana" w:hAnsi="Verdana" w:cs="TimokCYR"/>
        </w:rPr>
        <w:t>1</w:t>
      </w:r>
      <w:r w:rsidRPr="00AA7A9C">
        <w:rPr>
          <w:rFonts w:ascii="Verdana" w:hAnsi="Verdana" w:cs="TimokCYR"/>
        </w:rPr>
        <w:t>.</w:t>
      </w:r>
      <w:r>
        <w:rPr>
          <w:rFonts w:ascii="Verdana" w:hAnsi="Verdana" w:cs="TimokCYR"/>
        </w:rPr>
        <w:t>“</w:t>
      </w:r>
    </w:p>
    <w:p w:rsidR="00F1433A" w:rsidRPr="00AA7A9C" w:rsidRDefault="00F1433A" w:rsidP="008C5484">
      <w:pPr>
        <w:tabs>
          <w:tab w:val="left" w:pos="1134"/>
        </w:tabs>
        <w:spacing w:line="358" w:lineRule="auto"/>
        <w:ind w:firstLine="709"/>
        <w:jc w:val="both"/>
        <w:rPr>
          <w:rFonts w:ascii="Verdana" w:hAnsi="Verdana" w:cs="TimokCYR"/>
        </w:rPr>
      </w:pPr>
    </w:p>
    <w:p w:rsidR="00224656" w:rsidRDefault="008E795D" w:rsidP="008C5484">
      <w:pPr>
        <w:tabs>
          <w:tab w:val="left" w:pos="1134"/>
        </w:tabs>
        <w:spacing w:line="358" w:lineRule="auto"/>
        <w:ind w:firstLine="709"/>
        <w:jc w:val="both"/>
        <w:rPr>
          <w:rFonts w:ascii="Verdana" w:hAnsi="Verdana" w:cs="TimokCYR"/>
        </w:rPr>
      </w:pPr>
      <w:r w:rsidRPr="000A36B5">
        <w:rPr>
          <w:rFonts w:ascii="Verdana" w:hAnsi="Verdana" w:cs="TimokCYR"/>
          <w:b/>
        </w:rPr>
        <w:t xml:space="preserve">§ 4. </w:t>
      </w:r>
      <w:r w:rsidR="00A0188A" w:rsidRPr="00A0188A">
        <w:rPr>
          <w:rFonts w:ascii="Verdana" w:hAnsi="Verdana" w:cs="TimokCYR"/>
        </w:rPr>
        <w:t>В чл. 11</w:t>
      </w:r>
      <w:r w:rsidR="00224656">
        <w:rPr>
          <w:rFonts w:ascii="Verdana" w:hAnsi="Verdana" w:cs="TimokCYR"/>
          <w:lang w:val="en-US"/>
        </w:rPr>
        <w:t xml:space="preserve"> </w:t>
      </w:r>
      <w:r w:rsidR="00224656">
        <w:rPr>
          <w:rFonts w:ascii="Verdana" w:hAnsi="Verdana" w:cs="TimokCYR"/>
        </w:rPr>
        <w:t>се правят следните изменения:</w:t>
      </w:r>
    </w:p>
    <w:p w:rsidR="00224656" w:rsidRDefault="00BD3251" w:rsidP="008C5484">
      <w:pPr>
        <w:tabs>
          <w:tab w:val="left" w:pos="1134"/>
        </w:tabs>
        <w:spacing w:line="358" w:lineRule="auto"/>
        <w:ind w:firstLine="709"/>
        <w:jc w:val="both"/>
        <w:rPr>
          <w:rFonts w:ascii="Verdana" w:hAnsi="Verdana" w:cs="TimokCYR"/>
        </w:rPr>
      </w:pPr>
      <w:r>
        <w:rPr>
          <w:rFonts w:ascii="Verdana" w:hAnsi="Verdana" w:cs="TimokCYR"/>
        </w:rPr>
        <w:t xml:space="preserve">1. В ал. 3 </w:t>
      </w:r>
      <w:r w:rsidR="00224656">
        <w:rPr>
          <w:rFonts w:ascii="Verdana" w:hAnsi="Verdana" w:cs="TimokCYR"/>
        </w:rPr>
        <w:t>думите „</w:t>
      </w:r>
      <w:r>
        <w:rPr>
          <w:rFonts w:ascii="Verdana" w:hAnsi="Verdana" w:cs="TimokCYR"/>
        </w:rPr>
        <w:t xml:space="preserve">- </w:t>
      </w:r>
      <w:r w:rsidR="00224656" w:rsidRPr="00224656">
        <w:rPr>
          <w:rFonts w:ascii="Verdana" w:hAnsi="Verdana" w:cs="TimokCYR"/>
        </w:rPr>
        <w:t>Разплащателна агенция</w:t>
      </w:r>
      <w:r w:rsidR="00224656">
        <w:rPr>
          <w:rFonts w:ascii="Verdana" w:hAnsi="Verdana" w:cs="TimokCYR"/>
        </w:rPr>
        <w:t xml:space="preserve">“ </w:t>
      </w:r>
      <w:r>
        <w:rPr>
          <w:rFonts w:ascii="Verdana" w:hAnsi="Verdana" w:cs="TimokCYR"/>
        </w:rPr>
        <w:t>и абревиатурата „</w:t>
      </w:r>
      <w:r w:rsidRPr="00BD3251">
        <w:rPr>
          <w:rFonts w:ascii="Verdana" w:hAnsi="Verdana" w:cs="TimokCYR"/>
        </w:rPr>
        <w:t>- РА</w:t>
      </w:r>
      <w:r>
        <w:rPr>
          <w:rFonts w:ascii="Verdana" w:hAnsi="Verdana" w:cs="TimokCYR"/>
        </w:rPr>
        <w:t>“</w:t>
      </w:r>
      <w:r w:rsidRPr="00BD3251">
        <w:rPr>
          <w:rFonts w:ascii="Verdana" w:hAnsi="Verdana" w:cs="TimokCYR"/>
        </w:rPr>
        <w:t xml:space="preserve"> </w:t>
      </w:r>
      <w:r w:rsidR="00224656">
        <w:rPr>
          <w:rFonts w:ascii="Verdana" w:hAnsi="Verdana" w:cs="TimokCYR"/>
        </w:rPr>
        <w:t>се заличават.</w:t>
      </w:r>
    </w:p>
    <w:p w:rsidR="00224656" w:rsidRDefault="00224656" w:rsidP="008C5484">
      <w:pPr>
        <w:tabs>
          <w:tab w:val="left" w:pos="1134"/>
        </w:tabs>
        <w:spacing w:line="358" w:lineRule="auto"/>
        <w:ind w:firstLine="709"/>
        <w:jc w:val="both"/>
        <w:rPr>
          <w:rFonts w:ascii="Verdana" w:hAnsi="Verdana" w:cs="TimokCYR"/>
        </w:rPr>
      </w:pPr>
      <w:r>
        <w:rPr>
          <w:rFonts w:ascii="Verdana" w:hAnsi="Verdana" w:cs="TimokCYR"/>
        </w:rPr>
        <w:t>2. А</w:t>
      </w:r>
      <w:r w:rsidR="00557F44">
        <w:rPr>
          <w:rFonts w:ascii="Verdana" w:hAnsi="Verdana" w:cs="TimokCYR"/>
        </w:rPr>
        <w:t>линея</w:t>
      </w:r>
      <w:r w:rsidR="00A0188A" w:rsidRPr="00A0188A">
        <w:rPr>
          <w:rFonts w:ascii="Verdana" w:hAnsi="Verdana" w:cs="TimokCYR"/>
        </w:rPr>
        <w:t xml:space="preserve"> 4 се отменя.</w:t>
      </w:r>
    </w:p>
    <w:p w:rsidR="001B1708" w:rsidRPr="008E795D" w:rsidRDefault="001B1708" w:rsidP="008C5484">
      <w:pPr>
        <w:tabs>
          <w:tab w:val="left" w:pos="1134"/>
        </w:tabs>
        <w:spacing w:line="358" w:lineRule="auto"/>
        <w:ind w:firstLine="709"/>
        <w:jc w:val="both"/>
        <w:rPr>
          <w:rFonts w:ascii="Verdana" w:hAnsi="Verdana" w:cs="TimokCYR"/>
        </w:rPr>
      </w:pPr>
    </w:p>
    <w:p w:rsidR="00D203DB" w:rsidRPr="00D203DB" w:rsidRDefault="00BF0CA7" w:rsidP="008C5484">
      <w:pPr>
        <w:tabs>
          <w:tab w:val="left" w:pos="1134"/>
        </w:tabs>
        <w:spacing w:line="358" w:lineRule="auto"/>
        <w:ind w:firstLine="709"/>
        <w:jc w:val="both"/>
        <w:rPr>
          <w:rFonts w:ascii="Verdana" w:hAnsi="Verdana" w:cs="TimokCYR"/>
        </w:rPr>
      </w:pPr>
      <w:r w:rsidRPr="00380D72">
        <w:rPr>
          <w:rFonts w:ascii="Verdana" w:hAnsi="Verdana" w:cs="TimokCYR"/>
          <w:b/>
        </w:rPr>
        <w:t xml:space="preserve">§ </w:t>
      </w:r>
      <w:r w:rsidR="000A36B5" w:rsidRPr="00E4436E">
        <w:rPr>
          <w:rFonts w:ascii="Verdana" w:hAnsi="Verdana" w:cs="TimokCYR"/>
          <w:b/>
          <w:lang w:val="ru-RU"/>
        </w:rPr>
        <w:t>5</w:t>
      </w:r>
      <w:r w:rsidRPr="0063633E">
        <w:rPr>
          <w:rFonts w:ascii="Verdana" w:hAnsi="Verdana" w:cs="TimokCYR"/>
          <w:b/>
        </w:rPr>
        <w:t>.</w:t>
      </w:r>
      <w:r w:rsidR="00E035A1" w:rsidRPr="0063633E">
        <w:rPr>
          <w:rFonts w:ascii="Verdana" w:hAnsi="Verdana" w:cs="TimokCYR"/>
        </w:rPr>
        <w:t xml:space="preserve"> </w:t>
      </w:r>
      <w:r w:rsidR="00D203DB" w:rsidRPr="00D203DB">
        <w:rPr>
          <w:rFonts w:ascii="Verdana" w:hAnsi="Verdana" w:cs="TimokCYR"/>
        </w:rPr>
        <w:t>В чл. 12а</w:t>
      </w:r>
      <w:r w:rsidR="00C61CA1" w:rsidRPr="00C61CA1">
        <w:t xml:space="preserve"> </w:t>
      </w:r>
      <w:r w:rsidR="00C61CA1" w:rsidRPr="00C61CA1">
        <w:rPr>
          <w:rFonts w:ascii="Verdana" w:hAnsi="Verdana" w:cs="TimokCYR"/>
        </w:rPr>
        <w:t>се правят следните изменения:</w:t>
      </w:r>
    </w:p>
    <w:p w:rsidR="00D203DB" w:rsidRPr="00D203DB" w:rsidRDefault="00D203DB" w:rsidP="008C5484">
      <w:pPr>
        <w:tabs>
          <w:tab w:val="left" w:pos="1134"/>
        </w:tabs>
        <w:spacing w:line="358" w:lineRule="auto"/>
        <w:ind w:firstLine="709"/>
        <w:jc w:val="both"/>
        <w:rPr>
          <w:rFonts w:ascii="Verdana" w:hAnsi="Verdana" w:cs="TimokCYR"/>
        </w:rPr>
      </w:pPr>
      <w:r w:rsidRPr="00D203DB">
        <w:rPr>
          <w:rFonts w:ascii="Verdana" w:hAnsi="Verdana" w:cs="TimokCYR"/>
        </w:rPr>
        <w:t>1. В ал. 5 дум</w:t>
      </w:r>
      <w:r w:rsidR="00557F44">
        <w:rPr>
          <w:rFonts w:ascii="Verdana" w:hAnsi="Verdana" w:cs="TimokCYR"/>
        </w:rPr>
        <w:t>ите „т. 3“ се заменят с „ал. 6“.</w:t>
      </w:r>
    </w:p>
    <w:p w:rsidR="0037761F" w:rsidRPr="00753CC4" w:rsidRDefault="00D203DB" w:rsidP="008C5484">
      <w:pPr>
        <w:tabs>
          <w:tab w:val="left" w:pos="1134"/>
        </w:tabs>
        <w:spacing w:line="358" w:lineRule="auto"/>
        <w:ind w:firstLine="709"/>
        <w:jc w:val="both"/>
        <w:rPr>
          <w:rFonts w:ascii="Verdana" w:hAnsi="Verdana" w:cs="TimokCYR"/>
        </w:rPr>
      </w:pPr>
      <w:r w:rsidRPr="00D203DB">
        <w:rPr>
          <w:rFonts w:ascii="Verdana" w:hAnsi="Verdana" w:cs="TimokCYR"/>
        </w:rPr>
        <w:t xml:space="preserve">2. В ал. 6 </w:t>
      </w:r>
      <w:r w:rsidR="005E252F">
        <w:rPr>
          <w:rFonts w:ascii="Verdana" w:hAnsi="Verdana" w:cs="TimokCYR"/>
        </w:rPr>
        <w:t>абревиатурата „Мзм“ се заменя</w:t>
      </w:r>
      <w:r w:rsidRPr="00D203DB">
        <w:rPr>
          <w:rFonts w:ascii="Verdana" w:hAnsi="Verdana" w:cs="TimokCYR"/>
        </w:rPr>
        <w:t xml:space="preserve"> с „МЗХ“.</w:t>
      </w:r>
    </w:p>
    <w:p w:rsidR="000A36B5" w:rsidRPr="003B576F" w:rsidRDefault="000A36B5" w:rsidP="008C5484">
      <w:pPr>
        <w:tabs>
          <w:tab w:val="left" w:pos="1134"/>
        </w:tabs>
        <w:spacing w:line="358" w:lineRule="auto"/>
        <w:ind w:firstLine="709"/>
        <w:jc w:val="both"/>
        <w:rPr>
          <w:rFonts w:ascii="Verdana" w:hAnsi="Verdana" w:cs="TimokCYR"/>
          <w:lang w:val="ru-RU"/>
        </w:rPr>
      </w:pPr>
    </w:p>
    <w:p w:rsidR="000A36B5" w:rsidRDefault="00BF0CA7" w:rsidP="008C5484">
      <w:pPr>
        <w:tabs>
          <w:tab w:val="left" w:pos="1134"/>
        </w:tabs>
        <w:spacing w:line="358" w:lineRule="auto"/>
        <w:ind w:firstLine="709"/>
        <w:jc w:val="both"/>
        <w:rPr>
          <w:rFonts w:ascii="Verdana" w:hAnsi="Verdana" w:cs="TimokCYR"/>
        </w:rPr>
      </w:pPr>
      <w:r w:rsidRPr="00641B13">
        <w:rPr>
          <w:rFonts w:ascii="Verdana" w:hAnsi="Verdana" w:cs="TimokCYR"/>
          <w:b/>
        </w:rPr>
        <w:t xml:space="preserve">§ </w:t>
      </w:r>
      <w:r w:rsidR="000A36B5" w:rsidRPr="00E4436E">
        <w:rPr>
          <w:rFonts w:ascii="Verdana" w:hAnsi="Verdana" w:cs="TimokCYR"/>
          <w:b/>
          <w:lang w:val="ru-RU"/>
        </w:rPr>
        <w:t>6</w:t>
      </w:r>
      <w:r w:rsidRPr="00641B13">
        <w:rPr>
          <w:rFonts w:ascii="Verdana" w:hAnsi="Verdana" w:cs="TimokCYR"/>
          <w:b/>
        </w:rPr>
        <w:t>.</w:t>
      </w:r>
      <w:r w:rsidRPr="00641B13">
        <w:rPr>
          <w:rFonts w:ascii="Verdana" w:hAnsi="Verdana" w:cs="TimokCYR"/>
        </w:rPr>
        <w:t xml:space="preserve"> </w:t>
      </w:r>
      <w:r w:rsidR="00F47F3C" w:rsidRPr="00F47F3C">
        <w:rPr>
          <w:rFonts w:ascii="Verdana" w:hAnsi="Verdana" w:cs="TimokCYR"/>
        </w:rPr>
        <w:t xml:space="preserve">В чл. </w:t>
      </w:r>
      <w:r w:rsidR="00F47F3C">
        <w:rPr>
          <w:rFonts w:ascii="Verdana" w:hAnsi="Verdana" w:cs="TimokCYR"/>
        </w:rPr>
        <w:t>13</w:t>
      </w:r>
      <w:r w:rsidR="00F47F3C" w:rsidRPr="00F47F3C">
        <w:rPr>
          <w:rFonts w:ascii="Verdana" w:hAnsi="Verdana" w:cs="TimokCYR"/>
        </w:rPr>
        <w:t xml:space="preserve"> се правят</w:t>
      </w:r>
      <w:r w:rsidR="00B21DAC">
        <w:rPr>
          <w:rFonts w:ascii="Verdana" w:hAnsi="Verdana" w:cs="TimokCYR"/>
        </w:rPr>
        <w:t xml:space="preserve"> следните изменения</w:t>
      </w:r>
      <w:r w:rsidR="00F47F3C" w:rsidRPr="00F47F3C">
        <w:rPr>
          <w:rFonts w:ascii="Verdana" w:hAnsi="Verdana" w:cs="TimokCYR"/>
        </w:rPr>
        <w:t>:</w:t>
      </w:r>
    </w:p>
    <w:p w:rsidR="00F47F3C" w:rsidRDefault="00F47F3C" w:rsidP="008C5484">
      <w:pPr>
        <w:tabs>
          <w:tab w:val="left" w:pos="1134"/>
        </w:tabs>
        <w:spacing w:line="358" w:lineRule="auto"/>
        <w:ind w:firstLine="709"/>
        <w:jc w:val="both"/>
        <w:rPr>
          <w:rFonts w:ascii="Verdana" w:hAnsi="Verdana" w:cs="TimokCYR"/>
        </w:rPr>
      </w:pPr>
      <w:r>
        <w:rPr>
          <w:rFonts w:ascii="Verdana" w:hAnsi="Verdana" w:cs="TimokCYR"/>
        </w:rPr>
        <w:t>1. Алинея 1 се изменя така:</w:t>
      </w:r>
    </w:p>
    <w:p w:rsidR="00F47F3C" w:rsidRDefault="00F47F3C" w:rsidP="008C5484">
      <w:pPr>
        <w:tabs>
          <w:tab w:val="left" w:pos="1134"/>
        </w:tabs>
        <w:spacing w:line="358" w:lineRule="auto"/>
        <w:ind w:firstLine="709"/>
        <w:jc w:val="both"/>
        <w:rPr>
          <w:rFonts w:ascii="Verdana" w:hAnsi="Verdana" w:cs="TimokCYR"/>
        </w:rPr>
      </w:pPr>
      <w:r>
        <w:rPr>
          <w:rFonts w:ascii="Verdana" w:hAnsi="Verdana" w:cs="TimokCYR"/>
        </w:rPr>
        <w:t xml:space="preserve">„(1) </w:t>
      </w:r>
      <w:r w:rsidRPr="00F47F3C">
        <w:rPr>
          <w:rFonts w:ascii="Verdana" w:hAnsi="Verdana" w:cs="TimokCYR"/>
        </w:rPr>
        <w:t>За издаване на заповед по чл. 2, ал. 5, т. 1, 2, 3, 4, 5, 6, 9, 10 и 11</w:t>
      </w:r>
      <w:r w:rsidR="003D6024">
        <w:rPr>
          <w:rFonts w:ascii="Verdana" w:hAnsi="Verdana" w:cs="TimokCYR"/>
        </w:rPr>
        <w:t xml:space="preserve"> </w:t>
      </w:r>
      <w:r w:rsidRPr="00F47F3C">
        <w:rPr>
          <w:rFonts w:ascii="Verdana" w:hAnsi="Verdana" w:cs="TimokCYR"/>
        </w:rPr>
        <w:t xml:space="preserve">операторът, съответно подизпълнителят, подава заявление по образец, утвърден със заповед на министъра на земеделието </w:t>
      </w:r>
      <w:r>
        <w:rPr>
          <w:rFonts w:ascii="Verdana" w:hAnsi="Verdana" w:cs="TimokCYR"/>
        </w:rPr>
        <w:t xml:space="preserve">и храните </w:t>
      </w:r>
      <w:r w:rsidRPr="00F47F3C">
        <w:rPr>
          <w:rFonts w:ascii="Verdana" w:hAnsi="Verdana" w:cs="TimokCYR"/>
        </w:rPr>
        <w:t xml:space="preserve">и публикуван на страницата на </w:t>
      </w:r>
      <w:r>
        <w:rPr>
          <w:rFonts w:ascii="Verdana" w:hAnsi="Verdana" w:cs="TimokCYR"/>
        </w:rPr>
        <w:t>МЗХ</w:t>
      </w:r>
      <w:r w:rsidRPr="00F47F3C">
        <w:rPr>
          <w:rFonts w:ascii="Verdana" w:hAnsi="Verdana" w:cs="TimokCYR"/>
        </w:rPr>
        <w:t>. В случаите на чл. 15 при въвеждане на нова порода животни или при промяна в технологията на отглеждане операторът, съответно подизпълнителят, трябва да подаде ново заявление за издаване на дерогация.</w:t>
      </w:r>
      <w:r>
        <w:rPr>
          <w:rFonts w:ascii="Verdana" w:hAnsi="Verdana" w:cs="TimokCYR"/>
        </w:rPr>
        <w:t>“</w:t>
      </w:r>
    </w:p>
    <w:p w:rsidR="00ED54AF" w:rsidRPr="00ED54AF" w:rsidRDefault="00ED54AF" w:rsidP="008C5484">
      <w:pPr>
        <w:tabs>
          <w:tab w:val="left" w:pos="1134"/>
        </w:tabs>
        <w:spacing w:line="358" w:lineRule="auto"/>
        <w:ind w:firstLine="709"/>
        <w:jc w:val="both"/>
        <w:rPr>
          <w:rFonts w:ascii="Verdana" w:hAnsi="Verdana" w:cs="TimokCYR"/>
          <w:lang w:val="en-US"/>
        </w:rPr>
      </w:pPr>
      <w:r w:rsidRPr="00ED54AF">
        <w:rPr>
          <w:rFonts w:ascii="Verdana" w:hAnsi="Verdana" w:cs="TimokCYR"/>
        </w:rPr>
        <w:t>2. В ал. 4 думите „министъра на земеделието“ се заменят с „министъра на земеделието и храните“</w:t>
      </w:r>
      <w:r>
        <w:rPr>
          <w:rFonts w:ascii="Verdana" w:hAnsi="Verdana" w:cs="TimokCYR"/>
          <w:lang w:val="en-US"/>
        </w:rPr>
        <w:t>.</w:t>
      </w:r>
    </w:p>
    <w:p w:rsidR="00F47F3C" w:rsidRDefault="009D03DE" w:rsidP="008C5484">
      <w:pPr>
        <w:tabs>
          <w:tab w:val="left" w:pos="1134"/>
        </w:tabs>
        <w:spacing w:line="358" w:lineRule="auto"/>
        <w:ind w:firstLine="709"/>
        <w:jc w:val="both"/>
        <w:rPr>
          <w:rFonts w:ascii="Verdana" w:hAnsi="Verdana" w:cs="TimokCYR"/>
        </w:rPr>
      </w:pPr>
      <w:r>
        <w:rPr>
          <w:rFonts w:ascii="Verdana" w:hAnsi="Verdana" w:cs="TimokCYR"/>
        </w:rPr>
        <w:t>3</w:t>
      </w:r>
      <w:r w:rsidR="00271554" w:rsidRPr="0053402E">
        <w:rPr>
          <w:rFonts w:ascii="Verdana" w:hAnsi="Verdana" w:cs="TimokCYR"/>
        </w:rPr>
        <w:t>. Алинея 6 се изменя така:</w:t>
      </w:r>
    </w:p>
    <w:p w:rsidR="00080CE6" w:rsidRPr="00080CE6" w:rsidRDefault="00271554" w:rsidP="008C5484">
      <w:pPr>
        <w:tabs>
          <w:tab w:val="left" w:pos="1134"/>
        </w:tabs>
        <w:spacing w:line="358" w:lineRule="auto"/>
        <w:ind w:firstLine="709"/>
        <w:jc w:val="both"/>
        <w:rPr>
          <w:rFonts w:ascii="Verdana" w:hAnsi="Verdana" w:cs="TimokCYR"/>
        </w:rPr>
      </w:pPr>
      <w:r>
        <w:rPr>
          <w:rFonts w:ascii="Verdana" w:hAnsi="Verdana" w:cs="TimokCYR"/>
        </w:rPr>
        <w:t>„</w:t>
      </w:r>
      <w:r w:rsidR="00080CE6" w:rsidRPr="00080CE6">
        <w:rPr>
          <w:rFonts w:ascii="Verdana" w:hAnsi="Verdana" w:cs="TimokCYR"/>
        </w:rPr>
        <w:t>(6) В срок до 5 работни дни от разглеждане на заявлението или от получаване на информацията за отстраняване на пропуските и/или несъответствията компетентното звено прави предложение:</w:t>
      </w:r>
    </w:p>
    <w:p w:rsidR="00080CE6" w:rsidRPr="00080CE6" w:rsidRDefault="00ED54AF" w:rsidP="008C5484">
      <w:pPr>
        <w:tabs>
          <w:tab w:val="left" w:pos="1134"/>
        </w:tabs>
        <w:spacing w:line="358" w:lineRule="auto"/>
        <w:ind w:firstLine="709"/>
        <w:jc w:val="both"/>
        <w:rPr>
          <w:rFonts w:ascii="Verdana" w:hAnsi="Verdana" w:cs="TimokCYR"/>
        </w:rPr>
      </w:pPr>
      <w:r>
        <w:rPr>
          <w:rFonts w:ascii="Verdana" w:hAnsi="Verdana" w:cs="TimokCYR"/>
          <w:lang w:val="en-US"/>
        </w:rPr>
        <w:t>1.</w:t>
      </w:r>
      <w:r w:rsidR="00080CE6" w:rsidRPr="00080CE6">
        <w:rPr>
          <w:rFonts w:ascii="Verdana" w:hAnsi="Verdana" w:cs="TimokCYR"/>
        </w:rPr>
        <w:t xml:space="preserve"> до комисията по чл. 59 за разглеждане на заявлението </w:t>
      </w:r>
      <w:r w:rsidR="00067B02">
        <w:rPr>
          <w:rFonts w:ascii="Verdana" w:hAnsi="Verdana" w:cs="TimokCYR"/>
        </w:rPr>
        <w:t xml:space="preserve">за издаване на заповед </w:t>
      </w:r>
      <w:r w:rsidR="00080CE6" w:rsidRPr="00080CE6">
        <w:rPr>
          <w:rFonts w:ascii="Verdana" w:hAnsi="Verdana" w:cs="TimokCYR"/>
        </w:rPr>
        <w:t>по чл. 2, ал. 5, т. 1, 2, 4, 5, 9, 10 и 11 с приложеното към него досие.</w:t>
      </w:r>
    </w:p>
    <w:p w:rsidR="00EE23E1" w:rsidRDefault="00ED54AF" w:rsidP="008C5484">
      <w:pPr>
        <w:tabs>
          <w:tab w:val="left" w:pos="1134"/>
        </w:tabs>
        <w:spacing w:line="358" w:lineRule="auto"/>
        <w:ind w:firstLine="709"/>
        <w:jc w:val="both"/>
        <w:rPr>
          <w:rFonts w:ascii="Verdana" w:hAnsi="Verdana" w:cs="TimokCYR"/>
        </w:rPr>
      </w:pPr>
      <w:r>
        <w:rPr>
          <w:rFonts w:ascii="Verdana" w:hAnsi="Verdana" w:cs="TimokCYR"/>
          <w:lang w:val="en-US"/>
        </w:rPr>
        <w:t>2.</w:t>
      </w:r>
      <w:r w:rsidR="00080CE6" w:rsidRPr="00080CE6">
        <w:rPr>
          <w:rFonts w:ascii="Verdana" w:hAnsi="Verdana" w:cs="TimokCYR"/>
        </w:rPr>
        <w:t xml:space="preserve"> до министъра на земеделието и храните за издаване на заповед за разрешение или за мотивиран отказ за заявлението </w:t>
      </w:r>
      <w:r w:rsidR="00067B02">
        <w:rPr>
          <w:rFonts w:ascii="Verdana" w:hAnsi="Verdana" w:cs="TimokCYR"/>
        </w:rPr>
        <w:t xml:space="preserve">за издаване на заповед </w:t>
      </w:r>
      <w:r w:rsidR="00080CE6" w:rsidRPr="00080CE6">
        <w:rPr>
          <w:rFonts w:ascii="Verdana" w:hAnsi="Verdana" w:cs="TimokCYR"/>
        </w:rPr>
        <w:t xml:space="preserve">по чл. 2, ал. 5, т. 3 и 6, в срок до 15 работни дни от </w:t>
      </w:r>
      <w:r w:rsidR="00F13BED">
        <w:rPr>
          <w:rFonts w:ascii="Verdana" w:hAnsi="Verdana" w:cs="TimokCYR"/>
        </w:rPr>
        <w:t>направеното предложение</w:t>
      </w:r>
      <w:r w:rsidR="00080CE6" w:rsidRPr="00080CE6">
        <w:rPr>
          <w:rFonts w:ascii="Verdana" w:hAnsi="Verdana" w:cs="TimokCYR"/>
        </w:rPr>
        <w:t>.</w:t>
      </w:r>
      <w:r w:rsidR="00557F44">
        <w:rPr>
          <w:rFonts w:ascii="Verdana" w:hAnsi="Verdana" w:cs="TimokCYR"/>
        </w:rPr>
        <w:t>“</w:t>
      </w:r>
    </w:p>
    <w:p w:rsidR="00EE23E1" w:rsidRPr="006B3F0E" w:rsidRDefault="009D03DE" w:rsidP="008C5484">
      <w:pPr>
        <w:tabs>
          <w:tab w:val="left" w:pos="1134"/>
        </w:tabs>
        <w:spacing w:line="358" w:lineRule="auto"/>
        <w:ind w:firstLine="709"/>
        <w:jc w:val="both"/>
        <w:rPr>
          <w:rFonts w:ascii="Verdana" w:hAnsi="Verdana" w:cs="TimokCYR"/>
        </w:rPr>
      </w:pPr>
      <w:r w:rsidRPr="006B3F0E">
        <w:rPr>
          <w:rFonts w:ascii="Verdana" w:hAnsi="Verdana" w:cs="TimokCYR"/>
        </w:rPr>
        <w:t>4</w:t>
      </w:r>
      <w:r w:rsidR="00EE23E1" w:rsidRPr="006B3F0E">
        <w:rPr>
          <w:rFonts w:ascii="Verdana" w:hAnsi="Verdana" w:cs="TimokCYR"/>
        </w:rPr>
        <w:t xml:space="preserve">. В ал. 7 думите „министъра на земеделието“ се заменят с „министъра на </w:t>
      </w:r>
      <w:r w:rsidR="00EE23E1" w:rsidRPr="006B3F0E">
        <w:rPr>
          <w:rFonts w:ascii="Verdana" w:hAnsi="Verdana" w:cs="TimokCYR"/>
        </w:rPr>
        <w:lastRenderedPageBreak/>
        <w:t>земеделието и храните“.</w:t>
      </w:r>
    </w:p>
    <w:p w:rsidR="00271554" w:rsidRDefault="009D03DE" w:rsidP="008C5484">
      <w:pPr>
        <w:tabs>
          <w:tab w:val="left" w:pos="1134"/>
        </w:tabs>
        <w:spacing w:line="358" w:lineRule="auto"/>
        <w:ind w:firstLine="709"/>
        <w:jc w:val="both"/>
        <w:rPr>
          <w:rFonts w:ascii="Verdana" w:hAnsi="Verdana" w:cs="TimokCYR"/>
        </w:rPr>
      </w:pPr>
      <w:r w:rsidRPr="006B3F0E">
        <w:rPr>
          <w:rFonts w:ascii="Verdana" w:hAnsi="Verdana" w:cs="TimokCYR"/>
        </w:rPr>
        <w:t>5</w:t>
      </w:r>
      <w:r w:rsidR="00EE23E1" w:rsidRPr="006B3F0E">
        <w:rPr>
          <w:rFonts w:ascii="Verdana" w:hAnsi="Verdana" w:cs="TimokCYR"/>
        </w:rPr>
        <w:t>. В ал. 8 думите „Министърът на земеделието“ се заменят с „Министърът на земеделието и храните“.</w:t>
      </w:r>
    </w:p>
    <w:p w:rsidR="00F47F3C" w:rsidRPr="003B576F" w:rsidRDefault="00F47F3C" w:rsidP="008C5484">
      <w:pPr>
        <w:tabs>
          <w:tab w:val="left" w:pos="1134"/>
        </w:tabs>
        <w:spacing w:line="358" w:lineRule="auto"/>
        <w:ind w:firstLine="709"/>
        <w:jc w:val="both"/>
        <w:rPr>
          <w:rFonts w:ascii="Verdana" w:hAnsi="Verdana" w:cs="TimokCYR"/>
          <w:lang w:val="ru-RU"/>
        </w:rPr>
      </w:pPr>
    </w:p>
    <w:p w:rsidR="00B55CB0" w:rsidRDefault="003D3A7A" w:rsidP="008C5484">
      <w:pPr>
        <w:tabs>
          <w:tab w:val="left" w:pos="1134"/>
        </w:tabs>
        <w:spacing w:line="358" w:lineRule="auto"/>
        <w:ind w:firstLine="709"/>
        <w:contextualSpacing/>
        <w:jc w:val="both"/>
        <w:rPr>
          <w:rFonts w:ascii="Verdana" w:hAnsi="Verdana" w:cs="TimokCYR"/>
        </w:rPr>
      </w:pPr>
      <w:r w:rsidRPr="003D3A7A">
        <w:rPr>
          <w:rFonts w:ascii="Verdana" w:hAnsi="Verdana" w:cs="TimokCYR"/>
          <w:b/>
        </w:rPr>
        <w:t xml:space="preserve">§ </w:t>
      </w:r>
      <w:r w:rsidR="000A36B5" w:rsidRPr="00E4436E">
        <w:rPr>
          <w:rFonts w:ascii="Verdana" w:hAnsi="Verdana" w:cs="TimokCYR"/>
          <w:b/>
          <w:lang w:val="ru-RU"/>
        </w:rPr>
        <w:t>7</w:t>
      </w:r>
      <w:r w:rsidRPr="003D3A7A">
        <w:rPr>
          <w:rFonts w:ascii="Verdana" w:hAnsi="Verdana" w:cs="TimokCYR"/>
          <w:b/>
        </w:rPr>
        <w:t>.</w:t>
      </w:r>
      <w:r w:rsidRPr="003D3A7A">
        <w:rPr>
          <w:rFonts w:ascii="Verdana" w:hAnsi="Verdana" w:cs="TimokCYR"/>
        </w:rPr>
        <w:t xml:space="preserve"> В</w:t>
      </w:r>
      <w:r w:rsidR="002F315B" w:rsidRPr="002F315B">
        <w:rPr>
          <w:rFonts w:ascii="Verdana" w:hAnsi="Verdana" w:cs="TimokCYR"/>
        </w:rPr>
        <w:t xml:space="preserve"> чл. </w:t>
      </w:r>
      <w:r w:rsidR="00B21DAC">
        <w:rPr>
          <w:rFonts w:ascii="Verdana" w:hAnsi="Verdana" w:cs="TimokCYR"/>
        </w:rPr>
        <w:t xml:space="preserve">14 </w:t>
      </w:r>
      <w:r w:rsidR="00B55CB0">
        <w:rPr>
          <w:rFonts w:ascii="Verdana" w:hAnsi="Verdana" w:cs="TimokCYR"/>
        </w:rPr>
        <w:t>се правят следните изменения и допълнения:</w:t>
      </w:r>
    </w:p>
    <w:p w:rsidR="00955DB4" w:rsidRDefault="00955DB4" w:rsidP="008C5484">
      <w:pPr>
        <w:tabs>
          <w:tab w:val="left" w:pos="1134"/>
        </w:tabs>
        <w:spacing w:line="358" w:lineRule="auto"/>
        <w:ind w:firstLine="709"/>
        <w:contextualSpacing/>
        <w:jc w:val="both"/>
        <w:rPr>
          <w:rFonts w:ascii="Verdana" w:hAnsi="Verdana" w:cs="TimokCYR"/>
        </w:rPr>
      </w:pPr>
      <w:r w:rsidRPr="00955DB4">
        <w:rPr>
          <w:rFonts w:ascii="Verdana" w:hAnsi="Verdana" w:cs="TimokCYR"/>
        </w:rPr>
        <w:t>1. В т. 3 абревиатурата „МЗм“ се заменя с „МЗХ“.</w:t>
      </w:r>
    </w:p>
    <w:p w:rsidR="00955DB4" w:rsidRPr="00955DB4" w:rsidRDefault="00955DB4" w:rsidP="008C5484">
      <w:pPr>
        <w:tabs>
          <w:tab w:val="left" w:pos="1134"/>
        </w:tabs>
        <w:spacing w:line="358" w:lineRule="auto"/>
        <w:ind w:firstLine="709"/>
        <w:contextualSpacing/>
        <w:jc w:val="both"/>
        <w:rPr>
          <w:rFonts w:ascii="Verdana" w:hAnsi="Verdana" w:cs="TimokCYR"/>
        </w:rPr>
      </w:pPr>
      <w:r w:rsidRPr="00955DB4">
        <w:rPr>
          <w:rFonts w:ascii="Verdana" w:hAnsi="Verdana" w:cs="TimokCYR"/>
        </w:rPr>
        <w:t xml:space="preserve">2. Създава се </w:t>
      </w:r>
      <w:r w:rsidR="00C15341">
        <w:rPr>
          <w:rFonts w:ascii="Verdana" w:hAnsi="Verdana" w:cs="TimokCYR"/>
        </w:rPr>
        <w:t xml:space="preserve">нова </w:t>
      </w:r>
      <w:r w:rsidRPr="00955DB4">
        <w:rPr>
          <w:rFonts w:ascii="Verdana" w:hAnsi="Verdana" w:cs="TimokCYR"/>
        </w:rPr>
        <w:t>т. 4:</w:t>
      </w:r>
    </w:p>
    <w:p w:rsidR="00557F44" w:rsidRPr="00C15341" w:rsidRDefault="00955DB4" w:rsidP="008C5484">
      <w:pPr>
        <w:tabs>
          <w:tab w:val="left" w:pos="1134"/>
        </w:tabs>
        <w:spacing w:line="358" w:lineRule="auto"/>
        <w:ind w:firstLine="709"/>
        <w:contextualSpacing/>
        <w:jc w:val="both"/>
        <w:rPr>
          <w:rFonts w:ascii="Verdana" w:hAnsi="Verdana" w:cs="TimokCYR"/>
        </w:rPr>
      </w:pPr>
      <w:r w:rsidRPr="00955DB4">
        <w:rPr>
          <w:rFonts w:ascii="Verdana" w:hAnsi="Verdana" w:cs="TimokCYR"/>
        </w:rPr>
        <w:t xml:space="preserve">„4. справка от Интегрираната информационна система на Българската агенция </w:t>
      </w:r>
      <w:r w:rsidRPr="002A5F78">
        <w:rPr>
          <w:rFonts w:ascii="Verdana" w:hAnsi="Verdana" w:cs="TimokCYR"/>
        </w:rPr>
        <w:t>по безопасност на храните (ВетИс) с информация за вид, брой, пол, порода и възраст на отглежданите животни</w:t>
      </w:r>
      <w:r w:rsidR="005B068F" w:rsidRPr="002A5F78">
        <w:rPr>
          <w:rFonts w:ascii="Verdana" w:hAnsi="Verdana" w:cs="TimokCYR"/>
        </w:rPr>
        <w:t>,</w:t>
      </w:r>
      <w:r w:rsidR="005B068F" w:rsidRPr="002A5F78">
        <w:t xml:space="preserve"> </w:t>
      </w:r>
      <w:r w:rsidR="005B068F" w:rsidRPr="002A5F78">
        <w:rPr>
          <w:rFonts w:ascii="Verdana" w:hAnsi="Verdana" w:cs="TimokCYR"/>
        </w:rPr>
        <w:t xml:space="preserve">подлежащи на идентификация, </w:t>
      </w:r>
      <w:r w:rsidRPr="002A5F78">
        <w:rPr>
          <w:rFonts w:ascii="Verdana" w:hAnsi="Verdana" w:cs="TimokCYR"/>
        </w:rPr>
        <w:t xml:space="preserve"> във всички производствени единици по чл. 9, параграф 7 на Регламент (ЕС) 2018/848 на стопанството на </w:t>
      </w:r>
      <w:r w:rsidR="002A5F78" w:rsidRPr="002A5F78">
        <w:rPr>
          <w:rFonts w:ascii="Verdana" w:hAnsi="Verdana" w:cs="TimokCYR"/>
        </w:rPr>
        <w:t>оператора; с</w:t>
      </w:r>
      <w:r w:rsidRPr="002A5F78">
        <w:rPr>
          <w:rFonts w:ascii="Verdana" w:hAnsi="Verdana" w:cs="TimokCYR"/>
        </w:rPr>
        <w:t>правката трябва да е заверена от регистриран ветеринарен лекар, с който операторът има сключен договор и да е издадена до 5 работни дни преди подаване на заявлението</w:t>
      </w:r>
      <w:r w:rsidR="00557F44" w:rsidRPr="002A5F78">
        <w:rPr>
          <w:rFonts w:ascii="Verdana" w:hAnsi="Verdana" w:cs="TimokCYR"/>
          <w:lang w:val="en-US"/>
        </w:rPr>
        <w:t>.</w:t>
      </w:r>
      <w:r w:rsidR="00C15341" w:rsidRPr="002A5F78">
        <w:rPr>
          <w:rFonts w:ascii="Verdana" w:hAnsi="Verdana" w:cs="TimokCYR"/>
        </w:rPr>
        <w:t>“</w:t>
      </w:r>
    </w:p>
    <w:p w:rsidR="00C15341" w:rsidRDefault="00C15341" w:rsidP="008C5484">
      <w:pPr>
        <w:tabs>
          <w:tab w:val="left" w:pos="1134"/>
        </w:tabs>
        <w:spacing w:line="358" w:lineRule="auto"/>
        <w:ind w:firstLine="709"/>
        <w:contextualSpacing/>
        <w:jc w:val="both"/>
        <w:rPr>
          <w:rFonts w:ascii="Verdana" w:hAnsi="Verdana" w:cs="TimokCYR"/>
        </w:rPr>
      </w:pPr>
      <w:r>
        <w:rPr>
          <w:rFonts w:ascii="Verdana" w:hAnsi="Verdana" w:cs="TimokCYR"/>
        </w:rPr>
        <w:t xml:space="preserve">3. </w:t>
      </w:r>
      <w:r w:rsidR="00835701">
        <w:rPr>
          <w:rFonts w:ascii="Verdana" w:hAnsi="Verdana" w:cs="TimokCYR"/>
        </w:rPr>
        <w:t>Създава се</w:t>
      </w:r>
      <w:r w:rsidRPr="00C15341">
        <w:rPr>
          <w:rFonts w:ascii="Verdana" w:hAnsi="Verdana" w:cs="TimokCYR"/>
        </w:rPr>
        <w:t xml:space="preserve"> т. </w:t>
      </w:r>
      <w:r>
        <w:rPr>
          <w:rFonts w:ascii="Verdana" w:hAnsi="Verdana" w:cs="TimokCYR"/>
        </w:rPr>
        <w:t>5</w:t>
      </w:r>
      <w:r w:rsidRPr="00C15341">
        <w:rPr>
          <w:rFonts w:ascii="Verdana" w:hAnsi="Verdana" w:cs="TimokCYR"/>
        </w:rPr>
        <w:t>:</w:t>
      </w:r>
    </w:p>
    <w:p w:rsidR="00C15341" w:rsidRDefault="00C15341" w:rsidP="008C5484">
      <w:pPr>
        <w:tabs>
          <w:tab w:val="left" w:pos="1134"/>
        </w:tabs>
        <w:spacing w:line="358" w:lineRule="auto"/>
        <w:ind w:firstLine="709"/>
        <w:contextualSpacing/>
        <w:jc w:val="both"/>
        <w:rPr>
          <w:rFonts w:ascii="Verdana" w:hAnsi="Verdana" w:cs="TimokCYR"/>
          <w:lang w:val="en-US"/>
        </w:rPr>
      </w:pPr>
      <w:r>
        <w:rPr>
          <w:rFonts w:ascii="Verdana" w:hAnsi="Verdana" w:cs="TimokCYR"/>
        </w:rPr>
        <w:t>„5</w:t>
      </w:r>
      <w:r w:rsidRPr="001B59DA">
        <w:rPr>
          <w:rFonts w:ascii="Verdana" w:hAnsi="Verdana" w:cs="TimokCYR"/>
        </w:rPr>
        <w:t>. списък на небиологичните животни с тяхната възраст, които операторът</w:t>
      </w:r>
      <w:r>
        <w:rPr>
          <w:rFonts w:ascii="Verdana" w:hAnsi="Verdana" w:cs="TimokCYR"/>
        </w:rPr>
        <w:t xml:space="preserve"> заявява за въвеждане в стадото.</w:t>
      </w:r>
      <w:r>
        <w:rPr>
          <w:rFonts w:ascii="Verdana" w:hAnsi="Verdana" w:cs="TimokCYR"/>
          <w:lang w:val="en-US"/>
        </w:rPr>
        <w:t>”</w:t>
      </w:r>
    </w:p>
    <w:p w:rsidR="004D2B1A" w:rsidRPr="004D2B1A" w:rsidRDefault="00C15341" w:rsidP="008C5484">
      <w:pPr>
        <w:tabs>
          <w:tab w:val="left" w:pos="1134"/>
        </w:tabs>
        <w:spacing w:line="358" w:lineRule="auto"/>
        <w:ind w:firstLine="709"/>
        <w:contextualSpacing/>
        <w:jc w:val="both"/>
        <w:rPr>
          <w:rFonts w:ascii="Verdana" w:hAnsi="Verdana" w:cs="TimokCYR"/>
        </w:rPr>
      </w:pPr>
      <w:r>
        <w:rPr>
          <w:rFonts w:ascii="Verdana" w:hAnsi="Verdana" w:cs="TimokCYR"/>
        </w:rPr>
        <w:t>4</w:t>
      </w:r>
      <w:r w:rsidR="004D2B1A">
        <w:rPr>
          <w:rFonts w:ascii="Verdana" w:hAnsi="Verdana" w:cs="TimokCYR"/>
        </w:rPr>
        <w:t>. Д</w:t>
      </w:r>
      <w:r w:rsidR="004D2B1A" w:rsidRPr="004D2B1A">
        <w:rPr>
          <w:rFonts w:ascii="Verdana" w:hAnsi="Verdana" w:cs="TimokCYR"/>
        </w:rPr>
        <w:t xml:space="preserve">осегашната т. 4 става т. </w:t>
      </w:r>
      <w:r>
        <w:rPr>
          <w:rFonts w:ascii="Verdana" w:hAnsi="Verdana" w:cs="TimokCYR"/>
        </w:rPr>
        <w:t>6</w:t>
      </w:r>
      <w:r w:rsidR="004D2B1A" w:rsidRPr="004D2B1A">
        <w:rPr>
          <w:rFonts w:ascii="Verdana" w:hAnsi="Verdana" w:cs="TimokCYR"/>
        </w:rPr>
        <w:t xml:space="preserve"> и в нея се създава буква „г“:</w:t>
      </w:r>
    </w:p>
    <w:p w:rsidR="000A36B5" w:rsidRDefault="004D2B1A" w:rsidP="008C5484">
      <w:pPr>
        <w:tabs>
          <w:tab w:val="left" w:pos="1134"/>
        </w:tabs>
        <w:spacing w:line="358" w:lineRule="auto"/>
        <w:ind w:firstLine="709"/>
        <w:contextualSpacing/>
        <w:jc w:val="both"/>
        <w:rPr>
          <w:rFonts w:ascii="Verdana" w:hAnsi="Verdana" w:cs="TimokCYR"/>
        </w:rPr>
      </w:pPr>
      <w:r w:rsidRPr="004D2B1A">
        <w:rPr>
          <w:rFonts w:ascii="Verdana" w:hAnsi="Verdana" w:cs="TimokCYR"/>
        </w:rPr>
        <w:t>„г) процента на небиологичните животни, които операторът заявява за въвеждане в стадото, съгласно Приложение II, част II, точка 1.3.4.4.2 и условията на точка 1.3.4.4.3 от Регламент 848/2018.“</w:t>
      </w:r>
    </w:p>
    <w:p w:rsidR="00557F44" w:rsidRPr="00E4436E" w:rsidRDefault="00557F44" w:rsidP="008C5484">
      <w:pPr>
        <w:tabs>
          <w:tab w:val="left" w:pos="1134"/>
        </w:tabs>
        <w:spacing w:line="358" w:lineRule="auto"/>
        <w:ind w:firstLine="709"/>
        <w:contextualSpacing/>
        <w:jc w:val="both"/>
        <w:rPr>
          <w:rFonts w:ascii="Verdana" w:hAnsi="Verdana" w:cs="TimokCYR"/>
          <w:lang w:val="ru-RU"/>
        </w:rPr>
      </w:pPr>
    </w:p>
    <w:p w:rsidR="00835701" w:rsidRDefault="00A82B79" w:rsidP="008C5484">
      <w:pPr>
        <w:pStyle w:val="ListParagraph"/>
        <w:tabs>
          <w:tab w:val="left" w:pos="1134"/>
        </w:tabs>
        <w:spacing w:line="358" w:lineRule="auto"/>
        <w:ind w:left="0" w:firstLine="709"/>
        <w:jc w:val="both"/>
        <w:rPr>
          <w:rFonts w:ascii="Verdana" w:hAnsi="Verdana" w:cs="TimokCYR"/>
        </w:rPr>
      </w:pPr>
      <w:r w:rsidRPr="004D6944">
        <w:rPr>
          <w:rFonts w:ascii="Verdana" w:hAnsi="Verdana" w:cs="TimokCYR"/>
          <w:b/>
        </w:rPr>
        <w:t>§</w:t>
      </w:r>
      <w:r w:rsidR="004D6944" w:rsidRPr="004D6944">
        <w:rPr>
          <w:rFonts w:ascii="Verdana" w:hAnsi="Verdana" w:cs="TimokCYR"/>
          <w:b/>
        </w:rPr>
        <w:t xml:space="preserve"> </w:t>
      </w:r>
      <w:r w:rsidR="000A36B5" w:rsidRPr="00E4436E">
        <w:rPr>
          <w:rFonts w:ascii="Verdana" w:hAnsi="Verdana" w:cs="TimokCYR"/>
          <w:b/>
          <w:lang w:val="ru-RU"/>
        </w:rPr>
        <w:t>8</w:t>
      </w:r>
      <w:r w:rsidR="004D6944" w:rsidRPr="004D6944">
        <w:rPr>
          <w:rFonts w:ascii="Verdana" w:hAnsi="Verdana" w:cs="TimokCYR"/>
          <w:b/>
        </w:rPr>
        <w:t>.</w:t>
      </w:r>
      <w:r w:rsidRPr="004D6944">
        <w:rPr>
          <w:rFonts w:ascii="Verdana" w:hAnsi="Verdana" w:cs="TimokCYR"/>
          <w:b/>
        </w:rPr>
        <w:t xml:space="preserve"> </w:t>
      </w:r>
      <w:r w:rsidRPr="004D6944">
        <w:rPr>
          <w:rFonts w:ascii="Verdana" w:hAnsi="Verdana" w:cs="TimokCYR"/>
        </w:rPr>
        <w:t xml:space="preserve">В </w:t>
      </w:r>
      <w:r w:rsidR="009634F5" w:rsidRPr="009634F5">
        <w:rPr>
          <w:rFonts w:ascii="Verdana" w:hAnsi="Verdana" w:cs="TimokCYR"/>
        </w:rPr>
        <w:t xml:space="preserve">чл. </w:t>
      </w:r>
      <w:r w:rsidR="00884C49">
        <w:rPr>
          <w:rFonts w:ascii="Verdana" w:hAnsi="Verdana" w:cs="TimokCYR"/>
        </w:rPr>
        <w:t>17</w:t>
      </w:r>
      <w:r w:rsidR="00891D4C">
        <w:rPr>
          <w:rFonts w:ascii="Verdana" w:hAnsi="Verdana" w:cs="TimokCYR"/>
        </w:rPr>
        <w:t xml:space="preserve"> </w:t>
      </w:r>
      <w:r w:rsidR="00835701" w:rsidRPr="00835701">
        <w:rPr>
          <w:rFonts w:ascii="Verdana" w:hAnsi="Verdana" w:cs="TimokCYR"/>
        </w:rPr>
        <w:t>се правят следните изменения и допълнения:</w:t>
      </w:r>
    </w:p>
    <w:p w:rsidR="00835701" w:rsidRDefault="00835701" w:rsidP="008C5484">
      <w:pPr>
        <w:pStyle w:val="ListParagraph"/>
        <w:tabs>
          <w:tab w:val="left" w:pos="1134"/>
        </w:tabs>
        <w:spacing w:line="358" w:lineRule="auto"/>
        <w:ind w:left="0" w:firstLine="709"/>
        <w:jc w:val="both"/>
        <w:rPr>
          <w:rFonts w:ascii="Verdana" w:hAnsi="Verdana" w:cs="TimokCYR"/>
        </w:rPr>
      </w:pPr>
      <w:r>
        <w:rPr>
          <w:rFonts w:ascii="Verdana" w:hAnsi="Verdana" w:cs="TimokCYR"/>
        </w:rPr>
        <w:t xml:space="preserve">1. Досегашният </w:t>
      </w:r>
      <w:r w:rsidR="00891D4C">
        <w:rPr>
          <w:rFonts w:ascii="Verdana" w:hAnsi="Verdana" w:cs="TimokCYR"/>
        </w:rPr>
        <w:t>текст става ал. 1</w:t>
      </w:r>
      <w:r>
        <w:rPr>
          <w:rFonts w:ascii="Verdana" w:hAnsi="Verdana" w:cs="TimokCYR"/>
        </w:rPr>
        <w:t>.</w:t>
      </w:r>
    </w:p>
    <w:p w:rsidR="00A82B79" w:rsidRDefault="00835701" w:rsidP="008C5484">
      <w:pPr>
        <w:pStyle w:val="ListParagraph"/>
        <w:tabs>
          <w:tab w:val="left" w:pos="1134"/>
        </w:tabs>
        <w:spacing w:line="358" w:lineRule="auto"/>
        <w:ind w:left="0" w:firstLine="709"/>
        <w:jc w:val="both"/>
        <w:rPr>
          <w:rFonts w:ascii="Verdana" w:hAnsi="Verdana" w:cs="TimokCYR"/>
        </w:rPr>
      </w:pPr>
      <w:r>
        <w:rPr>
          <w:rFonts w:ascii="Verdana" w:hAnsi="Verdana" w:cs="TimokCYR"/>
        </w:rPr>
        <w:t>2. С</w:t>
      </w:r>
      <w:r w:rsidR="00891D4C">
        <w:rPr>
          <w:rFonts w:ascii="Verdana" w:hAnsi="Verdana" w:cs="TimokCYR"/>
        </w:rPr>
        <w:t>ъздава</w:t>
      </w:r>
      <w:r>
        <w:rPr>
          <w:rFonts w:ascii="Verdana" w:hAnsi="Verdana" w:cs="TimokCYR"/>
        </w:rPr>
        <w:t xml:space="preserve"> се</w:t>
      </w:r>
      <w:r w:rsidR="00891D4C">
        <w:rPr>
          <w:rFonts w:ascii="Verdana" w:hAnsi="Verdana" w:cs="TimokCYR"/>
        </w:rPr>
        <w:t xml:space="preserve"> ал. 2:</w:t>
      </w:r>
    </w:p>
    <w:p w:rsidR="00891D4C" w:rsidRPr="00E4436E" w:rsidRDefault="00891D4C" w:rsidP="008C5484">
      <w:pPr>
        <w:pStyle w:val="ListParagraph"/>
        <w:tabs>
          <w:tab w:val="left" w:pos="1134"/>
        </w:tabs>
        <w:spacing w:line="358" w:lineRule="auto"/>
        <w:ind w:left="0" w:firstLine="709"/>
        <w:jc w:val="both"/>
        <w:rPr>
          <w:rFonts w:ascii="Verdana" w:hAnsi="Verdana" w:cs="TimokCYR"/>
          <w:lang w:val="ru-RU"/>
        </w:rPr>
      </w:pPr>
      <w:r>
        <w:rPr>
          <w:rFonts w:ascii="Verdana" w:hAnsi="Verdana" w:cs="TimokCYR"/>
        </w:rPr>
        <w:t>„(2)</w:t>
      </w:r>
      <w:r w:rsidRPr="00891D4C">
        <w:t xml:space="preserve"> </w:t>
      </w:r>
      <w:r w:rsidRPr="00891D4C">
        <w:rPr>
          <w:rFonts w:ascii="Verdana" w:hAnsi="Verdana" w:cs="TimokCYR"/>
        </w:rPr>
        <w:t>В случаите по чл. 2, ал. 5, т. 11 към заявлението се прилага документ от Изпълнителна агенция по рибарство и аквакултури удостоверяващ, че са изпълнени изискванията на Приложение</w:t>
      </w:r>
      <w:r w:rsidR="00FA2DF3">
        <w:rPr>
          <w:rFonts w:ascii="Verdana" w:hAnsi="Verdana" w:cs="TimokCYR"/>
        </w:rPr>
        <w:t xml:space="preserve"> II, Част III, т. 3.2.1, буква „а“</w:t>
      </w:r>
      <w:r w:rsidRPr="00891D4C">
        <w:rPr>
          <w:rFonts w:ascii="Verdana" w:hAnsi="Verdana" w:cs="TimokCYR"/>
        </w:rPr>
        <w:t xml:space="preserve"> от Регламент (ЕС) 2018/848.</w:t>
      </w:r>
      <w:r>
        <w:rPr>
          <w:rFonts w:ascii="Verdana" w:hAnsi="Verdana" w:cs="TimokCYR"/>
        </w:rPr>
        <w:t>“</w:t>
      </w:r>
    </w:p>
    <w:p w:rsidR="00891D4C" w:rsidRPr="00E4436E" w:rsidRDefault="00891D4C" w:rsidP="008C5484">
      <w:pPr>
        <w:pStyle w:val="ListParagraph"/>
        <w:tabs>
          <w:tab w:val="left" w:pos="1134"/>
        </w:tabs>
        <w:spacing w:line="358" w:lineRule="auto"/>
        <w:ind w:left="0" w:firstLine="709"/>
        <w:jc w:val="both"/>
        <w:rPr>
          <w:rFonts w:ascii="Verdana" w:hAnsi="Verdana" w:cs="TimokCYR"/>
          <w:lang w:val="ru-RU"/>
        </w:rPr>
      </w:pPr>
    </w:p>
    <w:p w:rsidR="009634F5" w:rsidRPr="003515DF" w:rsidRDefault="009634F5" w:rsidP="008C5484">
      <w:pPr>
        <w:pStyle w:val="ListParagraph"/>
        <w:tabs>
          <w:tab w:val="left" w:pos="1134"/>
        </w:tabs>
        <w:spacing w:line="358" w:lineRule="auto"/>
        <w:ind w:left="0" w:firstLine="709"/>
        <w:jc w:val="both"/>
        <w:rPr>
          <w:rFonts w:ascii="Verdana" w:hAnsi="Verdana" w:cs="TimokCYR"/>
        </w:rPr>
      </w:pPr>
      <w:r w:rsidRPr="002858D2">
        <w:rPr>
          <w:rFonts w:ascii="Verdana" w:hAnsi="Verdana" w:cs="TimokCYR"/>
          <w:b/>
        </w:rPr>
        <w:t xml:space="preserve">§ </w:t>
      </w:r>
      <w:r w:rsidRPr="002858D2">
        <w:rPr>
          <w:rFonts w:ascii="Verdana" w:hAnsi="Verdana" w:cs="TimokCYR"/>
          <w:b/>
          <w:lang w:val="ru-RU"/>
        </w:rPr>
        <w:t>9</w:t>
      </w:r>
      <w:r w:rsidRPr="002858D2">
        <w:rPr>
          <w:rFonts w:ascii="Verdana" w:hAnsi="Verdana" w:cs="TimokCYR"/>
          <w:b/>
        </w:rPr>
        <w:t>.</w:t>
      </w:r>
      <w:r w:rsidRPr="002858D2">
        <w:rPr>
          <w:rFonts w:ascii="Verdana" w:hAnsi="Verdana" w:cs="TimokCYR"/>
          <w:b/>
          <w:lang w:val="ru-RU"/>
        </w:rPr>
        <w:t xml:space="preserve"> </w:t>
      </w:r>
      <w:r w:rsidR="003515DF" w:rsidRPr="002858D2">
        <w:rPr>
          <w:rFonts w:ascii="Verdana" w:hAnsi="Verdana" w:cs="TimokCYR"/>
          <w:lang w:val="ru-RU"/>
        </w:rPr>
        <w:t xml:space="preserve">В чл. 18, ал. 1, т. 1, буква </w:t>
      </w:r>
      <w:r w:rsidR="00401DBA" w:rsidRPr="002858D2">
        <w:rPr>
          <w:rFonts w:ascii="Verdana" w:hAnsi="Verdana" w:cs="TimokCYR"/>
        </w:rPr>
        <w:t>„</w:t>
      </w:r>
      <w:r w:rsidR="003515DF" w:rsidRPr="002858D2">
        <w:rPr>
          <w:rFonts w:ascii="Verdana" w:hAnsi="Verdana" w:cs="TimokCYR"/>
          <w:lang w:val="ru-RU"/>
        </w:rPr>
        <w:t>а</w:t>
      </w:r>
      <w:r w:rsidR="00401DBA" w:rsidRPr="002858D2">
        <w:rPr>
          <w:rFonts w:ascii="Verdana" w:hAnsi="Verdana" w:cs="TimokCYR"/>
        </w:rPr>
        <w:t>“</w:t>
      </w:r>
      <w:r w:rsidR="003515DF" w:rsidRPr="002858D2">
        <w:rPr>
          <w:rFonts w:ascii="Verdana" w:hAnsi="Verdana" w:cs="TimokCYR"/>
          <w:lang w:val="ru-RU"/>
        </w:rPr>
        <w:t xml:space="preserve"> думите </w:t>
      </w:r>
      <w:r w:rsidR="003515DF" w:rsidRPr="002858D2">
        <w:rPr>
          <w:rFonts w:ascii="Verdana" w:hAnsi="Verdana" w:cs="TimokCYR"/>
        </w:rPr>
        <w:t>„</w:t>
      </w:r>
      <w:r w:rsidR="003515DF" w:rsidRPr="002858D2">
        <w:rPr>
          <w:rFonts w:ascii="Verdana" w:hAnsi="Verdana" w:cs="TimokCYR"/>
          <w:lang w:val="ru-RU"/>
        </w:rPr>
        <w:t>за период от минимум</w:t>
      </w:r>
      <w:r w:rsidR="003515DF" w:rsidRPr="002858D2">
        <w:rPr>
          <w:rFonts w:ascii="Verdana" w:hAnsi="Verdana" w:cs="TimokCYR"/>
        </w:rPr>
        <w:t>“ се заменят с „най-малко през последните</w:t>
      </w:r>
      <w:r w:rsidR="004E417E" w:rsidRPr="002858D2">
        <w:rPr>
          <w:rFonts w:ascii="Verdana" w:hAnsi="Verdana" w:cs="TimokCYR"/>
        </w:rPr>
        <w:t xml:space="preserve">“, </w:t>
      </w:r>
      <w:r w:rsidR="003515DF" w:rsidRPr="002858D2">
        <w:rPr>
          <w:rFonts w:ascii="Verdana" w:hAnsi="Verdana" w:cs="TimokCYR"/>
        </w:rPr>
        <w:t xml:space="preserve">след думите „три години“ </w:t>
      </w:r>
      <w:r w:rsidR="00212580" w:rsidRPr="002858D2">
        <w:rPr>
          <w:rFonts w:ascii="Verdana" w:hAnsi="Verdana" w:cs="TimokCYR"/>
        </w:rPr>
        <w:t xml:space="preserve">съюзът „и“ се заличава и </w:t>
      </w:r>
      <w:r w:rsidR="004E417E" w:rsidRPr="002858D2">
        <w:rPr>
          <w:rFonts w:ascii="Verdana" w:hAnsi="Verdana" w:cs="TimokCYR"/>
        </w:rPr>
        <w:t>се добавя</w:t>
      </w:r>
      <w:r w:rsidR="003515DF" w:rsidRPr="002858D2">
        <w:rPr>
          <w:rFonts w:ascii="Verdana" w:hAnsi="Verdana" w:cs="TimokCYR"/>
        </w:rPr>
        <w:t xml:space="preserve"> „</w:t>
      </w:r>
      <w:r w:rsidR="00E90144" w:rsidRPr="002858D2">
        <w:rPr>
          <w:rFonts w:ascii="Verdana" w:hAnsi="Verdana" w:cs="TimokCYR"/>
        </w:rPr>
        <w:t>преди датата на подаване на заявлението, като</w:t>
      </w:r>
      <w:r w:rsidR="003515DF" w:rsidRPr="002858D2">
        <w:rPr>
          <w:rFonts w:ascii="Verdana" w:hAnsi="Verdana" w:cs="TimokCYR"/>
        </w:rPr>
        <w:t>“</w:t>
      </w:r>
      <w:r w:rsidR="002858D2" w:rsidRPr="002858D2">
        <w:rPr>
          <w:rFonts w:ascii="Verdana" w:hAnsi="Verdana" w:cs="TimokCYR"/>
        </w:rPr>
        <w:t xml:space="preserve">, </w:t>
      </w:r>
      <w:r w:rsidR="00655F37">
        <w:rPr>
          <w:rFonts w:ascii="Verdana" w:hAnsi="Verdana" w:cs="TimokCYR"/>
        </w:rPr>
        <w:t xml:space="preserve">а </w:t>
      </w:r>
      <w:r w:rsidR="009101A2">
        <w:rPr>
          <w:rFonts w:ascii="Verdana" w:hAnsi="Verdana" w:cs="TimokCYR"/>
        </w:rPr>
        <w:t>„п</w:t>
      </w:r>
      <w:r w:rsidR="002858D2" w:rsidRPr="002858D2">
        <w:rPr>
          <w:rFonts w:ascii="Verdana" w:hAnsi="Verdana" w:cs="TimokCYR"/>
        </w:rPr>
        <w:t>риложение № 1</w:t>
      </w:r>
      <w:r w:rsidR="009101A2">
        <w:rPr>
          <w:rFonts w:ascii="Verdana" w:hAnsi="Verdana" w:cs="TimokCYR"/>
        </w:rPr>
        <w:t>“</w:t>
      </w:r>
      <w:r w:rsidR="002858D2" w:rsidRPr="002858D2">
        <w:rPr>
          <w:rFonts w:ascii="Verdana" w:hAnsi="Verdana" w:cs="TimokCYR"/>
        </w:rPr>
        <w:t xml:space="preserve"> се заменя с </w:t>
      </w:r>
      <w:r w:rsidR="009101A2">
        <w:rPr>
          <w:rFonts w:ascii="Verdana" w:hAnsi="Verdana" w:cs="TimokCYR"/>
        </w:rPr>
        <w:t>„п</w:t>
      </w:r>
      <w:r w:rsidR="002858D2" w:rsidRPr="002858D2">
        <w:rPr>
          <w:rFonts w:ascii="Verdana" w:hAnsi="Verdana" w:cs="TimokCYR"/>
        </w:rPr>
        <w:t>риложение № 1а</w:t>
      </w:r>
      <w:r w:rsidR="009101A2">
        <w:rPr>
          <w:rFonts w:ascii="Verdana" w:hAnsi="Verdana" w:cs="TimokCYR"/>
        </w:rPr>
        <w:t>“</w:t>
      </w:r>
      <w:r w:rsidR="003515DF" w:rsidRPr="002858D2">
        <w:rPr>
          <w:rFonts w:ascii="Verdana" w:hAnsi="Verdana" w:cs="TimokCYR"/>
        </w:rPr>
        <w:t>.</w:t>
      </w:r>
    </w:p>
    <w:p w:rsidR="005372CB" w:rsidRPr="00E4436E" w:rsidRDefault="005372CB" w:rsidP="008C5484">
      <w:pPr>
        <w:pStyle w:val="ListParagraph"/>
        <w:tabs>
          <w:tab w:val="left" w:pos="1134"/>
        </w:tabs>
        <w:spacing w:line="358" w:lineRule="auto"/>
        <w:ind w:left="0" w:firstLine="709"/>
        <w:jc w:val="both"/>
        <w:rPr>
          <w:rFonts w:ascii="Verdana" w:hAnsi="Verdana" w:cs="TimokCYR"/>
          <w:lang w:val="ru-RU"/>
        </w:rPr>
      </w:pPr>
    </w:p>
    <w:p w:rsidR="001D768D" w:rsidRDefault="001A1888" w:rsidP="008C5484">
      <w:pPr>
        <w:pStyle w:val="ListParagraph"/>
        <w:tabs>
          <w:tab w:val="left" w:pos="1134"/>
        </w:tabs>
        <w:spacing w:line="358" w:lineRule="auto"/>
        <w:ind w:left="0" w:firstLine="709"/>
        <w:jc w:val="both"/>
        <w:rPr>
          <w:rFonts w:ascii="Verdana" w:hAnsi="Verdana" w:cs="TimokCYR"/>
        </w:rPr>
      </w:pPr>
      <w:r w:rsidRPr="00161F3B">
        <w:rPr>
          <w:rFonts w:ascii="Verdana" w:hAnsi="Verdana" w:cs="TimokCYR"/>
          <w:b/>
        </w:rPr>
        <w:t xml:space="preserve">§ </w:t>
      </w:r>
      <w:r w:rsidR="001D768D">
        <w:rPr>
          <w:rFonts w:ascii="Verdana" w:hAnsi="Verdana" w:cs="TimokCYR"/>
          <w:b/>
        </w:rPr>
        <w:t>10</w:t>
      </w:r>
      <w:r w:rsidRPr="00161F3B">
        <w:rPr>
          <w:rFonts w:ascii="Verdana" w:hAnsi="Verdana" w:cs="TimokCYR"/>
          <w:b/>
        </w:rPr>
        <w:t>.</w:t>
      </w:r>
      <w:r w:rsidRPr="00161F3B">
        <w:rPr>
          <w:rFonts w:ascii="Verdana" w:hAnsi="Verdana" w:cs="TimokCYR"/>
        </w:rPr>
        <w:t xml:space="preserve"> </w:t>
      </w:r>
      <w:r w:rsidR="004A6EA4">
        <w:rPr>
          <w:rFonts w:ascii="Verdana" w:hAnsi="Verdana" w:cs="TimokCYR"/>
        </w:rPr>
        <w:t>Член 24 се изменя така:</w:t>
      </w:r>
    </w:p>
    <w:p w:rsidR="004A6EA4" w:rsidRDefault="004A6EA4" w:rsidP="008C5484">
      <w:pPr>
        <w:pStyle w:val="ListParagraph"/>
        <w:tabs>
          <w:tab w:val="left" w:pos="1134"/>
        </w:tabs>
        <w:spacing w:line="358" w:lineRule="auto"/>
        <w:ind w:left="0" w:firstLine="709"/>
        <w:jc w:val="both"/>
        <w:rPr>
          <w:rFonts w:ascii="Verdana" w:hAnsi="Verdana" w:cs="TimokCYR"/>
        </w:rPr>
      </w:pPr>
      <w:r>
        <w:rPr>
          <w:rFonts w:ascii="Verdana" w:hAnsi="Verdana" w:cs="TimokCYR"/>
        </w:rPr>
        <w:t xml:space="preserve">„Чл. 24. (1) </w:t>
      </w:r>
      <w:r w:rsidRPr="004A6EA4">
        <w:rPr>
          <w:rFonts w:ascii="Verdana" w:hAnsi="Verdana" w:cs="TimokCYR"/>
        </w:rPr>
        <w:t xml:space="preserve">В случаите по чл. 2, ал. 5, т. 7 министърът </w:t>
      </w:r>
      <w:r w:rsidR="00135019">
        <w:rPr>
          <w:rFonts w:ascii="Verdana" w:hAnsi="Verdana" w:cs="TimokCYR"/>
        </w:rPr>
        <w:t xml:space="preserve">на земеделието и храните </w:t>
      </w:r>
      <w:r w:rsidRPr="004A6EA4">
        <w:rPr>
          <w:rFonts w:ascii="Verdana" w:hAnsi="Verdana" w:cs="TimokCYR"/>
        </w:rPr>
        <w:t xml:space="preserve">може със заповед да разреши на операторите да използват в биологичното производство небиологичен РРМ за производството на растения и растителни продукти, различни от РРМ, съгласно Приложение II, Част I, т. 1.8.5.7 от Регламент (ЕС) 2018/848. Списъкът на видовете, подвидовете или сортовете, за които е издадено </w:t>
      </w:r>
      <w:r w:rsidRPr="004A6EA4">
        <w:rPr>
          <w:rFonts w:ascii="Verdana" w:hAnsi="Verdana" w:cs="TimokCYR"/>
        </w:rPr>
        <w:lastRenderedPageBreak/>
        <w:t>разрешението, се актуализира ежегодно и се публикува на интернет страницата на Министерството на земеделието</w:t>
      </w:r>
      <w:r w:rsidR="00FE7996">
        <w:rPr>
          <w:rFonts w:ascii="Verdana" w:hAnsi="Verdana" w:cs="TimokCYR"/>
        </w:rPr>
        <w:t xml:space="preserve"> и храните</w:t>
      </w:r>
      <w:r w:rsidRPr="004A6EA4">
        <w:rPr>
          <w:rFonts w:ascii="Verdana" w:hAnsi="Verdana" w:cs="TimokCYR"/>
        </w:rPr>
        <w:t>.</w:t>
      </w:r>
    </w:p>
    <w:p w:rsidR="004A6EA4" w:rsidRPr="004A6EA4" w:rsidRDefault="004A6EA4" w:rsidP="008C5484">
      <w:pPr>
        <w:pStyle w:val="ListParagraph"/>
        <w:tabs>
          <w:tab w:val="left" w:pos="1134"/>
        </w:tabs>
        <w:spacing w:line="358" w:lineRule="auto"/>
        <w:ind w:left="0" w:firstLine="709"/>
        <w:jc w:val="both"/>
        <w:rPr>
          <w:rFonts w:ascii="Verdana" w:hAnsi="Verdana" w:cs="TimokCYR"/>
        </w:rPr>
      </w:pPr>
      <w:r>
        <w:rPr>
          <w:rFonts w:ascii="Verdana" w:hAnsi="Verdana" w:cs="TimokCYR"/>
        </w:rPr>
        <w:t xml:space="preserve">(2) </w:t>
      </w:r>
      <w:r w:rsidRPr="004A6EA4">
        <w:rPr>
          <w:rFonts w:ascii="Verdana" w:hAnsi="Verdana" w:cs="TimokCYR"/>
        </w:rPr>
        <w:t xml:space="preserve">В случаите по чл. 2, ал. 5, т. 8 министърът </w:t>
      </w:r>
      <w:r w:rsidR="00135019">
        <w:rPr>
          <w:rFonts w:ascii="Verdana" w:hAnsi="Verdana" w:cs="TimokCYR"/>
        </w:rPr>
        <w:t xml:space="preserve">на земеделието и храните </w:t>
      </w:r>
      <w:r w:rsidRPr="004A6EA4">
        <w:rPr>
          <w:rFonts w:ascii="Verdana" w:hAnsi="Verdana" w:cs="TimokCYR"/>
        </w:rPr>
        <w:t>може със заповед да разреши на операторите, произвеждащи растителен репродуктивен материал за използване в биологичното производство, използването на даден вид или подвид, или сорт небиологичен РРМ, когато не е наличен в достатъчно количество или с достатъчно качество, в съответствие с изискванията на Приложение II, Част I, т. 1.8.6, букви "а" до "г". Списъкът на видовете, подвидовете или сортовете, за които е издадено разрешението, се актуализира ежегодно и се публикува на интернет страницата на Министерството на земеделието</w:t>
      </w:r>
      <w:r w:rsidR="00FE7996">
        <w:rPr>
          <w:rFonts w:ascii="Verdana" w:hAnsi="Verdana" w:cs="TimokCYR"/>
        </w:rPr>
        <w:t xml:space="preserve"> и храните</w:t>
      </w:r>
      <w:r w:rsidRPr="004A6EA4">
        <w:rPr>
          <w:rFonts w:ascii="Verdana" w:hAnsi="Verdana" w:cs="TimokCYR"/>
        </w:rPr>
        <w:t>. В списъка се посочва какви са количествата разрешен небиологичен рас</w:t>
      </w:r>
      <w:r w:rsidR="00FE7996">
        <w:rPr>
          <w:rFonts w:ascii="Verdana" w:hAnsi="Verdana" w:cs="TimokCYR"/>
        </w:rPr>
        <w:t>тителен репродуктивен материал.</w:t>
      </w:r>
    </w:p>
    <w:p w:rsidR="004A6EA4" w:rsidRDefault="004A6EA4" w:rsidP="008C5484">
      <w:pPr>
        <w:pStyle w:val="ListParagraph"/>
        <w:tabs>
          <w:tab w:val="left" w:pos="1134"/>
        </w:tabs>
        <w:spacing w:line="358" w:lineRule="auto"/>
        <w:ind w:left="0" w:firstLine="709"/>
        <w:jc w:val="both"/>
        <w:rPr>
          <w:rFonts w:ascii="Verdana" w:hAnsi="Verdana" w:cs="TimokCYR"/>
        </w:rPr>
      </w:pPr>
      <w:r w:rsidRPr="004A6EA4">
        <w:rPr>
          <w:rFonts w:ascii="Verdana" w:hAnsi="Verdana" w:cs="TimokCYR"/>
        </w:rPr>
        <w:t xml:space="preserve">(3) Издадените от министъра на земеделието </w:t>
      </w:r>
      <w:r w:rsidR="00FE7996">
        <w:rPr>
          <w:rFonts w:ascii="Verdana" w:hAnsi="Verdana" w:cs="TimokCYR"/>
        </w:rPr>
        <w:t xml:space="preserve">и храните </w:t>
      </w:r>
      <w:r w:rsidRPr="004A6EA4">
        <w:rPr>
          <w:rFonts w:ascii="Verdana" w:hAnsi="Verdana" w:cs="TimokCYR"/>
        </w:rPr>
        <w:t>заповеди по ал. 1 и 2 се отнасят за всички оператори</w:t>
      </w:r>
      <w:r w:rsidR="000E6C03">
        <w:t xml:space="preserve"> </w:t>
      </w:r>
      <w:r w:rsidR="000E6C03">
        <w:rPr>
          <w:rFonts w:ascii="Verdana" w:hAnsi="Verdana" w:cs="TimokCYR"/>
        </w:rPr>
        <w:t>в страната</w:t>
      </w:r>
      <w:r w:rsidRPr="004A6EA4">
        <w:rPr>
          <w:rFonts w:ascii="Verdana" w:hAnsi="Verdana" w:cs="TimokCYR"/>
        </w:rPr>
        <w:t>.</w:t>
      </w:r>
      <w:r>
        <w:rPr>
          <w:rFonts w:ascii="Verdana" w:hAnsi="Verdana" w:cs="TimokCYR"/>
        </w:rPr>
        <w:t>“</w:t>
      </w:r>
    </w:p>
    <w:p w:rsidR="00974145" w:rsidRDefault="00974145" w:rsidP="008C5484">
      <w:pPr>
        <w:pStyle w:val="ListParagraph"/>
        <w:tabs>
          <w:tab w:val="left" w:pos="1134"/>
        </w:tabs>
        <w:spacing w:line="358" w:lineRule="auto"/>
        <w:ind w:left="0" w:firstLine="709"/>
        <w:jc w:val="both"/>
        <w:rPr>
          <w:rFonts w:ascii="Verdana" w:hAnsi="Verdana" w:cs="TimokCYR"/>
        </w:rPr>
      </w:pPr>
    </w:p>
    <w:p w:rsidR="00211C80" w:rsidRDefault="0041131C" w:rsidP="008C5484">
      <w:pPr>
        <w:pStyle w:val="ListParagraph"/>
        <w:tabs>
          <w:tab w:val="left" w:pos="1134"/>
        </w:tabs>
        <w:spacing w:line="358" w:lineRule="auto"/>
        <w:ind w:left="0" w:firstLine="709"/>
        <w:jc w:val="both"/>
        <w:rPr>
          <w:rFonts w:ascii="Verdana" w:hAnsi="Verdana" w:cs="TimokCYR"/>
        </w:rPr>
      </w:pPr>
      <w:r w:rsidRPr="00380D72">
        <w:rPr>
          <w:rFonts w:ascii="Verdana" w:hAnsi="Verdana" w:cs="TimokCYR"/>
          <w:b/>
        </w:rPr>
        <w:t xml:space="preserve">§ </w:t>
      </w:r>
      <w:r w:rsidR="000A36B5">
        <w:rPr>
          <w:rFonts w:ascii="Verdana" w:hAnsi="Verdana" w:cs="TimokCYR"/>
          <w:b/>
        </w:rPr>
        <w:t>11</w:t>
      </w:r>
      <w:r w:rsidRPr="00380D72">
        <w:rPr>
          <w:rFonts w:ascii="Verdana" w:hAnsi="Verdana" w:cs="TimokCYR"/>
          <w:b/>
        </w:rPr>
        <w:t>.</w:t>
      </w:r>
      <w:r w:rsidRPr="00380D72">
        <w:rPr>
          <w:rFonts w:ascii="Verdana" w:hAnsi="Verdana" w:cs="TimokCYR"/>
        </w:rPr>
        <w:t xml:space="preserve"> В </w:t>
      </w:r>
      <w:r w:rsidR="001D768D" w:rsidRPr="003C591E">
        <w:rPr>
          <w:rFonts w:ascii="Verdana" w:hAnsi="Verdana" w:cs="TimokCYR"/>
        </w:rPr>
        <w:t>чл. 2</w:t>
      </w:r>
      <w:r w:rsidR="003135D6" w:rsidRPr="003D743D">
        <w:rPr>
          <w:rFonts w:ascii="Verdana" w:hAnsi="Verdana" w:cs="TimokCYR"/>
          <w:lang w:val="ru-RU"/>
        </w:rPr>
        <w:t>6</w:t>
      </w:r>
      <w:r w:rsidR="001D768D" w:rsidRPr="003C591E">
        <w:rPr>
          <w:rFonts w:ascii="Verdana" w:hAnsi="Verdana" w:cs="TimokCYR"/>
        </w:rPr>
        <w:t xml:space="preserve"> се </w:t>
      </w:r>
      <w:r w:rsidR="00E57E8C" w:rsidRPr="00EF0B1B">
        <w:rPr>
          <w:rFonts w:ascii="Verdana" w:hAnsi="Verdana" w:cs="TimokCYR"/>
        </w:rPr>
        <w:t>създава ал. 3:</w:t>
      </w:r>
    </w:p>
    <w:p w:rsidR="00E57E8C" w:rsidRPr="00AF0F83" w:rsidRDefault="00E57E8C" w:rsidP="008C5484">
      <w:pPr>
        <w:pStyle w:val="ListParagraph"/>
        <w:tabs>
          <w:tab w:val="left" w:pos="1134"/>
        </w:tabs>
        <w:spacing w:line="358" w:lineRule="auto"/>
        <w:ind w:left="0" w:firstLine="709"/>
        <w:jc w:val="both"/>
        <w:rPr>
          <w:rFonts w:ascii="Verdana" w:hAnsi="Verdana" w:cs="TimokCYR"/>
        </w:rPr>
      </w:pPr>
      <w:r>
        <w:rPr>
          <w:rFonts w:ascii="Verdana" w:hAnsi="Verdana" w:cs="TimokCYR"/>
        </w:rPr>
        <w:t>„</w:t>
      </w:r>
      <w:r w:rsidRPr="00E57E8C">
        <w:rPr>
          <w:rFonts w:ascii="Verdana" w:hAnsi="Verdana" w:cs="TimokCYR"/>
        </w:rPr>
        <w:t xml:space="preserve">(3) </w:t>
      </w:r>
      <w:r w:rsidR="00631B5D">
        <w:rPr>
          <w:rFonts w:ascii="Verdana" w:hAnsi="Verdana" w:cs="TimokCYR"/>
        </w:rPr>
        <w:t>Срокът на р</w:t>
      </w:r>
      <w:r w:rsidRPr="00E57E8C">
        <w:rPr>
          <w:rFonts w:ascii="Verdana" w:hAnsi="Verdana" w:cs="TimokCYR"/>
        </w:rPr>
        <w:t xml:space="preserve">азрешението по ал. 2 може да </w:t>
      </w:r>
      <w:r w:rsidR="00631B5D">
        <w:rPr>
          <w:rFonts w:ascii="Verdana" w:hAnsi="Verdana" w:cs="TimokCYR"/>
        </w:rPr>
        <w:t>се</w:t>
      </w:r>
      <w:r w:rsidRPr="00E57E8C">
        <w:rPr>
          <w:rFonts w:ascii="Verdana" w:hAnsi="Verdana" w:cs="TimokCYR"/>
        </w:rPr>
        <w:t xml:space="preserve"> удължен</w:t>
      </w:r>
      <w:r w:rsidR="00631B5D">
        <w:rPr>
          <w:rFonts w:ascii="Verdana" w:hAnsi="Verdana" w:cs="TimokCYR"/>
        </w:rPr>
        <w:t>и</w:t>
      </w:r>
      <w:r w:rsidRPr="00E57E8C">
        <w:rPr>
          <w:rFonts w:ascii="Verdana" w:hAnsi="Verdana" w:cs="TimokCYR"/>
        </w:rPr>
        <w:t xml:space="preserve"> не</w:t>
      </w:r>
      <w:r>
        <w:rPr>
          <w:rFonts w:ascii="Verdana" w:hAnsi="Verdana" w:cs="TimokCYR"/>
        </w:rPr>
        <w:t xml:space="preserve"> </w:t>
      </w:r>
      <w:r w:rsidRPr="00E57E8C">
        <w:rPr>
          <w:rFonts w:ascii="Verdana" w:hAnsi="Verdana" w:cs="TimokCYR"/>
        </w:rPr>
        <w:t>повече от два пъти по шест месеца, съгласно чл. 25, параграф 4 от Регламент (ЕС) 2018/848.</w:t>
      </w:r>
      <w:r>
        <w:rPr>
          <w:rFonts w:ascii="Verdana" w:hAnsi="Verdana" w:cs="TimokCYR"/>
        </w:rPr>
        <w:t>“</w:t>
      </w:r>
    </w:p>
    <w:p w:rsidR="00E57E8C" w:rsidRPr="003B576F" w:rsidRDefault="00E57E8C" w:rsidP="008C5484">
      <w:pPr>
        <w:pStyle w:val="ListParagraph"/>
        <w:tabs>
          <w:tab w:val="left" w:pos="1134"/>
        </w:tabs>
        <w:spacing w:line="358" w:lineRule="auto"/>
        <w:ind w:left="0" w:firstLine="709"/>
        <w:jc w:val="both"/>
        <w:rPr>
          <w:rFonts w:ascii="Verdana" w:hAnsi="Verdana" w:cs="TimokCYR"/>
        </w:rPr>
      </w:pPr>
    </w:p>
    <w:p w:rsidR="004D244E" w:rsidRDefault="009E701D" w:rsidP="008C5484">
      <w:pPr>
        <w:pStyle w:val="ListParagraph"/>
        <w:tabs>
          <w:tab w:val="left" w:pos="1134"/>
        </w:tabs>
        <w:spacing w:line="358" w:lineRule="auto"/>
        <w:ind w:left="0" w:firstLine="709"/>
        <w:jc w:val="both"/>
        <w:rPr>
          <w:rFonts w:ascii="Verdana" w:hAnsi="Verdana" w:cs="TimokCYR"/>
        </w:rPr>
      </w:pPr>
      <w:r w:rsidRPr="00380D72">
        <w:rPr>
          <w:rFonts w:ascii="Verdana" w:hAnsi="Verdana" w:cs="TimokCYR"/>
          <w:b/>
        </w:rPr>
        <w:t xml:space="preserve">§ </w:t>
      </w:r>
      <w:r w:rsidR="00E14C48">
        <w:rPr>
          <w:rFonts w:ascii="Verdana" w:hAnsi="Verdana" w:cs="TimokCYR"/>
          <w:b/>
        </w:rPr>
        <w:t>12</w:t>
      </w:r>
      <w:r w:rsidRPr="00380D72">
        <w:rPr>
          <w:rFonts w:ascii="Verdana" w:hAnsi="Verdana" w:cs="TimokCYR"/>
          <w:b/>
        </w:rPr>
        <w:t>.</w:t>
      </w:r>
      <w:r w:rsidRPr="00380D72">
        <w:rPr>
          <w:rFonts w:ascii="Verdana" w:hAnsi="Verdana" w:cs="TimokCYR"/>
        </w:rPr>
        <w:t xml:space="preserve"> В </w:t>
      </w:r>
      <w:r w:rsidR="004D244E" w:rsidRPr="00380D72">
        <w:rPr>
          <w:rFonts w:ascii="Verdana" w:hAnsi="Verdana" w:cs="TimokCYR"/>
        </w:rPr>
        <w:t xml:space="preserve">чл. </w:t>
      </w:r>
      <w:r w:rsidR="003A457C" w:rsidRPr="003D743D">
        <w:rPr>
          <w:rFonts w:ascii="Verdana" w:hAnsi="Verdana" w:cs="TimokCYR"/>
          <w:lang w:val="ru-RU"/>
        </w:rPr>
        <w:t xml:space="preserve">45 </w:t>
      </w:r>
      <w:r w:rsidR="003A457C">
        <w:rPr>
          <w:rFonts w:ascii="Verdana" w:hAnsi="Verdana" w:cs="TimokCYR"/>
        </w:rPr>
        <w:t xml:space="preserve">се </w:t>
      </w:r>
      <w:r w:rsidR="003A457C" w:rsidRPr="00380D72">
        <w:rPr>
          <w:rFonts w:ascii="Verdana" w:hAnsi="Verdana" w:cs="TimokCYR"/>
        </w:rPr>
        <w:t>правят</w:t>
      </w:r>
      <w:r w:rsidR="004D244E" w:rsidRPr="00380D72">
        <w:rPr>
          <w:rFonts w:ascii="Verdana" w:hAnsi="Verdana" w:cs="TimokCYR"/>
        </w:rPr>
        <w:t xml:space="preserve"> следните изменения</w:t>
      </w:r>
      <w:r w:rsidR="003A457C">
        <w:rPr>
          <w:rFonts w:ascii="Verdana" w:hAnsi="Verdana" w:cs="TimokCYR"/>
        </w:rPr>
        <w:t xml:space="preserve"> и допълнения:</w:t>
      </w:r>
    </w:p>
    <w:p w:rsidR="00EC734A" w:rsidRDefault="00CD448B" w:rsidP="008C5484">
      <w:pPr>
        <w:pStyle w:val="ListParagraph"/>
        <w:tabs>
          <w:tab w:val="left" w:pos="1134"/>
        </w:tabs>
        <w:spacing w:line="358" w:lineRule="auto"/>
        <w:ind w:left="0" w:firstLine="709"/>
        <w:jc w:val="both"/>
        <w:rPr>
          <w:rFonts w:ascii="Verdana" w:hAnsi="Verdana" w:cs="TimokCYR"/>
        </w:rPr>
      </w:pPr>
      <w:r>
        <w:rPr>
          <w:rFonts w:ascii="Verdana" w:hAnsi="Verdana" w:cs="TimokCYR"/>
        </w:rPr>
        <w:t>1. В ал. 1 навсякъде</w:t>
      </w:r>
      <w:r w:rsidR="00EC734A" w:rsidRPr="00EC734A">
        <w:rPr>
          <w:rFonts w:ascii="Verdana" w:hAnsi="Verdana" w:cs="TimokCYR"/>
        </w:rPr>
        <w:t xml:space="preserve"> думите „Министерството на земеделието“ се заменят с „Министерст</w:t>
      </w:r>
      <w:r w:rsidR="00EC734A">
        <w:rPr>
          <w:rFonts w:ascii="Verdana" w:hAnsi="Verdana" w:cs="TimokCYR"/>
        </w:rPr>
        <w:t>вото на земеделието и храните“</w:t>
      </w:r>
      <w:r w:rsidR="00ED60AC">
        <w:rPr>
          <w:rFonts w:ascii="Verdana" w:hAnsi="Verdana" w:cs="TimokCYR"/>
        </w:rPr>
        <w:t xml:space="preserve">, а </w:t>
      </w:r>
      <w:r w:rsidR="00224656">
        <w:rPr>
          <w:rFonts w:ascii="Verdana" w:hAnsi="Verdana" w:cs="TimokCYR"/>
        </w:rPr>
        <w:t>думите „</w:t>
      </w:r>
      <w:r w:rsidR="009A6741" w:rsidRPr="009A6741">
        <w:rPr>
          <w:rFonts w:ascii="Verdana" w:hAnsi="Verdana" w:cs="TimokCYR"/>
        </w:rPr>
        <w:t>Държавен фонд "Земеделие" - Разплащателна агенция</w:t>
      </w:r>
      <w:r w:rsidR="00224656">
        <w:rPr>
          <w:rFonts w:ascii="Verdana" w:hAnsi="Verdana" w:cs="TimokCYR"/>
        </w:rPr>
        <w:t xml:space="preserve">“ се </w:t>
      </w:r>
      <w:r w:rsidR="009A6741">
        <w:rPr>
          <w:rFonts w:ascii="Verdana" w:hAnsi="Verdana" w:cs="TimokCYR"/>
        </w:rPr>
        <w:t>заменят с абревиатурата „ДФЗ“</w:t>
      </w:r>
      <w:r w:rsidR="00EC734A">
        <w:rPr>
          <w:rFonts w:ascii="Verdana" w:hAnsi="Verdana" w:cs="TimokCYR"/>
        </w:rPr>
        <w:t>;</w:t>
      </w:r>
    </w:p>
    <w:p w:rsidR="003A457C" w:rsidRDefault="00EC734A" w:rsidP="008C5484">
      <w:pPr>
        <w:pStyle w:val="ListParagraph"/>
        <w:tabs>
          <w:tab w:val="left" w:pos="1134"/>
        </w:tabs>
        <w:spacing w:line="358" w:lineRule="auto"/>
        <w:ind w:left="0" w:firstLine="709"/>
        <w:jc w:val="both"/>
        <w:rPr>
          <w:rFonts w:ascii="Verdana" w:hAnsi="Verdana" w:cs="TimokCYR"/>
        </w:rPr>
      </w:pPr>
      <w:r>
        <w:rPr>
          <w:rFonts w:ascii="Verdana" w:hAnsi="Verdana" w:cs="TimokCYR"/>
        </w:rPr>
        <w:t>2</w:t>
      </w:r>
      <w:r w:rsidR="003A457C">
        <w:rPr>
          <w:rFonts w:ascii="Verdana" w:hAnsi="Verdana" w:cs="TimokCYR"/>
        </w:rPr>
        <w:t>. В ал. 3:</w:t>
      </w:r>
    </w:p>
    <w:p w:rsidR="003A457C" w:rsidRDefault="003A457C" w:rsidP="008C5484">
      <w:pPr>
        <w:pStyle w:val="ListParagraph"/>
        <w:tabs>
          <w:tab w:val="left" w:pos="1134"/>
        </w:tabs>
        <w:spacing w:line="358" w:lineRule="auto"/>
        <w:ind w:left="0" w:firstLine="709"/>
        <w:jc w:val="both"/>
        <w:rPr>
          <w:rFonts w:ascii="Verdana" w:hAnsi="Verdana" w:cs="TimokCYR"/>
        </w:rPr>
      </w:pPr>
      <w:r>
        <w:rPr>
          <w:rFonts w:ascii="Verdana" w:hAnsi="Verdana" w:cs="TimokCYR"/>
        </w:rPr>
        <w:t xml:space="preserve">а) </w:t>
      </w:r>
      <w:r w:rsidR="004B1B94">
        <w:rPr>
          <w:rFonts w:ascii="Verdana" w:hAnsi="Verdana" w:cs="TimokCYR"/>
        </w:rPr>
        <w:t xml:space="preserve">в </w:t>
      </w:r>
      <w:r>
        <w:rPr>
          <w:rFonts w:ascii="Verdana" w:hAnsi="Verdana" w:cs="TimokCYR"/>
        </w:rPr>
        <w:t>т. 3 думата „три“ се заменя с „пет“;</w:t>
      </w:r>
    </w:p>
    <w:p w:rsidR="003A457C" w:rsidRPr="007507B5" w:rsidRDefault="003A457C" w:rsidP="008C5484">
      <w:pPr>
        <w:pStyle w:val="ListParagraph"/>
        <w:tabs>
          <w:tab w:val="left" w:pos="1134"/>
        </w:tabs>
        <w:spacing w:line="358" w:lineRule="auto"/>
        <w:ind w:left="0" w:firstLine="709"/>
        <w:jc w:val="both"/>
        <w:rPr>
          <w:rFonts w:ascii="Verdana" w:hAnsi="Verdana" w:cs="TimokCYR"/>
        </w:rPr>
      </w:pPr>
      <w:r w:rsidRPr="007507B5">
        <w:rPr>
          <w:rFonts w:ascii="Verdana" w:hAnsi="Verdana" w:cs="TimokCYR"/>
        </w:rPr>
        <w:t xml:space="preserve">б) </w:t>
      </w:r>
      <w:r w:rsidR="004B1B94">
        <w:rPr>
          <w:rFonts w:ascii="Verdana" w:hAnsi="Verdana" w:cs="TimokCYR"/>
        </w:rPr>
        <w:t>т</w:t>
      </w:r>
      <w:r w:rsidR="004B1B94" w:rsidRPr="007507B5">
        <w:rPr>
          <w:rFonts w:ascii="Verdana" w:hAnsi="Verdana" w:cs="TimokCYR"/>
        </w:rPr>
        <w:t xml:space="preserve">очка </w:t>
      </w:r>
      <w:r w:rsidRPr="007507B5">
        <w:rPr>
          <w:rFonts w:ascii="Verdana" w:hAnsi="Verdana" w:cs="TimokCYR"/>
        </w:rPr>
        <w:t>4 се отменя;</w:t>
      </w:r>
    </w:p>
    <w:p w:rsidR="00D42D30" w:rsidRPr="007507B5" w:rsidRDefault="003A457C" w:rsidP="008C5484">
      <w:pPr>
        <w:pStyle w:val="ListParagraph"/>
        <w:tabs>
          <w:tab w:val="left" w:pos="1134"/>
        </w:tabs>
        <w:spacing w:line="358" w:lineRule="auto"/>
        <w:ind w:left="0" w:firstLine="709"/>
        <w:jc w:val="both"/>
        <w:rPr>
          <w:rFonts w:ascii="Verdana" w:hAnsi="Verdana" w:cs="TimokCYR"/>
        </w:rPr>
      </w:pPr>
      <w:r w:rsidRPr="007507B5">
        <w:rPr>
          <w:rFonts w:ascii="Verdana" w:hAnsi="Verdana" w:cs="TimokCYR"/>
        </w:rPr>
        <w:t xml:space="preserve">в) </w:t>
      </w:r>
      <w:r w:rsidR="004B1B94">
        <w:rPr>
          <w:rFonts w:ascii="Verdana" w:hAnsi="Verdana" w:cs="TimokCYR"/>
        </w:rPr>
        <w:t>в</w:t>
      </w:r>
      <w:r w:rsidR="004B1B94" w:rsidRPr="007507B5">
        <w:rPr>
          <w:rFonts w:ascii="Verdana" w:hAnsi="Verdana" w:cs="TimokCYR"/>
        </w:rPr>
        <w:t xml:space="preserve"> </w:t>
      </w:r>
      <w:r w:rsidRPr="007507B5">
        <w:rPr>
          <w:rFonts w:ascii="Verdana" w:hAnsi="Verdana" w:cs="TimokCYR"/>
        </w:rPr>
        <w:t>т. 5 думата „седем“ се заменя с „десет“;</w:t>
      </w:r>
    </w:p>
    <w:p w:rsidR="000D36C6" w:rsidRDefault="00C153DC" w:rsidP="008C5484">
      <w:pPr>
        <w:pStyle w:val="ListParagraph"/>
        <w:tabs>
          <w:tab w:val="left" w:pos="1134"/>
        </w:tabs>
        <w:spacing w:line="358" w:lineRule="auto"/>
        <w:ind w:left="0" w:firstLine="709"/>
        <w:jc w:val="both"/>
        <w:rPr>
          <w:rFonts w:ascii="Verdana" w:hAnsi="Verdana" w:cs="TimokCYR"/>
        </w:rPr>
      </w:pPr>
      <w:r>
        <w:rPr>
          <w:rFonts w:ascii="Verdana" w:hAnsi="Verdana" w:cs="TimokCYR"/>
        </w:rPr>
        <w:t xml:space="preserve">г) </w:t>
      </w:r>
      <w:r w:rsidR="004B1B94">
        <w:rPr>
          <w:rFonts w:ascii="Verdana" w:hAnsi="Verdana" w:cs="TimokCYR"/>
        </w:rPr>
        <w:t xml:space="preserve">в </w:t>
      </w:r>
      <w:r>
        <w:rPr>
          <w:rFonts w:ascii="Verdana" w:hAnsi="Verdana" w:cs="TimokCYR"/>
        </w:rPr>
        <w:t>т. 6 думите „</w:t>
      </w:r>
      <w:r w:rsidRPr="00C153DC">
        <w:rPr>
          <w:rFonts w:ascii="Verdana" w:hAnsi="Verdana" w:cs="TimokCYR"/>
        </w:rPr>
        <w:t>ИСАК номер, ако е приложимо;</w:t>
      </w:r>
      <w:r>
        <w:rPr>
          <w:rFonts w:ascii="Verdana" w:hAnsi="Verdana" w:cs="TimokCYR"/>
        </w:rPr>
        <w:t>“</w:t>
      </w:r>
      <w:r w:rsidR="00662CD5" w:rsidRPr="00662CD5">
        <w:t xml:space="preserve"> </w:t>
      </w:r>
      <w:r w:rsidR="00662CD5" w:rsidRPr="00662CD5">
        <w:rPr>
          <w:rFonts w:ascii="Verdana" w:hAnsi="Verdana" w:cs="TimokCYR"/>
        </w:rPr>
        <w:t>се заличават</w:t>
      </w:r>
      <w:r w:rsidR="00662CD5">
        <w:rPr>
          <w:rFonts w:ascii="Verdana" w:hAnsi="Verdana" w:cs="TimokCYR"/>
        </w:rPr>
        <w:t>,</w:t>
      </w:r>
      <w:r>
        <w:rPr>
          <w:rFonts w:ascii="Verdana" w:hAnsi="Verdana" w:cs="TimokCYR"/>
        </w:rPr>
        <w:t xml:space="preserve"> </w:t>
      </w:r>
      <w:r w:rsidR="00662CD5">
        <w:rPr>
          <w:rFonts w:ascii="Verdana" w:hAnsi="Verdana" w:cs="TimokCYR"/>
        </w:rPr>
        <w:t xml:space="preserve">цифрата „7“ се заменя с думата „десет“, думите </w:t>
      </w:r>
      <w:r>
        <w:rPr>
          <w:rFonts w:ascii="Verdana" w:hAnsi="Verdana" w:cs="TimokCYR"/>
        </w:rPr>
        <w:t>„</w:t>
      </w:r>
      <w:r w:rsidRPr="00C153DC">
        <w:rPr>
          <w:rFonts w:ascii="Verdana" w:hAnsi="Verdana" w:cs="TimokCYR"/>
        </w:rPr>
        <w:t>при въвеждане/прехвърляне на обектите от предходна година информацията се въвежда/прехвърля до 31 март на текущата година;</w:t>
      </w:r>
      <w:r>
        <w:rPr>
          <w:rFonts w:ascii="Verdana" w:hAnsi="Verdana" w:cs="TimokCYR"/>
        </w:rPr>
        <w:t>“</w:t>
      </w:r>
      <w:r w:rsidR="00662CD5">
        <w:rPr>
          <w:rFonts w:ascii="Verdana" w:hAnsi="Verdana" w:cs="TimokCYR"/>
        </w:rPr>
        <w:t xml:space="preserve"> се заличават,</w:t>
      </w:r>
      <w:r w:rsidR="002E6EB8">
        <w:rPr>
          <w:rFonts w:ascii="Verdana" w:hAnsi="Verdana" w:cs="TimokCYR"/>
        </w:rPr>
        <w:t xml:space="preserve"> цифрата</w:t>
      </w:r>
      <w:r w:rsidR="00A92912">
        <w:rPr>
          <w:rFonts w:ascii="Verdana" w:hAnsi="Verdana" w:cs="TimokCYR"/>
        </w:rPr>
        <w:t xml:space="preserve"> „3“ се заменя</w:t>
      </w:r>
      <w:r w:rsidR="005625C5">
        <w:rPr>
          <w:rFonts w:ascii="Verdana" w:hAnsi="Verdana" w:cs="TimokCYR"/>
        </w:rPr>
        <w:t xml:space="preserve"> с</w:t>
      </w:r>
      <w:r w:rsidR="00A92912">
        <w:rPr>
          <w:rFonts w:ascii="Verdana" w:hAnsi="Verdana" w:cs="TimokCYR"/>
        </w:rPr>
        <w:t xml:space="preserve"> </w:t>
      </w:r>
      <w:r w:rsidR="002E6EB8">
        <w:rPr>
          <w:rFonts w:ascii="Verdana" w:hAnsi="Verdana" w:cs="TimokCYR"/>
        </w:rPr>
        <w:t>думата</w:t>
      </w:r>
      <w:r w:rsidR="00A92912">
        <w:rPr>
          <w:rFonts w:ascii="Verdana" w:hAnsi="Verdana" w:cs="TimokCYR"/>
        </w:rPr>
        <w:t xml:space="preserve"> „пет“, а думата „</w:t>
      </w:r>
      <w:r w:rsidR="00A92912" w:rsidRPr="00A92912">
        <w:rPr>
          <w:rFonts w:ascii="Verdana" w:hAnsi="Verdana" w:cs="TimokCYR"/>
        </w:rPr>
        <w:t>седемдневния</w:t>
      </w:r>
      <w:r w:rsidR="00A92912">
        <w:rPr>
          <w:rFonts w:ascii="Verdana" w:hAnsi="Verdana" w:cs="TimokCYR"/>
        </w:rPr>
        <w:t>“ се заменя с „</w:t>
      </w:r>
      <w:r w:rsidR="00A92912" w:rsidRPr="00A92912">
        <w:rPr>
          <w:rFonts w:ascii="Verdana" w:hAnsi="Verdana" w:cs="TimokCYR"/>
        </w:rPr>
        <w:t>десетдневния</w:t>
      </w:r>
      <w:r w:rsidR="00A92912">
        <w:rPr>
          <w:rFonts w:ascii="Verdana" w:hAnsi="Verdana" w:cs="TimokCYR"/>
        </w:rPr>
        <w:t>“</w:t>
      </w:r>
      <w:r w:rsidR="000D36C6">
        <w:rPr>
          <w:rFonts w:ascii="Verdana" w:hAnsi="Verdana" w:cs="TimokCYR"/>
        </w:rPr>
        <w:t>;</w:t>
      </w:r>
    </w:p>
    <w:p w:rsidR="000D36C6" w:rsidRDefault="000D36C6" w:rsidP="008C5484">
      <w:pPr>
        <w:pStyle w:val="ListParagraph"/>
        <w:tabs>
          <w:tab w:val="left" w:pos="1134"/>
        </w:tabs>
        <w:spacing w:line="358" w:lineRule="auto"/>
        <w:ind w:left="0" w:firstLine="709"/>
        <w:jc w:val="both"/>
        <w:rPr>
          <w:rFonts w:ascii="Verdana" w:hAnsi="Verdana" w:cs="TimokCYR"/>
        </w:rPr>
      </w:pPr>
      <w:r>
        <w:rPr>
          <w:rFonts w:ascii="Verdana" w:hAnsi="Verdana" w:cs="TimokCYR"/>
        </w:rPr>
        <w:t xml:space="preserve">д) </w:t>
      </w:r>
      <w:r w:rsidR="004B1B94">
        <w:rPr>
          <w:rFonts w:ascii="Verdana" w:hAnsi="Verdana" w:cs="TimokCYR"/>
        </w:rPr>
        <w:t xml:space="preserve">в </w:t>
      </w:r>
      <w:r>
        <w:rPr>
          <w:rFonts w:ascii="Verdana" w:hAnsi="Verdana" w:cs="TimokCYR"/>
        </w:rPr>
        <w:t xml:space="preserve">т. 7 </w:t>
      </w:r>
      <w:r w:rsidR="00DE7734">
        <w:rPr>
          <w:rFonts w:ascii="Verdana" w:hAnsi="Verdana" w:cs="TimokCYR"/>
        </w:rPr>
        <w:t xml:space="preserve">и 8 </w:t>
      </w:r>
      <w:r>
        <w:rPr>
          <w:rFonts w:ascii="Verdana" w:hAnsi="Verdana" w:cs="TimokCYR"/>
        </w:rPr>
        <w:t>цифрата „7“ се заменя с думата „десет“;</w:t>
      </w:r>
    </w:p>
    <w:p w:rsidR="008D6648" w:rsidRDefault="00DE7734" w:rsidP="008C5484">
      <w:pPr>
        <w:pStyle w:val="ListParagraph"/>
        <w:tabs>
          <w:tab w:val="left" w:pos="1134"/>
        </w:tabs>
        <w:spacing w:line="358" w:lineRule="auto"/>
        <w:ind w:left="0" w:firstLine="709"/>
        <w:jc w:val="both"/>
        <w:rPr>
          <w:rFonts w:ascii="Verdana" w:hAnsi="Verdana" w:cs="TimokCYR"/>
        </w:rPr>
      </w:pPr>
      <w:r>
        <w:rPr>
          <w:rFonts w:ascii="Verdana" w:hAnsi="Verdana" w:cs="TimokCYR"/>
        </w:rPr>
        <w:t>е</w:t>
      </w:r>
      <w:r w:rsidR="008D6648" w:rsidRPr="008D6648">
        <w:rPr>
          <w:rFonts w:ascii="Verdana" w:hAnsi="Verdana" w:cs="TimokCYR"/>
        </w:rPr>
        <w:t xml:space="preserve">) </w:t>
      </w:r>
      <w:r w:rsidR="004B1B94">
        <w:rPr>
          <w:rFonts w:ascii="Verdana" w:hAnsi="Verdana" w:cs="TimokCYR"/>
        </w:rPr>
        <w:t>в</w:t>
      </w:r>
      <w:r w:rsidR="004B1B94" w:rsidRPr="008D6648">
        <w:rPr>
          <w:rFonts w:ascii="Verdana" w:hAnsi="Verdana" w:cs="TimokCYR"/>
        </w:rPr>
        <w:t xml:space="preserve"> </w:t>
      </w:r>
      <w:r w:rsidR="008D6648" w:rsidRPr="008D6648">
        <w:rPr>
          <w:rFonts w:ascii="Verdana" w:hAnsi="Verdana" w:cs="TimokCYR"/>
        </w:rPr>
        <w:t xml:space="preserve">т. </w:t>
      </w:r>
      <w:r w:rsidR="008D6648">
        <w:rPr>
          <w:rFonts w:ascii="Verdana" w:hAnsi="Verdana" w:cs="TimokCYR"/>
        </w:rPr>
        <w:t>9</w:t>
      </w:r>
      <w:r w:rsidR="008D6648" w:rsidRPr="008D6648">
        <w:rPr>
          <w:rFonts w:ascii="Verdana" w:hAnsi="Verdana" w:cs="TimokCYR"/>
        </w:rPr>
        <w:t xml:space="preserve"> думата „</w:t>
      </w:r>
      <w:r w:rsidR="008D6648">
        <w:rPr>
          <w:rFonts w:ascii="Verdana" w:hAnsi="Verdana" w:cs="TimokCYR"/>
        </w:rPr>
        <w:t>пет</w:t>
      </w:r>
      <w:r w:rsidR="008D6648" w:rsidRPr="008D6648">
        <w:rPr>
          <w:rFonts w:ascii="Verdana" w:hAnsi="Verdana" w:cs="TimokCYR"/>
        </w:rPr>
        <w:t>“</w:t>
      </w:r>
      <w:r w:rsidR="008D6648">
        <w:rPr>
          <w:rFonts w:ascii="Verdana" w:hAnsi="Verdana" w:cs="TimokCYR"/>
        </w:rPr>
        <w:t xml:space="preserve"> </w:t>
      </w:r>
      <w:r w:rsidR="008D6648" w:rsidRPr="008D6648">
        <w:rPr>
          <w:rFonts w:ascii="Verdana" w:hAnsi="Verdana" w:cs="TimokCYR"/>
        </w:rPr>
        <w:t>се заменя с „десет“;</w:t>
      </w:r>
    </w:p>
    <w:p w:rsidR="004F2C8A" w:rsidRPr="007142E1" w:rsidRDefault="00DE7734" w:rsidP="008C5484">
      <w:pPr>
        <w:pStyle w:val="ListParagraph"/>
        <w:tabs>
          <w:tab w:val="left" w:pos="1134"/>
        </w:tabs>
        <w:spacing w:line="358" w:lineRule="auto"/>
        <w:ind w:left="0" w:firstLine="709"/>
        <w:jc w:val="both"/>
        <w:rPr>
          <w:rFonts w:ascii="Verdana" w:hAnsi="Verdana" w:cs="TimokCYR"/>
          <w:lang w:val="ru-RU"/>
        </w:rPr>
      </w:pPr>
      <w:r>
        <w:rPr>
          <w:rFonts w:ascii="Verdana" w:hAnsi="Verdana" w:cs="TimokCYR"/>
        </w:rPr>
        <w:t>ж</w:t>
      </w:r>
      <w:r w:rsidR="004F2C8A" w:rsidRPr="004F2C8A">
        <w:rPr>
          <w:rFonts w:ascii="Verdana" w:hAnsi="Verdana" w:cs="TimokCYR"/>
        </w:rPr>
        <w:t xml:space="preserve">) </w:t>
      </w:r>
      <w:r w:rsidR="004B1B94">
        <w:rPr>
          <w:rFonts w:ascii="Verdana" w:hAnsi="Verdana" w:cs="TimokCYR"/>
        </w:rPr>
        <w:t>в</w:t>
      </w:r>
      <w:r w:rsidR="004B1B94" w:rsidRPr="004F2C8A">
        <w:rPr>
          <w:rFonts w:ascii="Verdana" w:hAnsi="Verdana" w:cs="TimokCYR"/>
        </w:rPr>
        <w:t xml:space="preserve"> </w:t>
      </w:r>
      <w:r w:rsidR="004F2C8A" w:rsidRPr="004F2C8A">
        <w:rPr>
          <w:rFonts w:ascii="Verdana" w:hAnsi="Verdana" w:cs="TimokCYR"/>
        </w:rPr>
        <w:t xml:space="preserve">т. </w:t>
      </w:r>
      <w:r w:rsidR="004F2C8A">
        <w:rPr>
          <w:rFonts w:ascii="Verdana" w:hAnsi="Verdana" w:cs="TimokCYR"/>
        </w:rPr>
        <w:t>10</w:t>
      </w:r>
      <w:r w:rsidR="004F2C8A" w:rsidRPr="004F2C8A">
        <w:rPr>
          <w:rFonts w:ascii="Verdana" w:hAnsi="Verdana" w:cs="TimokCYR"/>
        </w:rPr>
        <w:t xml:space="preserve"> думата „</w:t>
      </w:r>
      <w:r w:rsidR="004F2C8A">
        <w:rPr>
          <w:rFonts w:ascii="Verdana" w:hAnsi="Verdana" w:cs="TimokCYR"/>
        </w:rPr>
        <w:t>седем</w:t>
      </w:r>
      <w:r w:rsidR="004F2C8A" w:rsidRPr="004F2C8A">
        <w:rPr>
          <w:rFonts w:ascii="Verdana" w:hAnsi="Verdana" w:cs="TimokCYR"/>
        </w:rPr>
        <w:t>“ се заменя с „</w:t>
      </w:r>
      <w:r w:rsidR="004F2C8A">
        <w:rPr>
          <w:rFonts w:ascii="Verdana" w:hAnsi="Verdana" w:cs="TimokCYR"/>
        </w:rPr>
        <w:t>пет</w:t>
      </w:r>
      <w:r w:rsidR="004F2C8A" w:rsidRPr="004F2C8A">
        <w:rPr>
          <w:rFonts w:ascii="Verdana" w:hAnsi="Verdana" w:cs="TimokCYR"/>
        </w:rPr>
        <w:t>“;</w:t>
      </w:r>
    </w:p>
    <w:p w:rsidR="0087304E" w:rsidRDefault="00DE7734" w:rsidP="008C5484">
      <w:pPr>
        <w:pStyle w:val="ListParagraph"/>
        <w:tabs>
          <w:tab w:val="left" w:pos="1134"/>
        </w:tabs>
        <w:spacing w:line="358" w:lineRule="auto"/>
        <w:ind w:left="0" w:firstLine="709"/>
        <w:jc w:val="both"/>
        <w:rPr>
          <w:rFonts w:ascii="Verdana" w:hAnsi="Verdana" w:cs="TimokCYR"/>
        </w:rPr>
      </w:pPr>
      <w:r>
        <w:rPr>
          <w:rFonts w:ascii="Verdana" w:hAnsi="Verdana" w:cs="TimokCYR"/>
        </w:rPr>
        <w:t>з</w:t>
      </w:r>
      <w:r w:rsidR="0087304E">
        <w:rPr>
          <w:rFonts w:ascii="Verdana" w:hAnsi="Verdana" w:cs="TimokCYR"/>
        </w:rPr>
        <w:t xml:space="preserve">) </w:t>
      </w:r>
      <w:r w:rsidR="004B1B94">
        <w:rPr>
          <w:rFonts w:ascii="Verdana" w:hAnsi="Verdana" w:cs="TimokCYR"/>
        </w:rPr>
        <w:t xml:space="preserve">точка </w:t>
      </w:r>
      <w:r w:rsidR="0087304E">
        <w:rPr>
          <w:rFonts w:ascii="Verdana" w:hAnsi="Verdana" w:cs="TimokCYR"/>
        </w:rPr>
        <w:t>11 се отменя;</w:t>
      </w:r>
    </w:p>
    <w:p w:rsidR="00FC53AC" w:rsidRDefault="00DE7734" w:rsidP="008C5484">
      <w:pPr>
        <w:pStyle w:val="ListParagraph"/>
        <w:tabs>
          <w:tab w:val="left" w:pos="1134"/>
        </w:tabs>
        <w:spacing w:line="358" w:lineRule="auto"/>
        <w:ind w:left="0" w:firstLine="709"/>
        <w:jc w:val="both"/>
        <w:rPr>
          <w:rFonts w:ascii="Verdana" w:hAnsi="Verdana" w:cs="TimokCYR"/>
        </w:rPr>
      </w:pPr>
      <w:r>
        <w:rPr>
          <w:rFonts w:ascii="Verdana" w:hAnsi="Verdana" w:cs="TimokCYR"/>
        </w:rPr>
        <w:t>и</w:t>
      </w:r>
      <w:r w:rsidR="00FC53AC" w:rsidRPr="0035613F">
        <w:rPr>
          <w:rFonts w:ascii="Verdana" w:hAnsi="Verdana" w:cs="TimokCYR"/>
        </w:rPr>
        <w:t>)</w:t>
      </w:r>
      <w:r w:rsidR="00FC53AC">
        <w:rPr>
          <w:rFonts w:ascii="Verdana" w:hAnsi="Verdana" w:cs="TimokCYR"/>
        </w:rPr>
        <w:t xml:space="preserve"> </w:t>
      </w:r>
      <w:r w:rsidR="004B1B94">
        <w:rPr>
          <w:rFonts w:ascii="Verdana" w:hAnsi="Verdana" w:cs="TimokCYR"/>
        </w:rPr>
        <w:t xml:space="preserve">в </w:t>
      </w:r>
      <w:r w:rsidR="00FC53AC">
        <w:rPr>
          <w:rFonts w:ascii="Verdana" w:hAnsi="Verdana" w:cs="TimokCYR"/>
        </w:rPr>
        <w:t>т. 12 думата „конвенционалното“ се заменя с „небиологичното“</w:t>
      </w:r>
      <w:r w:rsidR="00222027">
        <w:rPr>
          <w:rFonts w:ascii="Verdana" w:hAnsi="Verdana" w:cs="TimokCYR"/>
        </w:rPr>
        <w:t>;</w:t>
      </w:r>
    </w:p>
    <w:p w:rsidR="009C50B5" w:rsidRDefault="00DE7734" w:rsidP="008C5484">
      <w:pPr>
        <w:pStyle w:val="ListParagraph"/>
        <w:tabs>
          <w:tab w:val="left" w:pos="1134"/>
        </w:tabs>
        <w:spacing w:line="358" w:lineRule="auto"/>
        <w:ind w:left="0" w:firstLine="709"/>
        <w:jc w:val="both"/>
        <w:rPr>
          <w:rFonts w:ascii="Verdana" w:hAnsi="Verdana" w:cs="TimokCYR"/>
        </w:rPr>
      </w:pPr>
      <w:r>
        <w:rPr>
          <w:rFonts w:ascii="Verdana" w:hAnsi="Verdana" w:cs="TimokCYR"/>
        </w:rPr>
        <w:t>к</w:t>
      </w:r>
      <w:r w:rsidR="0087304E">
        <w:rPr>
          <w:rFonts w:ascii="Verdana" w:hAnsi="Verdana" w:cs="TimokCYR"/>
        </w:rPr>
        <w:t xml:space="preserve">) </w:t>
      </w:r>
      <w:r w:rsidR="004B1B94">
        <w:rPr>
          <w:rFonts w:ascii="Verdana" w:hAnsi="Verdana" w:cs="TimokCYR"/>
        </w:rPr>
        <w:t xml:space="preserve">в </w:t>
      </w:r>
      <w:r w:rsidR="0087304E">
        <w:rPr>
          <w:rFonts w:ascii="Verdana" w:hAnsi="Verdana" w:cs="TimokCYR"/>
        </w:rPr>
        <w:t>т. 13</w:t>
      </w:r>
      <w:r w:rsidR="009C50B5">
        <w:rPr>
          <w:rFonts w:ascii="Verdana" w:hAnsi="Verdana" w:cs="TimokCYR"/>
        </w:rPr>
        <w:t>:</w:t>
      </w:r>
    </w:p>
    <w:p w:rsidR="009C50B5" w:rsidRDefault="009C50B5" w:rsidP="008C5484">
      <w:pPr>
        <w:pStyle w:val="ListParagraph"/>
        <w:tabs>
          <w:tab w:val="left" w:pos="1134"/>
        </w:tabs>
        <w:spacing w:line="358" w:lineRule="auto"/>
        <w:ind w:left="0" w:firstLine="709"/>
        <w:jc w:val="both"/>
        <w:rPr>
          <w:rFonts w:ascii="Verdana" w:hAnsi="Verdana" w:cs="TimokCYR"/>
        </w:rPr>
      </w:pPr>
      <w:r>
        <w:rPr>
          <w:rFonts w:ascii="Verdana" w:hAnsi="Verdana" w:cs="TimokCYR"/>
        </w:rPr>
        <w:t>аа)</w:t>
      </w:r>
      <w:r w:rsidR="0087304E">
        <w:rPr>
          <w:rFonts w:ascii="Verdana" w:hAnsi="Verdana" w:cs="TimokCYR"/>
        </w:rPr>
        <w:t xml:space="preserve"> </w:t>
      </w:r>
      <w:r w:rsidR="00DD4FD2">
        <w:rPr>
          <w:rFonts w:ascii="Verdana" w:hAnsi="Verdana" w:cs="TimokCYR"/>
        </w:rPr>
        <w:t>в основния текст</w:t>
      </w:r>
      <w:r w:rsidR="00DD4FD2" w:rsidRPr="004B1B94">
        <w:rPr>
          <w:rFonts w:ascii="Verdana" w:hAnsi="Verdana" w:cs="TimokCYR"/>
        </w:rPr>
        <w:t xml:space="preserve"> </w:t>
      </w:r>
      <w:r w:rsidR="004B1B94" w:rsidRPr="004B1B94">
        <w:rPr>
          <w:rFonts w:ascii="Verdana" w:hAnsi="Verdana" w:cs="TimokCYR"/>
        </w:rPr>
        <w:t>накрая</w:t>
      </w:r>
      <w:r w:rsidR="006720B4">
        <w:rPr>
          <w:rFonts w:ascii="Verdana" w:hAnsi="Verdana" w:cs="TimokCYR"/>
        </w:rPr>
        <w:t xml:space="preserve"> </w:t>
      </w:r>
      <w:r w:rsidR="0087304E">
        <w:rPr>
          <w:rFonts w:ascii="Verdana" w:hAnsi="Verdana" w:cs="TimokCYR"/>
        </w:rPr>
        <w:t>се добавя „</w:t>
      </w:r>
      <w:r w:rsidR="00401DBA">
        <w:rPr>
          <w:rFonts w:ascii="Verdana" w:hAnsi="Verdana" w:cs="TimokCYR"/>
        </w:rPr>
        <w:t xml:space="preserve">в срок </w:t>
      </w:r>
      <w:r w:rsidR="0087304E" w:rsidRPr="0087304E">
        <w:rPr>
          <w:rFonts w:ascii="Verdana" w:hAnsi="Verdana" w:cs="TimokCYR"/>
        </w:rPr>
        <w:t>до десет работни дни от включване в система на контрол</w:t>
      </w:r>
      <w:r w:rsidR="0087304E">
        <w:rPr>
          <w:rFonts w:ascii="Verdana" w:hAnsi="Verdana" w:cs="TimokCYR"/>
        </w:rPr>
        <w:t>“</w:t>
      </w:r>
      <w:r>
        <w:rPr>
          <w:rFonts w:ascii="Verdana" w:hAnsi="Verdana" w:cs="TimokCYR"/>
        </w:rPr>
        <w:t>;</w:t>
      </w:r>
    </w:p>
    <w:p w:rsidR="0087304E" w:rsidRDefault="009C50B5" w:rsidP="008C5484">
      <w:pPr>
        <w:pStyle w:val="ListParagraph"/>
        <w:tabs>
          <w:tab w:val="left" w:pos="1134"/>
        </w:tabs>
        <w:spacing w:line="358" w:lineRule="auto"/>
        <w:ind w:left="0" w:firstLine="709"/>
        <w:jc w:val="both"/>
        <w:rPr>
          <w:rFonts w:ascii="Verdana" w:hAnsi="Verdana" w:cs="TimokCYR"/>
        </w:rPr>
      </w:pPr>
      <w:r>
        <w:rPr>
          <w:rFonts w:ascii="Verdana" w:hAnsi="Verdana" w:cs="TimokCYR"/>
        </w:rPr>
        <w:t xml:space="preserve">бб) </w:t>
      </w:r>
      <w:r w:rsidR="002717A6">
        <w:rPr>
          <w:rFonts w:ascii="Verdana" w:hAnsi="Verdana" w:cs="TimokCYR"/>
        </w:rPr>
        <w:t>буква</w:t>
      </w:r>
      <w:r w:rsidR="00581FC1">
        <w:rPr>
          <w:rFonts w:ascii="Verdana" w:hAnsi="Verdana" w:cs="TimokCYR"/>
        </w:rPr>
        <w:t xml:space="preserve"> „г“ се </w:t>
      </w:r>
      <w:r w:rsidR="006720B4">
        <w:rPr>
          <w:rFonts w:ascii="Verdana" w:hAnsi="Verdana" w:cs="TimokCYR"/>
        </w:rPr>
        <w:t>отменя</w:t>
      </w:r>
      <w:r w:rsidR="00581FC1">
        <w:rPr>
          <w:rFonts w:ascii="Verdana" w:hAnsi="Verdana" w:cs="TimokCYR"/>
        </w:rPr>
        <w:t>;</w:t>
      </w:r>
    </w:p>
    <w:p w:rsidR="00581FC1" w:rsidRDefault="00DE7734" w:rsidP="008C5484">
      <w:pPr>
        <w:pStyle w:val="ListParagraph"/>
        <w:tabs>
          <w:tab w:val="left" w:pos="1134"/>
        </w:tabs>
        <w:spacing w:line="358" w:lineRule="auto"/>
        <w:ind w:left="0" w:firstLine="709"/>
        <w:jc w:val="both"/>
        <w:rPr>
          <w:rFonts w:ascii="Verdana" w:hAnsi="Verdana" w:cs="TimokCYR"/>
        </w:rPr>
      </w:pPr>
      <w:r>
        <w:rPr>
          <w:rFonts w:ascii="Verdana" w:hAnsi="Verdana" w:cs="TimokCYR"/>
        </w:rPr>
        <w:t>л</w:t>
      </w:r>
      <w:r w:rsidR="002E2646">
        <w:rPr>
          <w:rFonts w:ascii="Verdana" w:hAnsi="Verdana" w:cs="TimokCYR"/>
        </w:rPr>
        <w:t xml:space="preserve">) </w:t>
      </w:r>
      <w:r w:rsidR="004B1B94">
        <w:rPr>
          <w:rFonts w:ascii="Verdana" w:hAnsi="Verdana" w:cs="TimokCYR"/>
        </w:rPr>
        <w:t xml:space="preserve">в </w:t>
      </w:r>
      <w:r w:rsidR="002E2646">
        <w:rPr>
          <w:rFonts w:ascii="Verdana" w:hAnsi="Verdana" w:cs="TimokCYR"/>
        </w:rPr>
        <w:t xml:space="preserve">т. 14 </w:t>
      </w:r>
      <w:r w:rsidR="00DD4FD2">
        <w:rPr>
          <w:rFonts w:ascii="Verdana" w:hAnsi="Verdana" w:cs="TimokCYR"/>
        </w:rPr>
        <w:t xml:space="preserve">в основния текст </w:t>
      </w:r>
      <w:r w:rsidR="00E655CC" w:rsidRPr="00E655CC">
        <w:rPr>
          <w:rFonts w:ascii="Verdana" w:hAnsi="Verdana" w:cs="TimokCYR"/>
        </w:rPr>
        <w:t>накрая</w:t>
      </w:r>
      <w:r w:rsidR="002E2646">
        <w:rPr>
          <w:rFonts w:ascii="Verdana" w:hAnsi="Verdana" w:cs="TimokCYR"/>
        </w:rPr>
        <w:t xml:space="preserve"> се добавя „в срок до</w:t>
      </w:r>
      <w:r w:rsidR="002E2646" w:rsidRPr="002E2646">
        <w:rPr>
          <w:rFonts w:ascii="Verdana" w:hAnsi="Verdana" w:cs="TimokCYR"/>
        </w:rPr>
        <w:t xml:space="preserve"> десет работни дни от </w:t>
      </w:r>
      <w:r w:rsidR="002E2646" w:rsidRPr="002E2646">
        <w:rPr>
          <w:rFonts w:ascii="Verdana" w:hAnsi="Verdana" w:cs="TimokCYR"/>
        </w:rPr>
        <w:lastRenderedPageBreak/>
        <w:t>включване</w:t>
      </w:r>
      <w:r w:rsidR="002E2646">
        <w:rPr>
          <w:rFonts w:ascii="Verdana" w:hAnsi="Verdana" w:cs="TimokCYR"/>
        </w:rPr>
        <w:t xml:space="preserve"> в система на контрол“</w:t>
      </w:r>
      <w:r w:rsidR="00401DBA">
        <w:rPr>
          <w:rFonts w:ascii="Verdana" w:hAnsi="Verdana" w:cs="TimokCYR"/>
        </w:rPr>
        <w:t>.</w:t>
      </w:r>
    </w:p>
    <w:p w:rsidR="003A457C" w:rsidRPr="00380D72" w:rsidRDefault="00EC734A" w:rsidP="008C5484">
      <w:pPr>
        <w:pStyle w:val="ListParagraph"/>
        <w:tabs>
          <w:tab w:val="left" w:pos="1134"/>
        </w:tabs>
        <w:spacing w:line="358" w:lineRule="auto"/>
        <w:ind w:left="0" w:firstLine="709"/>
        <w:jc w:val="both"/>
        <w:rPr>
          <w:rFonts w:ascii="Verdana" w:hAnsi="Verdana" w:cs="TimokCYR"/>
        </w:rPr>
      </w:pPr>
      <w:r>
        <w:rPr>
          <w:rFonts w:ascii="Verdana" w:hAnsi="Verdana" w:cs="TimokCYR"/>
        </w:rPr>
        <w:t>3</w:t>
      </w:r>
      <w:r w:rsidR="003A457C">
        <w:rPr>
          <w:rFonts w:ascii="Verdana" w:hAnsi="Verdana" w:cs="TimokCYR"/>
        </w:rPr>
        <w:t xml:space="preserve">. </w:t>
      </w:r>
      <w:r w:rsidR="002E2646">
        <w:rPr>
          <w:rFonts w:ascii="Verdana" w:hAnsi="Verdana" w:cs="TimokCYR"/>
        </w:rPr>
        <w:t>В ал. 5 думите „за предходни години“ се заличават, след „</w:t>
      </w:r>
      <w:r w:rsidR="002E2646" w:rsidRPr="002E2646">
        <w:rPr>
          <w:rFonts w:ascii="Verdana" w:hAnsi="Verdana" w:cs="TimokCYR"/>
        </w:rPr>
        <w:t>в регистъра по ал. 1</w:t>
      </w:r>
      <w:r w:rsidR="00484BE0">
        <w:rPr>
          <w:rFonts w:ascii="Verdana" w:hAnsi="Verdana" w:cs="TimokCYR"/>
        </w:rPr>
        <w:t>“</w:t>
      </w:r>
      <w:r w:rsidR="002E2646">
        <w:rPr>
          <w:rFonts w:ascii="Verdana" w:hAnsi="Verdana" w:cs="TimokCYR"/>
        </w:rPr>
        <w:t xml:space="preserve"> се добавя „</w:t>
      </w:r>
      <w:r w:rsidR="002E2646" w:rsidRPr="002E2646">
        <w:rPr>
          <w:rFonts w:ascii="Verdana" w:hAnsi="Verdana" w:cs="TimokCYR"/>
        </w:rPr>
        <w:t>които не могат да бъдат отстранени от</w:t>
      </w:r>
      <w:r w:rsidR="00BC2611">
        <w:rPr>
          <w:rFonts w:ascii="Verdana" w:hAnsi="Verdana" w:cs="TimokCYR"/>
        </w:rPr>
        <w:t>“, след</w:t>
      </w:r>
      <w:r w:rsidR="002E2646">
        <w:rPr>
          <w:rFonts w:ascii="Verdana" w:hAnsi="Verdana" w:cs="TimokCYR"/>
        </w:rPr>
        <w:t xml:space="preserve"> „</w:t>
      </w:r>
      <w:r w:rsidR="002E2646" w:rsidRPr="002E2646">
        <w:rPr>
          <w:rFonts w:ascii="Verdana" w:hAnsi="Verdana" w:cs="TimokCYR"/>
        </w:rPr>
        <w:t>контролиращото лице</w:t>
      </w:r>
      <w:r w:rsidR="00D05EBA">
        <w:rPr>
          <w:rFonts w:ascii="Verdana" w:hAnsi="Verdana" w:cs="TimokCYR"/>
        </w:rPr>
        <w:t>“</w:t>
      </w:r>
      <w:r w:rsidR="002E2646">
        <w:rPr>
          <w:rFonts w:ascii="Verdana" w:hAnsi="Verdana" w:cs="TimokCYR"/>
        </w:rPr>
        <w:t xml:space="preserve"> се добавя „същото“</w:t>
      </w:r>
      <w:r w:rsidR="00BC2611">
        <w:rPr>
          <w:rFonts w:ascii="Verdana" w:hAnsi="Verdana" w:cs="TimokCYR"/>
        </w:rPr>
        <w:t>, а</w:t>
      </w:r>
      <w:r w:rsidR="00387B4F">
        <w:rPr>
          <w:rFonts w:ascii="Verdana" w:hAnsi="Verdana" w:cs="TimokCYR"/>
        </w:rPr>
        <w:t xml:space="preserve"> „</w:t>
      </w:r>
      <w:r w:rsidR="00387B4F" w:rsidRPr="00387B4F">
        <w:rPr>
          <w:rFonts w:ascii="Verdana" w:hAnsi="Verdana" w:cs="TimokCYR"/>
        </w:rPr>
        <w:t>министъра на земеделието</w:t>
      </w:r>
      <w:r w:rsidR="00BC2611">
        <w:rPr>
          <w:rFonts w:ascii="Verdana" w:hAnsi="Verdana" w:cs="TimokCYR"/>
        </w:rPr>
        <w:t>“ се заменя</w:t>
      </w:r>
      <w:r w:rsidR="00387B4F">
        <w:rPr>
          <w:rFonts w:ascii="Verdana" w:hAnsi="Verdana" w:cs="TimokCYR"/>
        </w:rPr>
        <w:t xml:space="preserve"> с „</w:t>
      </w:r>
      <w:r w:rsidR="00387B4F" w:rsidRPr="00387B4F">
        <w:rPr>
          <w:rFonts w:ascii="Verdana" w:hAnsi="Verdana" w:cs="TimokCYR"/>
        </w:rPr>
        <w:t>министъра на земеделието</w:t>
      </w:r>
      <w:r w:rsidR="00387B4F">
        <w:rPr>
          <w:rFonts w:ascii="Verdana" w:hAnsi="Verdana" w:cs="TimokCYR"/>
        </w:rPr>
        <w:t xml:space="preserve"> и храните“</w:t>
      </w:r>
      <w:r w:rsidR="002E2646">
        <w:rPr>
          <w:rFonts w:ascii="Verdana" w:hAnsi="Verdana" w:cs="TimokCYR"/>
        </w:rPr>
        <w:t>.</w:t>
      </w:r>
    </w:p>
    <w:p w:rsidR="003A457C" w:rsidRDefault="00EC734A" w:rsidP="008C5484">
      <w:pPr>
        <w:pStyle w:val="ListParagraph"/>
        <w:tabs>
          <w:tab w:val="left" w:pos="1134"/>
        </w:tabs>
        <w:spacing w:line="358" w:lineRule="auto"/>
        <w:ind w:left="0" w:firstLine="709"/>
        <w:jc w:val="both"/>
        <w:rPr>
          <w:rFonts w:ascii="Verdana" w:hAnsi="Verdana" w:cs="TimokCYR"/>
        </w:rPr>
      </w:pPr>
      <w:r>
        <w:rPr>
          <w:rFonts w:ascii="Verdana" w:hAnsi="Verdana" w:cs="TimokCYR"/>
        </w:rPr>
        <w:t>4</w:t>
      </w:r>
      <w:r w:rsidR="002E2646">
        <w:rPr>
          <w:rFonts w:ascii="Verdana" w:hAnsi="Verdana" w:cs="TimokCYR"/>
        </w:rPr>
        <w:t>. В ал. 7 след думите „</w:t>
      </w:r>
      <w:r w:rsidR="002E2646" w:rsidRPr="002E2646">
        <w:rPr>
          <w:rFonts w:ascii="Verdana" w:hAnsi="Verdana" w:cs="TimokCYR"/>
        </w:rPr>
        <w:t>Програмата за развитие на селските райони (ПРСР)</w:t>
      </w:r>
      <w:r w:rsidR="002E2646">
        <w:rPr>
          <w:rFonts w:ascii="Verdana" w:hAnsi="Verdana" w:cs="TimokCYR"/>
        </w:rPr>
        <w:t>“ се добавя</w:t>
      </w:r>
      <w:r w:rsidR="002E2646" w:rsidRPr="002E2646">
        <w:rPr>
          <w:rFonts w:ascii="Verdana" w:hAnsi="Verdana" w:cs="TimokCYR"/>
        </w:rPr>
        <w:t xml:space="preserve"> </w:t>
      </w:r>
      <w:r w:rsidR="002E2646">
        <w:rPr>
          <w:rFonts w:ascii="Verdana" w:hAnsi="Verdana" w:cs="TimokCYR"/>
        </w:rPr>
        <w:t>„</w:t>
      </w:r>
      <w:r w:rsidR="002E2646" w:rsidRPr="002E2646">
        <w:rPr>
          <w:rFonts w:ascii="Verdana" w:hAnsi="Verdana" w:cs="TimokCYR"/>
        </w:rPr>
        <w:t>и на Стратегическият план за развитие на земеделието и селските райони в Република България в периода 2023 -2027 г.</w:t>
      </w:r>
      <w:r w:rsidR="002E2646">
        <w:rPr>
          <w:rFonts w:ascii="Verdana" w:hAnsi="Verdana" w:cs="TimokCYR"/>
        </w:rPr>
        <w:t xml:space="preserve">“, а </w:t>
      </w:r>
      <w:r w:rsidR="004D3BC9">
        <w:rPr>
          <w:rFonts w:ascii="Verdana" w:hAnsi="Verdana" w:cs="TimokCYR"/>
        </w:rPr>
        <w:t xml:space="preserve">след </w:t>
      </w:r>
      <w:r w:rsidR="00DE7A95" w:rsidRPr="00DE7A95">
        <w:rPr>
          <w:rFonts w:ascii="Verdana" w:hAnsi="Verdana" w:cs="TimokCYR"/>
        </w:rPr>
        <w:t xml:space="preserve">думите „от ПРСР“ се </w:t>
      </w:r>
      <w:r w:rsidR="00D05EBA">
        <w:rPr>
          <w:rFonts w:ascii="Verdana" w:hAnsi="Verdana" w:cs="TimokCYR"/>
        </w:rPr>
        <w:t>добавя</w:t>
      </w:r>
      <w:r w:rsidR="004D3BC9">
        <w:rPr>
          <w:rFonts w:ascii="Verdana" w:hAnsi="Verdana" w:cs="TimokCYR"/>
        </w:rPr>
        <w:t xml:space="preserve"> </w:t>
      </w:r>
      <w:r w:rsidR="00DE7A95" w:rsidRPr="00DE7A95">
        <w:rPr>
          <w:rFonts w:ascii="Verdana" w:hAnsi="Verdana" w:cs="TimokCYR"/>
        </w:rPr>
        <w:t>„и интервенции</w:t>
      </w:r>
      <w:r w:rsidR="004D3BC9">
        <w:rPr>
          <w:rFonts w:ascii="Verdana" w:hAnsi="Verdana" w:cs="TimokCYR"/>
        </w:rPr>
        <w:t xml:space="preserve">те от </w:t>
      </w:r>
      <w:r w:rsidR="004D3BC9" w:rsidRPr="004D3BC9">
        <w:rPr>
          <w:rFonts w:ascii="Verdana" w:hAnsi="Verdana" w:cs="TimokCYR"/>
        </w:rPr>
        <w:t>Стратегическият план</w:t>
      </w:r>
      <w:r w:rsidR="00DE7A95" w:rsidRPr="00DE7A95">
        <w:rPr>
          <w:rFonts w:ascii="Verdana" w:hAnsi="Verdana" w:cs="TimokCYR"/>
        </w:rPr>
        <w:t>“</w:t>
      </w:r>
      <w:r w:rsidR="00557F44">
        <w:rPr>
          <w:rFonts w:ascii="Verdana" w:hAnsi="Verdana" w:cs="TimokCYR"/>
        </w:rPr>
        <w:t>.</w:t>
      </w:r>
    </w:p>
    <w:p w:rsidR="00AF7FBE" w:rsidRPr="002E2646" w:rsidRDefault="00AF7FBE" w:rsidP="008C5484">
      <w:pPr>
        <w:pStyle w:val="ListParagraph"/>
        <w:tabs>
          <w:tab w:val="left" w:pos="1134"/>
        </w:tabs>
        <w:spacing w:line="358" w:lineRule="auto"/>
        <w:ind w:left="0" w:firstLine="709"/>
        <w:jc w:val="both"/>
        <w:rPr>
          <w:rFonts w:ascii="Verdana" w:hAnsi="Verdana" w:cs="TimokCYR"/>
        </w:rPr>
      </w:pPr>
      <w:r w:rsidRPr="00AF7FBE">
        <w:rPr>
          <w:rFonts w:ascii="Verdana" w:hAnsi="Verdana" w:cs="TimokCYR"/>
        </w:rPr>
        <w:t>5. В ал. 8 думите „Министерството на земеделието“ се заменят с „Министерс</w:t>
      </w:r>
      <w:r>
        <w:rPr>
          <w:rFonts w:ascii="Verdana" w:hAnsi="Verdana" w:cs="TimokCYR"/>
        </w:rPr>
        <w:t>твото на земеделието и храните“</w:t>
      </w:r>
      <w:r w:rsidR="00192641">
        <w:rPr>
          <w:rFonts w:ascii="Verdana" w:hAnsi="Verdana" w:cs="TimokCYR"/>
        </w:rPr>
        <w:t xml:space="preserve">, а </w:t>
      </w:r>
      <w:r w:rsidR="009B0163">
        <w:rPr>
          <w:rFonts w:ascii="Verdana" w:hAnsi="Verdana" w:cs="TimokCYR"/>
        </w:rPr>
        <w:t>абревиатурата</w:t>
      </w:r>
      <w:r w:rsidR="00192641">
        <w:rPr>
          <w:rFonts w:ascii="Verdana" w:hAnsi="Verdana" w:cs="TimokCYR"/>
        </w:rPr>
        <w:t xml:space="preserve"> „</w:t>
      </w:r>
      <w:r w:rsidR="00192641" w:rsidRPr="00192641">
        <w:rPr>
          <w:rFonts w:ascii="Verdana" w:hAnsi="Verdana" w:cs="TimokCYR"/>
        </w:rPr>
        <w:t>- РА</w:t>
      </w:r>
      <w:r w:rsidR="009B0163">
        <w:rPr>
          <w:rFonts w:ascii="Verdana" w:hAnsi="Verdana" w:cs="TimokCYR"/>
        </w:rPr>
        <w:t>“ се заличава</w:t>
      </w:r>
      <w:r>
        <w:rPr>
          <w:rFonts w:ascii="Verdana" w:hAnsi="Verdana" w:cs="TimokCYR"/>
        </w:rPr>
        <w:t>.</w:t>
      </w:r>
    </w:p>
    <w:p w:rsidR="003A457C" w:rsidRPr="003B576F" w:rsidRDefault="003A457C" w:rsidP="008C5484">
      <w:pPr>
        <w:pStyle w:val="ListParagraph"/>
        <w:tabs>
          <w:tab w:val="left" w:pos="1134"/>
        </w:tabs>
        <w:spacing w:line="358" w:lineRule="auto"/>
        <w:ind w:left="0" w:firstLine="709"/>
        <w:jc w:val="both"/>
        <w:rPr>
          <w:rFonts w:ascii="Verdana" w:hAnsi="Verdana" w:cs="TimokCYR"/>
        </w:rPr>
      </w:pPr>
    </w:p>
    <w:p w:rsidR="004D244E" w:rsidRPr="00380D72" w:rsidRDefault="00C25CE1" w:rsidP="008C5484">
      <w:pPr>
        <w:pStyle w:val="ListParagraph"/>
        <w:tabs>
          <w:tab w:val="left" w:pos="1134"/>
        </w:tabs>
        <w:spacing w:line="358" w:lineRule="auto"/>
        <w:ind w:left="0" w:firstLine="709"/>
        <w:jc w:val="both"/>
        <w:rPr>
          <w:rFonts w:ascii="Verdana" w:hAnsi="Verdana" w:cs="TimokCYR"/>
        </w:rPr>
      </w:pPr>
      <w:r w:rsidRPr="00380D72">
        <w:rPr>
          <w:rFonts w:ascii="Verdana" w:hAnsi="Verdana" w:cs="TimokCYR"/>
          <w:b/>
        </w:rPr>
        <w:t xml:space="preserve">§ </w:t>
      </w:r>
      <w:r w:rsidR="0028048A">
        <w:rPr>
          <w:rFonts w:ascii="Verdana" w:hAnsi="Verdana" w:cs="TimokCYR"/>
          <w:b/>
        </w:rPr>
        <w:t>1</w:t>
      </w:r>
      <w:r w:rsidR="007D595A">
        <w:rPr>
          <w:rFonts w:ascii="Verdana" w:hAnsi="Verdana" w:cs="TimokCYR"/>
          <w:b/>
        </w:rPr>
        <w:t>3</w:t>
      </w:r>
      <w:r w:rsidRPr="00380D72">
        <w:rPr>
          <w:rFonts w:ascii="Verdana" w:hAnsi="Verdana" w:cs="TimokCYR"/>
          <w:b/>
        </w:rPr>
        <w:t>.</w:t>
      </w:r>
      <w:r w:rsidRPr="00380D72">
        <w:rPr>
          <w:rFonts w:ascii="Verdana" w:hAnsi="Verdana" w:cs="TimokCYR"/>
        </w:rPr>
        <w:t xml:space="preserve"> В </w:t>
      </w:r>
      <w:r w:rsidR="004D244E" w:rsidRPr="00380D72">
        <w:rPr>
          <w:rFonts w:ascii="Verdana" w:hAnsi="Verdana" w:cs="TimokCYR"/>
        </w:rPr>
        <w:t xml:space="preserve">чл. </w:t>
      </w:r>
      <w:r w:rsidR="001F5FB1">
        <w:rPr>
          <w:rFonts w:ascii="Verdana" w:hAnsi="Verdana" w:cs="TimokCYR"/>
        </w:rPr>
        <w:t>46</w:t>
      </w:r>
      <w:r w:rsidR="004D244E" w:rsidRPr="00380D72">
        <w:rPr>
          <w:rFonts w:ascii="Verdana" w:hAnsi="Verdana" w:cs="TimokCYR"/>
        </w:rPr>
        <w:t xml:space="preserve"> се правят следните изменения и допълнения:</w:t>
      </w:r>
    </w:p>
    <w:p w:rsidR="00062299" w:rsidRPr="002C3C97" w:rsidRDefault="004D244E" w:rsidP="008C5484">
      <w:pPr>
        <w:pStyle w:val="ListParagraph"/>
        <w:tabs>
          <w:tab w:val="left" w:pos="1134"/>
        </w:tabs>
        <w:spacing w:line="358" w:lineRule="auto"/>
        <w:ind w:left="0" w:firstLine="709"/>
        <w:jc w:val="both"/>
        <w:rPr>
          <w:rFonts w:ascii="Verdana" w:hAnsi="Verdana" w:cs="TimokCYR"/>
        </w:rPr>
      </w:pPr>
      <w:r w:rsidRPr="00380D72">
        <w:rPr>
          <w:rFonts w:ascii="Verdana" w:hAnsi="Verdana" w:cs="TimokCYR"/>
        </w:rPr>
        <w:t xml:space="preserve">1. В ал. 2 </w:t>
      </w:r>
      <w:r w:rsidR="001F5FB1">
        <w:rPr>
          <w:rFonts w:ascii="Verdana" w:hAnsi="Verdana" w:cs="TimokCYR"/>
        </w:rPr>
        <w:t>след думите „</w:t>
      </w:r>
      <w:r w:rsidR="001F5FB1" w:rsidRPr="001F5FB1">
        <w:rPr>
          <w:rFonts w:ascii="Verdana" w:hAnsi="Verdana" w:cs="TimokCYR"/>
        </w:rPr>
        <w:t>идентификация на животни в</w:t>
      </w:r>
      <w:r w:rsidR="001F5FB1">
        <w:rPr>
          <w:rFonts w:ascii="Verdana" w:hAnsi="Verdana" w:cs="TimokCYR"/>
        </w:rPr>
        <w:t>“ се добавя „</w:t>
      </w:r>
      <w:r w:rsidR="001F5FB1" w:rsidRPr="001F5FB1">
        <w:rPr>
          <w:rFonts w:ascii="Verdana" w:hAnsi="Verdana" w:cs="TimokCYR"/>
        </w:rPr>
        <w:t xml:space="preserve">срок до десет </w:t>
      </w:r>
      <w:r w:rsidR="001F5FB1" w:rsidRPr="002C3C97">
        <w:rPr>
          <w:rFonts w:ascii="Verdana" w:hAnsi="Verdana" w:cs="TimokCYR"/>
        </w:rPr>
        <w:t>работни дни след“.</w:t>
      </w:r>
    </w:p>
    <w:p w:rsidR="00EA7226" w:rsidRPr="002C3C97" w:rsidRDefault="00EA7226" w:rsidP="008C5484">
      <w:pPr>
        <w:pStyle w:val="ListParagraph"/>
        <w:tabs>
          <w:tab w:val="left" w:pos="1134"/>
        </w:tabs>
        <w:spacing w:line="358" w:lineRule="auto"/>
        <w:ind w:left="0" w:firstLine="709"/>
        <w:jc w:val="both"/>
        <w:rPr>
          <w:rFonts w:ascii="Verdana" w:hAnsi="Verdana" w:cs="TimokCYR"/>
        </w:rPr>
      </w:pPr>
      <w:r w:rsidRPr="002C3C97">
        <w:rPr>
          <w:rFonts w:ascii="Verdana" w:hAnsi="Verdana" w:cs="TimokCYR"/>
        </w:rPr>
        <w:t xml:space="preserve">2. В ал. 3 </w:t>
      </w:r>
      <w:r w:rsidR="00CB6C1B">
        <w:rPr>
          <w:rFonts w:ascii="Verdana" w:hAnsi="Verdana" w:cs="TimokCYR"/>
        </w:rPr>
        <w:t xml:space="preserve">навсякъде </w:t>
      </w:r>
      <w:r w:rsidR="002C3C97">
        <w:rPr>
          <w:rFonts w:ascii="Verdana" w:hAnsi="Verdana" w:cs="TimokCYR"/>
        </w:rPr>
        <w:t>цифрата</w:t>
      </w:r>
      <w:r w:rsidR="002C3C97" w:rsidRPr="002C3C97">
        <w:rPr>
          <w:rFonts w:ascii="Verdana" w:hAnsi="Verdana" w:cs="TimokCYR"/>
        </w:rPr>
        <w:t xml:space="preserve"> </w:t>
      </w:r>
      <w:r w:rsidRPr="002C3C97">
        <w:rPr>
          <w:rFonts w:ascii="Verdana" w:hAnsi="Verdana" w:cs="TimokCYR"/>
        </w:rPr>
        <w:t>„7“ се заменя с</w:t>
      </w:r>
      <w:r w:rsidR="002C3C97">
        <w:rPr>
          <w:rFonts w:ascii="Verdana" w:hAnsi="Verdana" w:cs="TimokCYR"/>
        </w:rPr>
        <w:t xml:space="preserve"> думата</w:t>
      </w:r>
      <w:r w:rsidRPr="002C3C97">
        <w:rPr>
          <w:rFonts w:ascii="Verdana" w:hAnsi="Verdana" w:cs="TimokCYR"/>
        </w:rPr>
        <w:t xml:space="preserve"> „десет“;</w:t>
      </w:r>
    </w:p>
    <w:p w:rsidR="00EA7226" w:rsidRPr="002C3C97" w:rsidRDefault="00EA7226" w:rsidP="008C5484">
      <w:pPr>
        <w:pStyle w:val="ListParagraph"/>
        <w:tabs>
          <w:tab w:val="left" w:pos="1134"/>
        </w:tabs>
        <w:spacing w:line="358" w:lineRule="auto"/>
        <w:ind w:left="0" w:firstLine="709"/>
        <w:jc w:val="both"/>
        <w:rPr>
          <w:rFonts w:ascii="Verdana" w:hAnsi="Verdana" w:cs="TimokCYR"/>
        </w:rPr>
      </w:pPr>
      <w:r w:rsidRPr="002C3C97">
        <w:rPr>
          <w:rFonts w:ascii="Verdana" w:hAnsi="Verdana" w:cs="TimokCYR"/>
        </w:rPr>
        <w:t>3. В ал. 4:</w:t>
      </w:r>
    </w:p>
    <w:p w:rsidR="001F5FB1" w:rsidRDefault="00CB6C1B" w:rsidP="008C5484">
      <w:pPr>
        <w:pStyle w:val="ListParagraph"/>
        <w:tabs>
          <w:tab w:val="left" w:pos="1134"/>
        </w:tabs>
        <w:spacing w:line="358" w:lineRule="auto"/>
        <w:ind w:left="0" w:firstLine="709"/>
        <w:jc w:val="both"/>
        <w:rPr>
          <w:rFonts w:ascii="Verdana" w:hAnsi="Verdana" w:cs="TimokCYR"/>
        </w:rPr>
      </w:pPr>
      <w:r>
        <w:rPr>
          <w:rFonts w:ascii="Verdana" w:hAnsi="Verdana" w:cs="TimokCYR"/>
        </w:rPr>
        <w:t>а) в</w:t>
      </w:r>
      <w:r w:rsidR="00EA7226" w:rsidRPr="002C3C97">
        <w:rPr>
          <w:rFonts w:ascii="Verdana" w:hAnsi="Verdana" w:cs="TimokCYR"/>
        </w:rPr>
        <w:t xml:space="preserve"> основния текст</w:t>
      </w:r>
      <w:r w:rsidR="00EA7226">
        <w:rPr>
          <w:rFonts w:ascii="Verdana" w:hAnsi="Verdana" w:cs="TimokCYR"/>
        </w:rPr>
        <w:t xml:space="preserve"> след думите „</w:t>
      </w:r>
      <w:r w:rsidR="00EA7226" w:rsidRPr="00EA7226">
        <w:rPr>
          <w:rFonts w:ascii="Verdana" w:hAnsi="Verdana" w:cs="TimokCYR"/>
        </w:rPr>
        <w:t>т. 15</w:t>
      </w:r>
      <w:r w:rsidR="00EA7226">
        <w:rPr>
          <w:rFonts w:ascii="Verdana" w:hAnsi="Verdana" w:cs="TimokCYR"/>
        </w:rPr>
        <w:t>“ се добавя</w:t>
      </w:r>
      <w:r w:rsidR="00C05BB0">
        <w:rPr>
          <w:rFonts w:ascii="Verdana" w:hAnsi="Verdana" w:cs="TimokCYR"/>
        </w:rPr>
        <w:t>т</w:t>
      </w:r>
      <w:r w:rsidR="00EA7226">
        <w:rPr>
          <w:rFonts w:ascii="Verdana" w:hAnsi="Verdana" w:cs="TimokCYR"/>
        </w:rPr>
        <w:t xml:space="preserve"> „</w:t>
      </w:r>
      <w:r w:rsidR="00EA7226" w:rsidRPr="00EA7226">
        <w:rPr>
          <w:rFonts w:ascii="Verdana" w:hAnsi="Verdana" w:cs="TimokCYR"/>
        </w:rPr>
        <w:t>и чл. 49, ал. 2, т. 13</w:t>
      </w:r>
      <w:r w:rsidR="00EA7226">
        <w:rPr>
          <w:rFonts w:ascii="Verdana" w:hAnsi="Verdana" w:cs="TimokCYR"/>
        </w:rPr>
        <w:t>“;</w:t>
      </w:r>
    </w:p>
    <w:p w:rsidR="00EA7226" w:rsidRDefault="00CB6C1B" w:rsidP="008C5484">
      <w:pPr>
        <w:pStyle w:val="ListParagraph"/>
        <w:tabs>
          <w:tab w:val="left" w:pos="1134"/>
        </w:tabs>
        <w:spacing w:line="358" w:lineRule="auto"/>
        <w:ind w:left="0" w:firstLine="709"/>
        <w:jc w:val="both"/>
        <w:rPr>
          <w:rFonts w:ascii="Verdana" w:hAnsi="Verdana" w:cs="TimokCYR"/>
        </w:rPr>
      </w:pPr>
      <w:r>
        <w:rPr>
          <w:rFonts w:ascii="Verdana" w:hAnsi="Verdana" w:cs="TimokCYR"/>
        </w:rPr>
        <w:t>б) с</w:t>
      </w:r>
      <w:r w:rsidR="00EA7226">
        <w:rPr>
          <w:rFonts w:ascii="Verdana" w:hAnsi="Verdana" w:cs="TimokCYR"/>
        </w:rPr>
        <w:t>ъздава се т. 3:</w:t>
      </w:r>
    </w:p>
    <w:p w:rsidR="007D595A" w:rsidRDefault="00EA7226" w:rsidP="008C5484">
      <w:pPr>
        <w:pStyle w:val="ListParagraph"/>
        <w:tabs>
          <w:tab w:val="left" w:pos="1134"/>
        </w:tabs>
        <w:spacing w:line="358" w:lineRule="auto"/>
        <w:ind w:left="0" w:firstLine="709"/>
        <w:jc w:val="both"/>
        <w:rPr>
          <w:rFonts w:ascii="Verdana" w:hAnsi="Verdana" w:cs="TimokCYR"/>
        </w:rPr>
      </w:pPr>
      <w:r>
        <w:rPr>
          <w:rFonts w:ascii="Verdana" w:hAnsi="Verdana" w:cs="TimokCYR"/>
        </w:rPr>
        <w:t>„</w:t>
      </w:r>
      <w:r w:rsidRPr="00EA7226">
        <w:rPr>
          <w:rFonts w:ascii="Verdana" w:hAnsi="Verdana" w:cs="TimokCYR"/>
        </w:rPr>
        <w:t>3. в срок до 5 януари операторите/групите от оператори, които са се възползвали от разрешенията по чл. 2, ал. 5, т. 7 и 8, предоставят на контролиращото лице информация за използвания небиологичен РРМ за предходната календарна година: вида, научното наименование, сорта, типа (семена, клубени, грудки, резници и др. растителни части) и използваното количество, изразено в общо тегло на семената в кг или в брой на растенията.</w:t>
      </w:r>
      <w:r w:rsidR="00C05BB0">
        <w:rPr>
          <w:rFonts w:ascii="Verdana" w:hAnsi="Verdana" w:cs="TimokCYR"/>
        </w:rPr>
        <w:t>“</w:t>
      </w:r>
    </w:p>
    <w:p w:rsidR="001642FF" w:rsidRPr="003B576F" w:rsidRDefault="001642FF" w:rsidP="008C5484">
      <w:pPr>
        <w:pStyle w:val="ListParagraph"/>
        <w:tabs>
          <w:tab w:val="left" w:pos="1134"/>
        </w:tabs>
        <w:spacing w:line="358" w:lineRule="auto"/>
        <w:ind w:left="0" w:firstLine="709"/>
        <w:jc w:val="both"/>
        <w:rPr>
          <w:rFonts w:ascii="Verdana" w:hAnsi="Verdana" w:cs="TimokCYR"/>
        </w:rPr>
      </w:pPr>
    </w:p>
    <w:p w:rsidR="005C1281" w:rsidRDefault="00C25CE1" w:rsidP="008C5484">
      <w:pPr>
        <w:pStyle w:val="ListParagraph"/>
        <w:tabs>
          <w:tab w:val="left" w:pos="1134"/>
        </w:tabs>
        <w:spacing w:line="358" w:lineRule="auto"/>
        <w:ind w:left="0" w:firstLine="709"/>
        <w:jc w:val="both"/>
        <w:rPr>
          <w:rFonts w:ascii="Verdana" w:hAnsi="Verdana" w:cs="TimokCYR"/>
        </w:rPr>
      </w:pPr>
      <w:r w:rsidRPr="00380D72">
        <w:rPr>
          <w:rFonts w:ascii="Verdana" w:hAnsi="Verdana" w:cs="TimokCYR"/>
          <w:b/>
        </w:rPr>
        <w:t xml:space="preserve">§ </w:t>
      </w:r>
      <w:r w:rsidR="0028048A">
        <w:rPr>
          <w:rFonts w:ascii="Verdana" w:hAnsi="Verdana" w:cs="TimokCYR"/>
          <w:b/>
        </w:rPr>
        <w:t>1</w:t>
      </w:r>
      <w:r w:rsidR="007D595A">
        <w:rPr>
          <w:rFonts w:ascii="Verdana" w:hAnsi="Verdana" w:cs="TimokCYR"/>
          <w:b/>
        </w:rPr>
        <w:t>4</w:t>
      </w:r>
      <w:r w:rsidRPr="00380D72">
        <w:rPr>
          <w:rFonts w:ascii="Verdana" w:hAnsi="Verdana" w:cs="TimokCYR"/>
          <w:b/>
        </w:rPr>
        <w:t>.</w:t>
      </w:r>
      <w:r w:rsidRPr="00380D72">
        <w:rPr>
          <w:rFonts w:ascii="Verdana" w:hAnsi="Verdana" w:cs="TimokCYR"/>
        </w:rPr>
        <w:t xml:space="preserve"> В </w:t>
      </w:r>
      <w:r w:rsidR="005C1281" w:rsidRPr="00380D72">
        <w:rPr>
          <w:rFonts w:ascii="Verdana" w:hAnsi="Verdana" w:cs="TimokCYR"/>
        </w:rPr>
        <w:t xml:space="preserve">чл. </w:t>
      </w:r>
      <w:r w:rsidR="00427AAC">
        <w:rPr>
          <w:rFonts w:ascii="Verdana" w:hAnsi="Verdana" w:cs="TimokCYR"/>
        </w:rPr>
        <w:t>46</w:t>
      </w:r>
      <w:r w:rsidR="001642FF">
        <w:rPr>
          <w:rFonts w:ascii="Verdana" w:hAnsi="Verdana" w:cs="TimokCYR"/>
        </w:rPr>
        <w:t>а</w:t>
      </w:r>
      <w:r w:rsidR="005C1281" w:rsidRPr="00380D72">
        <w:rPr>
          <w:rFonts w:ascii="Verdana" w:hAnsi="Verdana" w:cs="TimokCYR"/>
        </w:rPr>
        <w:t xml:space="preserve"> се правят следните изменения и допълнения:</w:t>
      </w:r>
    </w:p>
    <w:p w:rsidR="00CB6C1B" w:rsidRDefault="00F9002C" w:rsidP="008C5484">
      <w:pPr>
        <w:pStyle w:val="ListParagraph"/>
        <w:tabs>
          <w:tab w:val="left" w:pos="1134"/>
        </w:tabs>
        <w:spacing w:line="358" w:lineRule="auto"/>
        <w:ind w:left="0" w:firstLine="709"/>
        <w:jc w:val="both"/>
        <w:rPr>
          <w:rFonts w:ascii="Verdana" w:hAnsi="Verdana" w:cs="TimokCYR"/>
        </w:rPr>
      </w:pPr>
      <w:r>
        <w:rPr>
          <w:rFonts w:ascii="Verdana" w:hAnsi="Verdana" w:cs="TimokCYR"/>
        </w:rPr>
        <w:t xml:space="preserve">1. </w:t>
      </w:r>
      <w:r w:rsidR="00427AAC">
        <w:rPr>
          <w:rFonts w:ascii="Verdana" w:hAnsi="Verdana" w:cs="TimokCYR"/>
        </w:rPr>
        <w:t xml:space="preserve">Основния текст става ал. 1 и </w:t>
      </w:r>
      <w:r w:rsidR="00CB6C1B">
        <w:rPr>
          <w:rFonts w:ascii="Verdana" w:hAnsi="Verdana" w:cs="TimokCYR"/>
        </w:rPr>
        <w:t>се изменя така</w:t>
      </w:r>
    </w:p>
    <w:p w:rsidR="00CB6C1B" w:rsidRDefault="00CB6C1B" w:rsidP="008C5484">
      <w:pPr>
        <w:pStyle w:val="ListParagraph"/>
        <w:tabs>
          <w:tab w:val="left" w:pos="1134"/>
        </w:tabs>
        <w:spacing w:line="358" w:lineRule="auto"/>
        <w:ind w:left="0" w:firstLine="709"/>
        <w:jc w:val="both"/>
        <w:rPr>
          <w:rFonts w:ascii="Verdana" w:hAnsi="Verdana" w:cs="TimokCYR"/>
        </w:rPr>
      </w:pPr>
      <w:r>
        <w:rPr>
          <w:rFonts w:ascii="Verdana" w:hAnsi="Verdana" w:cs="TimokCYR"/>
        </w:rPr>
        <w:t xml:space="preserve">„(1) </w:t>
      </w:r>
      <w:r w:rsidRPr="00CB6C1B">
        <w:rPr>
          <w:rFonts w:ascii="Verdana" w:hAnsi="Verdana" w:cs="TimokCYR"/>
        </w:rPr>
        <w:t xml:space="preserve">Компетентното звено въвежда в регистъра по чл. 45, ал. 1 информация за заповедите на министъра на земеделието </w:t>
      </w:r>
      <w:r>
        <w:rPr>
          <w:rFonts w:ascii="Verdana" w:hAnsi="Verdana" w:cs="TimokCYR"/>
        </w:rPr>
        <w:t xml:space="preserve">и храните </w:t>
      </w:r>
      <w:r w:rsidRPr="00CB6C1B">
        <w:rPr>
          <w:rFonts w:ascii="Verdana" w:hAnsi="Verdana" w:cs="TimokCYR"/>
        </w:rPr>
        <w:t>по чл. 2, ал. 5, т. 1, 2, 3, 4, 5, 6, 9 и 11, издадени на индивидуални оператори - в срок от 7 работни дни от издаването им.</w:t>
      </w:r>
      <w:r>
        <w:rPr>
          <w:rFonts w:ascii="Verdana" w:hAnsi="Verdana" w:cs="TimokCYR"/>
        </w:rPr>
        <w:t>“.</w:t>
      </w:r>
    </w:p>
    <w:p w:rsidR="00427AAC" w:rsidRDefault="00EE75D8" w:rsidP="008C5484">
      <w:pPr>
        <w:pStyle w:val="ListParagraph"/>
        <w:tabs>
          <w:tab w:val="left" w:pos="1134"/>
        </w:tabs>
        <w:spacing w:line="358" w:lineRule="auto"/>
        <w:ind w:left="0" w:firstLine="709"/>
        <w:jc w:val="both"/>
        <w:rPr>
          <w:rFonts w:ascii="Verdana" w:hAnsi="Verdana" w:cs="TimokCYR"/>
        </w:rPr>
      </w:pPr>
      <w:r>
        <w:rPr>
          <w:rFonts w:ascii="Verdana" w:hAnsi="Verdana" w:cs="TimokCYR"/>
        </w:rPr>
        <w:t>2. Създава се ал. 2:</w:t>
      </w:r>
    </w:p>
    <w:p w:rsidR="00EE75D8" w:rsidRPr="00EE75D8" w:rsidRDefault="00EE75D8" w:rsidP="008C5484">
      <w:pPr>
        <w:pStyle w:val="ListParagraph"/>
        <w:tabs>
          <w:tab w:val="left" w:pos="1134"/>
        </w:tabs>
        <w:spacing w:line="358" w:lineRule="auto"/>
        <w:ind w:left="0" w:firstLine="709"/>
        <w:jc w:val="both"/>
        <w:rPr>
          <w:rFonts w:ascii="Verdana" w:hAnsi="Verdana" w:cs="TimokCYR"/>
        </w:rPr>
      </w:pPr>
      <w:r>
        <w:rPr>
          <w:rFonts w:ascii="Verdana" w:hAnsi="Verdana" w:cs="TimokCYR"/>
        </w:rPr>
        <w:t>„</w:t>
      </w:r>
      <w:r w:rsidRPr="00EE75D8">
        <w:rPr>
          <w:rFonts w:ascii="Verdana" w:hAnsi="Verdana" w:cs="TimokCYR"/>
        </w:rPr>
        <w:t xml:space="preserve">(2) Заповедите на министъра на земеделието и храните по чл. 2, ал. 5, т. 7, 8, 9 и 10, издадени за всички оператори/групи от оператори или за даден район се публикуват на </w:t>
      </w:r>
      <w:r>
        <w:rPr>
          <w:rFonts w:ascii="Verdana" w:hAnsi="Verdana" w:cs="TimokCYR"/>
        </w:rPr>
        <w:t>и</w:t>
      </w:r>
      <w:r w:rsidRPr="00EE75D8">
        <w:rPr>
          <w:rFonts w:ascii="Verdana" w:hAnsi="Verdana" w:cs="TimokCYR"/>
        </w:rPr>
        <w:t xml:space="preserve">нтернет страницата на МЗХ в срок </w:t>
      </w:r>
      <w:r w:rsidR="00B91455">
        <w:rPr>
          <w:rFonts w:ascii="Verdana" w:hAnsi="Verdana" w:cs="TimokCYR"/>
        </w:rPr>
        <w:t>до</w:t>
      </w:r>
      <w:r w:rsidR="00B91455" w:rsidRPr="00EE75D8">
        <w:rPr>
          <w:rFonts w:ascii="Verdana" w:hAnsi="Verdana" w:cs="TimokCYR"/>
        </w:rPr>
        <w:t xml:space="preserve"> </w:t>
      </w:r>
      <w:r w:rsidRPr="00EE75D8">
        <w:rPr>
          <w:rFonts w:ascii="Verdana" w:hAnsi="Verdana" w:cs="TimokCYR"/>
        </w:rPr>
        <w:t>3 работни дни от издаването им.</w:t>
      </w:r>
      <w:r>
        <w:rPr>
          <w:rFonts w:ascii="Verdana" w:hAnsi="Verdana" w:cs="TimokCYR"/>
        </w:rPr>
        <w:t>“</w:t>
      </w:r>
    </w:p>
    <w:p w:rsidR="005372CB" w:rsidRPr="003B576F" w:rsidRDefault="005372CB" w:rsidP="008C5484">
      <w:pPr>
        <w:pStyle w:val="ListParagraph"/>
        <w:tabs>
          <w:tab w:val="left" w:pos="1134"/>
        </w:tabs>
        <w:spacing w:line="358" w:lineRule="auto"/>
        <w:ind w:left="0" w:firstLine="709"/>
        <w:jc w:val="both"/>
        <w:rPr>
          <w:rFonts w:ascii="Verdana" w:hAnsi="Verdana" w:cs="TimokCYR"/>
        </w:rPr>
      </w:pPr>
    </w:p>
    <w:p w:rsidR="00E3412A" w:rsidRDefault="008B22F6" w:rsidP="008C5484">
      <w:pPr>
        <w:pStyle w:val="ListParagraph"/>
        <w:tabs>
          <w:tab w:val="left" w:pos="1134"/>
        </w:tabs>
        <w:spacing w:line="358" w:lineRule="auto"/>
        <w:ind w:left="0" w:firstLine="709"/>
        <w:jc w:val="both"/>
        <w:rPr>
          <w:rFonts w:ascii="Verdana" w:hAnsi="Verdana" w:cs="TimokCYR"/>
        </w:rPr>
      </w:pPr>
      <w:r w:rsidRPr="00380D72">
        <w:rPr>
          <w:rFonts w:ascii="Verdana" w:hAnsi="Verdana" w:cs="TimokCYR"/>
          <w:b/>
        </w:rPr>
        <w:t>§ 1</w:t>
      </w:r>
      <w:r w:rsidR="007D595A">
        <w:rPr>
          <w:rFonts w:ascii="Verdana" w:hAnsi="Verdana" w:cs="TimokCYR"/>
          <w:b/>
        </w:rPr>
        <w:t>5</w:t>
      </w:r>
      <w:r w:rsidRPr="00380D72">
        <w:rPr>
          <w:rFonts w:ascii="Verdana" w:hAnsi="Verdana" w:cs="TimokCYR"/>
          <w:b/>
        </w:rPr>
        <w:t>.</w:t>
      </w:r>
      <w:r w:rsidRPr="00380D72">
        <w:rPr>
          <w:rFonts w:ascii="Verdana" w:hAnsi="Verdana" w:cs="TimokCYR"/>
        </w:rPr>
        <w:t xml:space="preserve"> В </w:t>
      </w:r>
      <w:r w:rsidR="00E3412A">
        <w:rPr>
          <w:rFonts w:ascii="Verdana" w:hAnsi="Verdana" w:cs="TimokCYR"/>
        </w:rPr>
        <w:t xml:space="preserve">чл. </w:t>
      </w:r>
      <w:r w:rsidR="00B37E71">
        <w:rPr>
          <w:rFonts w:ascii="Verdana" w:hAnsi="Verdana" w:cs="TimokCYR"/>
        </w:rPr>
        <w:t>48</w:t>
      </w:r>
      <w:r w:rsidR="00E3412A">
        <w:rPr>
          <w:rFonts w:ascii="Verdana" w:hAnsi="Verdana" w:cs="TimokCYR"/>
        </w:rPr>
        <w:t xml:space="preserve"> се правят следните изменения и допълнения:</w:t>
      </w:r>
    </w:p>
    <w:p w:rsidR="00FA1E5B" w:rsidRDefault="00FA1E5B" w:rsidP="008C5484">
      <w:pPr>
        <w:pStyle w:val="ListParagraph"/>
        <w:tabs>
          <w:tab w:val="left" w:pos="1134"/>
        </w:tabs>
        <w:spacing w:line="358" w:lineRule="auto"/>
        <w:ind w:left="0" w:firstLine="709"/>
        <w:jc w:val="both"/>
        <w:rPr>
          <w:rFonts w:ascii="Verdana" w:hAnsi="Verdana" w:cs="TimokCYR"/>
        </w:rPr>
      </w:pPr>
      <w:r w:rsidRPr="00FA1E5B">
        <w:rPr>
          <w:rFonts w:ascii="Verdana" w:hAnsi="Verdana" w:cs="TimokCYR"/>
        </w:rPr>
        <w:t>1. В ал. 3 думите „Министерството на земеделието“ се заменят с „Министерството на земеделието и храните“.</w:t>
      </w:r>
    </w:p>
    <w:p w:rsidR="00B37E71" w:rsidRDefault="00366C7E" w:rsidP="008C5484">
      <w:pPr>
        <w:pStyle w:val="ListParagraph"/>
        <w:tabs>
          <w:tab w:val="left" w:pos="1134"/>
        </w:tabs>
        <w:spacing w:line="358" w:lineRule="auto"/>
        <w:ind w:left="0" w:firstLine="709"/>
        <w:jc w:val="both"/>
        <w:rPr>
          <w:rFonts w:ascii="Verdana" w:hAnsi="Verdana" w:cs="TimokCYR"/>
        </w:rPr>
      </w:pPr>
      <w:r>
        <w:rPr>
          <w:rFonts w:ascii="Verdana" w:hAnsi="Verdana" w:cs="TimokCYR"/>
        </w:rPr>
        <w:t>2</w:t>
      </w:r>
      <w:r w:rsidR="00B37E71">
        <w:rPr>
          <w:rFonts w:ascii="Verdana" w:hAnsi="Verdana" w:cs="TimokCYR"/>
        </w:rPr>
        <w:t xml:space="preserve">. В ал. 6 </w:t>
      </w:r>
      <w:r w:rsidR="003C691E">
        <w:rPr>
          <w:rFonts w:ascii="Verdana" w:hAnsi="Verdana" w:cs="TimokCYR"/>
        </w:rPr>
        <w:t>думите „</w:t>
      </w:r>
      <w:r w:rsidR="00AA73A1">
        <w:rPr>
          <w:rFonts w:ascii="Verdana" w:hAnsi="Verdana" w:cs="TimokCYR"/>
        </w:rPr>
        <w:t>Държавен фонд „Земеделие“</w:t>
      </w:r>
      <w:r w:rsidR="00773784" w:rsidRPr="00773784">
        <w:rPr>
          <w:rFonts w:ascii="Verdana" w:hAnsi="Verdana" w:cs="TimokCYR"/>
        </w:rPr>
        <w:t xml:space="preserve"> - Разплащателна агенция</w:t>
      </w:r>
      <w:r w:rsidR="003C691E">
        <w:rPr>
          <w:rFonts w:ascii="Verdana" w:hAnsi="Verdana" w:cs="TimokCYR"/>
        </w:rPr>
        <w:t xml:space="preserve">“ се </w:t>
      </w:r>
      <w:r w:rsidR="00773784">
        <w:rPr>
          <w:rFonts w:ascii="Verdana" w:hAnsi="Verdana" w:cs="TimokCYR"/>
        </w:rPr>
        <w:lastRenderedPageBreak/>
        <w:t>заменят с „ДФЗ“</w:t>
      </w:r>
      <w:r w:rsidR="00BC2611">
        <w:rPr>
          <w:rFonts w:ascii="Verdana" w:hAnsi="Verdana" w:cs="TimokCYR"/>
        </w:rPr>
        <w:t>, а</w:t>
      </w:r>
      <w:r w:rsidR="00B37E71">
        <w:rPr>
          <w:rFonts w:ascii="Verdana" w:hAnsi="Verdana" w:cs="TimokCYR"/>
        </w:rPr>
        <w:t xml:space="preserve"> „</w:t>
      </w:r>
      <w:r w:rsidR="00B37E71" w:rsidRPr="00B37E71">
        <w:rPr>
          <w:rFonts w:ascii="Verdana" w:hAnsi="Verdana" w:cs="TimokCYR"/>
        </w:rPr>
        <w:t>до 3 работни дни</w:t>
      </w:r>
      <w:r w:rsidR="00B37E71">
        <w:rPr>
          <w:rFonts w:ascii="Verdana" w:hAnsi="Verdana" w:cs="TimokCYR"/>
        </w:rPr>
        <w:t xml:space="preserve">“ се заменят с </w:t>
      </w:r>
      <w:r w:rsidR="00EC484E">
        <w:rPr>
          <w:rFonts w:ascii="Verdana" w:hAnsi="Verdana" w:cs="TimokCYR"/>
        </w:rPr>
        <w:t>„</w:t>
      </w:r>
      <w:r w:rsidR="00B37E71">
        <w:rPr>
          <w:rFonts w:ascii="Verdana" w:hAnsi="Verdana" w:cs="TimokCYR"/>
        </w:rPr>
        <w:t>до пет работни дни“.</w:t>
      </w:r>
    </w:p>
    <w:p w:rsidR="00B37E71" w:rsidRDefault="00366C7E" w:rsidP="008C5484">
      <w:pPr>
        <w:pStyle w:val="ListParagraph"/>
        <w:tabs>
          <w:tab w:val="left" w:pos="1134"/>
        </w:tabs>
        <w:spacing w:line="358" w:lineRule="auto"/>
        <w:ind w:left="0" w:firstLine="709"/>
        <w:jc w:val="both"/>
        <w:rPr>
          <w:rFonts w:ascii="Verdana" w:hAnsi="Verdana" w:cs="TimokCYR"/>
        </w:rPr>
      </w:pPr>
      <w:r>
        <w:rPr>
          <w:rFonts w:ascii="Verdana" w:hAnsi="Verdana" w:cs="TimokCYR"/>
        </w:rPr>
        <w:t>3</w:t>
      </w:r>
      <w:r w:rsidR="00EC484E">
        <w:rPr>
          <w:rFonts w:ascii="Verdana" w:hAnsi="Verdana" w:cs="TimokCYR"/>
        </w:rPr>
        <w:t>. Създава се</w:t>
      </w:r>
      <w:r w:rsidR="00B37E71">
        <w:rPr>
          <w:rFonts w:ascii="Verdana" w:hAnsi="Verdana" w:cs="TimokCYR"/>
        </w:rPr>
        <w:t xml:space="preserve"> ал. 10</w:t>
      </w:r>
      <w:r w:rsidR="00EC484E">
        <w:rPr>
          <w:rFonts w:ascii="Verdana" w:hAnsi="Verdana" w:cs="TimokCYR"/>
        </w:rPr>
        <w:t>а</w:t>
      </w:r>
      <w:r w:rsidR="00B37E71">
        <w:rPr>
          <w:rFonts w:ascii="Verdana" w:hAnsi="Verdana" w:cs="TimokCYR"/>
        </w:rPr>
        <w:t>:</w:t>
      </w:r>
    </w:p>
    <w:p w:rsidR="00B37E71" w:rsidRDefault="00B37E71" w:rsidP="008C5484">
      <w:pPr>
        <w:pStyle w:val="ListParagraph"/>
        <w:tabs>
          <w:tab w:val="left" w:pos="1134"/>
        </w:tabs>
        <w:spacing w:line="358" w:lineRule="auto"/>
        <w:ind w:left="0" w:firstLine="709"/>
        <w:jc w:val="both"/>
        <w:rPr>
          <w:rFonts w:ascii="Verdana" w:hAnsi="Verdana" w:cs="TimokCYR"/>
        </w:rPr>
      </w:pPr>
      <w:r>
        <w:rPr>
          <w:rFonts w:ascii="Verdana" w:hAnsi="Verdana" w:cs="TimokCYR"/>
        </w:rPr>
        <w:t>„</w:t>
      </w:r>
      <w:r w:rsidRPr="00B37E71">
        <w:rPr>
          <w:rFonts w:ascii="Verdana" w:hAnsi="Verdana" w:cs="TimokCYR"/>
        </w:rPr>
        <w:t>(10</w:t>
      </w:r>
      <w:r w:rsidR="00EC484E">
        <w:rPr>
          <w:rFonts w:ascii="Verdana" w:hAnsi="Verdana" w:cs="TimokCYR"/>
        </w:rPr>
        <w:t>а</w:t>
      </w:r>
      <w:r w:rsidRPr="00B37E71">
        <w:rPr>
          <w:rFonts w:ascii="Verdana" w:hAnsi="Verdana" w:cs="TimokCYR"/>
        </w:rPr>
        <w:t>) В сертификатите, издавани за дейности „Разпространение/Пускане на пазара“,</w:t>
      </w:r>
      <w:r>
        <w:rPr>
          <w:rFonts w:ascii="Verdana" w:hAnsi="Verdana" w:cs="TimokCYR"/>
        </w:rPr>
        <w:t xml:space="preserve"> „Внос“, „Износ“ и „Съхранение“ в т. 1 на част II „</w:t>
      </w:r>
      <w:r w:rsidRPr="00B37E71">
        <w:rPr>
          <w:rFonts w:ascii="Verdana" w:hAnsi="Verdana" w:cs="TimokCYR"/>
        </w:rPr>
        <w:t>Специфични незадължителни елементи</w:t>
      </w:r>
      <w:r>
        <w:rPr>
          <w:rFonts w:ascii="Verdana" w:hAnsi="Verdana" w:cs="TimokCYR"/>
        </w:rPr>
        <w:t>“</w:t>
      </w:r>
      <w:r w:rsidRPr="00B37E71">
        <w:rPr>
          <w:rFonts w:ascii="Verdana" w:hAnsi="Verdana" w:cs="TimokCYR"/>
        </w:rPr>
        <w:t xml:space="preserve"> се попълва само наименованието на групата продукти по Комбинираната номенклатура. Информацията по т. 2 от същата част остава незадължителен елемент за попълване.</w:t>
      </w:r>
      <w:r>
        <w:rPr>
          <w:rFonts w:ascii="Verdana" w:hAnsi="Verdana" w:cs="TimokCYR"/>
        </w:rPr>
        <w:t>“</w:t>
      </w:r>
    </w:p>
    <w:p w:rsidR="00557F44" w:rsidRPr="003B576F" w:rsidRDefault="00557F44" w:rsidP="008C5484">
      <w:pPr>
        <w:pStyle w:val="ListParagraph"/>
        <w:tabs>
          <w:tab w:val="left" w:pos="1134"/>
        </w:tabs>
        <w:spacing w:line="358" w:lineRule="auto"/>
        <w:ind w:left="0" w:firstLine="709"/>
        <w:jc w:val="both"/>
        <w:rPr>
          <w:rFonts w:ascii="Verdana" w:hAnsi="Verdana" w:cs="TimokCYR"/>
        </w:rPr>
      </w:pPr>
    </w:p>
    <w:p w:rsidR="006F27C0" w:rsidRPr="00380D72" w:rsidRDefault="008B22F6" w:rsidP="008C5484">
      <w:pPr>
        <w:pStyle w:val="ListParagraph"/>
        <w:tabs>
          <w:tab w:val="left" w:pos="1134"/>
        </w:tabs>
        <w:spacing w:line="358" w:lineRule="auto"/>
        <w:ind w:left="0" w:firstLine="709"/>
        <w:jc w:val="both"/>
        <w:rPr>
          <w:rFonts w:ascii="Verdana" w:hAnsi="Verdana" w:cs="TimokCYR"/>
        </w:rPr>
      </w:pPr>
      <w:r w:rsidRPr="00380D72">
        <w:rPr>
          <w:rFonts w:ascii="Verdana" w:hAnsi="Verdana" w:cs="TimokCYR"/>
          <w:b/>
        </w:rPr>
        <w:t>§ 1</w:t>
      </w:r>
      <w:r w:rsidR="007D595A">
        <w:rPr>
          <w:rFonts w:ascii="Verdana" w:hAnsi="Verdana" w:cs="TimokCYR"/>
          <w:b/>
        </w:rPr>
        <w:t>6</w:t>
      </w:r>
      <w:r w:rsidRPr="00380D72">
        <w:rPr>
          <w:rFonts w:ascii="Verdana" w:hAnsi="Verdana" w:cs="TimokCYR"/>
          <w:b/>
        </w:rPr>
        <w:t>.</w:t>
      </w:r>
      <w:r w:rsidRPr="00380D72">
        <w:rPr>
          <w:rFonts w:ascii="Verdana" w:hAnsi="Verdana" w:cs="TimokCYR"/>
        </w:rPr>
        <w:t xml:space="preserve"> В </w:t>
      </w:r>
      <w:r w:rsidR="006F27C0" w:rsidRPr="00380D72">
        <w:rPr>
          <w:rFonts w:ascii="Verdana" w:hAnsi="Verdana" w:cs="TimokCYR"/>
        </w:rPr>
        <w:t xml:space="preserve">чл. </w:t>
      </w:r>
      <w:r w:rsidR="00B37E71">
        <w:rPr>
          <w:rFonts w:ascii="Verdana" w:hAnsi="Verdana" w:cs="TimokCYR"/>
        </w:rPr>
        <w:t>49</w:t>
      </w:r>
      <w:r w:rsidR="00DD3753">
        <w:rPr>
          <w:rFonts w:ascii="Verdana" w:hAnsi="Verdana" w:cs="TimokCYR"/>
        </w:rPr>
        <w:t>, ал. 2</w:t>
      </w:r>
      <w:r w:rsidR="006F27C0" w:rsidRPr="00380D72">
        <w:rPr>
          <w:rFonts w:ascii="Verdana" w:hAnsi="Verdana" w:cs="TimokCYR"/>
        </w:rPr>
        <w:t xml:space="preserve"> се правят следните изменения и допълнения:</w:t>
      </w:r>
    </w:p>
    <w:p w:rsidR="009550A3" w:rsidRDefault="00DD3753" w:rsidP="008C5484">
      <w:pPr>
        <w:pStyle w:val="ListParagraph"/>
        <w:tabs>
          <w:tab w:val="left" w:pos="1134"/>
        </w:tabs>
        <w:spacing w:line="358" w:lineRule="auto"/>
        <w:ind w:left="0" w:firstLine="709"/>
        <w:jc w:val="both"/>
        <w:rPr>
          <w:rFonts w:ascii="Verdana" w:hAnsi="Verdana" w:cs="TimokCYR"/>
        </w:rPr>
      </w:pPr>
      <w:r>
        <w:rPr>
          <w:rFonts w:ascii="Verdana" w:hAnsi="Verdana" w:cs="TimokCYR"/>
        </w:rPr>
        <w:t>1.</w:t>
      </w:r>
      <w:r w:rsidR="005C7A65">
        <w:rPr>
          <w:rFonts w:ascii="Verdana" w:hAnsi="Verdana" w:cs="TimokCYR"/>
        </w:rPr>
        <w:t xml:space="preserve"> В </w:t>
      </w:r>
      <w:r w:rsidR="00B37E71">
        <w:rPr>
          <w:rFonts w:ascii="Verdana" w:hAnsi="Verdana" w:cs="TimokCYR"/>
        </w:rPr>
        <w:t>т.1 след думите „</w:t>
      </w:r>
      <w:r w:rsidR="00B37E71" w:rsidRPr="00B37E71">
        <w:rPr>
          <w:rFonts w:ascii="Verdana" w:hAnsi="Verdana" w:cs="TimokCYR"/>
        </w:rPr>
        <w:t>по ал. 3</w:t>
      </w:r>
      <w:r w:rsidR="00B37E71">
        <w:rPr>
          <w:rFonts w:ascii="Verdana" w:hAnsi="Verdana" w:cs="TimokCYR"/>
        </w:rPr>
        <w:t>“ се добавя „</w:t>
      </w:r>
      <w:r w:rsidR="00B37E71" w:rsidRPr="00B37E71">
        <w:rPr>
          <w:rFonts w:ascii="Verdana" w:hAnsi="Verdana" w:cs="TimokCYR"/>
        </w:rPr>
        <w:t>които не включват взети проби при официални ра</w:t>
      </w:r>
      <w:r w:rsidR="00B37E71">
        <w:rPr>
          <w:rFonts w:ascii="Verdana" w:hAnsi="Verdana" w:cs="TimokCYR"/>
        </w:rPr>
        <w:t>зследвания или ОFIS нотификации“</w:t>
      </w:r>
      <w:r w:rsidR="00401DBA">
        <w:rPr>
          <w:rFonts w:ascii="Verdana" w:hAnsi="Verdana" w:cs="TimokCYR"/>
        </w:rPr>
        <w:t>.</w:t>
      </w:r>
    </w:p>
    <w:p w:rsidR="005C7A65" w:rsidRDefault="00DD3753" w:rsidP="008C5484">
      <w:pPr>
        <w:pStyle w:val="ListParagraph"/>
        <w:tabs>
          <w:tab w:val="left" w:pos="1134"/>
        </w:tabs>
        <w:spacing w:line="358" w:lineRule="auto"/>
        <w:ind w:left="0" w:firstLine="709"/>
        <w:jc w:val="both"/>
        <w:rPr>
          <w:rFonts w:ascii="Verdana" w:hAnsi="Verdana" w:cs="TimokCYR"/>
        </w:rPr>
      </w:pPr>
      <w:r>
        <w:rPr>
          <w:rFonts w:ascii="Verdana" w:hAnsi="Verdana" w:cs="TimokCYR"/>
        </w:rPr>
        <w:t>2.</w:t>
      </w:r>
      <w:r w:rsidR="005C7A65">
        <w:rPr>
          <w:rFonts w:ascii="Verdana" w:hAnsi="Verdana" w:cs="TimokCYR"/>
        </w:rPr>
        <w:t xml:space="preserve"> Точка 6 </w:t>
      </w:r>
      <w:r w:rsidR="00E11DAE" w:rsidRPr="00E11DAE">
        <w:rPr>
          <w:rFonts w:ascii="Verdana" w:hAnsi="Verdana" w:cs="TimokCYR"/>
        </w:rPr>
        <w:t>се изменя така:</w:t>
      </w:r>
    </w:p>
    <w:p w:rsidR="005C7A65" w:rsidRPr="00B37E71" w:rsidRDefault="005C7A65" w:rsidP="008C5484">
      <w:pPr>
        <w:pStyle w:val="ListParagraph"/>
        <w:tabs>
          <w:tab w:val="left" w:pos="1134"/>
        </w:tabs>
        <w:spacing w:line="358" w:lineRule="auto"/>
        <w:ind w:left="0" w:firstLine="709"/>
        <w:jc w:val="both"/>
        <w:rPr>
          <w:rFonts w:ascii="Verdana" w:hAnsi="Verdana" w:cs="TimokCYR"/>
        </w:rPr>
      </w:pPr>
      <w:r>
        <w:rPr>
          <w:rFonts w:ascii="Verdana" w:hAnsi="Verdana" w:cs="TimokCYR"/>
        </w:rPr>
        <w:t>„</w:t>
      </w:r>
      <w:r w:rsidR="00A37456">
        <w:rPr>
          <w:rFonts w:ascii="Verdana" w:hAnsi="Verdana" w:cs="TimokCYR"/>
        </w:rPr>
        <w:t xml:space="preserve">6. </w:t>
      </w:r>
      <w:r w:rsidRPr="005C7A65">
        <w:rPr>
          <w:rFonts w:ascii="Verdana" w:hAnsi="Verdana" w:cs="TimokCYR"/>
        </w:rPr>
        <w:t>следят за изпълнението на наложени мерки по чл. 48, ал. 6, при преминаване на оператор, съответно подизпълнител, от едно контролиращо лице към друго;</w:t>
      </w:r>
      <w:r>
        <w:rPr>
          <w:rFonts w:ascii="Verdana" w:hAnsi="Verdana" w:cs="TimokCYR"/>
        </w:rPr>
        <w:t>“</w:t>
      </w:r>
    </w:p>
    <w:p w:rsidR="00B37E71" w:rsidRPr="009A6C5D" w:rsidRDefault="00DD3753" w:rsidP="008C5484">
      <w:pPr>
        <w:pStyle w:val="ListParagraph"/>
        <w:tabs>
          <w:tab w:val="left" w:pos="1134"/>
        </w:tabs>
        <w:spacing w:line="358" w:lineRule="auto"/>
        <w:ind w:left="0" w:firstLine="709"/>
        <w:jc w:val="both"/>
        <w:rPr>
          <w:rFonts w:ascii="Verdana" w:hAnsi="Verdana" w:cs="TimokCYR"/>
        </w:rPr>
      </w:pPr>
      <w:r>
        <w:rPr>
          <w:rFonts w:ascii="Verdana" w:hAnsi="Verdana" w:cs="TimokCYR"/>
        </w:rPr>
        <w:t>3.</w:t>
      </w:r>
      <w:r w:rsidR="009A6C5D" w:rsidRPr="009A6C5D">
        <w:rPr>
          <w:rFonts w:ascii="Verdana" w:hAnsi="Verdana" w:cs="TimokCYR"/>
        </w:rPr>
        <w:t xml:space="preserve"> В т. 13 се създава </w:t>
      </w:r>
      <w:r w:rsidR="00102C48">
        <w:rPr>
          <w:rFonts w:ascii="Verdana" w:hAnsi="Verdana" w:cs="TimokCYR"/>
        </w:rPr>
        <w:t>буква</w:t>
      </w:r>
      <w:r w:rsidR="009A6C5D" w:rsidRPr="009A6C5D">
        <w:rPr>
          <w:rFonts w:ascii="Verdana" w:hAnsi="Verdana" w:cs="TimokCYR"/>
        </w:rPr>
        <w:t xml:space="preserve"> „е“:</w:t>
      </w:r>
    </w:p>
    <w:p w:rsidR="009A6C5D" w:rsidRPr="009A6C5D" w:rsidRDefault="009A6C5D" w:rsidP="008C5484">
      <w:pPr>
        <w:pStyle w:val="ListParagraph"/>
        <w:tabs>
          <w:tab w:val="left" w:pos="1134"/>
        </w:tabs>
        <w:spacing w:line="358" w:lineRule="auto"/>
        <w:ind w:left="0" w:firstLine="709"/>
        <w:jc w:val="both"/>
        <w:rPr>
          <w:rFonts w:ascii="Verdana" w:hAnsi="Verdana" w:cs="TimokCYR"/>
        </w:rPr>
      </w:pPr>
      <w:r w:rsidRPr="009A6C5D">
        <w:rPr>
          <w:rFonts w:ascii="Verdana" w:hAnsi="Verdana" w:cs="TimokCYR"/>
        </w:rPr>
        <w:t>„е) брой оператори възползвали се от разрешенията по чл. 2, ал. 5, т. 7 и 8 за предходната календарна година, с посочване на вида, научното наименование, сорта на небиологичния РРМ; количество изразено в общо тегло на семената в кг или в брой на растенията; типа на небиологичния РРМ (семена, клубени, грудки, резници и др. растителни части).“</w:t>
      </w:r>
    </w:p>
    <w:p w:rsidR="00B37E71" w:rsidRPr="003B576F" w:rsidRDefault="00B37E71" w:rsidP="008C5484">
      <w:pPr>
        <w:pStyle w:val="ListParagraph"/>
        <w:tabs>
          <w:tab w:val="left" w:pos="1134"/>
        </w:tabs>
        <w:spacing w:line="358" w:lineRule="auto"/>
        <w:ind w:left="0" w:firstLine="709"/>
        <w:jc w:val="both"/>
        <w:rPr>
          <w:rFonts w:ascii="Verdana" w:hAnsi="Verdana" w:cs="TimokCYR"/>
        </w:rPr>
      </w:pPr>
    </w:p>
    <w:p w:rsidR="00F45F8C" w:rsidRDefault="002F3FAA" w:rsidP="008C5484">
      <w:pPr>
        <w:pStyle w:val="ListParagraph"/>
        <w:tabs>
          <w:tab w:val="left" w:pos="1134"/>
        </w:tabs>
        <w:spacing w:line="358" w:lineRule="auto"/>
        <w:ind w:left="0" w:firstLine="709"/>
        <w:jc w:val="both"/>
        <w:rPr>
          <w:rFonts w:ascii="Verdana" w:hAnsi="Verdana" w:cs="TimokCYR"/>
        </w:rPr>
      </w:pPr>
      <w:r w:rsidRPr="00380D72">
        <w:rPr>
          <w:rFonts w:ascii="Verdana" w:hAnsi="Verdana" w:cs="TimokCYR"/>
          <w:b/>
        </w:rPr>
        <w:t>§ 1</w:t>
      </w:r>
      <w:r w:rsidR="007D595A">
        <w:rPr>
          <w:rFonts w:ascii="Verdana" w:hAnsi="Verdana" w:cs="TimokCYR"/>
          <w:b/>
        </w:rPr>
        <w:t>7</w:t>
      </w:r>
      <w:r w:rsidRPr="00380D72">
        <w:rPr>
          <w:rFonts w:ascii="Verdana" w:hAnsi="Verdana" w:cs="TimokCYR"/>
          <w:b/>
        </w:rPr>
        <w:t>.</w:t>
      </w:r>
      <w:r w:rsidRPr="00380D72">
        <w:rPr>
          <w:rFonts w:ascii="Verdana" w:hAnsi="Verdana" w:cs="TimokCYR"/>
        </w:rPr>
        <w:t xml:space="preserve"> </w:t>
      </w:r>
      <w:r w:rsidR="004705F9" w:rsidRPr="004705F9">
        <w:rPr>
          <w:rFonts w:ascii="Verdana" w:hAnsi="Verdana" w:cs="TimokCYR"/>
        </w:rPr>
        <w:t xml:space="preserve">В чл. </w:t>
      </w:r>
      <w:r w:rsidR="004705F9">
        <w:rPr>
          <w:rFonts w:ascii="Verdana" w:hAnsi="Verdana" w:cs="TimokCYR"/>
        </w:rPr>
        <w:t>55</w:t>
      </w:r>
      <w:r w:rsidR="004705F9" w:rsidRPr="004705F9">
        <w:rPr>
          <w:rFonts w:ascii="Verdana" w:hAnsi="Verdana" w:cs="TimokCYR"/>
        </w:rPr>
        <w:t xml:space="preserve"> се правят следните изменения:</w:t>
      </w:r>
    </w:p>
    <w:p w:rsidR="005F075B" w:rsidRDefault="005F075B" w:rsidP="008C5484">
      <w:pPr>
        <w:pStyle w:val="ListParagraph"/>
        <w:tabs>
          <w:tab w:val="left" w:pos="1134"/>
        </w:tabs>
        <w:spacing w:line="358" w:lineRule="auto"/>
        <w:ind w:left="0" w:firstLine="709"/>
        <w:jc w:val="both"/>
        <w:rPr>
          <w:rFonts w:ascii="Verdana" w:hAnsi="Verdana" w:cs="TimokCYR"/>
        </w:rPr>
      </w:pPr>
      <w:r>
        <w:rPr>
          <w:rFonts w:ascii="Verdana" w:hAnsi="Verdana" w:cs="TimokCYR"/>
        </w:rPr>
        <w:t>1. В ал. 1 думите „</w:t>
      </w:r>
      <w:r w:rsidRPr="005F075B">
        <w:rPr>
          <w:rFonts w:ascii="Verdana" w:hAnsi="Verdana" w:cs="TimokCYR"/>
        </w:rPr>
        <w:t>министъра на земеделието</w:t>
      </w:r>
      <w:r>
        <w:rPr>
          <w:rFonts w:ascii="Verdana" w:hAnsi="Verdana" w:cs="TimokCYR"/>
        </w:rPr>
        <w:t>“ се заменят с „</w:t>
      </w:r>
      <w:r w:rsidRPr="005F075B">
        <w:rPr>
          <w:rFonts w:ascii="Verdana" w:hAnsi="Verdana" w:cs="TimokCYR"/>
        </w:rPr>
        <w:t>министъра на земеделието</w:t>
      </w:r>
      <w:r>
        <w:rPr>
          <w:rFonts w:ascii="Verdana" w:hAnsi="Verdana" w:cs="TimokCYR"/>
        </w:rPr>
        <w:t xml:space="preserve"> и храните“</w:t>
      </w:r>
    </w:p>
    <w:p w:rsidR="004705F9" w:rsidRDefault="00AC5D92" w:rsidP="008C5484">
      <w:pPr>
        <w:pStyle w:val="ListParagraph"/>
        <w:tabs>
          <w:tab w:val="left" w:pos="1134"/>
        </w:tabs>
        <w:spacing w:line="358" w:lineRule="auto"/>
        <w:ind w:left="0" w:firstLine="709"/>
        <w:jc w:val="both"/>
        <w:rPr>
          <w:rFonts w:ascii="Verdana" w:hAnsi="Verdana" w:cs="TimokCYR"/>
        </w:rPr>
      </w:pPr>
      <w:r>
        <w:rPr>
          <w:rFonts w:ascii="Verdana" w:hAnsi="Verdana" w:cs="TimokCYR"/>
        </w:rPr>
        <w:t>2</w:t>
      </w:r>
      <w:r w:rsidR="004705F9">
        <w:rPr>
          <w:rFonts w:ascii="Verdana" w:hAnsi="Verdana" w:cs="TimokCYR"/>
        </w:rPr>
        <w:t>. В ал. 2:</w:t>
      </w:r>
    </w:p>
    <w:p w:rsidR="004705F9" w:rsidRDefault="004705F9" w:rsidP="008C5484">
      <w:pPr>
        <w:pStyle w:val="ListParagraph"/>
        <w:tabs>
          <w:tab w:val="left" w:pos="1134"/>
        </w:tabs>
        <w:spacing w:line="358" w:lineRule="auto"/>
        <w:ind w:left="0" w:firstLine="709"/>
        <w:jc w:val="both"/>
        <w:rPr>
          <w:rFonts w:ascii="Verdana" w:hAnsi="Verdana" w:cs="TimokCYR"/>
        </w:rPr>
      </w:pPr>
      <w:r>
        <w:rPr>
          <w:rFonts w:ascii="Verdana" w:hAnsi="Verdana" w:cs="TimokCYR"/>
        </w:rPr>
        <w:t xml:space="preserve">а) </w:t>
      </w:r>
      <w:r w:rsidR="00C23D81">
        <w:rPr>
          <w:rFonts w:ascii="Verdana" w:hAnsi="Verdana" w:cs="TimokCYR"/>
        </w:rPr>
        <w:t>т</w:t>
      </w:r>
      <w:r>
        <w:rPr>
          <w:rFonts w:ascii="Verdana" w:hAnsi="Verdana" w:cs="TimokCYR"/>
        </w:rPr>
        <w:t>очка 1 се изменя така:</w:t>
      </w:r>
    </w:p>
    <w:p w:rsidR="004705F9" w:rsidRDefault="004705F9" w:rsidP="008C5484">
      <w:pPr>
        <w:pStyle w:val="ListParagraph"/>
        <w:tabs>
          <w:tab w:val="left" w:pos="1134"/>
        </w:tabs>
        <w:spacing w:line="358" w:lineRule="auto"/>
        <w:ind w:left="0" w:firstLine="709"/>
        <w:jc w:val="both"/>
        <w:rPr>
          <w:rFonts w:ascii="Verdana" w:hAnsi="Verdana" w:cs="TimokCYR"/>
        </w:rPr>
      </w:pPr>
      <w:r>
        <w:rPr>
          <w:rFonts w:ascii="Verdana" w:hAnsi="Verdana" w:cs="TimokCYR"/>
        </w:rPr>
        <w:t>„1.</w:t>
      </w:r>
      <w:r w:rsidRPr="004705F9">
        <w:rPr>
          <w:rFonts w:ascii="Verdana" w:hAnsi="Verdana" w:cs="TimokCYR"/>
        </w:rPr>
        <w:t xml:space="preserve"> разработват и прилагат процедури за обмен на информация;</w:t>
      </w:r>
      <w:r>
        <w:rPr>
          <w:rFonts w:ascii="Verdana" w:hAnsi="Verdana" w:cs="TimokCYR"/>
        </w:rPr>
        <w:t>“</w:t>
      </w:r>
    </w:p>
    <w:p w:rsidR="004705F9" w:rsidRPr="00765AEF" w:rsidRDefault="004705F9" w:rsidP="008C5484">
      <w:pPr>
        <w:pStyle w:val="ListParagraph"/>
        <w:tabs>
          <w:tab w:val="left" w:pos="1134"/>
        </w:tabs>
        <w:spacing w:line="358" w:lineRule="auto"/>
        <w:ind w:left="0" w:firstLine="709"/>
        <w:jc w:val="both"/>
        <w:rPr>
          <w:rFonts w:ascii="Verdana" w:hAnsi="Verdana" w:cs="TimokCYR"/>
        </w:rPr>
      </w:pPr>
      <w:r w:rsidRPr="00765AEF">
        <w:rPr>
          <w:rFonts w:ascii="Verdana" w:hAnsi="Verdana" w:cs="TimokCYR"/>
        </w:rPr>
        <w:t xml:space="preserve">б) </w:t>
      </w:r>
      <w:r w:rsidR="00C23D81">
        <w:rPr>
          <w:rFonts w:ascii="Verdana" w:hAnsi="Verdana" w:cs="TimokCYR"/>
        </w:rPr>
        <w:t>в</w:t>
      </w:r>
      <w:r w:rsidRPr="00765AEF">
        <w:rPr>
          <w:rFonts w:ascii="Verdana" w:hAnsi="Verdana" w:cs="TimokCYR"/>
        </w:rPr>
        <w:t xml:space="preserve"> т. 2 </w:t>
      </w:r>
      <w:r w:rsidR="004563FC" w:rsidRPr="004563FC">
        <w:rPr>
          <w:rFonts w:ascii="Verdana" w:hAnsi="Verdana" w:cs="TimokCYR"/>
        </w:rPr>
        <w:t>думите „Държавен фонд „Земеделие“ - Разплащателна агенция“ се заменят с „ДФЗ“</w:t>
      </w:r>
      <w:r w:rsidR="00BC2611">
        <w:rPr>
          <w:rFonts w:ascii="Verdana" w:hAnsi="Verdana" w:cs="TimokCYR"/>
        </w:rPr>
        <w:t>, а</w:t>
      </w:r>
      <w:r w:rsidR="008F2302" w:rsidRPr="00765AEF">
        <w:rPr>
          <w:rFonts w:ascii="Verdana" w:hAnsi="Verdana" w:cs="TimokCYR"/>
        </w:rPr>
        <w:t xml:space="preserve"> „в срок до 7 работни дни“</w:t>
      </w:r>
      <w:r w:rsidR="008F2302">
        <w:rPr>
          <w:rFonts w:ascii="Verdana" w:hAnsi="Verdana" w:cs="TimokCYR"/>
        </w:rPr>
        <w:t xml:space="preserve"> </w:t>
      </w:r>
      <w:r w:rsidRPr="00765AEF">
        <w:rPr>
          <w:rFonts w:ascii="Verdana" w:hAnsi="Verdana" w:cs="TimokCYR"/>
        </w:rPr>
        <w:t>се заличават;</w:t>
      </w:r>
    </w:p>
    <w:p w:rsidR="004705F9" w:rsidRPr="00765AEF" w:rsidRDefault="004705F9" w:rsidP="008C5484">
      <w:pPr>
        <w:pStyle w:val="ListParagraph"/>
        <w:tabs>
          <w:tab w:val="left" w:pos="1134"/>
        </w:tabs>
        <w:spacing w:line="358" w:lineRule="auto"/>
        <w:ind w:left="0" w:firstLine="709"/>
        <w:jc w:val="both"/>
        <w:rPr>
          <w:rFonts w:ascii="Verdana" w:hAnsi="Verdana" w:cs="TimokCYR"/>
        </w:rPr>
      </w:pPr>
      <w:r w:rsidRPr="00765AEF">
        <w:rPr>
          <w:rFonts w:ascii="Verdana" w:hAnsi="Verdana" w:cs="TimokCYR"/>
        </w:rPr>
        <w:t xml:space="preserve">в) </w:t>
      </w:r>
      <w:r w:rsidR="00C23D81">
        <w:rPr>
          <w:rFonts w:ascii="Verdana" w:hAnsi="Verdana" w:cs="TimokCYR"/>
        </w:rPr>
        <w:t>т</w:t>
      </w:r>
      <w:r w:rsidR="003B62FD">
        <w:rPr>
          <w:rFonts w:ascii="Verdana" w:hAnsi="Verdana" w:cs="TimokCYR"/>
        </w:rPr>
        <w:t>очка 3 се изменя така</w:t>
      </w:r>
      <w:r w:rsidRPr="00765AEF">
        <w:rPr>
          <w:rFonts w:ascii="Verdana" w:hAnsi="Verdana" w:cs="TimokCYR"/>
        </w:rPr>
        <w:t>:</w:t>
      </w:r>
    </w:p>
    <w:p w:rsidR="004705F9" w:rsidRDefault="003B62FD" w:rsidP="008C5484">
      <w:pPr>
        <w:pStyle w:val="ListParagraph"/>
        <w:tabs>
          <w:tab w:val="left" w:pos="1134"/>
        </w:tabs>
        <w:spacing w:line="358" w:lineRule="auto"/>
        <w:ind w:left="0" w:firstLine="709"/>
        <w:jc w:val="both"/>
        <w:rPr>
          <w:rFonts w:ascii="Verdana" w:hAnsi="Verdana" w:cs="TimokCYR"/>
        </w:rPr>
      </w:pPr>
      <w:r>
        <w:rPr>
          <w:rFonts w:ascii="Verdana" w:hAnsi="Verdana" w:cs="TimokCYR"/>
        </w:rPr>
        <w:t>„3</w:t>
      </w:r>
      <w:r w:rsidR="00503630">
        <w:rPr>
          <w:rFonts w:ascii="Verdana" w:hAnsi="Verdana" w:cs="TimokCYR"/>
        </w:rPr>
        <w:t xml:space="preserve">. за целите на </w:t>
      </w:r>
      <w:r w:rsidR="004705F9" w:rsidRPr="00765AEF">
        <w:rPr>
          <w:rFonts w:ascii="Verdana" w:hAnsi="Verdana" w:cs="TimokCYR"/>
        </w:rPr>
        <w:t>чл. 9</w:t>
      </w:r>
      <w:r w:rsidR="00D25A4C">
        <w:rPr>
          <w:rFonts w:ascii="Verdana" w:hAnsi="Verdana" w:cs="TimokCYR"/>
        </w:rPr>
        <w:t>,</w:t>
      </w:r>
      <w:r w:rsidR="004705F9" w:rsidRPr="00765AEF">
        <w:rPr>
          <w:rFonts w:ascii="Verdana" w:hAnsi="Verdana" w:cs="TimokCYR"/>
        </w:rPr>
        <w:t xml:space="preserve"> </w:t>
      </w:r>
      <w:r w:rsidR="00D25A4C" w:rsidRPr="00765AEF">
        <w:rPr>
          <w:rFonts w:ascii="Verdana" w:hAnsi="Verdana" w:cs="TimokCYR"/>
        </w:rPr>
        <w:t>параграф 4</w:t>
      </w:r>
      <w:r w:rsidR="00D25A4C">
        <w:rPr>
          <w:rFonts w:ascii="Verdana" w:hAnsi="Verdana" w:cs="TimokCYR"/>
        </w:rPr>
        <w:t xml:space="preserve"> </w:t>
      </w:r>
      <w:r w:rsidR="004705F9" w:rsidRPr="00765AEF">
        <w:rPr>
          <w:rFonts w:ascii="Verdana" w:hAnsi="Verdana" w:cs="TimokCYR"/>
        </w:rPr>
        <w:t>от Регламент (ЕС) 2021/279 предоставят контролната документация на новото контролиращо лице в срок до десет работни дни от поискването ѝ.“</w:t>
      </w:r>
    </w:p>
    <w:p w:rsidR="005A4A62" w:rsidRDefault="00AC5D92" w:rsidP="008C5484">
      <w:pPr>
        <w:pStyle w:val="ListParagraph"/>
        <w:tabs>
          <w:tab w:val="left" w:pos="1134"/>
        </w:tabs>
        <w:spacing w:line="358" w:lineRule="auto"/>
        <w:ind w:left="0" w:firstLine="709"/>
        <w:jc w:val="both"/>
        <w:rPr>
          <w:rFonts w:ascii="Verdana" w:hAnsi="Verdana" w:cs="TimokCYR"/>
        </w:rPr>
      </w:pPr>
      <w:r>
        <w:rPr>
          <w:rFonts w:ascii="Verdana" w:hAnsi="Verdana" w:cs="TimokCYR"/>
        </w:rPr>
        <w:t>3</w:t>
      </w:r>
      <w:r w:rsidR="005A4A62">
        <w:rPr>
          <w:rFonts w:ascii="Verdana" w:hAnsi="Verdana" w:cs="TimokCYR"/>
        </w:rPr>
        <w:t>. В ал. 3 думите „и 2“ се заличават.</w:t>
      </w:r>
    </w:p>
    <w:p w:rsidR="004E452D" w:rsidRDefault="00AC5D92" w:rsidP="008C5484">
      <w:pPr>
        <w:pStyle w:val="ListParagraph"/>
        <w:tabs>
          <w:tab w:val="left" w:pos="1134"/>
        </w:tabs>
        <w:spacing w:line="358" w:lineRule="auto"/>
        <w:ind w:left="0" w:firstLine="709"/>
        <w:jc w:val="both"/>
        <w:rPr>
          <w:rFonts w:ascii="Verdana" w:hAnsi="Verdana" w:cs="TimokCYR"/>
        </w:rPr>
      </w:pPr>
      <w:r>
        <w:rPr>
          <w:rFonts w:ascii="Verdana" w:hAnsi="Verdana" w:cs="TimokCYR"/>
        </w:rPr>
        <w:t>4</w:t>
      </w:r>
      <w:r w:rsidR="004E452D">
        <w:rPr>
          <w:rFonts w:ascii="Verdana" w:hAnsi="Verdana" w:cs="TimokCYR"/>
        </w:rPr>
        <w:t>. В ал. 4 думите „</w:t>
      </w:r>
      <w:r w:rsidR="004E452D" w:rsidRPr="004E452D">
        <w:rPr>
          <w:rFonts w:ascii="Verdana" w:hAnsi="Verdana" w:cs="TimokCYR"/>
        </w:rPr>
        <w:t>по ал. 2</w:t>
      </w:r>
      <w:r w:rsidR="004E452D">
        <w:rPr>
          <w:rFonts w:ascii="Verdana" w:hAnsi="Verdana" w:cs="TimokCYR"/>
        </w:rPr>
        <w:t>“ се заменят с</w:t>
      </w:r>
      <w:r w:rsidR="00C23D81">
        <w:rPr>
          <w:rFonts w:ascii="Verdana" w:hAnsi="Verdana" w:cs="TimokCYR"/>
        </w:rPr>
        <w:t>ъс</w:t>
      </w:r>
      <w:r w:rsidR="004E452D">
        <w:rPr>
          <w:rFonts w:ascii="Verdana" w:hAnsi="Verdana" w:cs="TimokCYR"/>
        </w:rPr>
        <w:t xml:space="preserve"> „</w:t>
      </w:r>
      <w:r w:rsidR="004E452D" w:rsidRPr="004E452D">
        <w:rPr>
          <w:rFonts w:ascii="Verdana" w:hAnsi="Verdana" w:cs="TimokCYR"/>
        </w:rPr>
        <w:t>за контрол и обмен</w:t>
      </w:r>
      <w:r w:rsidR="00903AEB">
        <w:rPr>
          <w:rFonts w:ascii="Verdana" w:hAnsi="Verdana" w:cs="TimokCYR"/>
        </w:rPr>
        <w:t xml:space="preserve"> </w:t>
      </w:r>
      <w:r w:rsidR="004E452D" w:rsidRPr="004E452D">
        <w:rPr>
          <w:rFonts w:ascii="Verdana" w:hAnsi="Verdana" w:cs="TimokCYR"/>
        </w:rPr>
        <w:t>на информация на контролиращите лица</w:t>
      </w:r>
      <w:r w:rsidR="004E452D">
        <w:rPr>
          <w:rFonts w:ascii="Verdana" w:hAnsi="Verdana" w:cs="TimokCYR"/>
        </w:rPr>
        <w:t>“.</w:t>
      </w:r>
    </w:p>
    <w:p w:rsidR="003B576F" w:rsidRPr="004E452D" w:rsidRDefault="003B576F" w:rsidP="008C5484">
      <w:pPr>
        <w:pStyle w:val="ListParagraph"/>
        <w:tabs>
          <w:tab w:val="left" w:pos="1134"/>
        </w:tabs>
        <w:spacing w:line="358" w:lineRule="auto"/>
        <w:ind w:left="0" w:firstLine="709"/>
        <w:jc w:val="both"/>
        <w:rPr>
          <w:rFonts w:ascii="Verdana" w:hAnsi="Verdana" w:cs="TimokCYR"/>
        </w:rPr>
      </w:pPr>
    </w:p>
    <w:p w:rsidR="006B2B84" w:rsidRDefault="00F45F8C" w:rsidP="008C5484">
      <w:pPr>
        <w:pStyle w:val="ListParagraph"/>
        <w:spacing w:line="358" w:lineRule="auto"/>
        <w:ind w:left="0" w:firstLine="709"/>
        <w:jc w:val="both"/>
        <w:rPr>
          <w:rFonts w:ascii="Verdana" w:hAnsi="Verdana" w:cs="TimokCYR"/>
        </w:rPr>
      </w:pPr>
      <w:r w:rsidRPr="007D595A">
        <w:rPr>
          <w:rFonts w:ascii="Verdana" w:hAnsi="Verdana" w:cs="TimokCYR"/>
          <w:b/>
        </w:rPr>
        <w:t>§ 1</w:t>
      </w:r>
      <w:r w:rsidR="007D595A" w:rsidRPr="007D595A">
        <w:rPr>
          <w:rFonts w:ascii="Verdana" w:hAnsi="Verdana" w:cs="TimokCYR"/>
          <w:b/>
        </w:rPr>
        <w:t>8</w:t>
      </w:r>
      <w:r w:rsidRPr="007D595A">
        <w:rPr>
          <w:rFonts w:ascii="Verdana" w:hAnsi="Verdana" w:cs="TimokCYR"/>
          <w:b/>
        </w:rPr>
        <w:t>.</w:t>
      </w:r>
      <w:r w:rsidRPr="007D595A">
        <w:rPr>
          <w:rFonts w:ascii="Verdana" w:hAnsi="Verdana" w:cs="TimokCYR"/>
        </w:rPr>
        <w:t xml:space="preserve"> </w:t>
      </w:r>
      <w:r w:rsidR="00350389">
        <w:rPr>
          <w:rFonts w:ascii="Verdana" w:hAnsi="Verdana" w:cs="TimokCYR"/>
        </w:rPr>
        <w:t>В чл. 56</w:t>
      </w:r>
      <w:r w:rsidR="00350389" w:rsidRPr="00350389">
        <w:rPr>
          <w:rFonts w:ascii="Verdana" w:hAnsi="Verdana" w:cs="TimokCYR"/>
        </w:rPr>
        <w:t xml:space="preserve"> се правят следните изменения и допълнения:</w:t>
      </w:r>
    </w:p>
    <w:p w:rsidR="00350389" w:rsidRDefault="00350389" w:rsidP="008C5484">
      <w:pPr>
        <w:pStyle w:val="ListParagraph"/>
        <w:spacing w:line="358" w:lineRule="auto"/>
        <w:ind w:left="0" w:firstLine="709"/>
        <w:jc w:val="both"/>
        <w:rPr>
          <w:rFonts w:ascii="Verdana" w:hAnsi="Verdana" w:cs="TimokCYR"/>
        </w:rPr>
      </w:pPr>
      <w:r>
        <w:rPr>
          <w:rFonts w:ascii="Verdana" w:hAnsi="Verdana" w:cs="TimokCYR"/>
        </w:rPr>
        <w:t>1. В ал. 2 думата „сигнал“ се заменя с „</w:t>
      </w:r>
      <w:r w:rsidRPr="00350389">
        <w:rPr>
          <w:rFonts w:ascii="Verdana" w:hAnsi="Verdana" w:cs="TimokCYR"/>
        </w:rPr>
        <w:t>уведомително писмо</w:t>
      </w:r>
      <w:r>
        <w:rPr>
          <w:rFonts w:ascii="Verdana" w:hAnsi="Verdana" w:cs="TimokCYR"/>
        </w:rPr>
        <w:t>“, а думата „проверка“ с „</w:t>
      </w:r>
      <w:r w:rsidRPr="00350389">
        <w:rPr>
          <w:rFonts w:ascii="Verdana" w:hAnsi="Verdana" w:cs="TimokCYR"/>
        </w:rPr>
        <w:t>официално разследване</w:t>
      </w:r>
      <w:r>
        <w:rPr>
          <w:rFonts w:ascii="Verdana" w:hAnsi="Verdana" w:cs="TimokCYR"/>
        </w:rPr>
        <w:t>“.</w:t>
      </w:r>
    </w:p>
    <w:p w:rsidR="00350389" w:rsidRDefault="00350389" w:rsidP="008C5484">
      <w:pPr>
        <w:pStyle w:val="ListParagraph"/>
        <w:spacing w:line="358" w:lineRule="auto"/>
        <w:ind w:left="0" w:firstLine="709"/>
        <w:jc w:val="both"/>
        <w:rPr>
          <w:rFonts w:ascii="Verdana" w:hAnsi="Verdana" w:cs="TimokCYR"/>
        </w:rPr>
      </w:pPr>
      <w:r>
        <w:rPr>
          <w:rFonts w:ascii="Verdana" w:hAnsi="Verdana" w:cs="TimokCYR"/>
        </w:rPr>
        <w:lastRenderedPageBreak/>
        <w:t xml:space="preserve">2. В ал. 3 </w:t>
      </w:r>
      <w:r w:rsidR="00E050A9">
        <w:rPr>
          <w:rFonts w:ascii="Verdana" w:hAnsi="Verdana" w:cs="TimokCYR"/>
        </w:rPr>
        <w:t>след думата „</w:t>
      </w:r>
      <w:r w:rsidR="00E050A9" w:rsidRPr="00E050A9">
        <w:rPr>
          <w:rFonts w:ascii="Verdana" w:hAnsi="Verdana" w:cs="TimokCYR"/>
        </w:rPr>
        <w:t>установяване</w:t>
      </w:r>
      <w:r w:rsidR="00E050A9">
        <w:rPr>
          <w:rFonts w:ascii="Verdana" w:hAnsi="Verdana" w:cs="TimokCYR"/>
        </w:rPr>
        <w:t>“</w:t>
      </w:r>
      <w:r w:rsidR="00FD7D52" w:rsidRPr="00FD7D52">
        <w:rPr>
          <w:rFonts w:ascii="Verdana" w:hAnsi="Verdana" w:cs="TimokCYR"/>
        </w:rPr>
        <w:t xml:space="preserve"> се добавя</w:t>
      </w:r>
      <w:r w:rsidRPr="00350389">
        <w:rPr>
          <w:rFonts w:ascii="Verdana" w:hAnsi="Verdana" w:cs="TimokCYR"/>
        </w:rPr>
        <w:t xml:space="preserve"> </w:t>
      </w:r>
      <w:r>
        <w:rPr>
          <w:rFonts w:ascii="Verdana" w:hAnsi="Verdana" w:cs="TimokCYR"/>
        </w:rPr>
        <w:t>„</w:t>
      </w:r>
      <w:r w:rsidRPr="00350389">
        <w:rPr>
          <w:rFonts w:ascii="Verdana" w:hAnsi="Verdana" w:cs="TimokCYR"/>
        </w:rPr>
        <w:t>от контролиращите лица</w:t>
      </w:r>
      <w:r w:rsidR="00B5147F">
        <w:rPr>
          <w:rFonts w:ascii="Verdana" w:hAnsi="Verdana" w:cs="TimokCYR"/>
        </w:rPr>
        <w:t xml:space="preserve">“, а </w:t>
      </w:r>
      <w:r w:rsidR="00E050A9">
        <w:rPr>
          <w:rFonts w:ascii="Verdana" w:hAnsi="Verdana" w:cs="TimokCYR"/>
        </w:rPr>
        <w:t>накрая</w:t>
      </w:r>
      <w:r w:rsidR="00E050A9">
        <w:rPr>
          <w:rFonts w:ascii="Verdana" w:hAnsi="Verdana" w:cs="TimokCYR"/>
          <w:spacing w:val="-2"/>
        </w:rPr>
        <w:t xml:space="preserve"> се добавя</w:t>
      </w:r>
      <w:r w:rsidR="00B5147F" w:rsidRPr="00275F34">
        <w:rPr>
          <w:rFonts w:ascii="Verdana" w:hAnsi="Verdana" w:cs="TimokCYR"/>
          <w:spacing w:val="-2"/>
        </w:rPr>
        <w:t xml:space="preserve"> „с цел изготвяне на нотификация чрез системата по ал. 1“.</w:t>
      </w:r>
    </w:p>
    <w:p w:rsidR="00350389" w:rsidRDefault="00350389" w:rsidP="008C5484">
      <w:pPr>
        <w:pStyle w:val="ListParagraph"/>
        <w:spacing w:line="358" w:lineRule="auto"/>
        <w:ind w:left="0" w:firstLine="709"/>
        <w:jc w:val="both"/>
        <w:rPr>
          <w:rFonts w:ascii="Verdana" w:hAnsi="Verdana" w:cs="TimokCYR"/>
        </w:rPr>
      </w:pPr>
      <w:r>
        <w:rPr>
          <w:rFonts w:ascii="Verdana" w:hAnsi="Verdana" w:cs="TimokCYR"/>
        </w:rPr>
        <w:t xml:space="preserve">3. </w:t>
      </w:r>
      <w:r w:rsidR="001D5BF1">
        <w:rPr>
          <w:rFonts w:ascii="Verdana" w:hAnsi="Verdana" w:cs="TimokCYR"/>
        </w:rPr>
        <w:t>Алинея 4</w:t>
      </w:r>
      <w:r w:rsidR="00892C54">
        <w:rPr>
          <w:rFonts w:ascii="Verdana" w:hAnsi="Verdana" w:cs="TimokCYR"/>
        </w:rPr>
        <w:t xml:space="preserve"> се изменя така:</w:t>
      </w:r>
    </w:p>
    <w:p w:rsidR="00892C54" w:rsidRDefault="00892C54" w:rsidP="008C5484">
      <w:pPr>
        <w:pStyle w:val="ListParagraph"/>
        <w:spacing w:line="358" w:lineRule="auto"/>
        <w:ind w:left="0" w:firstLine="709"/>
        <w:jc w:val="both"/>
        <w:rPr>
          <w:rFonts w:ascii="Verdana" w:hAnsi="Verdana" w:cs="TimokCYR"/>
        </w:rPr>
      </w:pPr>
      <w:r>
        <w:rPr>
          <w:rFonts w:ascii="Verdana" w:hAnsi="Verdana" w:cs="TimokCYR"/>
        </w:rPr>
        <w:t>„</w:t>
      </w:r>
      <w:r w:rsidRPr="00892C54">
        <w:rPr>
          <w:rFonts w:ascii="Verdana" w:hAnsi="Verdana" w:cs="TimokCYR"/>
        </w:rPr>
        <w:t>(4) При установяване от контролиращите лица на несъ</w:t>
      </w:r>
      <w:r>
        <w:rPr>
          <w:rFonts w:ascii="Verdana" w:hAnsi="Verdana" w:cs="TimokCYR"/>
        </w:rPr>
        <w:t xml:space="preserve">ответствие и/или нарушение на </w:t>
      </w:r>
      <w:r w:rsidRPr="00892C54">
        <w:rPr>
          <w:rFonts w:ascii="Verdana" w:hAnsi="Verdana" w:cs="TimokCYR"/>
        </w:rPr>
        <w:t>продукт, който е обект на техния контрол и е разпространен на територията на друга държава членка, контролиращите лица уведомяват компетентното звено в срок до три работни дни от установяването, с цел изготвяне на предупредителна нотификация чрез системата по ал. 1.</w:t>
      </w:r>
      <w:r>
        <w:rPr>
          <w:rFonts w:ascii="Verdana" w:hAnsi="Verdana" w:cs="TimokCYR"/>
        </w:rPr>
        <w:t>“</w:t>
      </w:r>
    </w:p>
    <w:p w:rsidR="007D595A" w:rsidRPr="007D595A" w:rsidRDefault="007D595A" w:rsidP="008C5484">
      <w:pPr>
        <w:pStyle w:val="ListParagraph"/>
        <w:spacing w:line="358" w:lineRule="auto"/>
        <w:ind w:left="0" w:firstLine="709"/>
        <w:jc w:val="both"/>
        <w:rPr>
          <w:rFonts w:ascii="Verdana" w:hAnsi="Verdana" w:cs="TimokCYR"/>
        </w:rPr>
      </w:pPr>
    </w:p>
    <w:p w:rsidR="00E72D3E" w:rsidRDefault="006B2B84" w:rsidP="008C5484">
      <w:pPr>
        <w:pStyle w:val="ListParagraph"/>
        <w:spacing w:line="358" w:lineRule="auto"/>
        <w:ind w:left="0" w:firstLine="709"/>
        <w:jc w:val="both"/>
        <w:rPr>
          <w:rFonts w:ascii="Verdana" w:hAnsi="Verdana" w:cs="TimokCYR"/>
        </w:rPr>
      </w:pPr>
      <w:r w:rsidRPr="007D595A">
        <w:rPr>
          <w:rFonts w:ascii="Verdana" w:hAnsi="Verdana" w:cs="TimokCYR"/>
          <w:b/>
        </w:rPr>
        <w:t>§ 1</w:t>
      </w:r>
      <w:r w:rsidR="007D595A" w:rsidRPr="007D595A">
        <w:rPr>
          <w:rFonts w:ascii="Verdana" w:hAnsi="Verdana" w:cs="TimokCYR"/>
          <w:b/>
        </w:rPr>
        <w:t>9</w:t>
      </w:r>
      <w:r w:rsidRPr="007D595A">
        <w:rPr>
          <w:rFonts w:ascii="Verdana" w:hAnsi="Verdana" w:cs="TimokCYR"/>
          <w:b/>
        </w:rPr>
        <w:t>.</w:t>
      </w:r>
      <w:r w:rsidRPr="007D595A">
        <w:rPr>
          <w:rFonts w:ascii="Verdana" w:hAnsi="Verdana" w:cs="TimokCYR"/>
        </w:rPr>
        <w:t xml:space="preserve"> </w:t>
      </w:r>
      <w:r w:rsidR="00F45F8C" w:rsidRPr="007D595A">
        <w:rPr>
          <w:rFonts w:ascii="Verdana" w:hAnsi="Verdana" w:cs="TimokCYR"/>
        </w:rPr>
        <w:t xml:space="preserve">В чл. </w:t>
      </w:r>
      <w:r w:rsidR="00E72D3E">
        <w:rPr>
          <w:rFonts w:ascii="Verdana" w:hAnsi="Verdana" w:cs="TimokCYR"/>
        </w:rPr>
        <w:t>57 ал. 2 се изменя така:</w:t>
      </w:r>
    </w:p>
    <w:p w:rsidR="00E72D3E" w:rsidRPr="00E72D3E" w:rsidRDefault="00E72D3E" w:rsidP="008C5484">
      <w:pPr>
        <w:spacing w:line="358" w:lineRule="auto"/>
        <w:ind w:firstLine="709"/>
        <w:jc w:val="both"/>
        <w:rPr>
          <w:rFonts w:ascii="Verdana" w:hAnsi="Verdana"/>
        </w:rPr>
      </w:pPr>
      <w:r>
        <w:rPr>
          <w:rFonts w:ascii="Verdana" w:hAnsi="Verdana"/>
        </w:rPr>
        <w:t xml:space="preserve">„(2) </w:t>
      </w:r>
      <w:r w:rsidRPr="00E72D3E">
        <w:rPr>
          <w:rFonts w:ascii="Verdana" w:hAnsi="Verdana"/>
        </w:rPr>
        <w:t xml:space="preserve">Обменът на информация между контролиращите лица и компетентното звено във връзка с чл. 27, 28, параграф 2 и </w:t>
      </w:r>
      <w:r w:rsidR="000866D1">
        <w:rPr>
          <w:rFonts w:ascii="Verdana" w:hAnsi="Verdana"/>
        </w:rPr>
        <w:t xml:space="preserve">чл. </w:t>
      </w:r>
      <w:r w:rsidRPr="00E72D3E">
        <w:rPr>
          <w:rFonts w:ascii="Verdana" w:hAnsi="Verdana"/>
        </w:rPr>
        <w:t>29 от Регла</w:t>
      </w:r>
      <w:r w:rsidR="000866D1">
        <w:rPr>
          <w:rFonts w:ascii="Verdana" w:hAnsi="Verdana"/>
        </w:rPr>
        <w:t>мент (ЕС) 2018/848 и чл. 1 и</w:t>
      </w:r>
      <w:r w:rsidRPr="00E72D3E">
        <w:rPr>
          <w:rFonts w:ascii="Verdana" w:hAnsi="Verdana"/>
        </w:rPr>
        <w:t xml:space="preserve"> 2 от Ре</w:t>
      </w:r>
      <w:r>
        <w:rPr>
          <w:rFonts w:ascii="Verdana" w:hAnsi="Verdana"/>
        </w:rPr>
        <w:t>гламент (ЕС) 2021/279, включва:</w:t>
      </w:r>
    </w:p>
    <w:p w:rsidR="00E72D3E" w:rsidRPr="00E72D3E" w:rsidRDefault="00E72D3E" w:rsidP="008C5484">
      <w:pPr>
        <w:spacing w:line="358" w:lineRule="auto"/>
        <w:ind w:firstLine="709"/>
        <w:jc w:val="both"/>
        <w:rPr>
          <w:rFonts w:ascii="Verdana" w:hAnsi="Verdana"/>
        </w:rPr>
      </w:pPr>
      <w:r w:rsidRPr="00E72D3E">
        <w:rPr>
          <w:rFonts w:ascii="Verdana" w:hAnsi="Verdana"/>
        </w:rPr>
        <w:t>1. уведомяване при стартиране на официално разследване съгласно т.</w:t>
      </w:r>
      <w:r w:rsidR="00363617">
        <w:rPr>
          <w:rFonts w:ascii="Verdana" w:hAnsi="Verdana"/>
        </w:rPr>
        <w:t xml:space="preserve"> 2, част А1 от Приложение № 3</w:t>
      </w:r>
      <w:r>
        <w:rPr>
          <w:rFonts w:ascii="Verdana" w:hAnsi="Verdana"/>
        </w:rPr>
        <w:t>;</w:t>
      </w:r>
    </w:p>
    <w:p w:rsidR="00E72D3E" w:rsidRPr="00EA5E51" w:rsidRDefault="00E72D3E" w:rsidP="008C5484">
      <w:pPr>
        <w:spacing w:line="358" w:lineRule="auto"/>
        <w:ind w:firstLine="709"/>
        <w:jc w:val="both"/>
        <w:rPr>
          <w:rFonts w:ascii="Verdana" w:hAnsi="Verdana"/>
        </w:rPr>
      </w:pPr>
      <w:r w:rsidRPr="00E72D3E">
        <w:rPr>
          <w:rFonts w:ascii="Verdana" w:hAnsi="Verdana"/>
        </w:rPr>
        <w:t xml:space="preserve">2. </w:t>
      </w:r>
      <w:r w:rsidRPr="00EA5E51">
        <w:rPr>
          <w:rFonts w:ascii="Verdana" w:hAnsi="Verdana"/>
        </w:rPr>
        <w:t>уведомяване при установяване на несъответствие и/или нарушение, което засяга био</w:t>
      </w:r>
      <w:r w:rsidR="00467601">
        <w:rPr>
          <w:rFonts w:ascii="Verdana" w:hAnsi="Verdana"/>
        </w:rPr>
        <w:t>логичния характер на продукта;</w:t>
      </w:r>
      <w:r w:rsidR="000866D1">
        <w:rPr>
          <w:rFonts w:ascii="Verdana" w:hAnsi="Verdana"/>
        </w:rPr>
        <w:t xml:space="preserve"> к</w:t>
      </w:r>
      <w:r w:rsidRPr="00EA5E51">
        <w:rPr>
          <w:rFonts w:ascii="Verdana" w:hAnsi="Verdana"/>
        </w:rPr>
        <w:t>онтролиращите лица уведомяват по електронен път компетентното звено, а останалите контролиращи лица чрез меню „Съобщения“ на електронния регистър, в деня на установяването им или в следващия ден;</w:t>
      </w:r>
    </w:p>
    <w:p w:rsidR="00E72D3E" w:rsidRPr="00E72D3E" w:rsidRDefault="00E72D3E" w:rsidP="008C5484">
      <w:pPr>
        <w:spacing w:line="358" w:lineRule="auto"/>
        <w:ind w:firstLine="709"/>
        <w:jc w:val="both"/>
        <w:rPr>
          <w:rFonts w:ascii="Verdana" w:hAnsi="Verdana"/>
        </w:rPr>
      </w:pPr>
      <w:r w:rsidRPr="00E72D3E">
        <w:rPr>
          <w:rFonts w:ascii="Verdana" w:hAnsi="Verdana"/>
        </w:rPr>
        <w:t>3. уведомяване при установяване на несъответствие и/или нарушение от ниво 2 „Сериозни“ и/или ниво 3 „Критични“, което не засяга био</w:t>
      </w:r>
      <w:r w:rsidR="000866D1">
        <w:rPr>
          <w:rFonts w:ascii="Verdana" w:hAnsi="Verdana"/>
        </w:rPr>
        <w:t>логичния характер на продукта</w:t>
      </w:r>
      <w:r w:rsidR="00467601">
        <w:rPr>
          <w:rFonts w:ascii="Verdana" w:hAnsi="Verdana"/>
        </w:rPr>
        <w:t>;</w:t>
      </w:r>
      <w:r w:rsidR="000866D1">
        <w:rPr>
          <w:rFonts w:ascii="Verdana" w:hAnsi="Verdana"/>
        </w:rPr>
        <w:t xml:space="preserve"> к</w:t>
      </w:r>
      <w:r w:rsidRPr="00E72D3E">
        <w:rPr>
          <w:rFonts w:ascii="Verdana" w:hAnsi="Verdana"/>
        </w:rPr>
        <w:t>онтролиращите лица уведомяват по електронен път компетентното звено, а останалите контролиращи лица чрез меню „Съобщения“ на електронния регистър, в срок до пет работни дни от установяването им;</w:t>
      </w:r>
    </w:p>
    <w:p w:rsidR="00385496" w:rsidRPr="007D595A" w:rsidRDefault="00E72D3E" w:rsidP="008C5484">
      <w:pPr>
        <w:spacing w:line="358" w:lineRule="auto"/>
        <w:ind w:firstLine="709"/>
        <w:jc w:val="both"/>
        <w:rPr>
          <w:rFonts w:ascii="Verdana" w:hAnsi="Verdana"/>
        </w:rPr>
      </w:pPr>
      <w:r w:rsidRPr="00E72D3E">
        <w:rPr>
          <w:rFonts w:ascii="Verdana" w:hAnsi="Verdana"/>
        </w:rPr>
        <w:t>4. уведомяване при приключило официално разследване съгласно т. 8 и</w:t>
      </w:r>
      <w:r w:rsidR="00467601">
        <w:rPr>
          <w:rFonts w:ascii="Verdana" w:hAnsi="Verdana"/>
        </w:rPr>
        <w:t xml:space="preserve"> 9, част А1 от Приложение № 3;</w:t>
      </w:r>
      <w:r w:rsidR="000866D1">
        <w:rPr>
          <w:rFonts w:ascii="Verdana" w:hAnsi="Verdana"/>
        </w:rPr>
        <w:t xml:space="preserve"> к</w:t>
      </w:r>
      <w:r w:rsidRPr="00E72D3E">
        <w:rPr>
          <w:rFonts w:ascii="Verdana" w:hAnsi="Verdana"/>
        </w:rPr>
        <w:t>онтролиращите лица уведомяват по електронен път компетентното звено, а останалите контролиращи лица чрез меню „Съобщения“ на електронния регистър.</w:t>
      </w:r>
      <w:r>
        <w:rPr>
          <w:rFonts w:ascii="Verdana" w:hAnsi="Verdana"/>
        </w:rPr>
        <w:t>“</w:t>
      </w:r>
    </w:p>
    <w:p w:rsidR="007D595A" w:rsidRPr="003B576F" w:rsidRDefault="007D595A" w:rsidP="008C5484">
      <w:pPr>
        <w:pStyle w:val="ListParagraph"/>
        <w:spacing w:line="358" w:lineRule="auto"/>
        <w:ind w:left="0" w:firstLine="709"/>
        <w:jc w:val="both"/>
        <w:rPr>
          <w:rFonts w:ascii="Verdana" w:hAnsi="Verdana"/>
        </w:rPr>
      </w:pPr>
    </w:p>
    <w:p w:rsidR="00385496" w:rsidRPr="007D595A" w:rsidRDefault="007D595A" w:rsidP="008C5484">
      <w:pPr>
        <w:pStyle w:val="ListParagraph"/>
        <w:spacing w:line="358" w:lineRule="auto"/>
        <w:ind w:left="0" w:firstLine="709"/>
        <w:jc w:val="both"/>
        <w:rPr>
          <w:rFonts w:ascii="Verdana" w:hAnsi="Verdana"/>
        </w:rPr>
      </w:pPr>
      <w:r w:rsidRPr="007D595A">
        <w:rPr>
          <w:rFonts w:ascii="Verdana" w:hAnsi="Verdana"/>
          <w:b/>
        </w:rPr>
        <w:t>§ 20</w:t>
      </w:r>
      <w:r w:rsidR="00385496" w:rsidRPr="007D595A">
        <w:rPr>
          <w:rFonts w:ascii="Verdana" w:hAnsi="Verdana"/>
          <w:b/>
        </w:rPr>
        <w:t xml:space="preserve">. </w:t>
      </w:r>
      <w:r w:rsidR="00385496" w:rsidRPr="007D595A">
        <w:rPr>
          <w:rFonts w:ascii="Verdana" w:hAnsi="Verdana"/>
        </w:rPr>
        <w:t xml:space="preserve">В чл. </w:t>
      </w:r>
      <w:r w:rsidR="003E49FA">
        <w:rPr>
          <w:rFonts w:ascii="Verdana" w:hAnsi="Verdana"/>
        </w:rPr>
        <w:t xml:space="preserve">60, ал. 1, т. 4 </w:t>
      </w:r>
      <w:r w:rsidR="00896714">
        <w:rPr>
          <w:rFonts w:ascii="Verdana" w:hAnsi="Verdana"/>
        </w:rPr>
        <w:t>накрая се</w:t>
      </w:r>
      <w:r w:rsidR="003E49FA">
        <w:rPr>
          <w:rFonts w:ascii="Verdana" w:hAnsi="Verdana"/>
        </w:rPr>
        <w:t xml:space="preserve"> добавя „</w:t>
      </w:r>
      <w:r w:rsidR="003E49FA" w:rsidRPr="003E49FA">
        <w:rPr>
          <w:rFonts w:ascii="Verdana" w:hAnsi="Verdana"/>
        </w:rPr>
        <w:t>т. 1, 2, 4, 5, 9, 10 и 11;</w:t>
      </w:r>
      <w:r w:rsidR="007938E7">
        <w:rPr>
          <w:rFonts w:ascii="Verdana" w:hAnsi="Verdana"/>
        </w:rPr>
        <w:t>“</w:t>
      </w:r>
    </w:p>
    <w:p w:rsidR="00322632" w:rsidRPr="00385496" w:rsidRDefault="00322632" w:rsidP="008C5484">
      <w:pPr>
        <w:pStyle w:val="ListParagraph"/>
        <w:spacing w:line="358" w:lineRule="auto"/>
        <w:ind w:left="0" w:firstLine="709"/>
        <w:jc w:val="both"/>
        <w:rPr>
          <w:rFonts w:ascii="Verdana" w:hAnsi="Verdana" w:cs="TimokCYR"/>
        </w:rPr>
      </w:pPr>
    </w:p>
    <w:p w:rsidR="00492092" w:rsidRPr="00492092" w:rsidRDefault="00504568" w:rsidP="008C5484">
      <w:pPr>
        <w:tabs>
          <w:tab w:val="left" w:pos="1134"/>
        </w:tabs>
        <w:spacing w:line="358" w:lineRule="auto"/>
        <w:ind w:firstLine="709"/>
        <w:jc w:val="both"/>
        <w:rPr>
          <w:rFonts w:ascii="Verdana" w:hAnsi="Verdana" w:cs="TimokCYR"/>
        </w:rPr>
      </w:pPr>
      <w:r w:rsidRPr="008176C4">
        <w:rPr>
          <w:rFonts w:ascii="Verdana" w:hAnsi="Verdana" w:cs="TimokCYR"/>
          <w:b/>
        </w:rPr>
        <w:t xml:space="preserve">§ </w:t>
      </w:r>
      <w:r w:rsidR="007D595A" w:rsidRPr="008176C4">
        <w:rPr>
          <w:rFonts w:ascii="Verdana" w:hAnsi="Verdana" w:cs="TimokCYR"/>
          <w:b/>
        </w:rPr>
        <w:t>2</w:t>
      </w:r>
      <w:r w:rsidRPr="008176C4">
        <w:rPr>
          <w:rFonts w:ascii="Verdana" w:hAnsi="Verdana" w:cs="TimokCYR"/>
          <w:b/>
        </w:rPr>
        <w:t>1</w:t>
      </w:r>
      <w:r w:rsidR="009550A3" w:rsidRPr="008176C4">
        <w:rPr>
          <w:rFonts w:ascii="Verdana" w:hAnsi="Verdana" w:cs="TimokCYR"/>
          <w:b/>
        </w:rPr>
        <w:t>.</w:t>
      </w:r>
      <w:r w:rsidR="009550A3" w:rsidRPr="008176C4">
        <w:rPr>
          <w:rFonts w:ascii="Verdana" w:hAnsi="Verdana" w:cs="TimokCYR"/>
        </w:rPr>
        <w:t xml:space="preserve"> </w:t>
      </w:r>
      <w:r w:rsidR="00492092" w:rsidRPr="00492092">
        <w:rPr>
          <w:rFonts w:ascii="Verdana" w:hAnsi="Verdana" w:cs="TimokCYR"/>
        </w:rPr>
        <w:t>В допълнителната разпоредба, в § 1 се правят следните изменения:</w:t>
      </w:r>
    </w:p>
    <w:p w:rsidR="00492092" w:rsidRPr="00492092" w:rsidRDefault="00492092" w:rsidP="008C5484">
      <w:pPr>
        <w:tabs>
          <w:tab w:val="left" w:pos="1134"/>
        </w:tabs>
        <w:spacing w:line="358" w:lineRule="auto"/>
        <w:ind w:firstLine="709"/>
        <w:jc w:val="both"/>
        <w:rPr>
          <w:rFonts w:ascii="Verdana" w:hAnsi="Verdana" w:cs="TimokCYR"/>
        </w:rPr>
      </w:pPr>
      <w:r w:rsidRPr="00492092">
        <w:rPr>
          <w:rFonts w:ascii="Verdana" w:hAnsi="Verdana" w:cs="TimokCYR"/>
        </w:rPr>
        <w:t>1. В т. 6 думата „Конвенционално“ се заменя с „Небиологично“, а думите „Регламент (ЕО) № 834/2007, Регламент (ЕО) № 889/2008“ се заменят с „Регламент (ЕС) 2018/848“.</w:t>
      </w:r>
    </w:p>
    <w:p w:rsidR="00492092" w:rsidRPr="00492092" w:rsidRDefault="00492092" w:rsidP="008C5484">
      <w:pPr>
        <w:tabs>
          <w:tab w:val="left" w:pos="1134"/>
        </w:tabs>
        <w:spacing w:line="358" w:lineRule="auto"/>
        <w:ind w:firstLine="709"/>
        <w:jc w:val="both"/>
        <w:rPr>
          <w:rFonts w:ascii="Verdana" w:hAnsi="Verdana" w:cs="TimokCYR"/>
        </w:rPr>
      </w:pPr>
      <w:r w:rsidRPr="00492092">
        <w:rPr>
          <w:rFonts w:ascii="Verdana" w:hAnsi="Verdana" w:cs="TimokCYR"/>
        </w:rPr>
        <w:t>2. Точка 21 се изменя така:</w:t>
      </w:r>
    </w:p>
    <w:p w:rsidR="00492092" w:rsidRPr="00492092" w:rsidRDefault="004E5F3E" w:rsidP="008C5484">
      <w:pPr>
        <w:tabs>
          <w:tab w:val="left" w:pos="1134"/>
        </w:tabs>
        <w:spacing w:line="358" w:lineRule="auto"/>
        <w:ind w:firstLine="709"/>
        <w:jc w:val="both"/>
        <w:rPr>
          <w:rFonts w:ascii="Verdana" w:hAnsi="Verdana" w:cs="TimokCYR"/>
        </w:rPr>
      </w:pPr>
      <w:r>
        <w:rPr>
          <w:rFonts w:ascii="Verdana" w:hAnsi="Verdana" w:cs="TimokCYR"/>
        </w:rPr>
        <w:t>„21. „Електронен път“</w:t>
      </w:r>
      <w:r w:rsidR="00492092" w:rsidRPr="00492092">
        <w:rPr>
          <w:rFonts w:ascii="Verdana" w:hAnsi="Verdana" w:cs="TimokCYR"/>
        </w:rPr>
        <w:t xml:space="preserve"> е изпращане и/или получаване на документи, подписани с КЕП, и/или сканирани копия чрез електронна поща на официалните електронни адреси на МЗХ (електронното деловодство), БАБХ, ДФЗ, контролиращите лица и други.“</w:t>
      </w:r>
    </w:p>
    <w:p w:rsidR="00401DBA" w:rsidRDefault="00492092" w:rsidP="008C5484">
      <w:pPr>
        <w:tabs>
          <w:tab w:val="left" w:pos="1134"/>
        </w:tabs>
        <w:spacing w:line="358" w:lineRule="auto"/>
        <w:ind w:firstLine="709"/>
        <w:jc w:val="both"/>
        <w:rPr>
          <w:rFonts w:ascii="Verdana" w:hAnsi="Verdana" w:cs="TimokCYR"/>
        </w:rPr>
      </w:pPr>
      <w:r w:rsidRPr="00492092">
        <w:rPr>
          <w:rFonts w:ascii="Verdana" w:hAnsi="Verdana" w:cs="TimokCYR"/>
        </w:rPr>
        <w:lastRenderedPageBreak/>
        <w:t>3. В т. 24 думите „чл. 42“ се заменя</w:t>
      </w:r>
      <w:r w:rsidR="004E5F3E">
        <w:rPr>
          <w:rFonts w:ascii="Verdana" w:hAnsi="Verdana" w:cs="TimokCYR"/>
        </w:rPr>
        <w:t>т</w:t>
      </w:r>
      <w:r w:rsidRPr="00492092">
        <w:rPr>
          <w:rFonts w:ascii="Verdana" w:hAnsi="Verdana" w:cs="TimokCYR"/>
        </w:rPr>
        <w:t xml:space="preserve"> с „чл. 45“.</w:t>
      </w:r>
    </w:p>
    <w:p w:rsidR="007938E7" w:rsidRDefault="007938E7" w:rsidP="008C5484">
      <w:pPr>
        <w:tabs>
          <w:tab w:val="left" w:pos="1134"/>
        </w:tabs>
        <w:spacing w:line="358" w:lineRule="auto"/>
        <w:ind w:firstLine="709"/>
        <w:jc w:val="both"/>
        <w:rPr>
          <w:rFonts w:ascii="Verdana" w:hAnsi="Verdana" w:cs="TimokCYR"/>
        </w:rPr>
      </w:pPr>
    </w:p>
    <w:p w:rsidR="000A238D" w:rsidRPr="00BC2611" w:rsidRDefault="00401DBA" w:rsidP="008C5484">
      <w:pPr>
        <w:tabs>
          <w:tab w:val="left" w:pos="1134"/>
        </w:tabs>
        <w:spacing w:line="358" w:lineRule="auto"/>
        <w:ind w:firstLine="709"/>
        <w:jc w:val="both"/>
        <w:rPr>
          <w:rFonts w:ascii="Verdana" w:hAnsi="Verdana" w:cs="TimokCYR"/>
        </w:rPr>
      </w:pPr>
      <w:r w:rsidRPr="00BF1AC1">
        <w:rPr>
          <w:rFonts w:ascii="Verdana" w:hAnsi="Verdana" w:cs="TimokCYR"/>
          <w:b/>
        </w:rPr>
        <w:t xml:space="preserve">§ 22. </w:t>
      </w:r>
      <w:r w:rsidR="00BC2611" w:rsidRPr="00BC2611">
        <w:rPr>
          <w:rFonts w:ascii="Verdana" w:hAnsi="Verdana" w:cs="TimokCYR"/>
        </w:rPr>
        <w:t>Създава се ново Приложение № 1</w:t>
      </w:r>
      <w:r w:rsidR="00BC2611">
        <w:rPr>
          <w:rFonts w:ascii="Verdana" w:hAnsi="Verdana" w:cs="TimokCYR"/>
          <w:b/>
        </w:rPr>
        <w:t xml:space="preserve"> </w:t>
      </w:r>
      <w:r w:rsidR="00BC2611" w:rsidRPr="00BC2611">
        <w:rPr>
          <w:rFonts w:ascii="Verdana" w:hAnsi="Verdana" w:cs="TimokCYR"/>
        </w:rPr>
        <w:t>към чл. 10, ал. 4</w:t>
      </w:r>
      <w:r w:rsidR="00BC2611">
        <w:rPr>
          <w:rFonts w:ascii="Verdana" w:hAnsi="Verdana" w:cs="TimokCYR"/>
        </w:rPr>
        <w:t>:</w:t>
      </w:r>
    </w:p>
    <w:p w:rsidR="00BC2611" w:rsidRDefault="00BC2611" w:rsidP="008C5484">
      <w:pPr>
        <w:tabs>
          <w:tab w:val="left" w:pos="1134"/>
        </w:tabs>
        <w:spacing w:line="358" w:lineRule="auto"/>
        <w:ind w:firstLine="709"/>
        <w:jc w:val="both"/>
        <w:rPr>
          <w:rFonts w:ascii="Verdana" w:hAnsi="Verdana" w:cs="TimokCYR"/>
        </w:rPr>
      </w:pPr>
    </w:p>
    <w:p w:rsidR="00BC2611" w:rsidRPr="003B3785" w:rsidRDefault="00BC2611" w:rsidP="00BC2611">
      <w:pPr>
        <w:tabs>
          <w:tab w:val="left" w:pos="1134"/>
        </w:tabs>
        <w:spacing w:line="360" w:lineRule="auto"/>
        <w:jc w:val="right"/>
        <w:rPr>
          <w:rFonts w:ascii="Verdana" w:hAnsi="Verdana" w:cs="TimokCYR"/>
        </w:rPr>
      </w:pPr>
      <w:r w:rsidRPr="003B3785">
        <w:rPr>
          <w:rFonts w:ascii="Verdana" w:hAnsi="Verdana" w:cs="TimokCYR"/>
        </w:rPr>
        <w:t xml:space="preserve">„Приложение № </w:t>
      </w:r>
      <w:r>
        <w:rPr>
          <w:rFonts w:ascii="Verdana" w:hAnsi="Verdana" w:cs="TimokCYR"/>
        </w:rPr>
        <w:t>1</w:t>
      </w:r>
    </w:p>
    <w:p w:rsidR="00BC2611" w:rsidRPr="003B3785" w:rsidRDefault="00BC2611" w:rsidP="00BC2611">
      <w:pPr>
        <w:tabs>
          <w:tab w:val="left" w:pos="1134"/>
        </w:tabs>
        <w:spacing w:line="360" w:lineRule="auto"/>
        <w:jc w:val="right"/>
        <w:rPr>
          <w:rFonts w:ascii="Verdana" w:hAnsi="Verdana" w:cs="TimokCYR"/>
        </w:rPr>
      </w:pPr>
      <w:r w:rsidRPr="003B3785">
        <w:rPr>
          <w:rFonts w:ascii="Verdana" w:hAnsi="Verdana" w:cs="TimokCYR"/>
        </w:rPr>
        <w:t>към чл. 10, ал. 4</w:t>
      </w:r>
    </w:p>
    <w:tbl>
      <w:tblPr>
        <w:tblStyle w:val="TableGrid"/>
        <w:tblW w:w="9209" w:type="dxa"/>
        <w:tblLook w:val="04A0" w:firstRow="1" w:lastRow="0" w:firstColumn="1" w:lastColumn="0" w:noHBand="0" w:noVBand="1"/>
      </w:tblPr>
      <w:tblGrid>
        <w:gridCol w:w="5949"/>
        <w:gridCol w:w="3260"/>
      </w:tblGrid>
      <w:tr w:rsidR="00BC2611" w:rsidRPr="00CB2D77" w:rsidTr="00BC2611">
        <w:tc>
          <w:tcPr>
            <w:tcW w:w="5949" w:type="dxa"/>
            <w:vAlign w:val="center"/>
          </w:tcPr>
          <w:p w:rsidR="00BC2611" w:rsidRPr="00CB2D77" w:rsidRDefault="00BC2611" w:rsidP="00BC2611">
            <w:pPr>
              <w:spacing w:before="80" w:after="80" w:line="300" w:lineRule="auto"/>
              <w:jc w:val="center"/>
              <w:rPr>
                <w:rFonts w:ascii="Verdana" w:hAnsi="Verdana"/>
              </w:rPr>
            </w:pPr>
            <w:r w:rsidRPr="00CB2D77">
              <w:rPr>
                <w:rFonts w:ascii="Verdana" w:hAnsi="Verdana"/>
              </w:rPr>
              <w:t>Категория или вид</w:t>
            </w:r>
          </w:p>
        </w:tc>
        <w:tc>
          <w:tcPr>
            <w:tcW w:w="3260" w:type="dxa"/>
            <w:vAlign w:val="center"/>
          </w:tcPr>
          <w:p w:rsidR="00BC2611" w:rsidRPr="00CB2D77" w:rsidRDefault="00BC2611" w:rsidP="00BC2611">
            <w:pPr>
              <w:spacing w:before="80" w:after="80" w:line="300" w:lineRule="auto"/>
              <w:jc w:val="center"/>
              <w:rPr>
                <w:rFonts w:ascii="Verdana" w:hAnsi="Verdana"/>
              </w:rPr>
            </w:pPr>
            <w:r w:rsidRPr="00CB2D77">
              <w:rPr>
                <w:rFonts w:ascii="Verdana" w:hAnsi="Verdana"/>
              </w:rPr>
              <w:t>Максимален брой животни на хектар равен на 170 кг азот/хa/година</w:t>
            </w:r>
          </w:p>
        </w:tc>
      </w:tr>
      <w:tr w:rsidR="00BC2611" w:rsidRPr="00CB2D77" w:rsidTr="00BC2611">
        <w:tc>
          <w:tcPr>
            <w:tcW w:w="5949" w:type="dxa"/>
            <w:hideMark/>
          </w:tcPr>
          <w:p w:rsidR="00BC2611" w:rsidRPr="00CB2D77" w:rsidRDefault="00BC2611" w:rsidP="00BC2611">
            <w:pPr>
              <w:spacing w:before="60" w:after="60" w:line="300" w:lineRule="auto"/>
              <w:jc w:val="both"/>
              <w:rPr>
                <w:rFonts w:ascii="Verdana" w:hAnsi="Verdana"/>
                <w:color w:val="000000"/>
              </w:rPr>
            </w:pPr>
            <w:r w:rsidRPr="00CB2D77">
              <w:rPr>
                <w:rFonts w:ascii="Verdana" w:hAnsi="Verdana"/>
                <w:color w:val="000000"/>
              </w:rPr>
              <w:t>Еднокопитни над шестмесечна възраст</w:t>
            </w:r>
          </w:p>
        </w:tc>
        <w:tc>
          <w:tcPr>
            <w:tcW w:w="3260" w:type="dxa"/>
            <w:hideMark/>
          </w:tcPr>
          <w:p w:rsidR="00BC2611" w:rsidRPr="00CB2D77" w:rsidRDefault="00BC2611" w:rsidP="00BC2611">
            <w:pPr>
              <w:spacing w:before="60" w:after="60" w:line="300" w:lineRule="auto"/>
              <w:jc w:val="center"/>
              <w:rPr>
                <w:rFonts w:ascii="Verdana" w:hAnsi="Verdana"/>
                <w:color w:val="000000"/>
              </w:rPr>
            </w:pPr>
            <w:r w:rsidRPr="00CB2D77">
              <w:rPr>
                <w:rFonts w:ascii="Verdana" w:hAnsi="Verdana"/>
                <w:color w:val="000000"/>
              </w:rPr>
              <w:t>2</w:t>
            </w:r>
          </w:p>
        </w:tc>
      </w:tr>
      <w:tr w:rsidR="00BC2611" w:rsidRPr="00CB2D77" w:rsidTr="00BC2611">
        <w:tc>
          <w:tcPr>
            <w:tcW w:w="5949" w:type="dxa"/>
            <w:hideMark/>
          </w:tcPr>
          <w:p w:rsidR="00BC2611" w:rsidRPr="00CB2D77" w:rsidRDefault="00BC2611" w:rsidP="00BC2611">
            <w:pPr>
              <w:spacing w:before="60" w:after="60" w:line="300" w:lineRule="auto"/>
              <w:jc w:val="both"/>
              <w:rPr>
                <w:rFonts w:ascii="Verdana" w:hAnsi="Verdana"/>
                <w:color w:val="000000"/>
              </w:rPr>
            </w:pPr>
            <w:r w:rsidRPr="00CB2D77">
              <w:rPr>
                <w:rFonts w:ascii="Verdana" w:hAnsi="Verdana"/>
                <w:color w:val="000000"/>
              </w:rPr>
              <w:t>Телета за угояване</w:t>
            </w:r>
          </w:p>
        </w:tc>
        <w:tc>
          <w:tcPr>
            <w:tcW w:w="3260" w:type="dxa"/>
            <w:hideMark/>
          </w:tcPr>
          <w:p w:rsidR="00BC2611" w:rsidRPr="00CB2D77" w:rsidRDefault="00BC2611" w:rsidP="00BC2611">
            <w:pPr>
              <w:spacing w:before="60" w:after="60" w:line="300" w:lineRule="auto"/>
              <w:jc w:val="center"/>
              <w:rPr>
                <w:rFonts w:ascii="Verdana" w:hAnsi="Verdana"/>
                <w:color w:val="000000"/>
              </w:rPr>
            </w:pPr>
            <w:r w:rsidRPr="00CB2D77">
              <w:rPr>
                <w:rFonts w:ascii="Verdana" w:hAnsi="Verdana"/>
                <w:color w:val="000000"/>
              </w:rPr>
              <w:t>5</w:t>
            </w:r>
          </w:p>
        </w:tc>
      </w:tr>
      <w:tr w:rsidR="00BC2611" w:rsidRPr="00CB2D77" w:rsidTr="00BC2611">
        <w:tc>
          <w:tcPr>
            <w:tcW w:w="5949" w:type="dxa"/>
            <w:hideMark/>
          </w:tcPr>
          <w:p w:rsidR="00BC2611" w:rsidRPr="00CB2D77" w:rsidRDefault="00BC2611" w:rsidP="00BC2611">
            <w:pPr>
              <w:spacing w:before="60" w:after="60" w:line="300" w:lineRule="auto"/>
              <w:jc w:val="both"/>
              <w:rPr>
                <w:rFonts w:ascii="Verdana" w:hAnsi="Verdana"/>
                <w:color w:val="000000"/>
              </w:rPr>
            </w:pPr>
            <w:r w:rsidRPr="00CB2D77">
              <w:rPr>
                <w:rFonts w:ascii="Verdana" w:hAnsi="Verdana"/>
                <w:color w:val="000000"/>
              </w:rPr>
              <w:t>Други животни от рода на едрия рогат добитък, по-малки от 1 година</w:t>
            </w:r>
          </w:p>
        </w:tc>
        <w:tc>
          <w:tcPr>
            <w:tcW w:w="3260" w:type="dxa"/>
            <w:hideMark/>
          </w:tcPr>
          <w:p w:rsidR="00BC2611" w:rsidRPr="00CB2D77" w:rsidRDefault="00BC2611" w:rsidP="00BC2611">
            <w:pPr>
              <w:spacing w:before="60" w:after="60" w:line="300" w:lineRule="auto"/>
              <w:jc w:val="center"/>
              <w:rPr>
                <w:rFonts w:ascii="Verdana" w:hAnsi="Verdana"/>
                <w:color w:val="000000"/>
              </w:rPr>
            </w:pPr>
            <w:r w:rsidRPr="00CB2D77">
              <w:rPr>
                <w:rFonts w:ascii="Verdana" w:hAnsi="Verdana"/>
                <w:color w:val="000000"/>
              </w:rPr>
              <w:t>5</w:t>
            </w:r>
          </w:p>
        </w:tc>
      </w:tr>
      <w:tr w:rsidR="00BC2611" w:rsidRPr="00CB2D77" w:rsidTr="00BC2611">
        <w:tc>
          <w:tcPr>
            <w:tcW w:w="5949" w:type="dxa"/>
            <w:hideMark/>
          </w:tcPr>
          <w:p w:rsidR="00BC2611" w:rsidRPr="00CB2D77" w:rsidRDefault="00BC2611" w:rsidP="00BC2611">
            <w:pPr>
              <w:spacing w:before="60" w:after="60" w:line="300" w:lineRule="auto"/>
              <w:jc w:val="both"/>
              <w:rPr>
                <w:rFonts w:ascii="Verdana" w:hAnsi="Verdana"/>
                <w:color w:val="000000"/>
              </w:rPr>
            </w:pPr>
            <w:r w:rsidRPr="00CB2D77">
              <w:rPr>
                <w:rFonts w:ascii="Verdana" w:hAnsi="Verdana"/>
                <w:color w:val="000000"/>
              </w:rPr>
              <w:t>Мъжки говеда — от една до две години</w:t>
            </w:r>
          </w:p>
        </w:tc>
        <w:tc>
          <w:tcPr>
            <w:tcW w:w="3260" w:type="dxa"/>
            <w:hideMark/>
          </w:tcPr>
          <w:p w:rsidR="00BC2611" w:rsidRPr="00CB2D77" w:rsidRDefault="00BC2611" w:rsidP="00BC2611">
            <w:pPr>
              <w:spacing w:before="60" w:after="60" w:line="300" w:lineRule="auto"/>
              <w:jc w:val="center"/>
              <w:rPr>
                <w:rFonts w:ascii="Verdana" w:hAnsi="Verdana"/>
                <w:color w:val="000000"/>
              </w:rPr>
            </w:pPr>
            <w:r w:rsidRPr="00CB2D77">
              <w:rPr>
                <w:rFonts w:ascii="Verdana" w:hAnsi="Verdana"/>
                <w:color w:val="000000"/>
              </w:rPr>
              <w:t>3,3</w:t>
            </w:r>
          </w:p>
        </w:tc>
      </w:tr>
      <w:tr w:rsidR="00BC2611" w:rsidRPr="00CB2D77" w:rsidTr="00BC2611">
        <w:tc>
          <w:tcPr>
            <w:tcW w:w="5949" w:type="dxa"/>
            <w:hideMark/>
          </w:tcPr>
          <w:p w:rsidR="00BC2611" w:rsidRPr="00CB2D77" w:rsidRDefault="00BC2611" w:rsidP="00BC2611">
            <w:pPr>
              <w:spacing w:before="60" w:after="60" w:line="300" w:lineRule="auto"/>
              <w:jc w:val="both"/>
              <w:rPr>
                <w:rFonts w:ascii="Verdana" w:hAnsi="Verdana"/>
                <w:color w:val="000000"/>
              </w:rPr>
            </w:pPr>
            <w:r w:rsidRPr="00CB2D77">
              <w:rPr>
                <w:rFonts w:ascii="Verdana" w:hAnsi="Verdana"/>
                <w:color w:val="000000"/>
              </w:rPr>
              <w:t>Женски говеда — от една до две години</w:t>
            </w:r>
          </w:p>
        </w:tc>
        <w:tc>
          <w:tcPr>
            <w:tcW w:w="3260" w:type="dxa"/>
            <w:hideMark/>
          </w:tcPr>
          <w:p w:rsidR="00BC2611" w:rsidRPr="00CB2D77" w:rsidRDefault="00BC2611" w:rsidP="00BC2611">
            <w:pPr>
              <w:spacing w:before="60" w:after="60" w:line="300" w:lineRule="auto"/>
              <w:jc w:val="center"/>
              <w:rPr>
                <w:rFonts w:ascii="Verdana" w:hAnsi="Verdana"/>
                <w:color w:val="000000"/>
              </w:rPr>
            </w:pPr>
            <w:r w:rsidRPr="00CB2D77">
              <w:rPr>
                <w:rFonts w:ascii="Verdana" w:hAnsi="Verdana"/>
                <w:color w:val="000000"/>
              </w:rPr>
              <w:t>3,3</w:t>
            </w:r>
          </w:p>
        </w:tc>
      </w:tr>
      <w:tr w:rsidR="00BC2611" w:rsidRPr="00CB2D77" w:rsidTr="00BC2611">
        <w:tc>
          <w:tcPr>
            <w:tcW w:w="5949" w:type="dxa"/>
            <w:hideMark/>
          </w:tcPr>
          <w:p w:rsidR="00BC2611" w:rsidRPr="00CB2D77" w:rsidRDefault="00BC2611" w:rsidP="00BC2611">
            <w:pPr>
              <w:spacing w:before="60" w:after="60" w:line="300" w:lineRule="auto"/>
              <w:jc w:val="both"/>
              <w:rPr>
                <w:rFonts w:ascii="Verdana" w:hAnsi="Verdana"/>
                <w:color w:val="000000"/>
              </w:rPr>
            </w:pPr>
            <w:r w:rsidRPr="00CB2D77">
              <w:rPr>
                <w:rFonts w:ascii="Verdana" w:hAnsi="Verdana"/>
                <w:color w:val="000000"/>
              </w:rPr>
              <w:t>Мъжки говеда на две и повече години</w:t>
            </w:r>
          </w:p>
        </w:tc>
        <w:tc>
          <w:tcPr>
            <w:tcW w:w="3260" w:type="dxa"/>
            <w:hideMark/>
          </w:tcPr>
          <w:p w:rsidR="00BC2611" w:rsidRPr="00CB2D77" w:rsidRDefault="00BC2611" w:rsidP="00BC2611">
            <w:pPr>
              <w:spacing w:before="60" w:after="60" w:line="300" w:lineRule="auto"/>
              <w:jc w:val="center"/>
              <w:rPr>
                <w:rFonts w:ascii="Verdana" w:hAnsi="Verdana"/>
                <w:color w:val="000000"/>
              </w:rPr>
            </w:pPr>
            <w:r w:rsidRPr="00CB2D77">
              <w:rPr>
                <w:rFonts w:ascii="Verdana" w:hAnsi="Verdana"/>
                <w:color w:val="000000"/>
              </w:rPr>
              <w:t>2</w:t>
            </w:r>
          </w:p>
        </w:tc>
      </w:tr>
      <w:tr w:rsidR="00BC2611" w:rsidRPr="00CB2D77" w:rsidTr="00BC2611">
        <w:tc>
          <w:tcPr>
            <w:tcW w:w="5949" w:type="dxa"/>
            <w:hideMark/>
          </w:tcPr>
          <w:p w:rsidR="00BC2611" w:rsidRPr="00CB2D77" w:rsidRDefault="00BC2611" w:rsidP="00BC2611">
            <w:pPr>
              <w:spacing w:before="60" w:after="60" w:line="300" w:lineRule="auto"/>
              <w:jc w:val="both"/>
              <w:rPr>
                <w:rFonts w:ascii="Verdana" w:hAnsi="Verdana"/>
                <w:color w:val="000000"/>
              </w:rPr>
            </w:pPr>
            <w:r w:rsidRPr="00CB2D77">
              <w:rPr>
                <w:rFonts w:ascii="Verdana" w:hAnsi="Verdana"/>
                <w:color w:val="000000"/>
              </w:rPr>
              <w:t>Юници за разплод</w:t>
            </w:r>
          </w:p>
        </w:tc>
        <w:tc>
          <w:tcPr>
            <w:tcW w:w="3260" w:type="dxa"/>
            <w:hideMark/>
          </w:tcPr>
          <w:p w:rsidR="00BC2611" w:rsidRPr="00CB2D77" w:rsidRDefault="00BC2611" w:rsidP="00BC2611">
            <w:pPr>
              <w:spacing w:before="60" w:after="60" w:line="300" w:lineRule="auto"/>
              <w:jc w:val="center"/>
              <w:rPr>
                <w:rFonts w:ascii="Verdana" w:hAnsi="Verdana"/>
                <w:color w:val="000000"/>
              </w:rPr>
            </w:pPr>
            <w:r w:rsidRPr="00CB2D77">
              <w:rPr>
                <w:rFonts w:ascii="Verdana" w:hAnsi="Verdana"/>
                <w:color w:val="000000"/>
              </w:rPr>
              <w:t>2,5</w:t>
            </w:r>
          </w:p>
        </w:tc>
      </w:tr>
      <w:tr w:rsidR="00BC2611" w:rsidRPr="00CB2D77" w:rsidTr="00BC2611">
        <w:tc>
          <w:tcPr>
            <w:tcW w:w="5949" w:type="dxa"/>
            <w:hideMark/>
          </w:tcPr>
          <w:p w:rsidR="00BC2611" w:rsidRPr="00CB2D77" w:rsidRDefault="00BC2611" w:rsidP="00BC2611">
            <w:pPr>
              <w:spacing w:before="60" w:after="60" w:line="300" w:lineRule="auto"/>
              <w:jc w:val="both"/>
              <w:rPr>
                <w:rFonts w:ascii="Verdana" w:hAnsi="Verdana"/>
                <w:color w:val="000000"/>
              </w:rPr>
            </w:pPr>
            <w:r w:rsidRPr="00CB2D77">
              <w:rPr>
                <w:rFonts w:ascii="Verdana" w:hAnsi="Verdana"/>
                <w:color w:val="000000"/>
              </w:rPr>
              <w:t>Юници за угояване</w:t>
            </w:r>
          </w:p>
        </w:tc>
        <w:tc>
          <w:tcPr>
            <w:tcW w:w="3260" w:type="dxa"/>
            <w:hideMark/>
          </w:tcPr>
          <w:p w:rsidR="00BC2611" w:rsidRPr="00CB2D77" w:rsidRDefault="00BC2611" w:rsidP="00BC2611">
            <w:pPr>
              <w:spacing w:before="60" w:after="60" w:line="300" w:lineRule="auto"/>
              <w:jc w:val="center"/>
              <w:rPr>
                <w:rFonts w:ascii="Verdana" w:hAnsi="Verdana"/>
                <w:color w:val="000000"/>
              </w:rPr>
            </w:pPr>
            <w:r w:rsidRPr="00CB2D77">
              <w:rPr>
                <w:rFonts w:ascii="Verdana" w:hAnsi="Verdana"/>
                <w:color w:val="000000"/>
              </w:rPr>
              <w:t>2,5</w:t>
            </w:r>
          </w:p>
        </w:tc>
      </w:tr>
      <w:tr w:rsidR="00BC2611" w:rsidRPr="00CB2D77" w:rsidTr="00BC2611">
        <w:tc>
          <w:tcPr>
            <w:tcW w:w="5949" w:type="dxa"/>
            <w:hideMark/>
          </w:tcPr>
          <w:p w:rsidR="00BC2611" w:rsidRPr="00CB2D77" w:rsidRDefault="00BC2611" w:rsidP="00BC2611">
            <w:pPr>
              <w:spacing w:before="60" w:after="60" w:line="300" w:lineRule="auto"/>
              <w:jc w:val="both"/>
              <w:rPr>
                <w:rFonts w:ascii="Verdana" w:hAnsi="Verdana"/>
                <w:color w:val="000000"/>
              </w:rPr>
            </w:pPr>
            <w:r w:rsidRPr="00CB2D77">
              <w:rPr>
                <w:rFonts w:ascii="Verdana" w:hAnsi="Verdana"/>
                <w:color w:val="000000"/>
              </w:rPr>
              <w:t>Млекодайни крави</w:t>
            </w:r>
          </w:p>
        </w:tc>
        <w:tc>
          <w:tcPr>
            <w:tcW w:w="3260" w:type="dxa"/>
            <w:hideMark/>
          </w:tcPr>
          <w:p w:rsidR="00BC2611" w:rsidRPr="00CB2D77" w:rsidRDefault="00BC2611" w:rsidP="00BC2611">
            <w:pPr>
              <w:spacing w:before="60" w:after="60" w:line="300" w:lineRule="auto"/>
              <w:jc w:val="center"/>
              <w:rPr>
                <w:rFonts w:ascii="Verdana" w:hAnsi="Verdana"/>
                <w:color w:val="000000"/>
              </w:rPr>
            </w:pPr>
            <w:r w:rsidRPr="00CB2D77">
              <w:rPr>
                <w:rFonts w:ascii="Verdana" w:hAnsi="Verdana"/>
                <w:color w:val="000000"/>
              </w:rPr>
              <w:t>2</w:t>
            </w:r>
          </w:p>
        </w:tc>
      </w:tr>
      <w:tr w:rsidR="00BC2611" w:rsidRPr="00CB2D77" w:rsidTr="00BC2611">
        <w:tc>
          <w:tcPr>
            <w:tcW w:w="5949" w:type="dxa"/>
            <w:hideMark/>
          </w:tcPr>
          <w:p w:rsidR="00BC2611" w:rsidRPr="00CB2D77" w:rsidRDefault="00BC2611" w:rsidP="00BC2611">
            <w:pPr>
              <w:spacing w:before="60" w:after="60" w:line="300" w:lineRule="auto"/>
              <w:jc w:val="both"/>
              <w:rPr>
                <w:rFonts w:ascii="Verdana" w:hAnsi="Verdana"/>
                <w:color w:val="000000"/>
              </w:rPr>
            </w:pPr>
            <w:r w:rsidRPr="00CB2D77">
              <w:rPr>
                <w:rFonts w:ascii="Verdana" w:hAnsi="Verdana"/>
                <w:color w:val="000000"/>
              </w:rPr>
              <w:t>Бракувани млекодайни крави</w:t>
            </w:r>
          </w:p>
        </w:tc>
        <w:tc>
          <w:tcPr>
            <w:tcW w:w="3260" w:type="dxa"/>
            <w:hideMark/>
          </w:tcPr>
          <w:p w:rsidR="00BC2611" w:rsidRPr="00CB2D77" w:rsidRDefault="00BC2611" w:rsidP="00BC2611">
            <w:pPr>
              <w:spacing w:before="60" w:after="60" w:line="300" w:lineRule="auto"/>
              <w:jc w:val="center"/>
              <w:rPr>
                <w:rFonts w:ascii="Verdana" w:hAnsi="Verdana"/>
                <w:color w:val="000000"/>
              </w:rPr>
            </w:pPr>
            <w:r w:rsidRPr="00CB2D77">
              <w:rPr>
                <w:rFonts w:ascii="Verdana" w:hAnsi="Verdana"/>
                <w:color w:val="000000"/>
              </w:rPr>
              <w:t>2</w:t>
            </w:r>
          </w:p>
        </w:tc>
      </w:tr>
      <w:tr w:rsidR="00BC2611" w:rsidRPr="00CB2D77" w:rsidTr="00BC2611">
        <w:tc>
          <w:tcPr>
            <w:tcW w:w="5949" w:type="dxa"/>
            <w:hideMark/>
          </w:tcPr>
          <w:p w:rsidR="00BC2611" w:rsidRPr="00CB2D77" w:rsidRDefault="00BC2611" w:rsidP="00BC2611">
            <w:pPr>
              <w:spacing w:before="60" w:after="60" w:line="300" w:lineRule="auto"/>
              <w:jc w:val="both"/>
              <w:rPr>
                <w:rFonts w:ascii="Verdana" w:hAnsi="Verdana"/>
                <w:color w:val="000000"/>
              </w:rPr>
            </w:pPr>
            <w:r w:rsidRPr="00CB2D77">
              <w:rPr>
                <w:rFonts w:ascii="Verdana" w:hAnsi="Verdana"/>
                <w:color w:val="000000"/>
              </w:rPr>
              <w:t>Други крави</w:t>
            </w:r>
          </w:p>
        </w:tc>
        <w:tc>
          <w:tcPr>
            <w:tcW w:w="3260" w:type="dxa"/>
            <w:hideMark/>
          </w:tcPr>
          <w:p w:rsidR="00BC2611" w:rsidRPr="00CB2D77" w:rsidRDefault="00BC2611" w:rsidP="00BC2611">
            <w:pPr>
              <w:spacing w:before="60" w:after="60" w:line="300" w:lineRule="auto"/>
              <w:jc w:val="center"/>
              <w:rPr>
                <w:rFonts w:ascii="Verdana" w:hAnsi="Verdana"/>
                <w:color w:val="000000"/>
              </w:rPr>
            </w:pPr>
            <w:r w:rsidRPr="00CB2D77">
              <w:rPr>
                <w:rFonts w:ascii="Verdana" w:hAnsi="Verdana"/>
                <w:color w:val="000000"/>
              </w:rPr>
              <w:t>2,5</w:t>
            </w:r>
          </w:p>
        </w:tc>
      </w:tr>
      <w:tr w:rsidR="00BC2611" w:rsidRPr="00CB2D77" w:rsidTr="00BC2611">
        <w:tc>
          <w:tcPr>
            <w:tcW w:w="5949" w:type="dxa"/>
            <w:hideMark/>
          </w:tcPr>
          <w:p w:rsidR="00BC2611" w:rsidRPr="00CB2D77" w:rsidRDefault="00BC2611" w:rsidP="00BC2611">
            <w:pPr>
              <w:spacing w:before="60" w:after="60" w:line="300" w:lineRule="auto"/>
              <w:jc w:val="both"/>
              <w:rPr>
                <w:rFonts w:ascii="Verdana" w:hAnsi="Verdana"/>
                <w:color w:val="000000"/>
              </w:rPr>
            </w:pPr>
            <w:r w:rsidRPr="00CB2D77">
              <w:rPr>
                <w:rFonts w:ascii="Verdana" w:hAnsi="Verdana"/>
                <w:color w:val="000000"/>
              </w:rPr>
              <w:t>Женски зайци за разплод</w:t>
            </w:r>
          </w:p>
        </w:tc>
        <w:tc>
          <w:tcPr>
            <w:tcW w:w="3260" w:type="dxa"/>
            <w:hideMark/>
          </w:tcPr>
          <w:p w:rsidR="00BC2611" w:rsidRPr="00CB2D77" w:rsidRDefault="00BC2611" w:rsidP="00BC2611">
            <w:pPr>
              <w:spacing w:before="60" w:after="60" w:line="300" w:lineRule="auto"/>
              <w:jc w:val="center"/>
              <w:rPr>
                <w:rFonts w:ascii="Verdana" w:hAnsi="Verdana"/>
                <w:color w:val="000000"/>
              </w:rPr>
            </w:pPr>
            <w:r w:rsidRPr="00CB2D77">
              <w:rPr>
                <w:rFonts w:ascii="Verdana" w:hAnsi="Verdana"/>
                <w:color w:val="000000"/>
              </w:rPr>
              <w:t>100</w:t>
            </w:r>
          </w:p>
        </w:tc>
      </w:tr>
      <w:tr w:rsidR="00BC2611" w:rsidRPr="00CB2D77" w:rsidTr="00BC2611">
        <w:tc>
          <w:tcPr>
            <w:tcW w:w="5949" w:type="dxa"/>
            <w:hideMark/>
          </w:tcPr>
          <w:p w:rsidR="00BC2611" w:rsidRPr="00CB2D77" w:rsidRDefault="00BC2611" w:rsidP="00BC2611">
            <w:pPr>
              <w:spacing w:before="60" w:after="60" w:line="300" w:lineRule="auto"/>
              <w:jc w:val="both"/>
              <w:rPr>
                <w:rFonts w:ascii="Verdana" w:hAnsi="Verdana"/>
                <w:color w:val="000000"/>
              </w:rPr>
            </w:pPr>
            <w:r w:rsidRPr="00CB2D77">
              <w:rPr>
                <w:rFonts w:ascii="Verdana" w:hAnsi="Verdana"/>
                <w:color w:val="000000"/>
              </w:rPr>
              <w:t>Женски овце за разплод</w:t>
            </w:r>
          </w:p>
        </w:tc>
        <w:tc>
          <w:tcPr>
            <w:tcW w:w="3260" w:type="dxa"/>
            <w:hideMark/>
          </w:tcPr>
          <w:p w:rsidR="00BC2611" w:rsidRPr="00CB2D77" w:rsidRDefault="00BC2611" w:rsidP="00BC2611">
            <w:pPr>
              <w:spacing w:before="60" w:after="60" w:line="300" w:lineRule="auto"/>
              <w:jc w:val="center"/>
              <w:rPr>
                <w:rFonts w:ascii="Verdana" w:hAnsi="Verdana"/>
                <w:color w:val="000000"/>
              </w:rPr>
            </w:pPr>
            <w:r w:rsidRPr="00CB2D77">
              <w:rPr>
                <w:rFonts w:ascii="Verdana" w:hAnsi="Verdana"/>
                <w:color w:val="000000"/>
              </w:rPr>
              <w:t>13,3</w:t>
            </w:r>
          </w:p>
        </w:tc>
      </w:tr>
      <w:tr w:rsidR="00BC2611" w:rsidRPr="00CB2D77" w:rsidTr="00BC2611">
        <w:tc>
          <w:tcPr>
            <w:tcW w:w="5949" w:type="dxa"/>
            <w:hideMark/>
          </w:tcPr>
          <w:p w:rsidR="00BC2611" w:rsidRPr="00CB2D77" w:rsidRDefault="00BC2611" w:rsidP="00BC2611">
            <w:pPr>
              <w:spacing w:before="60" w:after="60" w:line="300" w:lineRule="auto"/>
              <w:jc w:val="both"/>
              <w:rPr>
                <w:rFonts w:ascii="Verdana" w:hAnsi="Verdana"/>
                <w:color w:val="000000"/>
              </w:rPr>
            </w:pPr>
            <w:r w:rsidRPr="00CB2D77">
              <w:rPr>
                <w:rFonts w:ascii="Verdana" w:hAnsi="Verdana"/>
                <w:color w:val="000000"/>
              </w:rPr>
              <w:t>Кози</w:t>
            </w:r>
          </w:p>
        </w:tc>
        <w:tc>
          <w:tcPr>
            <w:tcW w:w="3260" w:type="dxa"/>
            <w:hideMark/>
          </w:tcPr>
          <w:p w:rsidR="00BC2611" w:rsidRPr="00CB2D77" w:rsidRDefault="00BC2611" w:rsidP="00BC2611">
            <w:pPr>
              <w:spacing w:before="60" w:after="60" w:line="300" w:lineRule="auto"/>
              <w:jc w:val="center"/>
              <w:rPr>
                <w:rFonts w:ascii="Verdana" w:hAnsi="Verdana"/>
                <w:color w:val="000000"/>
              </w:rPr>
            </w:pPr>
            <w:r w:rsidRPr="00CB2D77">
              <w:rPr>
                <w:rFonts w:ascii="Verdana" w:hAnsi="Verdana"/>
                <w:color w:val="000000"/>
              </w:rPr>
              <w:t>13,3</w:t>
            </w:r>
          </w:p>
        </w:tc>
      </w:tr>
      <w:tr w:rsidR="00BC2611" w:rsidRPr="00CB2D77" w:rsidTr="00BC2611">
        <w:tc>
          <w:tcPr>
            <w:tcW w:w="5949" w:type="dxa"/>
            <w:hideMark/>
          </w:tcPr>
          <w:p w:rsidR="00BC2611" w:rsidRPr="00CB2D77" w:rsidRDefault="00BC2611" w:rsidP="00BC2611">
            <w:pPr>
              <w:spacing w:before="60" w:after="60" w:line="300" w:lineRule="auto"/>
              <w:jc w:val="both"/>
              <w:rPr>
                <w:rFonts w:ascii="Verdana" w:hAnsi="Verdana"/>
                <w:color w:val="000000"/>
              </w:rPr>
            </w:pPr>
            <w:r w:rsidRPr="00CB2D77">
              <w:rPr>
                <w:rFonts w:ascii="Verdana" w:hAnsi="Verdana"/>
                <w:color w:val="000000"/>
              </w:rPr>
              <w:t>Прасенца</w:t>
            </w:r>
          </w:p>
        </w:tc>
        <w:tc>
          <w:tcPr>
            <w:tcW w:w="3260" w:type="dxa"/>
            <w:hideMark/>
          </w:tcPr>
          <w:p w:rsidR="00BC2611" w:rsidRPr="00CB2D77" w:rsidRDefault="00BC2611" w:rsidP="00BC2611">
            <w:pPr>
              <w:spacing w:before="60" w:after="60" w:line="300" w:lineRule="auto"/>
              <w:jc w:val="center"/>
              <w:rPr>
                <w:rFonts w:ascii="Verdana" w:hAnsi="Verdana"/>
                <w:color w:val="000000"/>
              </w:rPr>
            </w:pPr>
            <w:r w:rsidRPr="00CB2D77">
              <w:rPr>
                <w:rFonts w:ascii="Verdana" w:hAnsi="Verdana"/>
                <w:color w:val="000000"/>
              </w:rPr>
              <w:t>74</w:t>
            </w:r>
          </w:p>
        </w:tc>
      </w:tr>
      <w:tr w:rsidR="00BC2611" w:rsidRPr="00CB2D77" w:rsidTr="00BC2611">
        <w:tc>
          <w:tcPr>
            <w:tcW w:w="5949" w:type="dxa"/>
            <w:hideMark/>
          </w:tcPr>
          <w:p w:rsidR="00BC2611" w:rsidRPr="00CB2D77" w:rsidRDefault="00BC2611" w:rsidP="00BC2611">
            <w:pPr>
              <w:spacing w:before="60" w:after="60" w:line="300" w:lineRule="auto"/>
              <w:jc w:val="both"/>
              <w:rPr>
                <w:rFonts w:ascii="Verdana" w:hAnsi="Verdana"/>
                <w:color w:val="000000"/>
              </w:rPr>
            </w:pPr>
            <w:r w:rsidRPr="00CB2D77">
              <w:rPr>
                <w:rFonts w:ascii="Verdana" w:hAnsi="Verdana"/>
                <w:color w:val="000000"/>
              </w:rPr>
              <w:t>Женски свине за разплод</w:t>
            </w:r>
          </w:p>
        </w:tc>
        <w:tc>
          <w:tcPr>
            <w:tcW w:w="3260" w:type="dxa"/>
            <w:hideMark/>
          </w:tcPr>
          <w:p w:rsidR="00BC2611" w:rsidRPr="00CB2D77" w:rsidRDefault="00BC2611" w:rsidP="00BC2611">
            <w:pPr>
              <w:spacing w:before="60" w:after="60" w:line="300" w:lineRule="auto"/>
              <w:jc w:val="center"/>
              <w:rPr>
                <w:rFonts w:ascii="Verdana" w:hAnsi="Verdana"/>
                <w:color w:val="000000"/>
              </w:rPr>
            </w:pPr>
            <w:r w:rsidRPr="00CB2D77">
              <w:rPr>
                <w:rFonts w:ascii="Verdana" w:hAnsi="Verdana"/>
                <w:color w:val="000000"/>
              </w:rPr>
              <w:t>6,5</w:t>
            </w:r>
          </w:p>
        </w:tc>
      </w:tr>
      <w:tr w:rsidR="00BC2611" w:rsidRPr="00CB2D77" w:rsidTr="00BC2611">
        <w:tc>
          <w:tcPr>
            <w:tcW w:w="5949" w:type="dxa"/>
            <w:hideMark/>
          </w:tcPr>
          <w:p w:rsidR="00BC2611" w:rsidRPr="00CB2D77" w:rsidRDefault="00BC2611" w:rsidP="00BC2611">
            <w:pPr>
              <w:spacing w:before="60" w:after="60" w:line="300" w:lineRule="auto"/>
              <w:jc w:val="both"/>
              <w:rPr>
                <w:rFonts w:ascii="Verdana" w:hAnsi="Verdana"/>
                <w:color w:val="000000"/>
              </w:rPr>
            </w:pPr>
            <w:r w:rsidRPr="00CB2D77">
              <w:rPr>
                <w:rFonts w:ascii="Verdana" w:hAnsi="Verdana"/>
                <w:color w:val="000000"/>
              </w:rPr>
              <w:t>Свине за угояване</w:t>
            </w:r>
          </w:p>
        </w:tc>
        <w:tc>
          <w:tcPr>
            <w:tcW w:w="3260" w:type="dxa"/>
            <w:hideMark/>
          </w:tcPr>
          <w:p w:rsidR="00BC2611" w:rsidRPr="00CB2D77" w:rsidRDefault="00BC2611" w:rsidP="00BC2611">
            <w:pPr>
              <w:spacing w:before="60" w:after="60" w:line="300" w:lineRule="auto"/>
              <w:jc w:val="center"/>
              <w:rPr>
                <w:rFonts w:ascii="Verdana" w:hAnsi="Verdana"/>
                <w:color w:val="000000"/>
              </w:rPr>
            </w:pPr>
            <w:r w:rsidRPr="00CB2D77">
              <w:rPr>
                <w:rFonts w:ascii="Verdana" w:hAnsi="Verdana"/>
                <w:color w:val="000000"/>
              </w:rPr>
              <w:t>14</w:t>
            </w:r>
          </w:p>
        </w:tc>
      </w:tr>
      <w:tr w:rsidR="00BC2611" w:rsidRPr="00CB2D77" w:rsidTr="00BC2611">
        <w:tc>
          <w:tcPr>
            <w:tcW w:w="5949" w:type="dxa"/>
            <w:hideMark/>
          </w:tcPr>
          <w:p w:rsidR="00BC2611" w:rsidRPr="00CB2D77" w:rsidRDefault="00BC2611" w:rsidP="00BC2611">
            <w:pPr>
              <w:spacing w:before="60" w:after="60" w:line="300" w:lineRule="auto"/>
              <w:jc w:val="both"/>
              <w:rPr>
                <w:rFonts w:ascii="Verdana" w:hAnsi="Verdana"/>
                <w:color w:val="000000"/>
              </w:rPr>
            </w:pPr>
            <w:r w:rsidRPr="00CB2D77">
              <w:rPr>
                <w:rFonts w:ascii="Verdana" w:hAnsi="Verdana"/>
                <w:color w:val="000000"/>
              </w:rPr>
              <w:t>Други свине</w:t>
            </w:r>
          </w:p>
        </w:tc>
        <w:tc>
          <w:tcPr>
            <w:tcW w:w="3260" w:type="dxa"/>
            <w:hideMark/>
          </w:tcPr>
          <w:p w:rsidR="00BC2611" w:rsidRPr="00CB2D77" w:rsidRDefault="00BC2611" w:rsidP="00BC2611">
            <w:pPr>
              <w:spacing w:before="60" w:after="60" w:line="300" w:lineRule="auto"/>
              <w:jc w:val="center"/>
              <w:rPr>
                <w:rFonts w:ascii="Verdana" w:hAnsi="Verdana"/>
                <w:color w:val="000000"/>
              </w:rPr>
            </w:pPr>
            <w:r w:rsidRPr="00CB2D77">
              <w:rPr>
                <w:rFonts w:ascii="Verdana" w:hAnsi="Verdana"/>
                <w:color w:val="000000"/>
              </w:rPr>
              <w:t>14</w:t>
            </w:r>
          </w:p>
        </w:tc>
      </w:tr>
      <w:tr w:rsidR="00BC2611" w:rsidRPr="00CB2D77" w:rsidTr="00BC2611">
        <w:tc>
          <w:tcPr>
            <w:tcW w:w="5949" w:type="dxa"/>
            <w:hideMark/>
          </w:tcPr>
          <w:p w:rsidR="00BC2611" w:rsidRPr="00CB2D77" w:rsidRDefault="00BC2611" w:rsidP="00BC2611">
            <w:pPr>
              <w:spacing w:before="60" w:after="60" w:line="300" w:lineRule="auto"/>
              <w:jc w:val="both"/>
              <w:rPr>
                <w:rFonts w:ascii="Verdana" w:hAnsi="Verdana"/>
                <w:color w:val="000000"/>
              </w:rPr>
            </w:pPr>
            <w:r w:rsidRPr="00CB2D77">
              <w:rPr>
                <w:rFonts w:ascii="Verdana" w:hAnsi="Verdana"/>
                <w:color w:val="000000"/>
              </w:rPr>
              <w:t>Бройлери</w:t>
            </w:r>
          </w:p>
        </w:tc>
        <w:tc>
          <w:tcPr>
            <w:tcW w:w="3260" w:type="dxa"/>
            <w:hideMark/>
          </w:tcPr>
          <w:p w:rsidR="00BC2611" w:rsidRPr="00CB2D77" w:rsidRDefault="00BC2611" w:rsidP="00BC2611">
            <w:pPr>
              <w:spacing w:before="60" w:after="60" w:line="300" w:lineRule="auto"/>
              <w:jc w:val="center"/>
              <w:rPr>
                <w:rFonts w:ascii="Verdana" w:hAnsi="Verdana"/>
                <w:color w:val="000000"/>
              </w:rPr>
            </w:pPr>
            <w:r w:rsidRPr="00CB2D77">
              <w:rPr>
                <w:rFonts w:ascii="Verdana" w:hAnsi="Verdana"/>
                <w:color w:val="000000"/>
              </w:rPr>
              <w:t>580</w:t>
            </w:r>
          </w:p>
        </w:tc>
      </w:tr>
      <w:tr w:rsidR="00BC2611" w:rsidRPr="00CB2D77" w:rsidTr="00BC2611">
        <w:tc>
          <w:tcPr>
            <w:tcW w:w="5949" w:type="dxa"/>
            <w:hideMark/>
          </w:tcPr>
          <w:p w:rsidR="00BC2611" w:rsidRPr="00CB2D77" w:rsidRDefault="00BC2611" w:rsidP="00BC2611">
            <w:pPr>
              <w:spacing w:before="60" w:after="60" w:line="300" w:lineRule="auto"/>
              <w:jc w:val="both"/>
              <w:rPr>
                <w:rFonts w:ascii="Verdana" w:hAnsi="Verdana"/>
                <w:color w:val="000000"/>
              </w:rPr>
            </w:pPr>
            <w:r w:rsidRPr="00CB2D77">
              <w:rPr>
                <w:rFonts w:ascii="Verdana" w:hAnsi="Verdana"/>
                <w:color w:val="000000"/>
              </w:rPr>
              <w:t>Кокошки носачки</w:t>
            </w:r>
          </w:p>
        </w:tc>
        <w:tc>
          <w:tcPr>
            <w:tcW w:w="3260" w:type="dxa"/>
            <w:hideMark/>
          </w:tcPr>
          <w:p w:rsidR="00BC2611" w:rsidRPr="00CB2D77" w:rsidRDefault="00BC2611" w:rsidP="00BC2611">
            <w:pPr>
              <w:spacing w:before="60" w:after="60" w:line="300" w:lineRule="auto"/>
              <w:jc w:val="center"/>
              <w:rPr>
                <w:rFonts w:ascii="Verdana" w:hAnsi="Verdana"/>
                <w:color w:val="000000"/>
              </w:rPr>
            </w:pPr>
            <w:r w:rsidRPr="00CB2D77">
              <w:rPr>
                <w:rFonts w:ascii="Verdana" w:hAnsi="Verdana"/>
                <w:color w:val="000000"/>
              </w:rPr>
              <w:t>230</w:t>
            </w:r>
          </w:p>
        </w:tc>
      </w:tr>
    </w:tbl>
    <w:p w:rsidR="00BC2611" w:rsidRPr="00854A2B" w:rsidRDefault="00BC2611" w:rsidP="00BC2611">
      <w:pPr>
        <w:spacing w:line="360" w:lineRule="auto"/>
        <w:jc w:val="right"/>
        <w:rPr>
          <w:rFonts w:ascii="Verdana" w:hAnsi="Verdana"/>
          <w:highlight w:val="white"/>
          <w:shd w:val="clear" w:color="auto" w:fill="FEFEFE"/>
          <w:lang w:eastAsia="en-US"/>
        </w:rPr>
      </w:pPr>
      <w:r w:rsidRPr="00854A2B">
        <w:rPr>
          <w:rFonts w:ascii="Verdana" w:hAnsi="Verdana"/>
          <w:highlight w:val="white"/>
          <w:shd w:val="clear" w:color="auto" w:fill="FEFEFE"/>
          <w:lang w:eastAsia="en-US"/>
        </w:rPr>
        <w:t>“</w:t>
      </w:r>
    </w:p>
    <w:p w:rsidR="00BC2611" w:rsidRDefault="00BC2611" w:rsidP="00BC2611">
      <w:pPr>
        <w:tabs>
          <w:tab w:val="left" w:pos="1134"/>
        </w:tabs>
        <w:spacing w:line="360" w:lineRule="auto"/>
        <w:ind w:firstLine="720"/>
        <w:jc w:val="both"/>
        <w:rPr>
          <w:rFonts w:ascii="Verdana" w:hAnsi="Verdana" w:cs="TimokCYR"/>
          <w:b/>
        </w:rPr>
      </w:pPr>
    </w:p>
    <w:p w:rsidR="00BC2611" w:rsidRPr="00BC2611" w:rsidRDefault="00BC2611" w:rsidP="00B75BF0">
      <w:pPr>
        <w:spacing w:line="360" w:lineRule="auto"/>
        <w:ind w:firstLine="720"/>
        <w:rPr>
          <w:rFonts w:ascii="Verdana" w:hAnsi="Verdana" w:cs="TimokCYR"/>
        </w:rPr>
      </w:pPr>
      <w:r>
        <w:rPr>
          <w:rFonts w:ascii="Verdana" w:hAnsi="Verdana" w:cs="TimokCYR"/>
          <w:b/>
        </w:rPr>
        <w:t>§ 23</w:t>
      </w:r>
      <w:r w:rsidRPr="00BC2611">
        <w:rPr>
          <w:rFonts w:ascii="Verdana" w:hAnsi="Verdana" w:cs="TimokCYR"/>
          <w:b/>
        </w:rPr>
        <w:t>.</w:t>
      </w:r>
      <w:r w:rsidRPr="00BC2611">
        <w:rPr>
          <w:rFonts w:ascii="Verdana" w:hAnsi="Verdana" w:cs="TimokCYR"/>
        </w:rPr>
        <w:t xml:space="preserve"> Приложение № 1 към чл. 18, ал. 1, т. 1, буква „а“ </w:t>
      </w:r>
      <w:r>
        <w:rPr>
          <w:rFonts w:ascii="Verdana" w:hAnsi="Verdana" w:cs="TimokCYR"/>
        </w:rPr>
        <w:t xml:space="preserve">става Приложение № 1а </w:t>
      </w:r>
      <w:r w:rsidRPr="00BC2611">
        <w:rPr>
          <w:rFonts w:ascii="Verdana" w:hAnsi="Verdana" w:cs="TimokCYR"/>
        </w:rPr>
        <w:t>се изменя така:</w:t>
      </w:r>
    </w:p>
    <w:p w:rsidR="00CC41D3" w:rsidRDefault="00CC41D3" w:rsidP="006C69B7">
      <w:pPr>
        <w:tabs>
          <w:tab w:val="left" w:pos="1134"/>
        </w:tabs>
        <w:spacing w:line="360" w:lineRule="auto"/>
        <w:ind w:firstLine="709"/>
        <w:jc w:val="both"/>
        <w:rPr>
          <w:rFonts w:ascii="Verdana" w:hAnsi="Verdana" w:cs="TimokCYR"/>
        </w:rPr>
      </w:pPr>
    </w:p>
    <w:p w:rsidR="00CC41D3" w:rsidRDefault="00CC41D3" w:rsidP="006C69B7">
      <w:pPr>
        <w:tabs>
          <w:tab w:val="left" w:pos="1134"/>
        </w:tabs>
        <w:spacing w:line="360" w:lineRule="auto"/>
        <w:ind w:firstLine="709"/>
        <w:jc w:val="both"/>
        <w:rPr>
          <w:rFonts w:ascii="Verdana" w:hAnsi="Verdana" w:cs="TimokCYR"/>
        </w:rPr>
        <w:sectPr w:rsidR="00CC41D3" w:rsidSect="00710891">
          <w:footerReference w:type="default" r:id="rId8"/>
          <w:headerReference w:type="first" r:id="rId9"/>
          <w:pgSz w:w="11906" w:h="16838" w:code="9"/>
          <w:pgMar w:top="1134" w:right="1134" w:bottom="567" w:left="1701" w:header="709" w:footer="709" w:gutter="0"/>
          <w:cols w:space="708"/>
          <w:titlePg/>
          <w:docGrid w:linePitch="360"/>
        </w:sectPr>
      </w:pPr>
    </w:p>
    <w:p w:rsidR="00CC41D3" w:rsidRDefault="00CC41D3" w:rsidP="00CC41D3">
      <w:pPr>
        <w:tabs>
          <w:tab w:val="left" w:pos="1134"/>
        </w:tabs>
        <w:spacing w:line="360" w:lineRule="auto"/>
        <w:ind w:firstLine="709"/>
        <w:jc w:val="right"/>
        <w:rPr>
          <w:rFonts w:ascii="Verdana" w:hAnsi="Verdana" w:cs="TimokCYR"/>
        </w:rPr>
      </w:pPr>
      <w:r>
        <w:rPr>
          <w:rFonts w:ascii="Verdana" w:hAnsi="Verdana" w:cs="TimokCYR"/>
        </w:rPr>
        <w:lastRenderedPageBreak/>
        <w:t>„Приложение № 1</w:t>
      </w:r>
      <w:r w:rsidR="00BC2611">
        <w:rPr>
          <w:rFonts w:ascii="Verdana" w:hAnsi="Verdana" w:cs="TimokCYR"/>
        </w:rPr>
        <w:t>а</w:t>
      </w:r>
    </w:p>
    <w:p w:rsidR="00CC41D3" w:rsidRDefault="00CC41D3" w:rsidP="00CC41D3">
      <w:pPr>
        <w:tabs>
          <w:tab w:val="left" w:pos="1134"/>
        </w:tabs>
        <w:spacing w:line="360" w:lineRule="auto"/>
        <w:ind w:firstLine="709"/>
        <w:jc w:val="right"/>
        <w:rPr>
          <w:rFonts w:ascii="Verdana" w:hAnsi="Verdana" w:cs="TimokCYR"/>
        </w:rPr>
      </w:pPr>
      <w:r w:rsidRPr="005F5A46">
        <w:rPr>
          <w:rFonts w:ascii="Verdana" w:hAnsi="Verdana" w:cs="TimokCYR"/>
        </w:rPr>
        <w:t>към чл. 18, ал. 1, т. 1, буква „а“</w:t>
      </w:r>
    </w:p>
    <w:p w:rsidR="00CC41D3" w:rsidRDefault="00CC41D3" w:rsidP="00CC41D3">
      <w:pPr>
        <w:tabs>
          <w:tab w:val="left" w:pos="1134"/>
        </w:tabs>
        <w:spacing w:line="360" w:lineRule="auto"/>
        <w:ind w:left="850" w:right="340"/>
        <w:rPr>
          <w:rFonts w:ascii="Verdana" w:hAnsi="Verdana" w:cs="TimokCYR"/>
        </w:rPr>
      </w:pPr>
    </w:p>
    <w:p w:rsidR="00CC41D3" w:rsidRPr="005F5A46" w:rsidRDefault="00CC41D3" w:rsidP="00CC41D3">
      <w:pPr>
        <w:spacing w:line="360" w:lineRule="auto"/>
        <w:ind w:left="850" w:right="340"/>
        <w:jc w:val="center"/>
        <w:rPr>
          <w:rFonts w:ascii="Verdana" w:hAnsi="Verdana" w:cs="Arial"/>
          <w:highlight w:val="white"/>
          <w:shd w:val="clear" w:color="auto" w:fill="FEFEFE"/>
        </w:rPr>
      </w:pPr>
      <w:r w:rsidRPr="005F5A46">
        <w:rPr>
          <w:rFonts w:ascii="Verdana" w:hAnsi="Verdana" w:cs="Arial"/>
          <w:b/>
          <w:bCs/>
          <w:highlight w:val="white"/>
          <w:shd w:val="clear" w:color="auto" w:fill="FEFEFE"/>
        </w:rPr>
        <w:t>Опис на историята на поземлените имоти, заявени за намаляване на преходния период</w:t>
      </w:r>
    </w:p>
    <w:p w:rsidR="00CC41D3" w:rsidRPr="005F5A46" w:rsidRDefault="00CC41D3" w:rsidP="00CC41D3">
      <w:pPr>
        <w:spacing w:line="360" w:lineRule="auto"/>
        <w:ind w:left="850" w:right="340"/>
        <w:rPr>
          <w:rFonts w:ascii="Verdana" w:hAnsi="Verdana" w:cs="Arial"/>
          <w:highlight w:val="white"/>
          <w:shd w:val="clear" w:color="auto" w:fill="FEFEFE"/>
        </w:rPr>
      </w:pPr>
      <w:r w:rsidRPr="005F5A46">
        <w:rPr>
          <w:rFonts w:ascii="Verdana" w:hAnsi="Verdana" w:cs="Arial"/>
          <w:highlight w:val="white"/>
          <w:shd w:val="clear" w:color="auto" w:fill="FEFEFE"/>
        </w:rPr>
        <w:t>Оператор/подизпълнител ...............................................................................................................................................................................</w:t>
      </w:r>
    </w:p>
    <w:p w:rsidR="00CC41D3" w:rsidRDefault="00CC41D3" w:rsidP="00CC41D3">
      <w:pPr>
        <w:spacing w:line="360" w:lineRule="auto"/>
        <w:ind w:left="850" w:right="340"/>
        <w:rPr>
          <w:rFonts w:ascii="Verdana" w:hAnsi="Verdana" w:cs="Arial"/>
          <w:highlight w:val="white"/>
          <w:shd w:val="clear" w:color="auto" w:fill="FEFEFE"/>
        </w:rPr>
      </w:pPr>
      <w:r w:rsidRPr="005F5A46">
        <w:rPr>
          <w:rFonts w:ascii="Verdana" w:hAnsi="Verdana" w:cs="Arial"/>
          <w:highlight w:val="white"/>
          <w:shd w:val="clear" w:color="auto" w:fill="FEFEFE"/>
        </w:rPr>
        <w:t>............................................................................................................................................................</w:t>
      </w:r>
      <w:r>
        <w:rPr>
          <w:rFonts w:ascii="Verdana" w:hAnsi="Verdana" w:cs="Arial"/>
          <w:highlight w:val="white"/>
          <w:shd w:val="clear" w:color="auto" w:fill="FEFEFE"/>
        </w:rPr>
        <w:t>.....................</w:t>
      </w:r>
    </w:p>
    <w:p w:rsidR="00CC41D3" w:rsidRDefault="00CC41D3" w:rsidP="00CC41D3">
      <w:pPr>
        <w:tabs>
          <w:tab w:val="left" w:pos="1134"/>
        </w:tabs>
        <w:spacing w:line="360" w:lineRule="auto"/>
        <w:ind w:firstLine="709"/>
        <w:rPr>
          <w:rFonts w:ascii="Verdana" w:hAnsi="Verdana" w:cs="TimokCYR"/>
        </w:rPr>
      </w:pPr>
    </w:p>
    <w:tbl>
      <w:tblPr>
        <w:tblW w:w="14673"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86"/>
        <w:gridCol w:w="1477"/>
        <w:gridCol w:w="744"/>
        <w:gridCol w:w="1491"/>
        <w:gridCol w:w="1491"/>
        <w:gridCol w:w="1583"/>
        <w:gridCol w:w="1491"/>
        <w:gridCol w:w="1583"/>
        <w:gridCol w:w="1444"/>
        <w:gridCol w:w="1583"/>
      </w:tblGrid>
      <w:tr w:rsidR="00CC41D3" w:rsidRPr="005F5A46" w:rsidTr="00BC2611">
        <w:tc>
          <w:tcPr>
            <w:tcW w:w="1786" w:type="dxa"/>
            <w:shd w:val="clear" w:color="auto" w:fill="FEFEFE"/>
            <w:tcMar>
              <w:top w:w="60" w:type="dxa"/>
              <w:bottom w:w="0" w:type="dxa"/>
            </w:tcMar>
            <w:vAlign w:val="center"/>
          </w:tcPr>
          <w:p w:rsidR="00CC41D3" w:rsidRPr="005F5A46" w:rsidRDefault="00CC41D3" w:rsidP="00BC2611">
            <w:pPr>
              <w:jc w:val="center"/>
              <w:rPr>
                <w:rFonts w:ascii="Verdana" w:hAnsi="Verdana" w:cs="Arial"/>
                <w:highlight w:val="white"/>
                <w:shd w:val="clear" w:color="auto" w:fill="FEFEFE"/>
              </w:rPr>
            </w:pPr>
            <w:r w:rsidRPr="005F5A46">
              <w:rPr>
                <w:rFonts w:ascii="Verdana" w:hAnsi="Verdana" w:cs="Arial"/>
                <w:highlight w:val="white"/>
                <w:shd w:val="clear" w:color="auto" w:fill="FEFEFE"/>
              </w:rPr>
              <w:t>Местоположение на поземления имот</w:t>
            </w:r>
            <w:r>
              <w:rPr>
                <w:rFonts w:ascii="Verdana" w:hAnsi="Verdana" w:cs="Arial"/>
                <w:highlight w:val="white"/>
                <w:shd w:val="clear" w:color="auto" w:fill="FEFEFE"/>
              </w:rPr>
              <w:br/>
            </w:r>
            <w:r w:rsidRPr="005F5A46">
              <w:rPr>
                <w:rFonts w:ascii="Verdana" w:hAnsi="Verdana" w:cs="Arial"/>
                <w:highlight w:val="white"/>
                <w:shd w:val="clear" w:color="auto" w:fill="FEFEFE"/>
              </w:rPr>
              <w:t>(землище, община, област)</w:t>
            </w:r>
          </w:p>
        </w:tc>
        <w:tc>
          <w:tcPr>
            <w:tcW w:w="1477" w:type="dxa"/>
            <w:shd w:val="clear" w:color="auto" w:fill="FEFEFE"/>
            <w:tcMar>
              <w:top w:w="60" w:type="dxa"/>
              <w:bottom w:w="0" w:type="dxa"/>
            </w:tcMar>
            <w:vAlign w:val="center"/>
          </w:tcPr>
          <w:p w:rsidR="00CC41D3" w:rsidRPr="005F5A46" w:rsidRDefault="00CC41D3" w:rsidP="00BC2611">
            <w:pPr>
              <w:jc w:val="center"/>
              <w:rPr>
                <w:rFonts w:ascii="Verdana" w:hAnsi="Verdana" w:cs="Arial"/>
                <w:highlight w:val="white"/>
                <w:shd w:val="clear" w:color="auto" w:fill="FEFEFE"/>
              </w:rPr>
            </w:pPr>
            <w:r w:rsidRPr="005F5A46">
              <w:rPr>
                <w:rFonts w:ascii="Verdana" w:hAnsi="Verdana" w:cs="Arial"/>
                <w:highlight w:val="white"/>
                <w:shd w:val="clear" w:color="auto" w:fill="FEFEFE"/>
              </w:rPr>
              <w:t>Кадастрален номер на поземления имот или КВС</w:t>
            </w:r>
          </w:p>
        </w:tc>
        <w:tc>
          <w:tcPr>
            <w:tcW w:w="744" w:type="dxa"/>
            <w:shd w:val="clear" w:color="auto" w:fill="FEFEFE"/>
            <w:tcMar>
              <w:top w:w="60" w:type="dxa"/>
              <w:bottom w:w="0" w:type="dxa"/>
            </w:tcMar>
            <w:vAlign w:val="center"/>
          </w:tcPr>
          <w:p w:rsidR="00CC41D3" w:rsidRPr="005F5A46" w:rsidRDefault="00CC41D3" w:rsidP="00BC2611">
            <w:pPr>
              <w:jc w:val="center"/>
              <w:rPr>
                <w:rFonts w:ascii="Verdana" w:hAnsi="Verdana" w:cs="Arial"/>
                <w:highlight w:val="white"/>
                <w:shd w:val="clear" w:color="auto" w:fill="FEFEFE"/>
              </w:rPr>
            </w:pPr>
            <w:r w:rsidRPr="005F5A46">
              <w:rPr>
                <w:rFonts w:ascii="Verdana" w:hAnsi="Verdana" w:cs="Arial"/>
                <w:highlight w:val="white"/>
                <w:shd w:val="clear" w:color="auto" w:fill="FEFEFE"/>
              </w:rPr>
              <w:t>Площ</w:t>
            </w:r>
            <w:r>
              <w:rPr>
                <w:rFonts w:ascii="Verdana" w:hAnsi="Verdana" w:cs="Arial"/>
                <w:highlight w:val="white"/>
                <w:shd w:val="clear" w:color="auto" w:fill="FEFEFE"/>
              </w:rPr>
              <w:t xml:space="preserve"> </w:t>
            </w:r>
            <w:r w:rsidRPr="005F5A46">
              <w:rPr>
                <w:rFonts w:ascii="Verdana" w:hAnsi="Verdana" w:cs="Arial"/>
                <w:highlight w:val="white"/>
                <w:shd w:val="clear" w:color="auto" w:fill="FEFEFE"/>
              </w:rPr>
              <w:t>(ха)</w:t>
            </w:r>
          </w:p>
        </w:tc>
        <w:tc>
          <w:tcPr>
            <w:tcW w:w="1491" w:type="dxa"/>
            <w:shd w:val="clear" w:color="auto" w:fill="FEFEFE"/>
            <w:tcMar>
              <w:top w:w="60" w:type="dxa"/>
              <w:bottom w:w="0" w:type="dxa"/>
            </w:tcMar>
            <w:vAlign w:val="center"/>
          </w:tcPr>
          <w:p w:rsidR="00CC41D3" w:rsidRPr="005F5A46" w:rsidRDefault="00CC41D3" w:rsidP="00BC2611">
            <w:pPr>
              <w:jc w:val="center"/>
              <w:rPr>
                <w:rFonts w:ascii="Verdana" w:hAnsi="Verdana" w:cs="Arial"/>
                <w:highlight w:val="white"/>
                <w:shd w:val="clear" w:color="auto" w:fill="FEFEFE"/>
              </w:rPr>
            </w:pPr>
            <w:r w:rsidRPr="005F5A46">
              <w:rPr>
                <w:rFonts w:ascii="Verdana" w:hAnsi="Verdana" w:cs="Arial"/>
                <w:highlight w:val="white"/>
                <w:shd w:val="clear" w:color="auto" w:fill="FEFEFE"/>
              </w:rPr>
              <w:t>Начало на периода на преход (дата, година)</w:t>
            </w:r>
          </w:p>
        </w:tc>
        <w:tc>
          <w:tcPr>
            <w:tcW w:w="1491" w:type="dxa"/>
            <w:shd w:val="clear" w:color="auto" w:fill="FEFEFE"/>
            <w:tcMar>
              <w:top w:w="60" w:type="dxa"/>
              <w:bottom w:w="0" w:type="dxa"/>
            </w:tcMar>
            <w:vAlign w:val="center"/>
          </w:tcPr>
          <w:p w:rsidR="00CC41D3" w:rsidRPr="005F5A46" w:rsidRDefault="00CC41D3" w:rsidP="00BC2611">
            <w:pPr>
              <w:jc w:val="center"/>
              <w:rPr>
                <w:rFonts w:ascii="Verdana" w:hAnsi="Verdana" w:cs="Arial"/>
                <w:highlight w:val="white"/>
                <w:shd w:val="clear" w:color="auto" w:fill="FEFEFE"/>
              </w:rPr>
            </w:pPr>
            <w:r w:rsidRPr="005F5A46">
              <w:rPr>
                <w:rFonts w:ascii="Verdana" w:hAnsi="Verdana" w:cs="Arial"/>
                <w:highlight w:val="white"/>
                <w:shd w:val="clear" w:color="auto" w:fill="FEFEFE"/>
              </w:rPr>
              <w:t>Култура(и)</w:t>
            </w:r>
            <w:r>
              <w:rPr>
                <w:rFonts w:ascii="Verdana" w:hAnsi="Verdana" w:cs="Arial"/>
                <w:highlight w:val="white"/>
                <w:shd w:val="clear" w:color="auto" w:fill="FEFEFE"/>
              </w:rPr>
              <w:t xml:space="preserve"> </w:t>
            </w:r>
            <w:r w:rsidRPr="005F5A46">
              <w:rPr>
                <w:rFonts w:ascii="Verdana" w:hAnsi="Verdana" w:cs="Arial"/>
                <w:highlight w:val="white"/>
                <w:shd w:val="clear" w:color="auto" w:fill="FEFEFE"/>
              </w:rPr>
              <w:t xml:space="preserve">последните 3 години </w:t>
            </w:r>
          </w:p>
        </w:tc>
        <w:tc>
          <w:tcPr>
            <w:tcW w:w="1583" w:type="dxa"/>
            <w:shd w:val="clear" w:color="auto" w:fill="FEFEFE"/>
            <w:tcMar>
              <w:top w:w="60" w:type="dxa"/>
              <w:bottom w:w="0" w:type="dxa"/>
            </w:tcMar>
            <w:vAlign w:val="center"/>
          </w:tcPr>
          <w:p w:rsidR="00CC41D3" w:rsidRPr="005F5A46" w:rsidRDefault="00CC41D3" w:rsidP="00BC2611">
            <w:pPr>
              <w:jc w:val="center"/>
              <w:rPr>
                <w:rFonts w:ascii="Verdana" w:hAnsi="Verdana" w:cs="Arial"/>
                <w:highlight w:val="white"/>
                <w:shd w:val="clear" w:color="auto" w:fill="FEFEFE"/>
              </w:rPr>
            </w:pPr>
            <w:r w:rsidRPr="005F5A46">
              <w:rPr>
                <w:rFonts w:ascii="Verdana" w:hAnsi="Verdana" w:cs="Arial"/>
                <w:highlight w:val="white"/>
                <w:shd w:val="clear" w:color="auto" w:fill="FEFEFE"/>
              </w:rPr>
              <w:t>Всички прилагани продукти за растителна защита и подхранване на почвата</w:t>
            </w:r>
            <w:r>
              <w:rPr>
                <w:rFonts w:ascii="Verdana" w:hAnsi="Verdana" w:cs="Arial"/>
                <w:highlight w:val="white"/>
                <w:shd w:val="clear" w:color="auto" w:fill="FEFEFE"/>
              </w:rPr>
              <w:t xml:space="preserve"> </w:t>
            </w:r>
            <w:r w:rsidRPr="005F5A46">
              <w:rPr>
                <w:rFonts w:ascii="Verdana" w:hAnsi="Verdana" w:cs="Arial"/>
                <w:highlight w:val="white"/>
                <w:shd w:val="clear" w:color="auto" w:fill="FEFEFE"/>
              </w:rPr>
              <w:t xml:space="preserve">последните 3 години </w:t>
            </w:r>
          </w:p>
        </w:tc>
        <w:tc>
          <w:tcPr>
            <w:tcW w:w="1491" w:type="dxa"/>
            <w:shd w:val="clear" w:color="auto" w:fill="FEFEFE"/>
            <w:tcMar>
              <w:top w:w="60" w:type="dxa"/>
              <w:bottom w:w="0" w:type="dxa"/>
            </w:tcMar>
            <w:vAlign w:val="center"/>
          </w:tcPr>
          <w:p w:rsidR="00CC41D3" w:rsidRPr="005F5A46" w:rsidRDefault="00CC41D3" w:rsidP="00BC2611">
            <w:pPr>
              <w:jc w:val="center"/>
              <w:rPr>
                <w:rFonts w:ascii="Verdana" w:hAnsi="Verdana" w:cs="Arial"/>
                <w:highlight w:val="white"/>
                <w:shd w:val="clear" w:color="auto" w:fill="FEFEFE"/>
              </w:rPr>
            </w:pPr>
            <w:r w:rsidRPr="005F5A46">
              <w:rPr>
                <w:rFonts w:ascii="Verdana" w:hAnsi="Verdana" w:cs="Arial"/>
                <w:highlight w:val="white"/>
                <w:shd w:val="clear" w:color="auto" w:fill="FEFEFE"/>
              </w:rPr>
              <w:t>Култура(и)</w:t>
            </w:r>
          </w:p>
          <w:p w:rsidR="00CC41D3" w:rsidRPr="005F5A46" w:rsidRDefault="00CC41D3" w:rsidP="00BC2611">
            <w:pPr>
              <w:jc w:val="center"/>
              <w:rPr>
                <w:rFonts w:ascii="Verdana" w:hAnsi="Verdana" w:cs="Arial"/>
                <w:highlight w:val="white"/>
                <w:shd w:val="clear" w:color="auto" w:fill="FEFEFE"/>
              </w:rPr>
            </w:pPr>
            <w:r w:rsidRPr="005F5A46">
              <w:rPr>
                <w:rFonts w:ascii="Verdana" w:hAnsi="Verdana" w:cs="Arial"/>
                <w:highlight w:val="white"/>
                <w:shd w:val="clear" w:color="auto" w:fill="FEFEFE"/>
              </w:rPr>
              <w:t xml:space="preserve">последните 2 години </w:t>
            </w:r>
          </w:p>
        </w:tc>
        <w:tc>
          <w:tcPr>
            <w:tcW w:w="1583" w:type="dxa"/>
            <w:shd w:val="clear" w:color="auto" w:fill="FEFEFE"/>
            <w:tcMar>
              <w:top w:w="60" w:type="dxa"/>
              <w:bottom w:w="0" w:type="dxa"/>
            </w:tcMar>
            <w:vAlign w:val="center"/>
          </w:tcPr>
          <w:p w:rsidR="00CC41D3" w:rsidRPr="005F5A46" w:rsidRDefault="00CC41D3" w:rsidP="00BC2611">
            <w:pPr>
              <w:jc w:val="center"/>
              <w:rPr>
                <w:rFonts w:ascii="Verdana" w:hAnsi="Verdana" w:cs="Arial"/>
                <w:highlight w:val="white"/>
                <w:shd w:val="clear" w:color="auto" w:fill="FEFEFE"/>
              </w:rPr>
            </w:pPr>
            <w:r w:rsidRPr="005F5A46">
              <w:rPr>
                <w:rFonts w:ascii="Verdana" w:hAnsi="Verdana" w:cs="Arial"/>
                <w:highlight w:val="white"/>
                <w:shd w:val="clear" w:color="auto" w:fill="FEFEFE"/>
              </w:rPr>
              <w:t>Всички прилагани продукти за растителна защита и подхранване на почвата</w:t>
            </w:r>
            <w:r>
              <w:rPr>
                <w:rFonts w:ascii="Verdana" w:hAnsi="Verdana" w:cs="Arial"/>
                <w:highlight w:val="white"/>
                <w:shd w:val="clear" w:color="auto" w:fill="FEFEFE"/>
              </w:rPr>
              <w:t xml:space="preserve"> </w:t>
            </w:r>
            <w:r w:rsidRPr="005F5A46">
              <w:rPr>
                <w:rFonts w:ascii="Verdana" w:hAnsi="Verdana" w:cs="Arial"/>
                <w:highlight w:val="white"/>
                <w:shd w:val="clear" w:color="auto" w:fill="FEFEFE"/>
              </w:rPr>
              <w:t>последните 2</w:t>
            </w:r>
            <w:r>
              <w:rPr>
                <w:rFonts w:ascii="Verdana" w:hAnsi="Verdana" w:cs="Arial"/>
                <w:highlight w:val="white"/>
                <w:shd w:val="clear" w:color="auto" w:fill="FEFEFE"/>
              </w:rPr>
              <w:t xml:space="preserve"> </w:t>
            </w:r>
            <w:r w:rsidRPr="003B3785">
              <w:rPr>
                <w:rFonts w:ascii="Verdana" w:hAnsi="Verdana" w:cs="Arial"/>
                <w:highlight w:val="white"/>
                <w:shd w:val="clear" w:color="auto" w:fill="FEFEFE"/>
              </w:rPr>
              <w:t xml:space="preserve">години </w:t>
            </w:r>
          </w:p>
        </w:tc>
        <w:tc>
          <w:tcPr>
            <w:tcW w:w="1444" w:type="dxa"/>
            <w:shd w:val="clear" w:color="auto" w:fill="FEFEFE"/>
            <w:tcMar>
              <w:top w:w="60" w:type="dxa"/>
              <w:bottom w:w="0" w:type="dxa"/>
            </w:tcMar>
            <w:vAlign w:val="center"/>
          </w:tcPr>
          <w:p w:rsidR="00CC41D3" w:rsidRPr="005F5A46" w:rsidRDefault="00CC41D3" w:rsidP="00BC2611">
            <w:pPr>
              <w:jc w:val="center"/>
              <w:rPr>
                <w:rFonts w:ascii="Verdana" w:hAnsi="Verdana" w:cs="Arial"/>
                <w:highlight w:val="white"/>
                <w:shd w:val="clear" w:color="auto" w:fill="FEFEFE"/>
              </w:rPr>
            </w:pPr>
            <w:r w:rsidRPr="005F5A46">
              <w:rPr>
                <w:rFonts w:ascii="Verdana" w:hAnsi="Verdana" w:cs="Arial"/>
                <w:highlight w:val="white"/>
                <w:shd w:val="clear" w:color="auto" w:fill="FEFEFE"/>
              </w:rPr>
              <w:t>Култура(и)</w:t>
            </w:r>
          </w:p>
        </w:tc>
        <w:tc>
          <w:tcPr>
            <w:tcW w:w="1583" w:type="dxa"/>
            <w:shd w:val="clear" w:color="auto" w:fill="FEFEFE"/>
            <w:tcMar>
              <w:top w:w="60" w:type="dxa"/>
              <w:bottom w:w="0" w:type="dxa"/>
            </w:tcMar>
            <w:vAlign w:val="center"/>
          </w:tcPr>
          <w:p w:rsidR="00CC41D3" w:rsidRPr="005F5A46" w:rsidRDefault="00CC41D3" w:rsidP="00BC2611">
            <w:pPr>
              <w:jc w:val="center"/>
              <w:rPr>
                <w:rFonts w:ascii="Verdana" w:hAnsi="Verdana" w:cs="Arial"/>
                <w:highlight w:val="white"/>
                <w:shd w:val="clear" w:color="auto" w:fill="FEFEFE"/>
              </w:rPr>
            </w:pPr>
            <w:r w:rsidRPr="005F5A46">
              <w:rPr>
                <w:rFonts w:ascii="Verdana" w:hAnsi="Verdana" w:cs="Arial"/>
                <w:highlight w:val="white"/>
                <w:shd w:val="clear" w:color="auto" w:fill="FEFEFE"/>
              </w:rPr>
              <w:t>Всички прилагани продукти за растителна защита и подхранване на почвата</w:t>
            </w:r>
            <w:r>
              <w:rPr>
                <w:rFonts w:ascii="Verdana" w:hAnsi="Verdana" w:cs="Arial"/>
                <w:highlight w:val="white"/>
                <w:shd w:val="clear" w:color="auto" w:fill="FEFEFE"/>
              </w:rPr>
              <w:t xml:space="preserve"> </w:t>
            </w:r>
            <w:r w:rsidRPr="005F5A46">
              <w:rPr>
                <w:rFonts w:ascii="Verdana" w:hAnsi="Verdana" w:cs="Arial"/>
                <w:highlight w:val="white"/>
                <w:shd w:val="clear" w:color="auto" w:fill="FEFEFE"/>
              </w:rPr>
              <w:t xml:space="preserve">последната 1 година </w:t>
            </w:r>
          </w:p>
        </w:tc>
      </w:tr>
      <w:tr w:rsidR="00CC41D3" w:rsidRPr="005F5A46" w:rsidTr="00BC2611">
        <w:trPr>
          <w:trHeight w:val="340"/>
        </w:trPr>
        <w:tc>
          <w:tcPr>
            <w:tcW w:w="1786" w:type="dxa"/>
            <w:shd w:val="clear" w:color="auto" w:fill="FEFEFE"/>
            <w:tcMar>
              <w:top w:w="60" w:type="dxa"/>
              <w:bottom w:w="0" w:type="dxa"/>
            </w:tcMar>
            <w:vAlign w:val="center"/>
          </w:tcPr>
          <w:p w:rsidR="00CC41D3" w:rsidRPr="005F5A46" w:rsidRDefault="00CC41D3" w:rsidP="00BC2611">
            <w:pPr>
              <w:spacing w:before="100" w:beforeAutospacing="1" w:after="100" w:afterAutospacing="1"/>
              <w:rPr>
                <w:rFonts w:ascii="Verdana" w:hAnsi="Verdana" w:cs="Arial"/>
                <w:highlight w:val="white"/>
                <w:shd w:val="clear" w:color="auto" w:fill="FEFEFE"/>
              </w:rPr>
            </w:pPr>
            <w:r w:rsidRPr="005F5A46">
              <w:rPr>
                <w:rFonts w:ascii="Verdana" w:hAnsi="Verdana" w:cs="Arial"/>
                <w:highlight w:val="white"/>
                <w:shd w:val="clear" w:color="auto" w:fill="FEFEFE"/>
              </w:rPr>
              <w:t> </w:t>
            </w:r>
          </w:p>
        </w:tc>
        <w:tc>
          <w:tcPr>
            <w:tcW w:w="1477" w:type="dxa"/>
            <w:shd w:val="clear" w:color="auto" w:fill="FEFEFE"/>
            <w:tcMar>
              <w:top w:w="60" w:type="dxa"/>
              <w:bottom w:w="0" w:type="dxa"/>
            </w:tcMar>
            <w:vAlign w:val="center"/>
          </w:tcPr>
          <w:p w:rsidR="00CC41D3" w:rsidRPr="005F5A46" w:rsidRDefault="00CC41D3" w:rsidP="00BC2611">
            <w:pPr>
              <w:spacing w:before="100" w:beforeAutospacing="1" w:after="100" w:afterAutospacing="1"/>
              <w:rPr>
                <w:rFonts w:ascii="Verdana" w:hAnsi="Verdana" w:cs="Arial"/>
                <w:highlight w:val="white"/>
                <w:shd w:val="clear" w:color="auto" w:fill="FEFEFE"/>
              </w:rPr>
            </w:pPr>
            <w:r w:rsidRPr="005F5A46">
              <w:rPr>
                <w:rFonts w:ascii="Verdana" w:hAnsi="Verdana" w:cs="Arial"/>
                <w:highlight w:val="white"/>
                <w:shd w:val="clear" w:color="auto" w:fill="FEFEFE"/>
              </w:rPr>
              <w:t> </w:t>
            </w:r>
          </w:p>
        </w:tc>
        <w:tc>
          <w:tcPr>
            <w:tcW w:w="744" w:type="dxa"/>
            <w:shd w:val="clear" w:color="auto" w:fill="FEFEFE"/>
            <w:tcMar>
              <w:top w:w="60" w:type="dxa"/>
              <w:bottom w:w="0" w:type="dxa"/>
            </w:tcMar>
            <w:vAlign w:val="center"/>
          </w:tcPr>
          <w:p w:rsidR="00CC41D3" w:rsidRPr="005F5A46" w:rsidRDefault="00CC41D3" w:rsidP="00BC2611">
            <w:pPr>
              <w:spacing w:before="100" w:beforeAutospacing="1" w:after="100" w:afterAutospacing="1"/>
              <w:rPr>
                <w:rFonts w:ascii="Verdana" w:hAnsi="Verdana" w:cs="Arial"/>
                <w:highlight w:val="white"/>
                <w:shd w:val="clear" w:color="auto" w:fill="FEFEFE"/>
              </w:rPr>
            </w:pPr>
            <w:r w:rsidRPr="005F5A46">
              <w:rPr>
                <w:rFonts w:ascii="Verdana" w:hAnsi="Verdana" w:cs="Arial"/>
                <w:highlight w:val="white"/>
                <w:shd w:val="clear" w:color="auto" w:fill="FEFEFE"/>
              </w:rPr>
              <w:t> </w:t>
            </w:r>
          </w:p>
        </w:tc>
        <w:tc>
          <w:tcPr>
            <w:tcW w:w="1491" w:type="dxa"/>
            <w:shd w:val="clear" w:color="auto" w:fill="FEFEFE"/>
            <w:tcMar>
              <w:top w:w="60" w:type="dxa"/>
              <w:bottom w:w="0" w:type="dxa"/>
            </w:tcMar>
            <w:vAlign w:val="center"/>
          </w:tcPr>
          <w:p w:rsidR="00CC41D3" w:rsidRPr="005F5A46" w:rsidRDefault="00CC41D3" w:rsidP="00BC2611">
            <w:pPr>
              <w:spacing w:before="100" w:beforeAutospacing="1" w:after="100" w:afterAutospacing="1"/>
              <w:rPr>
                <w:rFonts w:ascii="Verdana" w:hAnsi="Verdana" w:cs="Arial"/>
                <w:highlight w:val="white"/>
                <w:shd w:val="clear" w:color="auto" w:fill="FEFEFE"/>
              </w:rPr>
            </w:pPr>
            <w:r w:rsidRPr="005F5A46">
              <w:rPr>
                <w:rFonts w:ascii="Verdana" w:hAnsi="Verdana" w:cs="Arial"/>
                <w:highlight w:val="white"/>
                <w:shd w:val="clear" w:color="auto" w:fill="FEFEFE"/>
              </w:rPr>
              <w:t> </w:t>
            </w:r>
          </w:p>
        </w:tc>
        <w:tc>
          <w:tcPr>
            <w:tcW w:w="1491" w:type="dxa"/>
            <w:shd w:val="clear" w:color="auto" w:fill="FEFEFE"/>
            <w:tcMar>
              <w:top w:w="60" w:type="dxa"/>
              <w:bottom w:w="0" w:type="dxa"/>
            </w:tcMar>
            <w:vAlign w:val="center"/>
          </w:tcPr>
          <w:p w:rsidR="00CC41D3" w:rsidRPr="005F5A46" w:rsidRDefault="00CC41D3" w:rsidP="00BC2611">
            <w:pPr>
              <w:spacing w:before="100" w:beforeAutospacing="1" w:after="100" w:afterAutospacing="1"/>
              <w:rPr>
                <w:rFonts w:ascii="Verdana" w:hAnsi="Verdana" w:cs="Arial"/>
                <w:highlight w:val="white"/>
                <w:shd w:val="clear" w:color="auto" w:fill="FEFEFE"/>
              </w:rPr>
            </w:pPr>
            <w:r w:rsidRPr="005F5A46">
              <w:rPr>
                <w:rFonts w:ascii="Verdana" w:hAnsi="Verdana" w:cs="Arial"/>
                <w:highlight w:val="white"/>
                <w:shd w:val="clear" w:color="auto" w:fill="FEFEFE"/>
              </w:rPr>
              <w:t> </w:t>
            </w:r>
          </w:p>
        </w:tc>
        <w:tc>
          <w:tcPr>
            <w:tcW w:w="1583" w:type="dxa"/>
            <w:shd w:val="clear" w:color="auto" w:fill="FEFEFE"/>
            <w:tcMar>
              <w:top w:w="60" w:type="dxa"/>
              <w:bottom w:w="0" w:type="dxa"/>
            </w:tcMar>
            <w:vAlign w:val="center"/>
          </w:tcPr>
          <w:p w:rsidR="00CC41D3" w:rsidRPr="005F5A46" w:rsidRDefault="00CC41D3" w:rsidP="00BC2611">
            <w:pPr>
              <w:spacing w:before="100" w:beforeAutospacing="1" w:after="100" w:afterAutospacing="1"/>
              <w:rPr>
                <w:rFonts w:ascii="Verdana" w:hAnsi="Verdana" w:cs="Arial"/>
                <w:highlight w:val="white"/>
                <w:shd w:val="clear" w:color="auto" w:fill="FEFEFE"/>
              </w:rPr>
            </w:pPr>
            <w:r w:rsidRPr="005F5A46">
              <w:rPr>
                <w:rFonts w:ascii="Verdana" w:hAnsi="Verdana" w:cs="Arial"/>
                <w:highlight w:val="white"/>
                <w:shd w:val="clear" w:color="auto" w:fill="FEFEFE"/>
              </w:rPr>
              <w:t> </w:t>
            </w:r>
          </w:p>
        </w:tc>
        <w:tc>
          <w:tcPr>
            <w:tcW w:w="1491" w:type="dxa"/>
            <w:shd w:val="clear" w:color="auto" w:fill="FEFEFE"/>
            <w:tcMar>
              <w:top w:w="60" w:type="dxa"/>
              <w:bottom w:w="0" w:type="dxa"/>
            </w:tcMar>
            <w:vAlign w:val="center"/>
          </w:tcPr>
          <w:p w:rsidR="00CC41D3" w:rsidRPr="005F5A46" w:rsidRDefault="00CC41D3" w:rsidP="00BC2611">
            <w:pPr>
              <w:spacing w:before="100" w:beforeAutospacing="1" w:after="100" w:afterAutospacing="1"/>
              <w:rPr>
                <w:rFonts w:ascii="Verdana" w:hAnsi="Verdana" w:cs="Arial"/>
                <w:highlight w:val="white"/>
                <w:shd w:val="clear" w:color="auto" w:fill="FEFEFE"/>
              </w:rPr>
            </w:pPr>
            <w:r w:rsidRPr="005F5A46">
              <w:rPr>
                <w:rFonts w:ascii="Verdana" w:hAnsi="Verdana" w:cs="Arial"/>
                <w:highlight w:val="white"/>
                <w:shd w:val="clear" w:color="auto" w:fill="FEFEFE"/>
              </w:rPr>
              <w:t> </w:t>
            </w:r>
          </w:p>
        </w:tc>
        <w:tc>
          <w:tcPr>
            <w:tcW w:w="1583" w:type="dxa"/>
            <w:shd w:val="clear" w:color="auto" w:fill="FEFEFE"/>
            <w:tcMar>
              <w:top w:w="60" w:type="dxa"/>
              <w:bottom w:w="0" w:type="dxa"/>
            </w:tcMar>
            <w:vAlign w:val="center"/>
          </w:tcPr>
          <w:p w:rsidR="00CC41D3" w:rsidRPr="005F5A46" w:rsidRDefault="00CC41D3" w:rsidP="00BC2611">
            <w:pPr>
              <w:spacing w:before="100" w:beforeAutospacing="1" w:after="100" w:afterAutospacing="1"/>
              <w:rPr>
                <w:rFonts w:ascii="Verdana" w:hAnsi="Verdana" w:cs="Arial"/>
                <w:highlight w:val="white"/>
                <w:shd w:val="clear" w:color="auto" w:fill="FEFEFE"/>
              </w:rPr>
            </w:pPr>
            <w:r w:rsidRPr="005F5A46">
              <w:rPr>
                <w:rFonts w:ascii="Verdana" w:hAnsi="Verdana" w:cs="Arial"/>
                <w:highlight w:val="white"/>
                <w:shd w:val="clear" w:color="auto" w:fill="FEFEFE"/>
              </w:rPr>
              <w:t> </w:t>
            </w:r>
          </w:p>
        </w:tc>
        <w:tc>
          <w:tcPr>
            <w:tcW w:w="1444" w:type="dxa"/>
            <w:shd w:val="clear" w:color="auto" w:fill="FEFEFE"/>
            <w:tcMar>
              <w:top w:w="60" w:type="dxa"/>
              <w:bottom w:w="0" w:type="dxa"/>
            </w:tcMar>
            <w:vAlign w:val="center"/>
          </w:tcPr>
          <w:p w:rsidR="00CC41D3" w:rsidRPr="005F5A46" w:rsidRDefault="00CC41D3" w:rsidP="00BC2611">
            <w:pPr>
              <w:spacing w:before="100" w:beforeAutospacing="1" w:after="100" w:afterAutospacing="1"/>
              <w:rPr>
                <w:rFonts w:ascii="Verdana" w:hAnsi="Verdana" w:cs="Arial"/>
                <w:highlight w:val="white"/>
                <w:shd w:val="clear" w:color="auto" w:fill="FEFEFE"/>
              </w:rPr>
            </w:pPr>
            <w:r w:rsidRPr="005F5A46">
              <w:rPr>
                <w:rFonts w:ascii="Verdana" w:hAnsi="Verdana" w:cs="Arial"/>
                <w:highlight w:val="white"/>
                <w:shd w:val="clear" w:color="auto" w:fill="FEFEFE"/>
              </w:rPr>
              <w:t> </w:t>
            </w:r>
          </w:p>
        </w:tc>
        <w:tc>
          <w:tcPr>
            <w:tcW w:w="1583" w:type="dxa"/>
            <w:shd w:val="clear" w:color="auto" w:fill="FEFEFE"/>
            <w:tcMar>
              <w:top w:w="60" w:type="dxa"/>
              <w:bottom w:w="0" w:type="dxa"/>
            </w:tcMar>
            <w:vAlign w:val="center"/>
          </w:tcPr>
          <w:p w:rsidR="00CC41D3" w:rsidRPr="005F5A46" w:rsidRDefault="00CC41D3" w:rsidP="00BC2611">
            <w:pPr>
              <w:spacing w:before="100" w:beforeAutospacing="1" w:after="100" w:afterAutospacing="1"/>
              <w:rPr>
                <w:rFonts w:ascii="Verdana" w:hAnsi="Verdana" w:cs="Arial"/>
                <w:highlight w:val="white"/>
                <w:shd w:val="clear" w:color="auto" w:fill="FEFEFE"/>
              </w:rPr>
            </w:pPr>
            <w:r w:rsidRPr="005F5A46">
              <w:rPr>
                <w:rFonts w:ascii="Verdana" w:hAnsi="Verdana" w:cs="Arial"/>
                <w:highlight w:val="white"/>
                <w:shd w:val="clear" w:color="auto" w:fill="FEFEFE"/>
              </w:rPr>
              <w:t> </w:t>
            </w:r>
          </w:p>
        </w:tc>
      </w:tr>
      <w:tr w:rsidR="00CC41D3" w:rsidRPr="005F5A46" w:rsidTr="00BC2611">
        <w:trPr>
          <w:trHeight w:val="340"/>
        </w:trPr>
        <w:tc>
          <w:tcPr>
            <w:tcW w:w="1786" w:type="dxa"/>
            <w:shd w:val="clear" w:color="auto" w:fill="FEFEFE"/>
            <w:tcMar>
              <w:top w:w="60" w:type="dxa"/>
              <w:bottom w:w="0" w:type="dxa"/>
            </w:tcMar>
            <w:vAlign w:val="center"/>
          </w:tcPr>
          <w:p w:rsidR="00CC41D3" w:rsidRPr="005F5A46" w:rsidRDefault="00CC41D3" w:rsidP="00BC2611">
            <w:pPr>
              <w:spacing w:before="100" w:beforeAutospacing="1" w:after="100" w:afterAutospacing="1"/>
              <w:rPr>
                <w:rFonts w:ascii="Verdana" w:hAnsi="Verdana" w:cs="Arial"/>
                <w:highlight w:val="white"/>
                <w:shd w:val="clear" w:color="auto" w:fill="FEFEFE"/>
              </w:rPr>
            </w:pPr>
            <w:r w:rsidRPr="005F5A46">
              <w:rPr>
                <w:rFonts w:ascii="Verdana" w:hAnsi="Verdana" w:cs="Arial"/>
                <w:highlight w:val="white"/>
                <w:shd w:val="clear" w:color="auto" w:fill="FEFEFE"/>
              </w:rPr>
              <w:t> </w:t>
            </w:r>
          </w:p>
        </w:tc>
        <w:tc>
          <w:tcPr>
            <w:tcW w:w="1477" w:type="dxa"/>
            <w:shd w:val="clear" w:color="auto" w:fill="FEFEFE"/>
            <w:tcMar>
              <w:top w:w="60" w:type="dxa"/>
              <w:bottom w:w="0" w:type="dxa"/>
            </w:tcMar>
            <w:vAlign w:val="center"/>
          </w:tcPr>
          <w:p w:rsidR="00CC41D3" w:rsidRPr="005F5A46" w:rsidRDefault="00CC41D3" w:rsidP="00BC2611">
            <w:pPr>
              <w:spacing w:before="100" w:beforeAutospacing="1" w:after="100" w:afterAutospacing="1"/>
              <w:rPr>
                <w:rFonts w:ascii="Verdana" w:hAnsi="Verdana" w:cs="Arial"/>
                <w:highlight w:val="white"/>
                <w:shd w:val="clear" w:color="auto" w:fill="FEFEFE"/>
              </w:rPr>
            </w:pPr>
            <w:r w:rsidRPr="005F5A46">
              <w:rPr>
                <w:rFonts w:ascii="Verdana" w:hAnsi="Verdana" w:cs="Arial"/>
                <w:highlight w:val="white"/>
                <w:shd w:val="clear" w:color="auto" w:fill="FEFEFE"/>
              </w:rPr>
              <w:t> </w:t>
            </w:r>
          </w:p>
        </w:tc>
        <w:tc>
          <w:tcPr>
            <w:tcW w:w="744" w:type="dxa"/>
            <w:shd w:val="clear" w:color="auto" w:fill="FEFEFE"/>
            <w:tcMar>
              <w:top w:w="60" w:type="dxa"/>
              <w:bottom w:w="0" w:type="dxa"/>
            </w:tcMar>
            <w:vAlign w:val="center"/>
          </w:tcPr>
          <w:p w:rsidR="00CC41D3" w:rsidRPr="005F5A46" w:rsidRDefault="00CC41D3" w:rsidP="00BC2611">
            <w:pPr>
              <w:spacing w:before="100" w:beforeAutospacing="1" w:after="100" w:afterAutospacing="1"/>
              <w:rPr>
                <w:rFonts w:ascii="Verdana" w:hAnsi="Verdana" w:cs="Arial"/>
                <w:highlight w:val="white"/>
                <w:shd w:val="clear" w:color="auto" w:fill="FEFEFE"/>
              </w:rPr>
            </w:pPr>
            <w:r w:rsidRPr="005F5A46">
              <w:rPr>
                <w:rFonts w:ascii="Verdana" w:hAnsi="Verdana" w:cs="Arial"/>
                <w:highlight w:val="white"/>
                <w:shd w:val="clear" w:color="auto" w:fill="FEFEFE"/>
              </w:rPr>
              <w:t> </w:t>
            </w:r>
          </w:p>
        </w:tc>
        <w:tc>
          <w:tcPr>
            <w:tcW w:w="1491" w:type="dxa"/>
            <w:shd w:val="clear" w:color="auto" w:fill="FEFEFE"/>
            <w:tcMar>
              <w:top w:w="60" w:type="dxa"/>
              <w:bottom w:w="0" w:type="dxa"/>
            </w:tcMar>
            <w:vAlign w:val="center"/>
          </w:tcPr>
          <w:p w:rsidR="00CC41D3" w:rsidRPr="005F5A46" w:rsidRDefault="00CC41D3" w:rsidP="00BC2611">
            <w:pPr>
              <w:spacing w:before="100" w:beforeAutospacing="1" w:after="100" w:afterAutospacing="1"/>
              <w:rPr>
                <w:rFonts w:ascii="Verdana" w:hAnsi="Verdana" w:cs="Arial"/>
                <w:highlight w:val="white"/>
                <w:shd w:val="clear" w:color="auto" w:fill="FEFEFE"/>
              </w:rPr>
            </w:pPr>
            <w:r w:rsidRPr="005F5A46">
              <w:rPr>
                <w:rFonts w:ascii="Verdana" w:hAnsi="Verdana" w:cs="Arial"/>
                <w:highlight w:val="white"/>
                <w:shd w:val="clear" w:color="auto" w:fill="FEFEFE"/>
              </w:rPr>
              <w:t> </w:t>
            </w:r>
          </w:p>
        </w:tc>
        <w:tc>
          <w:tcPr>
            <w:tcW w:w="1491" w:type="dxa"/>
            <w:shd w:val="clear" w:color="auto" w:fill="FEFEFE"/>
            <w:tcMar>
              <w:top w:w="60" w:type="dxa"/>
              <w:bottom w:w="0" w:type="dxa"/>
            </w:tcMar>
            <w:vAlign w:val="center"/>
          </w:tcPr>
          <w:p w:rsidR="00CC41D3" w:rsidRPr="005F5A46" w:rsidRDefault="00CC41D3" w:rsidP="00BC2611">
            <w:pPr>
              <w:spacing w:before="100" w:beforeAutospacing="1" w:after="100" w:afterAutospacing="1"/>
              <w:rPr>
                <w:rFonts w:ascii="Verdana" w:hAnsi="Verdana" w:cs="Arial"/>
                <w:highlight w:val="white"/>
                <w:shd w:val="clear" w:color="auto" w:fill="FEFEFE"/>
              </w:rPr>
            </w:pPr>
            <w:r w:rsidRPr="005F5A46">
              <w:rPr>
                <w:rFonts w:ascii="Verdana" w:hAnsi="Verdana" w:cs="Arial"/>
                <w:highlight w:val="white"/>
                <w:shd w:val="clear" w:color="auto" w:fill="FEFEFE"/>
              </w:rPr>
              <w:t> </w:t>
            </w:r>
          </w:p>
        </w:tc>
        <w:tc>
          <w:tcPr>
            <w:tcW w:w="1583" w:type="dxa"/>
            <w:shd w:val="clear" w:color="auto" w:fill="FEFEFE"/>
            <w:tcMar>
              <w:top w:w="60" w:type="dxa"/>
              <w:bottom w:w="0" w:type="dxa"/>
            </w:tcMar>
            <w:vAlign w:val="center"/>
          </w:tcPr>
          <w:p w:rsidR="00CC41D3" w:rsidRPr="005F5A46" w:rsidRDefault="00CC41D3" w:rsidP="00BC2611">
            <w:pPr>
              <w:spacing w:before="100" w:beforeAutospacing="1" w:after="100" w:afterAutospacing="1"/>
              <w:rPr>
                <w:rFonts w:ascii="Verdana" w:hAnsi="Verdana" w:cs="Arial"/>
                <w:highlight w:val="white"/>
                <w:shd w:val="clear" w:color="auto" w:fill="FEFEFE"/>
              </w:rPr>
            </w:pPr>
            <w:r w:rsidRPr="005F5A46">
              <w:rPr>
                <w:rFonts w:ascii="Verdana" w:hAnsi="Verdana" w:cs="Arial"/>
                <w:highlight w:val="white"/>
                <w:shd w:val="clear" w:color="auto" w:fill="FEFEFE"/>
              </w:rPr>
              <w:t> </w:t>
            </w:r>
          </w:p>
        </w:tc>
        <w:tc>
          <w:tcPr>
            <w:tcW w:w="1491" w:type="dxa"/>
            <w:shd w:val="clear" w:color="auto" w:fill="FEFEFE"/>
            <w:tcMar>
              <w:top w:w="60" w:type="dxa"/>
              <w:bottom w:w="0" w:type="dxa"/>
            </w:tcMar>
            <w:vAlign w:val="center"/>
          </w:tcPr>
          <w:p w:rsidR="00CC41D3" w:rsidRPr="005F5A46" w:rsidRDefault="00CC41D3" w:rsidP="00BC2611">
            <w:pPr>
              <w:spacing w:before="100" w:beforeAutospacing="1" w:after="100" w:afterAutospacing="1"/>
              <w:rPr>
                <w:rFonts w:ascii="Verdana" w:hAnsi="Verdana" w:cs="Arial"/>
                <w:highlight w:val="white"/>
                <w:shd w:val="clear" w:color="auto" w:fill="FEFEFE"/>
              </w:rPr>
            </w:pPr>
            <w:r w:rsidRPr="005F5A46">
              <w:rPr>
                <w:rFonts w:ascii="Verdana" w:hAnsi="Verdana" w:cs="Arial"/>
                <w:highlight w:val="white"/>
                <w:shd w:val="clear" w:color="auto" w:fill="FEFEFE"/>
              </w:rPr>
              <w:t> </w:t>
            </w:r>
          </w:p>
        </w:tc>
        <w:tc>
          <w:tcPr>
            <w:tcW w:w="1583" w:type="dxa"/>
            <w:shd w:val="clear" w:color="auto" w:fill="FEFEFE"/>
            <w:tcMar>
              <w:top w:w="60" w:type="dxa"/>
              <w:bottom w:w="0" w:type="dxa"/>
            </w:tcMar>
            <w:vAlign w:val="center"/>
          </w:tcPr>
          <w:p w:rsidR="00CC41D3" w:rsidRPr="005F5A46" w:rsidRDefault="00CC41D3" w:rsidP="00BC2611">
            <w:pPr>
              <w:spacing w:before="100" w:beforeAutospacing="1" w:after="100" w:afterAutospacing="1"/>
              <w:rPr>
                <w:rFonts w:ascii="Verdana" w:hAnsi="Verdana" w:cs="Arial"/>
                <w:highlight w:val="white"/>
                <w:shd w:val="clear" w:color="auto" w:fill="FEFEFE"/>
              </w:rPr>
            </w:pPr>
            <w:r w:rsidRPr="005F5A46">
              <w:rPr>
                <w:rFonts w:ascii="Verdana" w:hAnsi="Verdana" w:cs="Arial"/>
                <w:highlight w:val="white"/>
                <w:shd w:val="clear" w:color="auto" w:fill="FEFEFE"/>
              </w:rPr>
              <w:t> </w:t>
            </w:r>
          </w:p>
        </w:tc>
        <w:tc>
          <w:tcPr>
            <w:tcW w:w="1444" w:type="dxa"/>
            <w:shd w:val="clear" w:color="auto" w:fill="FEFEFE"/>
            <w:tcMar>
              <w:top w:w="60" w:type="dxa"/>
              <w:bottom w:w="0" w:type="dxa"/>
            </w:tcMar>
            <w:vAlign w:val="center"/>
          </w:tcPr>
          <w:p w:rsidR="00CC41D3" w:rsidRPr="005F5A46" w:rsidRDefault="00CC41D3" w:rsidP="00BC2611">
            <w:pPr>
              <w:spacing w:before="100" w:beforeAutospacing="1" w:after="100" w:afterAutospacing="1"/>
              <w:rPr>
                <w:rFonts w:ascii="Verdana" w:hAnsi="Verdana" w:cs="Arial"/>
                <w:highlight w:val="white"/>
                <w:shd w:val="clear" w:color="auto" w:fill="FEFEFE"/>
              </w:rPr>
            </w:pPr>
            <w:r w:rsidRPr="005F5A46">
              <w:rPr>
                <w:rFonts w:ascii="Verdana" w:hAnsi="Verdana" w:cs="Arial"/>
                <w:highlight w:val="white"/>
                <w:shd w:val="clear" w:color="auto" w:fill="FEFEFE"/>
              </w:rPr>
              <w:t> </w:t>
            </w:r>
          </w:p>
        </w:tc>
        <w:tc>
          <w:tcPr>
            <w:tcW w:w="1583" w:type="dxa"/>
            <w:shd w:val="clear" w:color="auto" w:fill="FEFEFE"/>
            <w:tcMar>
              <w:top w:w="60" w:type="dxa"/>
              <w:bottom w:w="0" w:type="dxa"/>
            </w:tcMar>
            <w:vAlign w:val="center"/>
          </w:tcPr>
          <w:p w:rsidR="00CC41D3" w:rsidRPr="005F5A46" w:rsidRDefault="00CC41D3" w:rsidP="00BC2611">
            <w:pPr>
              <w:spacing w:before="100" w:beforeAutospacing="1" w:after="100" w:afterAutospacing="1"/>
              <w:rPr>
                <w:rFonts w:ascii="Verdana" w:hAnsi="Verdana" w:cs="Arial"/>
                <w:highlight w:val="white"/>
                <w:shd w:val="clear" w:color="auto" w:fill="FEFEFE"/>
              </w:rPr>
            </w:pPr>
            <w:r w:rsidRPr="005F5A46">
              <w:rPr>
                <w:rFonts w:ascii="Verdana" w:hAnsi="Verdana" w:cs="Arial"/>
                <w:highlight w:val="white"/>
                <w:shd w:val="clear" w:color="auto" w:fill="FEFEFE"/>
              </w:rPr>
              <w:t> </w:t>
            </w:r>
          </w:p>
        </w:tc>
      </w:tr>
      <w:tr w:rsidR="00CC41D3" w:rsidRPr="005F5A46" w:rsidTr="00BC2611">
        <w:trPr>
          <w:trHeight w:val="340"/>
        </w:trPr>
        <w:tc>
          <w:tcPr>
            <w:tcW w:w="1786" w:type="dxa"/>
            <w:shd w:val="clear" w:color="auto" w:fill="FEFEFE"/>
            <w:tcMar>
              <w:top w:w="60" w:type="dxa"/>
              <w:bottom w:w="0" w:type="dxa"/>
            </w:tcMar>
            <w:vAlign w:val="center"/>
          </w:tcPr>
          <w:p w:rsidR="00CC41D3" w:rsidRPr="005F5A46" w:rsidRDefault="00CC41D3" w:rsidP="00BC2611">
            <w:pPr>
              <w:spacing w:before="100" w:beforeAutospacing="1" w:after="100" w:afterAutospacing="1"/>
              <w:rPr>
                <w:rFonts w:ascii="Verdana" w:hAnsi="Verdana" w:cs="Arial"/>
                <w:highlight w:val="white"/>
                <w:shd w:val="clear" w:color="auto" w:fill="FEFEFE"/>
              </w:rPr>
            </w:pPr>
          </w:p>
        </w:tc>
        <w:tc>
          <w:tcPr>
            <w:tcW w:w="1477" w:type="dxa"/>
            <w:shd w:val="clear" w:color="auto" w:fill="FEFEFE"/>
            <w:tcMar>
              <w:top w:w="60" w:type="dxa"/>
              <w:bottom w:w="0" w:type="dxa"/>
            </w:tcMar>
            <w:vAlign w:val="center"/>
          </w:tcPr>
          <w:p w:rsidR="00CC41D3" w:rsidRPr="005F5A46" w:rsidRDefault="00CC41D3" w:rsidP="00BC2611">
            <w:pPr>
              <w:spacing w:before="100" w:beforeAutospacing="1" w:after="100" w:afterAutospacing="1"/>
              <w:rPr>
                <w:rFonts w:ascii="Verdana" w:hAnsi="Verdana" w:cs="Arial"/>
                <w:highlight w:val="white"/>
                <w:shd w:val="clear" w:color="auto" w:fill="FEFEFE"/>
              </w:rPr>
            </w:pPr>
          </w:p>
        </w:tc>
        <w:tc>
          <w:tcPr>
            <w:tcW w:w="744" w:type="dxa"/>
            <w:shd w:val="clear" w:color="auto" w:fill="FEFEFE"/>
            <w:tcMar>
              <w:top w:w="60" w:type="dxa"/>
              <w:bottom w:w="0" w:type="dxa"/>
            </w:tcMar>
            <w:vAlign w:val="center"/>
          </w:tcPr>
          <w:p w:rsidR="00CC41D3" w:rsidRPr="005F5A46" w:rsidRDefault="00CC41D3" w:rsidP="00BC2611">
            <w:pPr>
              <w:spacing w:before="100" w:beforeAutospacing="1" w:after="100" w:afterAutospacing="1"/>
              <w:rPr>
                <w:rFonts w:ascii="Verdana" w:hAnsi="Verdana" w:cs="Arial"/>
                <w:highlight w:val="white"/>
                <w:shd w:val="clear" w:color="auto" w:fill="FEFEFE"/>
              </w:rPr>
            </w:pPr>
          </w:p>
        </w:tc>
        <w:tc>
          <w:tcPr>
            <w:tcW w:w="1491" w:type="dxa"/>
            <w:shd w:val="clear" w:color="auto" w:fill="FEFEFE"/>
            <w:tcMar>
              <w:top w:w="60" w:type="dxa"/>
              <w:bottom w:w="0" w:type="dxa"/>
            </w:tcMar>
            <w:vAlign w:val="center"/>
          </w:tcPr>
          <w:p w:rsidR="00CC41D3" w:rsidRPr="005F5A46" w:rsidRDefault="00CC41D3" w:rsidP="00BC2611">
            <w:pPr>
              <w:spacing w:before="100" w:beforeAutospacing="1" w:after="100" w:afterAutospacing="1"/>
              <w:rPr>
                <w:rFonts w:ascii="Verdana" w:hAnsi="Verdana" w:cs="Arial"/>
                <w:highlight w:val="white"/>
                <w:shd w:val="clear" w:color="auto" w:fill="FEFEFE"/>
              </w:rPr>
            </w:pPr>
          </w:p>
        </w:tc>
        <w:tc>
          <w:tcPr>
            <w:tcW w:w="1491" w:type="dxa"/>
            <w:shd w:val="clear" w:color="auto" w:fill="FEFEFE"/>
            <w:tcMar>
              <w:top w:w="60" w:type="dxa"/>
              <w:bottom w:w="0" w:type="dxa"/>
            </w:tcMar>
            <w:vAlign w:val="center"/>
          </w:tcPr>
          <w:p w:rsidR="00CC41D3" w:rsidRPr="005F5A46" w:rsidRDefault="00CC41D3" w:rsidP="00BC2611">
            <w:pPr>
              <w:spacing w:before="100" w:beforeAutospacing="1" w:after="100" w:afterAutospacing="1"/>
              <w:rPr>
                <w:rFonts w:ascii="Verdana" w:hAnsi="Verdana" w:cs="Arial"/>
                <w:highlight w:val="white"/>
                <w:shd w:val="clear" w:color="auto" w:fill="FEFEFE"/>
              </w:rPr>
            </w:pPr>
          </w:p>
        </w:tc>
        <w:tc>
          <w:tcPr>
            <w:tcW w:w="1583" w:type="dxa"/>
            <w:shd w:val="clear" w:color="auto" w:fill="FEFEFE"/>
            <w:tcMar>
              <w:top w:w="60" w:type="dxa"/>
              <w:bottom w:w="0" w:type="dxa"/>
            </w:tcMar>
            <w:vAlign w:val="center"/>
          </w:tcPr>
          <w:p w:rsidR="00CC41D3" w:rsidRPr="005F5A46" w:rsidRDefault="00CC41D3" w:rsidP="00BC2611">
            <w:pPr>
              <w:spacing w:before="100" w:beforeAutospacing="1" w:after="100" w:afterAutospacing="1"/>
              <w:rPr>
                <w:rFonts w:ascii="Verdana" w:hAnsi="Verdana" w:cs="Arial"/>
                <w:highlight w:val="white"/>
                <w:shd w:val="clear" w:color="auto" w:fill="FEFEFE"/>
              </w:rPr>
            </w:pPr>
          </w:p>
        </w:tc>
        <w:tc>
          <w:tcPr>
            <w:tcW w:w="1491" w:type="dxa"/>
            <w:shd w:val="clear" w:color="auto" w:fill="FEFEFE"/>
            <w:tcMar>
              <w:top w:w="60" w:type="dxa"/>
              <w:bottom w:w="0" w:type="dxa"/>
            </w:tcMar>
            <w:vAlign w:val="center"/>
          </w:tcPr>
          <w:p w:rsidR="00CC41D3" w:rsidRPr="005F5A46" w:rsidRDefault="00CC41D3" w:rsidP="00BC2611">
            <w:pPr>
              <w:spacing w:before="100" w:beforeAutospacing="1" w:after="100" w:afterAutospacing="1"/>
              <w:rPr>
                <w:rFonts w:ascii="Verdana" w:hAnsi="Verdana" w:cs="Arial"/>
                <w:highlight w:val="white"/>
                <w:shd w:val="clear" w:color="auto" w:fill="FEFEFE"/>
              </w:rPr>
            </w:pPr>
          </w:p>
        </w:tc>
        <w:tc>
          <w:tcPr>
            <w:tcW w:w="1583" w:type="dxa"/>
            <w:shd w:val="clear" w:color="auto" w:fill="FEFEFE"/>
            <w:tcMar>
              <w:top w:w="60" w:type="dxa"/>
              <w:bottom w:w="0" w:type="dxa"/>
            </w:tcMar>
            <w:vAlign w:val="center"/>
          </w:tcPr>
          <w:p w:rsidR="00CC41D3" w:rsidRPr="005F5A46" w:rsidRDefault="00CC41D3" w:rsidP="00BC2611">
            <w:pPr>
              <w:spacing w:before="100" w:beforeAutospacing="1" w:after="100" w:afterAutospacing="1"/>
              <w:rPr>
                <w:rFonts w:ascii="Verdana" w:hAnsi="Verdana" w:cs="Arial"/>
                <w:highlight w:val="white"/>
                <w:shd w:val="clear" w:color="auto" w:fill="FEFEFE"/>
              </w:rPr>
            </w:pPr>
          </w:p>
        </w:tc>
        <w:tc>
          <w:tcPr>
            <w:tcW w:w="1444" w:type="dxa"/>
            <w:shd w:val="clear" w:color="auto" w:fill="FEFEFE"/>
            <w:tcMar>
              <w:top w:w="60" w:type="dxa"/>
              <w:bottom w:w="0" w:type="dxa"/>
            </w:tcMar>
            <w:vAlign w:val="center"/>
          </w:tcPr>
          <w:p w:rsidR="00CC41D3" w:rsidRPr="005F5A46" w:rsidRDefault="00CC41D3" w:rsidP="00BC2611">
            <w:pPr>
              <w:spacing w:before="100" w:beforeAutospacing="1" w:after="100" w:afterAutospacing="1"/>
              <w:rPr>
                <w:rFonts w:ascii="Verdana" w:hAnsi="Verdana" w:cs="Arial"/>
                <w:highlight w:val="white"/>
                <w:shd w:val="clear" w:color="auto" w:fill="FEFEFE"/>
              </w:rPr>
            </w:pPr>
          </w:p>
        </w:tc>
        <w:tc>
          <w:tcPr>
            <w:tcW w:w="1583" w:type="dxa"/>
            <w:shd w:val="clear" w:color="auto" w:fill="FEFEFE"/>
            <w:tcMar>
              <w:top w:w="60" w:type="dxa"/>
              <w:bottom w:w="0" w:type="dxa"/>
            </w:tcMar>
            <w:vAlign w:val="center"/>
          </w:tcPr>
          <w:p w:rsidR="00CC41D3" w:rsidRPr="005F5A46" w:rsidRDefault="00CC41D3" w:rsidP="00BC2611">
            <w:pPr>
              <w:spacing w:before="100" w:beforeAutospacing="1" w:after="100" w:afterAutospacing="1"/>
              <w:rPr>
                <w:rFonts w:ascii="Verdana" w:hAnsi="Verdana" w:cs="Arial"/>
                <w:highlight w:val="white"/>
                <w:shd w:val="clear" w:color="auto" w:fill="FEFEFE"/>
              </w:rPr>
            </w:pPr>
          </w:p>
        </w:tc>
      </w:tr>
      <w:tr w:rsidR="00CC41D3" w:rsidRPr="005F5A46" w:rsidTr="00BC2611">
        <w:trPr>
          <w:trHeight w:val="340"/>
        </w:trPr>
        <w:tc>
          <w:tcPr>
            <w:tcW w:w="1786" w:type="dxa"/>
            <w:shd w:val="clear" w:color="auto" w:fill="FEFEFE"/>
            <w:tcMar>
              <w:top w:w="60" w:type="dxa"/>
              <w:bottom w:w="0" w:type="dxa"/>
            </w:tcMar>
            <w:vAlign w:val="center"/>
          </w:tcPr>
          <w:p w:rsidR="00CC41D3" w:rsidRPr="005F5A46" w:rsidRDefault="00CC41D3" w:rsidP="00BC2611">
            <w:pPr>
              <w:spacing w:before="100" w:beforeAutospacing="1" w:after="100" w:afterAutospacing="1"/>
              <w:rPr>
                <w:rFonts w:ascii="Verdana" w:hAnsi="Verdana" w:cs="Arial"/>
                <w:highlight w:val="white"/>
                <w:shd w:val="clear" w:color="auto" w:fill="FEFEFE"/>
              </w:rPr>
            </w:pPr>
            <w:r w:rsidRPr="005F5A46">
              <w:rPr>
                <w:rFonts w:ascii="Verdana" w:hAnsi="Verdana" w:cs="Arial"/>
                <w:highlight w:val="white"/>
                <w:shd w:val="clear" w:color="auto" w:fill="FEFEFE"/>
              </w:rPr>
              <w:t> </w:t>
            </w:r>
          </w:p>
        </w:tc>
        <w:tc>
          <w:tcPr>
            <w:tcW w:w="1477" w:type="dxa"/>
            <w:shd w:val="clear" w:color="auto" w:fill="FEFEFE"/>
            <w:tcMar>
              <w:top w:w="60" w:type="dxa"/>
              <w:bottom w:w="0" w:type="dxa"/>
            </w:tcMar>
            <w:vAlign w:val="center"/>
          </w:tcPr>
          <w:p w:rsidR="00CC41D3" w:rsidRPr="005F5A46" w:rsidRDefault="00CC41D3" w:rsidP="00BC2611">
            <w:pPr>
              <w:spacing w:before="100" w:beforeAutospacing="1" w:after="100" w:afterAutospacing="1"/>
              <w:rPr>
                <w:rFonts w:ascii="Verdana" w:hAnsi="Verdana" w:cs="Arial"/>
                <w:highlight w:val="white"/>
                <w:shd w:val="clear" w:color="auto" w:fill="FEFEFE"/>
              </w:rPr>
            </w:pPr>
            <w:r w:rsidRPr="005F5A46">
              <w:rPr>
                <w:rFonts w:ascii="Verdana" w:hAnsi="Verdana" w:cs="Arial"/>
                <w:highlight w:val="white"/>
                <w:shd w:val="clear" w:color="auto" w:fill="FEFEFE"/>
              </w:rPr>
              <w:t> </w:t>
            </w:r>
          </w:p>
        </w:tc>
        <w:tc>
          <w:tcPr>
            <w:tcW w:w="744" w:type="dxa"/>
            <w:shd w:val="clear" w:color="auto" w:fill="FEFEFE"/>
            <w:tcMar>
              <w:top w:w="60" w:type="dxa"/>
              <w:bottom w:w="0" w:type="dxa"/>
            </w:tcMar>
            <w:vAlign w:val="center"/>
          </w:tcPr>
          <w:p w:rsidR="00CC41D3" w:rsidRPr="005F5A46" w:rsidRDefault="00CC41D3" w:rsidP="00BC2611">
            <w:pPr>
              <w:spacing w:before="100" w:beforeAutospacing="1" w:after="100" w:afterAutospacing="1"/>
              <w:rPr>
                <w:rFonts w:ascii="Verdana" w:hAnsi="Verdana" w:cs="Arial"/>
                <w:highlight w:val="white"/>
                <w:shd w:val="clear" w:color="auto" w:fill="FEFEFE"/>
              </w:rPr>
            </w:pPr>
            <w:r w:rsidRPr="005F5A46">
              <w:rPr>
                <w:rFonts w:ascii="Verdana" w:hAnsi="Verdana" w:cs="Arial"/>
                <w:highlight w:val="white"/>
                <w:shd w:val="clear" w:color="auto" w:fill="FEFEFE"/>
              </w:rPr>
              <w:t> </w:t>
            </w:r>
          </w:p>
        </w:tc>
        <w:tc>
          <w:tcPr>
            <w:tcW w:w="1491" w:type="dxa"/>
            <w:shd w:val="clear" w:color="auto" w:fill="FEFEFE"/>
            <w:tcMar>
              <w:top w:w="60" w:type="dxa"/>
              <w:bottom w:w="0" w:type="dxa"/>
            </w:tcMar>
            <w:vAlign w:val="center"/>
          </w:tcPr>
          <w:p w:rsidR="00CC41D3" w:rsidRPr="005F5A46" w:rsidRDefault="00CC41D3" w:rsidP="00BC2611">
            <w:pPr>
              <w:spacing w:before="100" w:beforeAutospacing="1" w:after="100" w:afterAutospacing="1"/>
              <w:rPr>
                <w:rFonts w:ascii="Verdana" w:hAnsi="Verdana" w:cs="Arial"/>
                <w:highlight w:val="white"/>
                <w:shd w:val="clear" w:color="auto" w:fill="FEFEFE"/>
              </w:rPr>
            </w:pPr>
            <w:r w:rsidRPr="005F5A46">
              <w:rPr>
                <w:rFonts w:ascii="Verdana" w:hAnsi="Verdana" w:cs="Arial"/>
                <w:highlight w:val="white"/>
                <w:shd w:val="clear" w:color="auto" w:fill="FEFEFE"/>
              </w:rPr>
              <w:t> </w:t>
            </w:r>
          </w:p>
        </w:tc>
        <w:tc>
          <w:tcPr>
            <w:tcW w:w="1491" w:type="dxa"/>
            <w:shd w:val="clear" w:color="auto" w:fill="FEFEFE"/>
            <w:tcMar>
              <w:top w:w="60" w:type="dxa"/>
              <w:bottom w:w="0" w:type="dxa"/>
            </w:tcMar>
            <w:vAlign w:val="center"/>
          </w:tcPr>
          <w:p w:rsidR="00CC41D3" w:rsidRPr="005F5A46" w:rsidRDefault="00CC41D3" w:rsidP="00BC2611">
            <w:pPr>
              <w:spacing w:before="100" w:beforeAutospacing="1" w:after="100" w:afterAutospacing="1"/>
              <w:rPr>
                <w:rFonts w:ascii="Verdana" w:hAnsi="Verdana" w:cs="Arial"/>
                <w:highlight w:val="white"/>
                <w:shd w:val="clear" w:color="auto" w:fill="FEFEFE"/>
              </w:rPr>
            </w:pPr>
            <w:r w:rsidRPr="005F5A46">
              <w:rPr>
                <w:rFonts w:ascii="Verdana" w:hAnsi="Verdana" w:cs="Arial"/>
                <w:highlight w:val="white"/>
                <w:shd w:val="clear" w:color="auto" w:fill="FEFEFE"/>
              </w:rPr>
              <w:t> </w:t>
            </w:r>
          </w:p>
        </w:tc>
        <w:tc>
          <w:tcPr>
            <w:tcW w:w="1583" w:type="dxa"/>
            <w:shd w:val="clear" w:color="auto" w:fill="FEFEFE"/>
            <w:tcMar>
              <w:top w:w="60" w:type="dxa"/>
              <w:bottom w:w="0" w:type="dxa"/>
            </w:tcMar>
            <w:vAlign w:val="center"/>
          </w:tcPr>
          <w:p w:rsidR="00CC41D3" w:rsidRPr="005F5A46" w:rsidRDefault="00CC41D3" w:rsidP="00BC2611">
            <w:pPr>
              <w:spacing w:before="100" w:beforeAutospacing="1" w:after="100" w:afterAutospacing="1"/>
              <w:rPr>
                <w:rFonts w:ascii="Verdana" w:hAnsi="Verdana" w:cs="Arial"/>
                <w:highlight w:val="white"/>
                <w:shd w:val="clear" w:color="auto" w:fill="FEFEFE"/>
              </w:rPr>
            </w:pPr>
            <w:r w:rsidRPr="005F5A46">
              <w:rPr>
                <w:rFonts w:ascii="Verdana" w:hAnsi="Verdana" w:cs="Arial"/>
                <w:highlight w:val="white"/>
                <w:shd w:val="clear" w:color="auto" w:fill="FEFEFE"/>
              </w:rPr>
              <w:t> </w:t>
            </w:r>
          </w:p>
        </w:tc>
        <w:tc>
          <w:tcPr>
            <w:tcW w:w="1491" w:type="dxa"/>
            <w:shd w:val="clear" w:color="auto" w:fill="FEFEFE"/>
            <w:tcMar>
              <w:top w:w="60" w:type="dxa"/>
              <w:bottom w:w="0" w:type="dxa"/>
            </w:tcMar>
            <w:vAlign w:val="center"/>
          </w:tcPr>
          <w:p w:rsidR="00CC41D3" w:rsidRPr="005F5A46" w:rsidRDefault="00CC41D3" w:rsidP="00BC2611">
            <w:pPr>
              <w:spacing w:before="100" w:beforeAutospacing="1" w:after="100" w:afterAutospacing="1"/>
              <w:rPr>
                <w:rFonts w:ascii="Verdana" w:hAnsi="Verdana" w:cs="Arial"/>
                <w:highlight w:val="white"/>
                <w:shd w:val="clear" w:color="auto" w:fill="FEFEFE"/>
              </w:rPr>
            </w:pPr>
            <w:r w:rsidRPr="005F5A46">
              <w:rPr>
                <w:rFonts w:ascii="Verdana" w:hAnsi="Verdana" w:cs="Arial"/>
                <w:highlight w:val="white"/>
                <w:shd w:val="clear" w:color="auto" w:fill="FEFEFE"/>
              </w:rPr>
              <w:t> </w:t>
            </w:r>
          </w:p>
        </w:tc>
        <w:tc>
          <w:tcPr>
            <w:tcW w:w="1583" w:type="dxa"/>
            <w:shd w:val="clear" w:color="auto" w:fill="FEFEFE"/>
            <w:tcMar>
              <w:top w:w="60" w:type="dxa"/>
              <w:bottom w:w="0" w:type="dxa"/>
            </w:tcMar>
            <w:vAlign w:val="center"/>
          </w:tcPr>
          <w:p w:rsidR="00CC41D3" w:rsidRPr="005F5A46" w:rsidRDefault="00CC41D3" w:rsidP="00BC2611">
            <w:pPr>
              <w:spacing w:before="100" w:beforeAutospacing="1" w:after="100" w:afterAutospacing="1"/>
              <w:rPr>
                <w:rFonts w:ascii="Verdana" w:hAnsi="Verdana" w:cs="Arial"/>
                <w:highlight w:val="white"/>
                <w:shd w:val="clear" w:color="auto" w:fill="FEFEFE"/>
              </w:rPr>
            </w:pPr>
            <w:r w:rsidRPr="005F5A46">
              <w:rPr>
                <w:rFonts w:ascii="Verdana" w:hAnsi="Verdana" w:cs="Arial"/>
                <w:highlight w:val="white"/>
                <w:shd w:val="clear" w:color="auto" w:fill="FEFEFE"/>
              </w:rPr>
              <w:t> </w:t>
            </w:r>
          </w:p>
        </w:tc>
        <w:tc>
          <w:tcPr>
            <w:tcW w:w="1444" w:type="dxa"/>
            <w:shd w:val="clear" w:color="auto" w:fill="FEFEFE"/>
            <w:tcMar>
              <w:top w:w="60" w:type="dxa"/>
              <w:bottom w:w="0" w:type="dxa"/>
            </w:tcMar>
            <w:vAlign w:val="center"/>
          </w:tcPr>
          <w:p w:rsidR="00CC41D3" w:rsidRPr="005F5A46" w:rsidRDefault="00CC41D3" w:rsidP="00BC2611">
            <w:pPr>
              <w:spacing w:before="100" w:beforeAutospacing="1" w:after="100" w:afterAutospacing="1"/>
              <w:rPr>
                <w:rFonts w:ascii="Verdana" w:hAnsi="Verdana" w:cs="Arial"/>
                <w:highlight w:val="white"/>
                <w:shd w:val="clear" w:color="auto" w:fill="FEFEFE"/>
              </w:rPr>
            </w:pPr>
            <w:r w:rsidRPr="005F5A46">
              <w:rPr>
                <w:rFonts w:ascii="Verdana" w:hAnsi="Verdana" w:cs="Arial"/>
                <w:highlight w:val="white"/>
                <w:shd w:val="clear" w:color="auto" w:fill="FEFEFE"/>
              </w:rPr>
              <w:t> </w:t>
            </w:r>
          </w:p>
        </w:tc>
        <w:tc>
          <w:tcPr>
            <w:tcW w:w="1583" w:type="dxa"/>
            <w:shd w:val="clear" w:color="auto" w:fill="FEFEFE"/>
            <w:tcMar>
              <w:top w:w="60" w:type="dxa"/>
              <w:bottom w:w="0" w:type="dxa"/>
            </w:tcMar>
            <w:vAlign w:val="center"/>
          </w:tcPr>
          <w:p w:rsidR="00CC41D3" w:rsidRPr="005F5A46" w:rsidRDefault="00CC41D3" w:rsidP="00BC2611">
            <w:pPr>
              <w:spacing w:before="100" w:beforeAutospacing="1" w:after="100" w:afterAutospacing="1"/>
              <w:rPr>
                <w:rFonts w:ascii="Verdana" w:hAnsi="Verdana" w:cs="Arial"/>
                <w:highlight w:val="white"/>
                <w:shd w:val="clear" w:color="auto" w:fill="FEFEFE"/>
              </w:rPr>
            </w:pPr>
            <w:r w:rsidRPr="005F5A46">
              <w:rPr>
                <w:rFonts w:ascii="Verdana" w:hAnsi="Verdana" w:cs="Arial"/>
                <w:highlight w:val="white"/>
                <w:shd w:val="clear" w:color="auto" w:fill="FEFEFE"/>
              </w:rPr>
              <w:t> </w:t>
            </w:r>
          </w:p>
        </w:tc>
      </w:tr>
    </w:tbl>
    <w:p w:rsidR="00CC41D3" w:rsidRDefault="00CC41D3" w:rsidP="00CC41D3">
      <w:pPr>
        <w:tabs>
          <w:tab w:val="left" w:pos="1134"/>
        </w:tabs>
        <w:spacing w:line="360" w:lineRule="auto"/>
        <w:ind w:firstLine="709"/>
        <w:jc w:val="right"/>
        <w:rPr>
          <w:rFonts w:ascii="Verdana" w:hAnsi="Verdana" w:cs="TimokCYR"/>
        </w:rPr>
      </w:pPr>
      <w:r>
        <w:rPr>
          <w:rFonts w:ascii="Verdana" w:hAnsi="Verdana" w:cs="TimokCYR"/>
        </w:rPr>
        <w:t>“</w:t>
      </w:r>
    </w:p>
    <w:p w:rsidR="00CC41D3" w:rsidRDefault="00CC41D3" w:rsidP="00CC41D3">
      <w:pPr>
        <w:tabs>
          <w:tab w:val="left" w:pos="1134"/>
        </w:tabs>
        <w:spacing w:line="360" w:lineRule="auto"/>
        <w:ind w:firstLine="709"/>
        <w:rPr>
          <w:rFonts w:ascii="Verdana" w:hAnsi="Verdana" w:cs="TimokCYR"/>
        </w:rPr>
      </w:pPr>
    </w:p>
    <w:p w:rsidR="00CC41D3" w:rsidRDefault="00CC41D3" w:rsidP="006C69B7">
      <w:pPr>
        <w:tabs>
          <w:tab w:val="left" w:pos="1134"/>
        </w:tabs>
        <w:spacing w:line="360" w:lineRule="auto"/>
        <w:ind w:firstLine="709"/>
        <w:jc w:val="both"/>
        <w:rPr>
          <w:rFonts w:ascii="Verdana" w:hAnsi="Verdana" w:cs="TimokCYR"/>
        </w:rPr>
      </w:pPr>
    </w:p>
    <w:p w:rsidR="00CC41D3" w:rsidRDefault="00CC41D3" w:rsidP="006C69B7">
      <w:pPr>
        <w:tabs>
          <w:tab w:val="left" w:pos="1134"/>
        </w:tabs>
        <w:spacing w:line="360" w:lineRule="auto"/>
        <w:ind w:firstLine="709"/>
        <w:jc w:val="both"/>
        <w:rPr>
          <w:rFonts w:ascii="Verdana" w:hAnsi="Verdana" w:cs="TimokCYR"/>
        </w:rPr>
        <w:sectPr w:rsidR="00CC41D3" w:rsidSect="00CC41D3">
          <w:pgSz w:w="16838" w:h="11906" w:orient="landscape" w:code="9"/>
          <w:pgMar w:top="1588" w:right="1021" w:bottom="567" w:left="1021" w:header="709" w:footer="709" w:gutter="0"/>
          <w:cols w:space="708"/>
          <w:docGrid w:linePitch="360"/>
        </w:sectPr>
      </w:pPr>
    </w:p>
    <w:p w:rsidR="006E1A3D" w:rsidRPr="00572F7A" w:rsidRDefault="00BC2611" w:rsidP="008C3D85">
      <w:pPr>
        <w:tabs>
          <w:tab w:val="left" w:pos="1134"/>
        </w:tabs>
        <w:spacing w:line="360" w:lineRule="auto"/>
        <w:ind w:firstLine="720"/>
        <w:jc w:val="both"/>
        <w:rPr>
          <w:rFonts w:ascii="Verdana" w:hAnsi="Verdana" w:cs="TimokCYR"/>
        </w:rPr>
      </w:pPr>
      <w:r>
        <w:rPr>
          <w:rFonts w:ascii="Verdana" w:hAnsi="Verdana" w:cs="TimokCYR"/>
          <w:b/>
        </w:rPr>
        <w:lastRenderedPageBreak/>
        <w:t>§ 24</w:t>
      </w:r>
      <w:r w:rsidR="00765AEF" w:rsidRPr="00572F7A">
        <w:rPr>
          <w:rFonts w:ascii="Verdana" w:hAnsi="Verdana" w:cs="TimokCYR"/>
          <w:b/>
        </w:rPr>
        <w:t>.</w:t>
      </w:r>
      <w:r w:rsidR="00765AEF" w:rsidRPr="00572F7A">
        <w:rPr>
          <w:rFonts w:ascii="Verdana" w:hAnsi="Verdana" w:cs="TimokCYR"/>
        </w:rPr>
        <w:t xml:space="preserve"> </w:t>
      </w:r>
      <w:r w:rsidR="00B05AEF" w:rsidRPr="00572F7A">
        <w:rPr>
          <w:rFonts w:ascii="Verdana" w:hAnsi="Verdana" w:cs="TimokCYR"/>
        </w:rPr>
        <w:t>Приложение № 3 към чл. 48, ал. 6</w:t>
      </w:r>
      <w:r w:rsidR="00107CCC" w:rsidRPr="00572F7A">
        <w:rPr>
          <w:rFonts w:ascii="Verdana" w:hAnsi="Verdana" w:cs="TimokCYR"/>
        </w:rPr>
        <w:t xml:space="preserve"> се изменя така:</w:t>
      </w:r>
    </w:p>
    <w:p w:rsidR="006D7DAC" w:rsidRDefault="006D7DAC" w:rsidP="006D7DAC">
      <w:pPr>
        <w:widowControl/>
        <w:autoSpaceDE/>
        <w:autoSpaceDN/>
        <w:adjustRightInd/>
        <w:spacing w:line="360" w:lineRule="auto"/>
        <w:jc w:val="right"/>
        <w:rPr>
          <w:rFonts w:ascii="Verdana" w:hAnsi="Verdana" w:cs="TimokCYR"/>
        </w:rPr>
      </w:pPr>
      <w:r>
        <w:rPr>
          <w:rFonts w:ascii="Verdana" w:hAnsi="Verdana" w:cs="TimokCYR"/>
        </w:rPr>
        <w:t>„Приложение № 3</w:t>
      </w:r>
    </w:p>
    <w:p w:rsidR="006E1A3D" w:rsidRPr="00572F7A" w:rsidRDefault="006E1A3D" w:rsidP="006D7DAC">
      <w:pPr>
        <w:widowControl/>
        <w:autoSpaceDE/>
        <w:autoSpaceDN/>
        <w:adjustRightInd/>
        <w:spacing w:line="360" w:lineRule="auto"/>
        <w:jc w:val="right"/>
        <w:rPr>
          <w:rFonts w:ascii="Verdana" w:hAnsi="Verdana" w:cs="TimokCYR"/>
        </w:rPr>
      </w:pPr>
      <w:r w:rsidRPr="00572F7A">
        <w:rPr>
          <w:rFonts w:ascii="Verdana" w:hAnsi="Verdana" w:cs="TimokCYR"/>
        </w:rPr>
        <w:t>към чл. 48, ал. 6</w:t>
      </w:r>
    </w:p>
    <w:p w:rsidR="00086986" w:rsidRPr="00086986" w:rsidRDefault="00086986" w:rsidP="00EB027C">
      <w:pPr>
        <w:spacing w:line="360" w:lineRule="auto"/>
        <w:jc w:val="center"/>
        <w:rPr>
          <w:rFonts w:ascii="Verdana" w:eastAsiaTheme="minorEastAsia" w:hAnsi="Verdana"/>
          <w:shd w:val="clear" w:color="auto" w:fill="FEFEFE"/>
          <w:lang w:eastAsia="en-US"/>
        </w:rPr>
      </w:pPr>
    </w:p>
    <w:p w:rsidR="00EB027C" w:rsidRPr="00572F7A" w:rsidRDefault="00EB027C" w:rsidP="00EB027C">
      <w:pPr>
        <w:spacing w:line="360" w:lineRule="auto"/>
        <w:jc w:val="center"/>
        <w:rPr>
          <w:rFonts w:ascii="Verdana" w:eastAsiaTheme="minorEastAsia" w:hAnsi="Verdana"/>
          <w:b/>
          <w:shd w:val="clear" w:color="auto" w:fill="FEFEFE"/>
          <w:lang w:eastAsia="en-US"/>
        </w:rPr>
      </w:pPr>
      <w:r w:rsidRPr="00572F7A">
        <w:rPr>
          <w:rFonts w:ascii="Verdana" w:eastAsiaTheme="minorEastAsia" w:hAnsi="Verdana"/>
          <w:b/>
          <w:shd w:val="clear" w:color="auto" w:fill="FEFEFE"/>
          <w:lang w:eastAsia="en-US"/>
        </w:rPr>
        <w:t>КАТАЛОГ „МЕРКИ И НЕСЪОТВЕТСТВИЯ“</w:t>
      </w:r>
    </w:p>
    <w:p w:rsidR="00EB027C" w:rsidRPr="00572F7A" w:rsidRDefault="00EB027C" w:rsidP="00EB027C">
      <w:pPr>
        <w:spacing w:line="360" w:lineRule="auto"/>
        <w:jc w:val="center"/>
        <w:rPr>
          <w:rFonts w:ascii="Verdana" w:eastAsiaTheme="minorEastAsia" w:hAnsi="Verdana"/>
          <w:shd w:val="clear" w:color="auto" w:fill="FEFEFE"/>
          <w:lang w:eastAsia="en-US"/>
        </w:rPr>
      </w:pPr>
    </w:p>
    <w:p w:rsidR="00EB027C" w:rsidRPr="00572F7A" w:rsidRDefault="00EB027C" w:rsidP="00EB027C">
      <w:pPr>
        <w:spacing w:line="360" w:lineRule="auto"/>
        <w:ind w:firstLine="709"/>
        <w:jc w:val="both"/>
        <w:rPr>
          <w:rFonts w:ascii="Verdana" w:eastAsiaTheme="minorEastAsia" w:hAnsi="Verdana"/>
          <w:b/>
          <w:shd w:val="clear" w:color="auto" w:fill="FEFEFE"/>
          <w:lang w:eastAsia="en-US"/>
        </w:rPr>
      </w:pPr>
      <w:r w:rsidRPr="00572F7A">
        <w:rPr>
          <w:rFonts w:ascii="Verdana" w:eastAsiaTheme="minorEastAsia" w:hAnsi="Verdana"/>
          <w:b/>
          <w:shd w:val="clear" w:color="auto" w:fill="FEFEFE"/>
          <w:lang w:eastAsia="en-US"/>
        </w:rPr>
        <w:t xml:space="preserve">А. </w:t>
      </w:r>
      <w:r w:rsidRPr="00572F7A">
        <w:rPr>
          <w:rFonts w:ascii="Verdana" w:eastAsiaTheme="minorEastAsia" w:hAnsi="Verdana"/>
          <w:b/>
          <w:caps/>
          <w:shd w:val="clear" w:color="auto" w:fill="FEFEFE"/>
          <w:lang w:eastAsia="en-US"/>
        </w:rPr>
        <w:t>Обща част по отношение на правилата за извършване на официално разследване и налагането на мерки за установени несъответствия</w:t>
      </w:r>
    </w:p>
    <w:p w:rsidR="00EB027C" w:rsidRPr="00572F7A" w:rsidRDefault="00EB027C" w:rsidP="00EB027C">
      <w:pPr>
        <w:spacing w:line="360" w:lineRule="auto"/>
        <w:ind w:firstLine="709"/>
        <w:jc w:val="both"/>
        <w:rPr>
          <w:rFonts w:ascii="Verdana" w:eastAsiaTheme="minorEastAsia" w:hAnsi="Verdana"/>
          <w:b/>
          <w:shd w:val="clear" w:color="auto" w:fill="FEFEFE"/>
          <w:lang w:eastAsia="en-US"/>
        </w:rPr>
      </w:pPr>
    </w:p>
    <w:p w:rsidR="00EB027C" w:rsidRPr="00572F7A" w:rsidRDefault="00EB027C" w:rsidP="00D8078B">
      <w:pPr>
        <w:spacing w:line="360" w:lineRule="auto"/>
        <w:ind w:firstLine="709"/>
        <w:jc w:val="both"/>
        <w:rPr>
          <w:rFonts w:ascii="Verdana" w:eastAsiaTheme="minorEastAsia" w:hAnsi="Verdana"/>
          <w:b/>
          <w:iCs/>
          <w:shd w:val="clear" w:color="auto" w:fill="FEFEFE"/>
          <w:lang w:eastAsia="en-US"/>
        </w:rPr>
      </w:pPr>
      <w:r w:rsidRPr="00572F7A">
        <w:rPr>
          <w:rFonts w:ascii="Verdana" w:eastAsiaTheme="minorEastAsia" w:hAnsi="Verdana"/>
          <w:b/>
          <w:iCs/>
          <w:shd w:val="clear" w:color="auto" w:fill="FEFEFE"/>
          <w:lang w:eastAsia="en-US"/>
        </w:rPr>
        <w:t>А1. Общи правила при извършване на официално разследване във връзка със съмнение за нарушение или вече установено наличие на продукти или вещества, които не са разрешени за употреба в биологичното производство:</w:t>
      </w:r>
    </w:p>
    <w:p w:rsidR="00EB027C" w:rsidRPr="00572F7A" w:rsidRDefault="00EB027C" w:rsidP="00D8078B">
      <w:pPr>
        <w:spacing w:line="360" w:lineRule="auto"/>
        <w:ind w:firstLine="709"/>
        <w:jc w:val="both"/>
        <w:rPr>
          <w:rFonts w:ascii="Verdana" w:eastAsiaTheme="minorEastAsia" w:hAnsi="Verdana"/>
          <w:iCs/>
          <w:shd w:val="clear" w:color="auto" w:fill="FEFEFE"/>
          <w:lang w:eastAsia="en-US"/>
        </w:rPr>
      </w:pPr>
      <w:r w:rsidRPr="00572F7A">
        <w:rPr>
          <w:rFonts w:ascii="Verdana" w:eastAsiaTheme="minorEastAsia" w:hAnsi="Verdana"/>
          <w:iCs/>
          <w:shd w:val="clear" w:color="auto" w:fill="FEFEFE"/>
          <w:lang w:eastAsia="en-US"/>
        </w:rPr>
        <w:t>1. Контролиращите лица стриктно прилагат правилата, посочени в чл. 2 от Регламен</w:t>
      </w:r>
      <w:r w:rsidR="0030253F">
        <w:rPr>
          <w:rFonts w:ascii="Verdana" w:eastAsiaTheme="minorEastAsia" w:hAnsi="Verdana"/>
          <w:iCs/>
          <w:shd w:val="clear" w:color="auto" w:fill="FEFEFE"/>
          <w:lang w:eastAsia="en-US"/>
        </w:rPr>
        <w:t>т (ЕС) 2021/279, чл. 14 и чл.</w:t>
      </w:r>
      <w:r w:rsidRPr="00572F7A">
        <w:rPr>
          <w:rFonts w:ascii="Verdana" w:eastAsiaTheme="minorEastAsia" w:hAnsi="Verdana"/>
          <w:iCs/>
          <w:shd w:val="clear" w:color="auto" w:fill="FEFEFE"/>
          <w:lang w:eastAsia="en-US"/>
        </w:rPr>
        <w:t xml:space="preserve"> 137, параграф 3 от Реглам</w:t>
      </w:r>
      <w:r w:rsidR="0030253F">
        <w:rPr>
          <w:rFonts w:ascii="Verdana" w:eastAsiaTheme="minorEastAsia" w:hAnsi="Verdana"/>
          <w:iCs/>
          <w:shd w:val="clear" w:color="auto" w:fill="FEFEFE"/>
          <w:lang w:eastAsia="en-US"/>
        </w:rPr>
        <w:t>ент (ЕС) 2017/625 и чл. 29 и</w:t>
      </w:r>
      <w:r w:rsidRPr="00572F7A">
        <w:rPr>
          <w:rFonts w:ascii="Verdana" w:eastAsiaTheme="minorEastAsia" w:hAnsi="Verdana"/>
          <w:iCs/>
          <w:shd w:val="clear" w:color="auto" w:fill="FEFEFE"/>
          <w:lang w:eastAsia="en-US"/>
        </w:rPr>
        <w:t xml:space="preserve"> 42 от Регламент (ЕС) 2018/848 при извършване на официалното разследване.</w:t>
      </w:r>
    </w:p>
    <w:p w:rsidR="00EB027C" w:rsidRPr="00572F7A" w:rsidRDefault="00EB027C" w:rsidP="00D8078B">
      <w:pPr>
        <w:widowControl/>
        <w:shd w:val="clear" w:color="auto" w:fill="FFFFFF"/>
        <w:autoSpaceDE/>
        <w:autoSpaceDN/>
        <w:adjustRightInd/>
        <w:spacing w:line="360" w:lineRule="auto"/>
        <w:ind w:firstLine="709"/>
        <w:jc w:val="both"/>
        <w:rPr>
          <w:rFonts w:ascii="Verdana" w:hAnsi="Verdana" w:cs="Segoe UI"/>
          <w:color w:val="212121"/>
          <w:lang w:eastAsia="en-US"/>
        </w:rPr>
      </w:pPr>
      <w:r w:rsidRPr="00572F7A">
        <w:rPr>
          <w:rFonts w:ascii="Verdana" w:eastAsiaTheme="minorEastAsia" w:hAnsi="Verdana"/>
          <w:iCs/>
          <w:shd w:val="clear" w:color="auto" w:fill="FEFEFE"/>
          <w:lang w:eastAsia="en-US"/>
        </w:rPr>
        <w:t xml:space="preserve">2. </w:t>
      </w:r>
      <w:r w:rsidRPr="00572F7A">
        <w:rPr>
          <w:rFonts w:ascii="Verdana" w:eastAsiaTheme="minorEastAsia" w:hAnsi="Verdana" w:cs="Calibri"/>
          <w:bCs/>
          <w:color w:val="212121"/>
          <w:lang w:eastAsia="en-US"/>
        </w:rPr>
        <w:t xml:space="preserve">В същия или на следващия работен ден от установяване на наличието или възникване на съмнението за наличие на забранени вещества, включително и в случаите на чл. 27 и чл. 28, </w:t>
      </w:r>
      <w:r w:rsidR="00B37C0C" w:rsidRPr="00B37C0C">
        <w:rPr>
          <w:rFonts w:ascii="Verdana" w:eastAsiaTheme="minorEastAsia" w:hAnsi="Verdana" w:cs="Calibri"/>
          <w:bCs/>
          <w:color w:val="212121"/>
          <w:lang w:eastAsia="en-US"/>
        </w:rPr>
        <w:t>параграф</w:t>
      </w:r>
      <w:r w:rsidRPr="00572F7A">
        <w:rPr>
          <w:rFonts w:ascii="Verdana" w:eastAsiaTheme="minorEastAsia" w:hAnsi="Verdana" w:cs="Calibri"/>
          <w:bCs/>
          <w:color w:val="212121"/>
          <w:lang w:eastAsia="en-US"/>
        </w:rPr>
        <w:t xml:space="preserve"> 2 от Регламент (ЕС) 2018/848, контролиращото лице:</w:t>
      </w:r>
    </w:p>
    <w:p w:rsidR="00EB027C" w:rsidRPr="00572F7A" w:rsidRDefault="00EB027C" w:rsidP="00D8078B">
      <w:pPr>
        <w:shd w:val="clear" w:color="auto" w:fill="FFFFFF"/>
        <w:spacing w:line="360" w:lineRule="auto"/>
        <w:ind w:firstLine="709"/>
        <w:jc w:val="both"/>
        <w:rPr>
          <w:rFonts w:ascii="Verdana" w:eastAsiaTheme="minorEastAsia" w:hAnsi="Verdana" w:cs="Segoe UI"/>
          <w:color w:val="212121"/>
          <w:lang w:eastAsia="en-US"/>
        </w:rPr>
      </w:pPr>
      <w:r w:rsidRPr="00572F7A">
        <w:rPr>
          <w:rFonts w:ascii="Verdana" w:eastAsiaTheme="minorEastAsia" w:hAnsi="Verdana" w:cs="Calibri"/>
          <w:bCs/>
          <w:color w:val="212121"/>
          <w:lang w:eastAsia="en-US"/>
        </w:rPr>
        <w:t>2.1. Уведомява Компетентното звено за започване на официалното разследване по електронен път</w:t>
      </w:r>
      <w:r w:rsidRPr="00572F7A">
        <w:rPr>
          <w:rFonts w:ascii="Verdana" w:eastAsiaTheme="minorEastAsia" w:hAnsi="Verdana" w:cs="Calibri"/>
          <w:color w:val="212121"/>
          <w:lang w:eastAsia="en-US"/>
        </w:rPr>
        <w:t>, в което се посочват данни за оператора, дейността, замърсената партида, дата на възникване на съмнението или дата на устано</w:t>
      </w:r>
      <w:r w:rsidR="0030253F">
        <w:rPr>
          <w:rFonts w:ascii="Verdana" w:eastAsiaTheme="minorEastAsia" w:hAnsi="Verdana" w:cs="Calibri"/>
          <w:color w:val="212121"/>
          <w:lang w:eastAsia="en-US"/>
        </w:rPr>
        <w:t xml:space="preserve">вяване на забранените вещества </w:t>
      </w:r>
      <w:r w:rsidRPr="00572F7A">
        <w:rPr>
          <w:rFonts w:ascii="Verdana" w:eastAsiaTheme="minorEastAsia" w:hAnsi="Verdana" w:cs="Calibri"/>
          <w:color w:val="212121"/>
          <w:lang w:eastAsia="en-US"/>
        </w:rPr>
        <w:t>(при наличен резултат от лабораторен анализ, същият се въвежда в Електронния регистър), доклад от извършената</w:t>
      </w:r>
      <w:r w:rsidR="00EF653A" w:rsidRPr="00572F7A">
        <w:rPr>
          <w:rFonts w:ascii="Verdana" w:eastAsiaTheme="minorEastAsia" w:hAnsi="Verdana" w:cs="Calibri"/>
          <w:color w:val="212121"/>
          <w:lang w:eastAsia="en-US"/>
        </w:rPr>
        <w:t xml:space="preserve"> </w:t>
      </w:r>
      <w:r w:rsidRPr="00572F7A">
        <w:rPr>
          <w:rFonts w:ascii="Verdana" w:eastAsiaTheme="minorEastAsia" w:hAnsi="Verdana" w:cs="Calibri"/>
          <w:color w:val="212121"/>
          <w:lang w:eastAsia="en-US"/>
        </w:rPr>
        <w:t>последна инспекция преди получена нотификация и/или последна инспекция с пробовземане, на която са установени несъответствия и/или нарушения и всички приложения към него;</w:t>
      </w:r>
    </w:p>
    <w:p w:rsidR="00EB027C" w:rsidRPr="00572F7A" w:rsidRDefault="00EB027C" w:rsidP="00D8078B">
      <w:pPr>
        <w:shd w:val="clear" w:color="auto" w:fill="FFFFFF"/>
        <w:spacing w:line="360" w:lineRule="auto"/>
        <w:ind w:firstLine="709"/>
        <w:jc w:val="both"/>
        <w:rPr>
          <w:rFonts w:ascii="Verdana" w:eastAsiaTheme="minorEastAsia" w:hAnsi="Verdana" w:cs="Segoe UI"/>
          <w:color w:val="212121"/>
          <w:lang w:eastAsia="en-US"/>
        </w:rPr>
      </w:pPr>
      <w:r w:rsidRPr="00572F7A">
        <w:rPr>
          <w:rFonts w:ascii="Verdana" w:eastAsiaTheme="minorEastAsia" w:hAnsi="Verdana" w:cs="Calibri"/>
          <w:bCs/>
          <w:color w:val="212121"/>
          <w:lang w:eastAsia="en-US"/>
        </w:rPr>
        <w:t>2.2</w:t>
      </w:r>
      <w:r w:rsidRPr="00572F7A">
        <w:rPr>
          <w:rFonts w:ascii="Verdana" w:eastAsiaTheme="minorEastAsia" w:hAnsi="Verdana" w:cs="Calibri"/>
          <w:color w:val="212121"/>
          <w:lang w:eastAsia="en-US"/>
        </w:rPr>
        <w:t>. И</w:t>
      </w:r>
      <w:r w:rsidRPr="00572F7A">
        <w:rPr>
          <w:rFonts w:ascii="Verdana" w:eastAsiaTheme="minorEastAsia" w:hAnsi="Verdana" w:cs="Calibri"/>
          <w:bCs/>
          <w:color w:val="212121"/>
          <w:lang w:eastAsia="en-US"/>
        </w:rPr>
        <w:t>зпраща уведомление до всички останали контролиращи лица чрез меню "Съобщения"</w:t>
      </w:r>
      <w:r w:rsidRPr="00572F7A">
        <w:rPr>
          <w:rFonts w:ascii="Verdana" w:eastAsiaTheme="minorEastAsia" w:hAnsi="Verdana" w:cs="Calibri"/>
          <w:color w:val="212121"/>
          <w:lang w:eastAsia="en-US"/>
        </w:rPr>
        <w:t xml:space="preserve"> в Електронния регистър. Уведомлението съдържа информация за оператора и получателите на продуктите разпространени на пазара.</w:t>
      </w:r>
    </w:p>
    <w:p w:rsidR="00EB027C" w:rsidRPr="00572F7A" w:rsidRDefault="00EB027C" w:rsidP="00D8078B">
      <w:pPr>
        <w:shd w:val="clear" w:color="auto" w:fill="FFFFFF"/>
        <w:spacing w:line="360" w:lineRule="auto"/>
        <w:ind w:firstLine="709"/>
        <w:jc w:val="both"/>
        <w:rPr>
          <w:rFonts w:ascii="Verdana" w:eastAsiaTheme="minorEastAsia" w:hAnsi="Verdana" w:cs="Segoe UI"/>
          <w:color w:val="212121"/>
          <w:lang w:eastAsia="en-US"/>
        </w:rPr>
      </w:pPr>
      <w:r w:rsidRPr="00572F7A">
        <w:rPr>
          <w:rFonts w:ascii="Verdana" w:eastAsiaTheme="minorEastAsia" w:hAnsi="Verdana" w:cs="Segoe UI"/>
          <w:color w:val="212121"/>
          <w:lang w:eastAsia="en-US"/>
        </w:rPr>
        <w:t>3. Мерките към засегнатата партида се въвеждат в Електронния регистър в срок от пет работни дни от установяване на наличието или възникване на съмнението, за което от меню „Данни за несъответствието“ се избира опция „Друго несъответствие“. В полето „Друго установено несъответствие“ се записва „наличие на забранени вещества“ или „съмнение за наличие на забранени вещества“. В свободен текст се описват и предприетите действия по отношение на замърсената партида.</w:t>
      </w:r>
    </w:p>
    <w:p w:rsidR="00EB027C" w:rsidRPr="00572F7A" w:rsidRDefault="00EB027C" w:rsidP="00D8078B">
      <w:pPr>
        <w:spacing w:line="360" w:lineRule="auto"/>
        <w:ind w:firstLine="709"/>
        <w:jc w:val="both"/>
        <w:rPr>
          <w:rFonts w:ascii="Verdana" w:eastAsiaTheme="minorEastAsia" w:hAnsi="Verdana"/>
          <w:iCs/>
          <w:shd w:val="clear" w:color="auto" w:fill="FEFEFE"/>
          <w:lang w:eastAsia="en-US"/>
        </w:rPr>
      </w:pPr>
      <w:r w:rsidRPr="00572F7A">
        <w:rPr>
          <w:rFonts w:ascii="Verdana" w:eastAsiaTheme="minorEastAsia" w:hAnsi="Verdana"/>
          <w:iCs/>
          <w:shd w:val="clear" w:color="auto" w:fill="FEFEFE"/>
          <w:lang w:eastAsia="en-US"/>
        </w:rPr>
        <w:t>4. В хода на извършване на разследването по т.1, контролиращото лице трябва да извърши пробовземане, когато е приложимо, при спазване на следните указания:</w:t>
      </w:r>
    </w:p>
    <w:p w:rsidR="00EB027C" w:rsidRPr="00572F7A" w:rsidRDefault="0030253F" w:rsidP="00D8078B">
      <w:pPr>
        <w:spacing w:line="360" w:lineRule="auto"/>
        <w:ind w:firstLine="709"/>
        <w:jc w:val="both"/>
        <w:rPr>
          <w:rFonts w:ascii="Verdana" w:eastAsiaTheme="minorEastAsia" w:hAnsi="Verdana"/>
          <w:iCs/>
          <w:shd w:val="clear" w:color="auto" w:fill="FEFEFE"/>
          <w:lang w:eastAsia="en-US"/>
        </w:rPr>
      </w:pPr>
      <w:r>
        <w:rPr>
          <w:rFonts w:ascii="Verdana" w:eastAsiaTheme="minorEastAsia" w:hAnsi="Verdana"/>
          <w:iCs/>
          <w:shd w:val="clear" w:color="auto" w:fill="FEFEFE"/>
          <w:lang w:eastAsia="en-US"/>
        </w:rPr>
        <w:t>а) д</w:t>
      </w:r>
      <w:r w:rsidR="00EB027C" w:rsidRPr="00572F7A">
        <w:rPr>
          <w:rFonts w:ascii="Verdana" w:eastAsiaTheme="minorEastAsia" w:hAnsi="Verdana"/>
          <w:iCs/>
          <w:shd w:val="clear" w:color="auto" w:fill="FEFEFE"/>
          <w:lang w:eastAsia="en-US"/>
        </w:rPr>
        <w:t>а бъде взета проба от замърсената партида/продукт;</w:t>
      </w:r>
    </w:p>
    <w:p w:rsidR="00EB027C" w:rsidRPr="00572F7A" w:rsidRDefault="0030253F" w:rsidP="00D8078B">
      <w:pPr>
        <w:spacing w:line="360" w:lineRule="auto"/>
        <w:ind w:firstLine="709"/>
        <w:jc w:val="both"/>
        <w:rPr>
          <w:rFonts w:ascii="Verdana" w:eastAsiaTheme="minorEastAsia" w:hAnsi="Verdana"/>
          <w:iCs/>
          <w:shd w:val="clear" w:color="auto" w:fill="FEFEFE"/>
          <w:lang w:eastAsia="en-US"/>
        </w:rPr>
      </w:pPr>
      <w:r>
        <w:rPr>
          <w:rFonts w:ascii="Verdana" w:eastAsiaTheme="minorEastAsia" w:hAnsi="Verdana"/>
          <w:iCs/>
          <w:shd w:val="clear" w:color="auto" w:fill="FEFEFE"/>
          <w:lang w:eastAsia="en-US"/>
        </w:rPr>
        <w:t>б) в</w:t>
      </w:r>
      <w:r w:rsidR="00EB027C" w:rsidRPr="00572F7A">
        <w:rPr>
          <w:rFonts w:ascii="Verdana" w:eastAsiaTheme="minorEastAsia" w:hAnsi="Verdana"/>
          <w:iCs/>
          <w:shd w:val="clear" w:color="auto" w:fill="FEFEFE"/>
          <w:lang w:eastAsia="en-US"/>
        </w:rPr>
        <w:t xml:space="preserve"> случай че не е налична партидата-от друга партида от същия продукт;</w:t>
      </w:r>
    </w:p>
    <w:p w:rsidR="00EB027C" w:rsidRPr="00572F7A" w:rsidRDefault="0030253F" w:rsidP="00D8078B">
      <w:pPr>
        <w:spacing w:line="360" w:lineRule="auto"/>
        <w:ind w:firstLine="709"/>
        <w:jc w:val="both"/>
        <w:rPr>
          <w:rFonts w:ascii="Verdana" w:eastAsiaTheme="minorEastAsia" w:hAnsi="Verdana"/>
          <w:iCs/>
          <w:shd w:val="clear" w:color="auto" w:fill="FEFEFE"/>
          <w:lang w:eastAsia="en-US"/>
        </w:rPr>
      </w:pPr>
      <w:r>
        <w:rPr>
          <w:rFonts w:ascii="Verdana" w:eastAsiaTheme="minorEastAsia" w:hAnsi="Verdana"/>
          <w:iCs/>
          <w:shd w:val="clear" w:color="auto" w:fill="FEFEFE"/>
          <w:lang w:eastAsia="en-US"/>
        </w:rPr>
        <w:lastRenderedPageBreak/>
        <w:t>в) в</w:t>
      </w:r>
      <w:r w:rsidR="00EB027C" w:rsidRPr="00572F7A">
        <w:rPr>
          <w:rFonts w:ascii="Verdana" w:eastAsiaTheme="minorEastAsia" w:hAnsi="Verdana"/>
          <w:iCs/>
          <w:shd w:val="clear" w:color="auto" w:fill="FEFEFE"/>
          <w:lang w:eastAsia="en-US"/>
        </w:rPr>
        <w:t xml:space="preserve"> случай, на липса на продукта по букви а) и б), от други подходящи места за дейността.</w:t>
      </w:r>
    </w:p>
    <w:p w:rsidR="00EB027C" w:rsidRPr="00572F7A" w:rsidRDefault="00EB027C" w:rsidP="00D8078B">
      <w:pPr>
        <w:spacing w:line="360" w:lineRule="auto"/>
        <w:ind w:firstLine="709"/>
        <w:jc w:val="both"/>
        <w:rPr>
          <w:rFonts w:ascii="Verdana" w:eastAsiaTheme="minorEastAsia" w:hAnsi="Verdana"/>
          <w:iCs/>
          <w:shd w:val="clear" w:color="auto" w:fill="FEFEFE"/>
          <w:lang w:eastAsia="en-US"/>
        </w:rPr>
      </w:pPr>
      <w:r w:rsidRPr="00572F7A">
        <w:rPr>
          <w:rFonts w:ascii="Verdana" w:eastAsiaTheme="minorEastAsia" w:hAnsi="Verdana"/>
          <w:iCs/>
          <w:shd w:val="clear" w:color="auto" w:fill="FEFEFE"/>
          <w:lang w:eastAsia="en-US"/>
        </w:rPr>
        <w:t xml:space="preserve">5. Пробата следва да бъде изпратена в официална лаборатория по чл. 2, ал. 6 в срок до 3 работни дни от пробовземането. Пробата следва да бъде съхранявана и транспортирана в подходящи условия, съгласно процедурите на контролиращите лица. </w:t>
      </w:r>
    </w:p>
    <w:p w:rsidR="00EB027C" w:rsidRPr="00572F7A" w:rsidRDefault="00EB027C" w:rsidP="00D8078B">
      <w:pPr>
        <w:spacing w:line="360" w:lineRule="auto"/>
        <w:ind w:firstLine="709"/>
        <w:jc w:val="both"/>
        <w:rPr>
          <w:rFonts w:ascii="Verdana" w:eastAsiaTheme="minorEastAsia" w:hAnsi="Verdana"/>
          <w:iCs/>
          <w:shd w:val="clear" w:color="auto" w:fill="FEFEFE"/>
          <w:lang w:eastAsia="en-US"/>
        </w:rPr>
      </w:pPr>
      <w:r w:rsidRPr="00572F7A">
        <w:rPr>
          <w:rFonts w:ascii="Verdana" w:eastAsiaTheme="minorEastAsia" w:hAnsi="Verdana"/>
          <w:iCs/>
          <w:shd w:val="clear" w:color="auto" w:fill="FEFEFE"/>
          <w:lang w:eastAsia="en-US"/>
        </w:rPr>
        <w:t>6. Партидата, засегната от разследването, следва да бъде спряна от продажба с позоваване на методите на биологично производство и да бъде отделена от останалите партиди/продукти на обособено за целта място. В случай че е възникнало съмнение и/или е установено наличие на продукти или вещества, които не са разрешени в биологично производство, контролиращото лице прилага изискванията на чл. 57.</w:t>
      </w:r>
    </w:p>
    <w:p w:rsidR="00EB027C" w:rsidRPr="00572F7A" w:rsidRDefault="00EB027C" w:rsidP="00D8078B">
      <w:pPr>
        <w:spacing w:line="360" w:lineRule="auto"/>
        <w:ind w:firstLine="709"/>
        <w:jc w:val="both"/>
        <w:rPr>
          <w:rFonts w:ascii="Verdana" w:eastAsiaTheme="minorEastAsia" w:hAnsi="Verdana"/>
          <w:iCs/>
          <w:shd w:val="clear" w:color="auto" w:fill="FEFEFE"/>
          <w:lang w:eastAsia="en-US"/>
        </w:rPr>
      </w:pPr>
      <w:r w:rsidRPr="00572F7A">
        <w:rPr>
          <w:rFonts w:ascii="Verdana" w:eastAsiaTheme="minorEastAsia" w:hAnsi="Verdana"/>
          <w:iCs/>
          <w:shd w:val="clear" w:color="auto" w:fill="FEFEFE"/>
          <w:lang w:eastAsia="en-US"/>
        </w:rPr>
        <w:t xml:space="preserve">7. Разследването във връзка с възникването на съмнение или установено наличие на продукти или вещества за наличие на продукти или вещества започва в деня на възникването му. </w:t>
      </w:r>
    </w:p>
    <w:p w:rsidR="00EB027C" w:rsidRPr="00572F7A" w:rsidRDefault="00EB027C" w:rsidP="00D8078B">
      <w:pPr>
        <w:spacing w:line="360" w:lineRule="auto"/>
        <w:ind w:firstLine="709"/>
        <w:jc w:val="both"/>
        <w:rPr>
          <w:rFonts w:ascii="Verdana" w:eastAsiaTheme="minorEastAsia" w:hAnsi="Verdana"/>
          <w:iCs/>
          <w:shd w:val="clear" w:color="auto" w:fill="FEFEFE"/>
          <w:lang w:eastAsia="en-US"/>
        </w:rPr>
      </w:pPr>
      <w:r w:rsidRPr="00572F7A">
        <w:rPr>
          <w:rFonts w:ascii="Verdana" w:eastAsiaTheme="minorEastAsia" w:hAnsi="Verdana"/>
          <w:iCs/>
          <w:shd w:val="clear" w:color="auto" w:fill="FEFEFE"/>
          <w:lang w:eastAsia="en-US"/>
        </w:rPr>
        <w:t xml:space="preserve">8. В рамките на 20 работни дни, а в случаите, свързани с нотификации по системата </w:t>
      </w:r>
      <w:r w:rsidRPr="00572F7A">
        <w:rPr>
          <w:rFonts w:ascii="Verdana" w:eastAsiaTheme="minorEastAsia" w:hAnsi="Verdana"/>
          <w:iCs/>
          <w:shd w:val="clear" w:color="auto" w:fill="FEFEFE"/>
          <w:lang w:val="en-US" w:eastAsia="en-US"/>
        </w:rPr>
        <w:t>OFIS</w:t>
      </w:r>
      <w:r w:rsidRPr="00572F7A">
        <w:rPr>
          <w:rFonts w:ascii="Verdana" w:eastAsiaTheme="minorEastAsia" w:hAnsi="Verdana"/>
          <w:iCs/>
          <w:shd w:val="clear" w:color="auto" w:fill="FEFEFE"/>
          <w:lang w:val="ru-RU" w:eastAsia="en-US"/>
        </w:rPr>
        <w:t xml:space="preserve"> – 15 </w:t>
      </w:r>
      <w:r w:rsidRPr="00572F7A">
        <w:rPr>
          <w:rFonts w:ascii="Verdana" w:eastAsiaTheme="minorEastAsia" w:hAnsi="Verdana"/>
          <w:iCs/>
          <w:shd w:val="clear" w:color="auto" w:fill="FEFEFE"/>
          <w:lang w:eastAsia="en-US"/>
        </w:rPr>
        <w:t>работни дни, от стартиране на разследването по т. 2, контролиращото лице изпраща по електронен път на компетентното звено окончателен доклад по чл. 2, параграф 4 от Регламент (ЕС) 2021/279. Контролиращото лице следва да приложи и информация за наложена мярка от списъка по част „Б-КЛАСИФИКАЦИЯ НА НЕСЪОТВЕТСТВИЯТА“ и част „В-КАТАЛОГ МЕРКИ И НЕСЪОТВЕТСТВИЯ“.</w:t>
      </w:r>
      <w:r w:rsidRPr="00572F7A">
        <w:rPr>
          <w:rFonts w:ascii="Verdana" w:eastAsiaTheme="minorEastAsia" w:hAnsi="Verdana"/>
          <w:b/>
          <w:iCs/>
          <w:shd w:val="clear" w:color="auto" w:fill="FEFEFE"/>
          <w:lang w:eastAsia="en-US"/>
        </w:rPr>
        <w:t xml:space="preserve"> </w:t>
      </w:r>
      <w:r w:rsidRPr="00572F7A">
        <w:rPr>
          <w:rFonts w:ascii="Verdana" w:eastAsiaTheme="minorEastAsia" w:hAnsi="Verdana"/>
          <w:shd w:val="clear" w:color="auto" w:fill="FEFEFE"/>
          <w:lang w:eastAsia="en-US"/>
        </w:rPr>
        <w:t>По преценка на компетентното звено в случай на нормативно установени изисквания, контролиращото лице се уведомява с писмо за необходимостта от корективни действия в срок до 5 работни дни от получаване на горепосочената информация.</w:t>
      </w:r>
    </w:p>
    <w:p w:rsidR="00EB027C" w:rsidRPr="00572F7A" w:rsidRDefault="00EB027C" w:rsidP="00D8078B">
      <w:pPr>
        <w:spacing w:line="360" w:lineRule="auto"/>
        <w:ind w:firstLine="709"/>
        <w:jc w:val="both"/>
        <w:rPr>
          <w:rFonts w:ascii="Verdana" w:eastAsiaTheme="minorEastAsia" w:hAnsi="Verdana"/>
          <w:iCs/>
          <w:shd w:val="clear" w:color="auto" w:fill="FEFEFE"/>
          <w:lang w:eastAsia="en-US"/>
        </w:rPr>
      </w:pPr>
      <w:r w:rsidRPr="00572F7A">
        <w:rPr>
          <w:rFonts w:ascii="Verdana" w:eastAsiaTheme="minorEastAsia" w:hAnsi="Verdana"/>
          <w:shd w:val="clear" w:color="auto" w:fill="FEFEFE"/>
          <w:lang w:eastAsia="en-US"/>
        </w:rPr>
        <w:t xml:space="preserve">9. Окончателният доклад по </w:t>
      </w:r>
      <w:r w:rsidRPr="00572F7A">
        <w:rPr>
          <w:rFonts w:ascii="Verdana" w:eastAsiaTheme="minorEastAsia" w:hAnsi="Verdana"/>
          <w:iCs/>
          <w:shd w:val="clear" w:color="auto" w:fill="FEFEFE"/>
          <w:lang w:eastAsia="en-US"/>
        </w:rPr>
        <w:t>чл. 2, параграфи 3 и 4 от Регламент (ЕС) 2021/279 и чл. 29, параграф 2, букви а), б) и в) от Регламент (ЕС) 2018/848, следва да съдържа:</w:t>
      </w:r>
    </w:p>
    <w:p w:rsidR="00EB027C" w:rsidRPr="00572F7A" w:rsidRDefault="00EB027C" w:rsidP="00D8078B">
      <w:pPr>
        <w:spacing w:line="360" w:lineRule="auto"/>
        <w:ind w:firstLine="709"/>
        <w:jc w:val="both"/>
        <w:rPr>
          <w:rFonts w:ascii="Verdana" w:eastAsiaTheme="minorEastAsia" w:hAnsi="Verdana"/>
          <w:iCs/>
          <w:shd w:val="clear" w:color="auto" w:fill="FEFEFE"/>
          <w:lang w:val="ru-RU" w:eastAsia="en-US"/>
        </w:rPr>
      </w:pPr>
      <w:r w:rsidRPr="00572F7A">
        <w:rPr>
          <w:rFonts w:ascii="Verdana" w:eastAsiaTheme="minorEastAsia" w:hAnsi="Verdana"/>
          <w:iCs/>
          <w:shd w:val="clear" w:color="auto" w:fill="FEFEFE"/>
          <w:lang w:eastAsia="en-US"/>
        </w:rPr>
        <w:t>а)</w:t>
      </w:r>
      <w:r w:rsidRPr="00572F7A">
        <w:rPr>
          <w:rFonts w:ascii="Verdana" w:eastAsiaTheme="minorEastAsia" w:hAnsi="Verdana"/>
          <w:iCs/>
          <w:shd w:val="clear" w:color="auto" w:fill="FEFEFE"/>
          <w:lang w:val="ru-RU" w:eastAsia="en-US"/>
        </w:rPr>
        <w:t xml:space="preserve"> заключение относно биологичния характер на биологичните и произведените при преход към биологично производство продукти и информация за наложената мярка;</w:t>
      </w:r>
    </w:p>
    <w:p w:rsidR="00EB027C" w:rsidRPr="00572F7A" w:rsidRDefault="00EB027C" w:rsidP="00D8078B">
      <w:pPr>
        <w:spacing w:line="360" w:lineRule="auto"/>
        <w:ind w:firstLine="709"/>
        <w:jc w:val="both"/>
        <w:rPr>
          <w:rFonts w:ascii="Verdana" w:eastAsiaTheme="minorEastAsia" w:hAnsi="Verdana"/>
          <w:iCs/>
          <w:shd w:val="clear" w:color="auto" w:fill="FEFEFE"/>
          <w:lang w:val="ru-RU" w:eastAsia="en-US"/>
        </w:rPr>
      </w:pPr>
      <w:r w:rsidRPr="00572F7A">
        <w:rPr>
          <w:rFonts w:ascii="Verdana" w:eastAsiaTheme="minorEastAsia" w:hAnsi="Verdana"/>
          <w:iCs/>
          <w:shd w:val="clear" w:color="auto" w:fill="FEFEFE"/>
          <w:lang w:val="ru-RU" w:eastAsia="en-US"/>
        </w:rPr>
        <w:t>б) източника и причината за наличието на неразрешени продукти или вещества;</w:t>
      </w:r>
    </w:p>
    <w:p w:rsidR="00EB027C" w:rsidRPr="00572F7A" w:rsidRDefault="00EB027C" w:rsidP="00D8078B">
      <w:pPr>
        <w:spacing w:line="360" w:lineRule="auto"/>
        <w:ind w:firstLine="709"/>
        <w:jc w:val="both"/>
        <w:rPr>
          <w:rFonts w:ascii="Verdana" w:eastAsiaTheme="minorEastAsia" w:hAnsi="Verdana"/>
          <w:iCs/>
          <w:shd w:val="clear" w:color="auto" w:fill="FEFEFE"/>
          <w:lang w:eastAsia="en-US"/>
        </w:rPr>
      </w:pPr>
      <w:r w:rsidRPr="00572F7A">
        <w:rPr>
          <w:rFonts w:ascii="Verdana" w:eastAsiaTheme="minorEastAsia" w:hAnsi="Verdana"/>
          <w:iCs/>
          <w:shd w:val="clear" w:color="auto" w:fill="FEFEFE"/>
          <w:lang w:val="ru-RU" w:eastAsia="en-US"/>
        </w:rPr>
        <w:t>в</w:t>
      </w:r>
      <w:r w:rsidRPr="00572F7A">
        <w:rPr>
          <w:rFonts w:ascii="Verdana" w:eastAsiaTheme="minorEastAsia" w:hAnsi="Verdana"/>
          <w:iCs/>
          <w:shd w:val="clear" w:color="auto" w:fill="FEFEFE"/>
          <w:lang w:eastAsia="en-US"/>
        </w:rPr>
        <w:t>) всички документи и писмени записи от извършената инспекция (протокол с резултати от анализ, когато е приложимо);</w:t>
      </w:r>
    </w:p>
    <w:p w:rsidR="00EB027C" w:rsidRPr="00572F7A" w:rsidRDefault="00EB027C" w:rsidP="00D8078B">
      <w:pPr>
        <w:tabs>
          <w:tab w:val="left" w:pos="993"/>
        </w:tabs>
        <w:spacing w:line="360" w:lineRule="auto"/>
        <w:ind w:firstLine="709"/>
        <w:jc w:val="both"/>
        <w:rPr>
          <w:rFonts w:ascii="Verdana" w:eastAsiaTheme="minorEastAsia" w:hAnsi="Verdana"/>
          <w:iCs/>
          <w:shd w:val="clear" w:color="auto" w:fill="FEFEFE"/>
          <w:lang w:eastAsia="en-US"/>
        </w:rPr>
      </w:pPr>
      <w:r w:rsidRPr="00572F7A">
        <w:rPr>
          <w:rFonts w:ascii="Verdana" w:eastAsiaTheme="minorEastAsia" w:hAnsi="Verdana"/>
          <w:iCs/>
          <w:shd w:val="clear" w:color="auto" w:fill="FEFEFE"/>
          <w:lang w:eastAsia="en-US"/>
        </w:rPr>
        <w:t>г) информация за получателите на продуктите</w:t>
      </w:r>
      <w:r w:rsidRPr="00572F7A">
        <w:rPr>
          <w:rFonts w:ascii="Verdana" w:eastAsiaTheme="minorEastAsia" w:hAnsi="Verdana"/>
          <w:iCs/>
          <w:shd w:val="clear" w:color="auto" w:fill="FEFEFE"/>
          <w:lang w:val="ru-RU" w:eastAsia="en-US"/>
        </w:rPr>
        <w:t xml:space="preserve"> </w:t>
      </w:r>
      <w:r w:rsidRPr="00572F7A">
        <w:rPr>
          <w:rFonts w:ascii="Verdana" w:eastAsiaTheme="minorEastAsia" w:hAnsi="Verdana"/>
          <w:iCs/>
          <w:shd w:val="clear" w:color="auto" w:fill="FEFEFE"/>
          <w:lang w:eastAsia="en-US"/>
        </w:rPr>
        <w:t>разпространени на пазара за случаите със засегнато биологично състояние;</w:t>
      </w:r>
    </w:p>
    <w:p w:rsidR="00EB027C" w:rsidRPr="00572F7A" w:rsidRDefault="00EB027C" w:rsidP="00D8078B">
      <w:pPr>
        <w:tabs>
          <w:tab w:val="left" w:pos="993"/>
        </w:tabs>
        <w:spacing w:line="360" w:lineRule="auto"/>
        <w:ind w:firstLine="709"/>
        <w:jc w:val="both"/>
        <w:rPr>
          <w:rFonts w:ascii="Verdana" w:eastAsiaTheme="minorEastAsia" w:hAnsi="Verdana"/>
          <w:iCs/>
          <w:shd w:val="clear" w:color="auto" w:fill="FEFEFE"/>
          <w:lang w:eastAsia="en-US"/>
        </w:rPr>
      </w:pPr>
      <w:r w:rsidRPr="00572F7A">
        <w:rPr>
          <w:rFonts w:ascii="Verdana" w:eastAsiaTheme="minorEastAsia" w:hAnsi="Verdana"/>
          <w:iCs/>
          <w:shd w:val="clear" w:color="auto" w:fill="FEFEFE"/>
          <w:lang w:eastAsia="en-US"/>
        </w:rPr>
        <w:t>д) мотиви/обяснения на оператора, в случаите когато замърсяването е по независещи от него обстоятелства с доказателства за липса или наличие на виновно поведение от страна на оператора по отношение на установеното замърсяване;</w:t>
      </w:r>
    </w:p>
    <w:p w:rsidR="00EB027C" w:rsidRPr="00572F7A" w:rsidRDefault="00EB027C" w:rsidP="00D8078B">
      <w:pPr>
        <w:tabs>
          <w:tab w:val="left" w:pos="993"/>
        </w:tabs>
        <w:spacing w:line="360" w:lineRule="auto"/>
        <w:ind w:firstLine="709"/>
        <w:jc w:val="both"/>
        <w:rPr>
          <w:rFonts w:ascii="Verdana" w:eastAsiaTheme="minorEastAsia" w:hAnsi="Verdana"/>
          <w:iCs/>
          <w:shd w:val="clear" w:color="auto" w:fill="FEFEFE"/>
          <w:lang w:eastAsia="en-US"/>
        </w:rPr>
      </w:pPr>
      <w:r w:rsidRPr="00572F7A">
        <w:rPr>
          <w:rFonts w:ascii="Verdana" w:eastAsiaTheme="minorEastAsia" w:hAnsi="Verdana"/>
          <w:iCs/>
          <w:shd w:val="clear" w:color="auto" w:fill="FEFEFE"/>
          <w:lang w:eastAsia="en-US"/>
        </w:rPr>
        <w:t>е) предпазни мерки, които операторът предприема, за възпрепятстване на замърсяването с неразрешени за биологичното производство вещества</w:t>
      </w:r>
      <w:r w:rsidRPr="00572F7A">
        <w:rPr>
          <w:rFonts w:ascii="Verdana" w:eastAsiaTheme="minorEastAsia" w:hAnsi="Verdana"/>
          <w:lang w:eastAsia="en-US"/>
        </w:rPr>
        <w:t xml:space="preserve"> съгласно чл.</w:t>
      </w:r>
      <w:r w:rsidRPr="00572F7A">
        <w:rPr>
          <w:rFonts w:ascii="Verdana" w:eastAsiaTheme="minorEastAsia" w:hAnsi="Verdana"/>
          <w:iCs/>
          <w:shd w:val="clear" w:color="auto" w:fill="FEFEFE"/>
          <w:lang w:eastAsia="en-US"/>
        </w:rPr>
        <w:t xml:space="preserve"> </w:t>
      </w:r>
      <w:r w:rsidRPr="00572F7A">
        <w:rPr>
          <w:rFonts w:ascii="Verdana" w:eastAsiaTheme="minorEastAsia" w:hAnsi="Verdana"/>
          <w:iCs/>
          <w:shd w:val="clear" w:color="auto" w:fill="FEFEFE"/>
          <w:lang w:eastAsia="en-US"/>
        </w:rPr>
        <w:lastRenderedPageBreak/>
        <w:t>28, параграф 1</w:t>
      </w:r>
      <w:r w:rsidRPr="00572F7A">
        <w:rPr>
          <w:rFonts w:ascii="Verdana" w:eastAsiaTheme="minorEastAsia" w:hAnsi="Verdana"/>
          <w:lang w:eastAsia="en-US"/>
        </w:rPr>
        <w:t xml:space="preserve"> </w:t>
      </w:r>
      <w:r w:rsidRPr="00572F7A">
        <w:rPr>
          <w:rFonts w:ascii="Verdana" w:eastAsiaTheme="minorEastAsia" w:hAnsi="Verdana"/>
          <w:iCs/>
          <w:shd w:val="clear" w:color="auto" w:fill="FEFEFE"/>
          <w:lang w:eastAsia="en-US"/>
        </w:rPr>
        <w:t>от Регламент (ЕС) 2018/848;</w:t>
      </w:r>
    </w:p>
    <w:p w:rsidR="00EB027C" w:rsidRPr="00572F7A" w:rsidRDefault="00EB027C" w:rsidP="00D8078B">
      <w:pPr>
        <w:tabs>
          <w:tab w:val="left" w:pos="993"/>
        </w:tabs>
        <w:spacing w:line="360" w:lineRule="auto"/>
        <w:ind w:firstLine="709"/>
        <w:jc w:val="both"/>
        <w:rPr>
          <w:rFonts w:ascii="Verdana" w:eastAsiaTheme="minorEastAsia" w:hAnsi="Verdana"/>
          <w:iCs/>
          <w:shd w:val="clear" w:color="auto" w:fill="FEFEFE"/>
          <w:lang w:eastAsia="en-US"/>
        </w:rPr>
      </w:pPr>
      <w:r w:rsidRPr="00572F7A">
        <w:rPr>
          <w:rFonts w:ascii="Verdana" w:eastAsiaTheme="minorEastAsia" w:hAnsi="Verdana"/>
          <w:iCs/>
          <w:shd w:val="clear" w:color="auto" w:fill="FEFEFE"/>
          <w:lang w:eastAsia="en-US"/>
        </w:rPr>
        <w:t>ж) в случай че официалното разследване е приключило без налагане на мярка, контролиращото лице посочва мотиви за не налагане на мярка.</w:t>
      </w:r>
    </w:p>
    <w:p w:rsidR="00EB027C" w:rsidRPr="00572F7A" w:rsidRDefault="00EB027C" w:rsidP="00D8078B">
      <w:pPr>
        <w:spacing w:line="360" w:lineRule="auto"/>
        <w:ind w:firstLine="709"/>
        <w:jc w:val="both"/>
        <w:rPr>
          <w:rFonts w:ascii="Verdana" w:eastAsiaTheme="minorEastAsia" w:hAnsi="Verdana"/>
          <w:iCs/>
          <w:shd w:val="clear" w:color="auto" w:fill="FEFEFE"/>
          <w:lang w:eastAsia="en-US"/>
        </w:rPr>
      </w:pPr>
    </w:p>
    <w:p w:rsidR="00EB027C" w:rsidRPr="00572F7A" w:rsidRDefault="00EB027C" w:rsidP="00EB027C">
      <w:pPr>
        <w:spacing w:line="360" w:lineRule="auto"/>
        <w:ind w:firstLine="709"/>
        <w:jc w:val="both"/>
        <w:rPr>
          <w:rFonts w:ascii="Verdana" w:eastAsiaTheme="minorEastAsia" w:hAnsi="Verdana"/>
          <w:b/>
          <w:shd w:val="clear" w:color="auto" w:fill="FEFEFE"/>
          <w:lang w:eastAsia="en-US"/>
        </w:rPr>
      </w:pPr>
      <w:r w:rsidRPr="00572F7A">
        <w:rPr>
          <w:rFonts w:ascii="Verdana" w:eastAsiaTheme="minorEastAsia" w:hAnsi="Verdana"/>
          <w:b/>
          <w:shd w:val="clear" w:color="auto" w:fill="FEFEFE"/>
          <w:lang w:eastAsia="en-US"/>
        </w:rPr>
        <w:t>А2. Налагане на мерки при установяване на несъответствия:</w:t>
      </w:r>
    </w:p>
    <w:p w:rsidR="00EB027C" w:rsidRPr="00572F7A" w:rsidRDefault="00EB027C" w:rsidP="00EB027C">
      <w:pPr>
        <w:spacing w:line="360" w:lineRule="auto"/>
        <w:ind w:firstLine="709"/>
        <w:jc w:val="both"/>
        <w:rPr>
          <w:rFonts w:ascii="Verdana" w:eastAsiaTheme="minorEastAsia" w:hAnsi="Verdana"/>
          <w:shd w:val="clear" w:color="auto" w:fill="FEFEFE"/>
          <w:lang w:eastAsia="en-US"/>
        </w:rPr>
      </w:pPr>
      <w:r w:rsidRPr="00572F7A">
        <w:rPr>
          <w:rFonts w:ascii="Verdana" w:eastAsiaTheme="minorEastAsia" w:hAnsi="Verdana"/>
          <w:shd w:val="clear" w:color="auto" w:fill="FEFEFE"/>
          <w:lang w:eastAsia="en-US"/>
        </w:rPr>
        <w:t>1. Списъкът от мерки при несъответствия и/или нарушения е изготвен съгласно</w:t>
      </w:r>
      <w:hyperlink r:id="rId10" w:history="1">
        <w:r w:rsidRPr="00572F7A">
          <w:rPr>
            <w:rFonts w:ascii="Verdana" w:eastAsiaTheme="minorEastAsia" w:hAnsi="Verdana"/>
            <w:shd w:val="clear" w:color="auto" w:fill="FEFEFE"/>
            <w:lang w:eastAsia="en-US"/>
          </w:rPr>
          <w:t xml:space="preserve"> Регламент (ЕС) 2017/625,</w:t>
        </w:r>
      </w:hyperlink>
      <w:r w:rsidRPr="00572F7A">
        <w:rPr>
          <w:rFonts w:ascii="Verdana" w:eastAsiaTheme="minorEastAsia" w:hAnsi="Verdana"/>
          <w:shd w:val="clear" w:color="auto" w:fill="FEFEFE"/>
          <w:lang w:eastAsia="en-US"/>
        </w:rPr>
        <w:t xml:space="preserve"> Регламент (ЕС) 2018/848 и Регламент (ЕС) 2021/279.</w:t>
      </w:r>
    </w:p>
    <w:p w:rsidR="00EB027C" w:rsidRPr="00572F7A" w:rsidRDefault="00EB027C" w:rsidP="00EB027C">
      <w:pPr>
        <w:spacing w:line="360" w:lineRule="auto"/>
        <w:ind w:firstLine="709"/>
        <w:jc w:val="both"/>
        <w:rPr>
          <w:rFonts w:ascii="Verdana" w:eastAsiaTheme="minorEastAsia" w:hAnsi="Verdana"/>
          <w:shd w:val="clear" w:color="auto" w:fill="FEFEFE"/>
          <w:lang w:eastAsia="en-US"/>
        </w:rPr>
      </w:pPr>
      <w:r w:rsidRPr="00572F7A">
        <w:rPr>
          <w:rFonts w:ascii="Verdana" w:eastAsiaTheme="minorEastAsia" w:hAnsi="Verdana"/>
          <w:shd w:val="clear" w:color="auto" w:fill="FEFEFE"/>
          <w:lang w:eastAsia="en-US"/>
        </w:rPr>
        <w:t xml:space="preserve">2. Мерките, предвидени в част </w:t>
      </w:r>
      <w:r w:rsidRPr="00572F7A">
        <w:rPr>
          <w:rFonts w:ascii="Verdana" w:eastAsiaTheme="minorEastAsia" w:hAnsi="Verdana"/>
          <w:iCs/>
          <w:shd w:val="clear" w:color="auto" w:fill="FEFEFE"/>
          <w:lang w:eastAsia="en-US"/>
        </w:rPr>
        <w:t>„В-КАТАЛОГ МЕРКИ И НЕСЪОТВЕТСТВИЯ“</w:t>
      </w:r>
      <w:r w:rsidRPr="00572F7A">
        <w:rPr>
          <w:rFonts w:ascii="Verdana" w:eastAsiaTheme="minorEastAsia" w:hAnsi="Verdana"/>
          <w:shd w:val="clear" w:color="auto" w:fill="FEFEFE"/>
          <w:lang w:eastAsia="en-US"/>
        </w:rPr>
        <w:t xml:space="preserve">, се прилагат от контролиращите лица за всички оператори, подлежащи на контрол за биологично производство, в случаите, когато бъдат установени несъответствия и/или нарушения на действащата нормативна уредба. </w:t>
      </w:r>
    </w:p>
    <w:p w:rsidR="00EB027C" w:rsidRPr="00572F7A" w:rsidRDefault="00EB027C" w:rsidP="00EB027C">
      <w:pPr>
        <w:spacing w:line="360" w:lineRule="auto"/>
        <w:ind w:firstLine="709"/>
        <w:jc w:val="both"/>
        <w:rPr>
          <w:rFonts w:ascii="Verdana" w:eastAsiaTheme="minorEastAsia" w:hAnsi="Verdana"/>
          <w:shd w:val="clear" w:color="auto" w:fill="FEFEFE"/>
          <w:lang w:eastAsia="en-US"/>
        </w:rPr>
      </w:pPr>
      <w:r w:rsidRPr="00572F7A">
        <w:rPr>
          <w:rFonts w:ascii="Verdana" w:eastAsiaTheme="minorEastAsia" w:hAnsi="Verdana"/>
          <w:shd w:val="clear" w:color="auto" w:fill="FEFEFE"/>
          <w:lang w:eastAsia="en-US"/>
        </w:rPr>
        <w:t xml:space="preserve">3. </w:t>
      </w:r>
      <w:r w:rsidRPr="00572F7A">
        <w:rPr>
          <w:rFonts w:ascii="Verdana" w:eastAsiaTheme="minorEastAsia" w:hAnsi="Verdana"/>
          <w:iCs/>
          <w:shd w:val="clear" w:color="auto" w:fill="FEFEFE"/>
          <w:lang w:eastAsia="en-US"/>
        </w:rPr>
        <w:t xml:space="preserve">По преценка на компетентното звено в случай на нормативно установени изисквания, контролиращото лице се уведомява с писмо за необходимостта от корективни действия </w:t>
      </w:r>
      <w:r w:rsidRPr="00572F7A">
        <w:rPr>
          <w:rFonts w:ascii="Verdana" w:eastAsiaTheme="minorEastAsia" w:hAnsi="Verdana"/>
          <w:shd w:val="clear" w:color="auto" w:fill="FEFEFE"/>
          <w:lang w:eastAsia="en-US"/>
        </w:rPr>
        <w:t xml:space="preserve">при налагане мерки от част </w:t>
      </w:r>
      <w:r w:rsidRPr="00572F7A">
        <w:rPr>
          <w:rFonts w:ascii="Verdana" w:eastAsiaTheme="minorEastAsia" w:hAnsi="Verdana"/>
          <w:iCs/>
          <w:shd w:val="clear" w:color="auto" w:fill="FEFEFE"/>
          <w:lang w:eastAsia="en-US"/>
        </w:rPr>
        <w:t>„В-КАТАЛОГ МЕРКИ И НЕСЪОТВЕТСТВИЯ и тези по част А2, т. 4,</w:t>
      </w:r>
      <w:r w:rsidRPr="00572F7A">
        <w:rPr>
          <w:rFonts w:ascii="Verdana" w:eastAsiaTheme="minorEastAsia" w:hAnsi="Verdana"/>
          <w:shd w:val="clear" w:color="auto" w:fill="FEFEFE"/>
          <w:lang w:eastAsia="en-US"/>
        </w:rPr>
        <w:t xml:space="preserve"> в срок до 5 работни дни от получаване на горепосочената информация. </w:t>
      </w:r>
    </w:p>
    <w:p w:rsidR="00EB027C" w:rsidRPr="00572F7A" w:rsidRDefault="00EB027C" w:rsidP="00EB027C">
      <w:pPr>
        <w:spacing w:line="360" w:lineRule="auto"/>
        <w:ind w:firstLine="709"/>
        <w:jc w:val="both"/>
        <w:rPr>
          <w:rFonts w:ascii="Verdana" w:eastAsiaTheme="minorEastAsia" w:hAnsi="Verdana"/>
          <w:shd w:val="clear" w:color="auto" w:fill="FEFEFE"/>
          <w:lang w:eastAsia="en-US"/>
        </w:rPr>
      </w:pPr>
      <w:r w:rsidRPr="00572F7A">
        <w:rPr>
          <w:rFonts w:ascii="Verdana" w:eastAsiaTheme="minorEastAsia" w:hAnsi="Verdana"/>
          <w:shd w:val="clear" w:color="auto" w:fill="FEFEFE"/>
          <w:lang w:eastAsia="en-US"/>
        </w:rPr>
        <w:t xml:space="preserve">4. При установяване на несъответствия, които не са посочени в част </w:t>
      </w:r>
      <w:r w:rsidRPr="00572F7A">
        <w:rPr>
          <w:rFonts w:ascii="Verdana" w:eastAsiaTheme="minorEastAsia" w:hAnsi="Verdana"/>
          <w:iCs/>
          <w:shd w:val="clear" w:color="auto" w:fill="FEFEFE"/>
          <w:lang w:eastAsia="en-US"/>
        </w:rPr>
        <w:t>„В- КАТАЛОГ МЕРКИ И НЕСЪОТВЕТСТВИЯ“</w:t>
      </w:r>
      <w:r w:rsidRPr="00572F7A">
        <w:rPr>
          <w:rFonts w:ascii="Verdana" w:eastAsiaTheme="minorEastAsia" w:hAnsi="Verdana"/>
          <w:shd w:val="clear" w:color="auto" w:fill="FEFEFE"/>
          <w:lang w:eastAsia="en-US"/>
        </w:rPr>
        <w:t>, контролиращите лица ги класифицират като „</w:t>
      </w:r>
      <w:r w:rsidRPr="00572F7A">
        <w:rPr>
          <w:rFonts w:ascii="Verdana" w:eastAsiaTheme="minorEastAsia" w:hAnsi="Verdana"/>
          <w:bCs/>
          <w:shd w:val="clear" w:color="auto" w:fill="FEFEFE"/>
          <w:lang w:eastAsia="en-US"/>
        </w:rPr>
        <w:t xml:space="preserve">Незначително“, „Сериозно“ или „Критично“ </w:t>
      </w:r>
      <w:r w:rsidRPr="00572F7A">
        <w:rPr>
          <w:rFonts w:ascii="Verdana" w:eastAsiaTheme="minorEastAsia" w:hAnsi="Verdana"/>
          <w:shd w:val="clear" w:color="auto" w:fill="FEFEFE"/>
          <w:lang w:eastAsia="en-US"/>
        </w:rPr>
        <w:t>в зависимост от вида и тежестта им.</w:t>
      </w:r>
    </w:p>
    <w:p w:rsidR="00EB027C" w:rsidRPr="00572F7A" w:rsidRDefault="00EB027C" w:rsidP="00EB027C">
      <w:pPr>
        <w:spacing w:line="360" w:lineRule="auto"/>
        <w:ind w:firstLine="709"/>
        <w:jc w:val="both"/>
        <w:rPr>
          <w:rFonts w:ascii="Verdana" w:eastAsiaTheme="minorEastAsia" w:hAnsi="Verdana"/>
          <w:shd w:val="clear" w:color="auto" w:fill="FEFEFE"/>
          <w:lang w:eastAsia="en-US"/>
        </w:rPr>
      </w:pPr>
      <w:r w:rsidRPr="00572F7A">
        <w:rPr>
          <w:rFonts w:ascii="Verdana" w:eastAsiaTheme="minorEastAsia" w:hAnsi="Verdana"/>
          <w:bCs/>
          <w:shd w:val="clear" w:color="auto" w:fill="FEFEFE"/>
          <w:lang w:eastAsia="en-US"/>
        </w:rPr>
        <w:t xml:space="preserve">Контролиращите лица </w:t>
      </w:r>
      <w:r w:rsidRPr="00572F7A">
        <w:rPr>
          <w:rFonts w:ascii="Verdana" w:eastAsiaTheme="minorEastAsia" w:hAnsi="Verdana"/>
          <w:shd w:val="clear" w:color="auto" w:fill="FEFEFE"/>
          <w:lang w:eastAsia="en-US"/>
        </w:rPr>
        <w:t>прилагат мерките към нивото на установеното несъответствие, посочени в част „Б.2 - КЛАСИФИКАЦИЯ НА МЕРКИТЕ“.</w:t>
      </w:r>
    </w:p>
    <w:p w:rsidR="00EB027C" w:rsidRPr="00572F7A" w:rsidRDefault="00EB027C" w:rsidP="00EB027C">
      <w:pPr>
        <w:spacing w:line="360" w:lineRule="auto"/>
        <w:ind w:firstLine="709"/>
        <w:jc w:val="both"/>
        <w:rPr>
          <w:rFonts w:ascii="Verdana" w:eastAsiaTheme="minorEastAsia" w:hAnsi="Verdana"/>
          <w:bCs/>
          <w:shd w:val="clear" w:color="auto" w:fill="FEFEFE"/>
          <w:lang w:eastAsia="en-US"/>
        </w:rPr>
      </w:pPr>
      <w:r w:rsidRPr="00572F7A">
        <w:rPr>
          <w:rFonts w:ascii="Verdana" w:eastAsiaTheme="minorEastAsia" w:hAnsi="Verdana"/>
          <w:shd w:val="clear" w:color="auto" w:fill="FEFEFE"/>
          <w:lang w:eastAsia="en-US"/>
        </w:rPr>
        <w:t>По преценка на компетентното звено в случай на нормативно установени изисквания, контролиращото лице се уведомява с писмо за необходимостта от корективни действия, в срок до 5 работни дни от получаване на горепосочената информация.</w:t>
      </w:r>
    </w:p>
    <w:p w:rsidR="00EB027C" w:rsidRPr="00572F7A" w:rsidRDefault="00EB027C" w:rsidP="00EB027C">
      <w:pPr>
        <w:spacing w:line="360" w:lineRule="auto"/>
        <w:ind w:firstLine="709"/>
        <w:jc w:val="both"/>
        <w:rPr>
          <w:rFonts w:ascii="Verdana" w:eastAsiaTheme="minorEastAsia" w:hAnsi="Verdana"/>
          <w:shd w:val="clear" w:color="auto" w:fill="FEFEFE"/>
          <w:lang w:eastAsia="en-US"/>
        </w:rPr>
      </w:pPr>
      <w:r w:rsidRPr="00572F7A">
        <w:rPr>
          <w:rFonts w:ascii="Verdana" w:eastAsiaTheme="minorEastAsia" w:hAnsi="Verdana"/>
          <w:shd w:val="clear" w:color="auto" w:fill="FEFEFE"/>
          <w:lang w:eastAsia="en-US"/>
        </w:rPr>
        <w:t xml:space="preserve">5. При повторно установяване на едно и също несъответствие от „Ниво“ 1 (Незначително несъответствие) в рамките на две последователни инспекции, несъответствието се квалифицира като несъответствие от „Ниво“ 2 (Сериозно несъответствие), като се прилагат мерките от част „В – КАТАЛОГ МЕРКИ И НЕСЪОТВЕТСТВИЯ“ при повторно несъответствие, включително и </w:t>
      </w:r>
      <w:r w:rsidRPr="00572F7A">
        <w:rPr>
          <w:rFonts w:ascii="Verdana" w:hAnsi="Verdana" w:cs="Arial"/>
          <w:bCs/>
        </w:rPr>
        <w:t>Допълнителните мерки и действия</w:t>
      </w:r>
      <w:r w:rsidRPr="00572F7A">
        <w:rPr>
          <w:rFonts w:ascii="Verdana" w:eastAsiaTheme="minorEastAsia" w:hAnsi="Verdana"/>
          <w:shd w:val="clear" w:color="auto" w:fill="FEFEFE"/>
          <w:lang w:eastAsia="en-US"/>
        </w:rPr>
        <w:t>.</w:t>
      </w:r>
    </w:p>
    <w:p w:rsidR="00EB027C" w:rsidRPr="00572F7A" w:rsidRDefault="00EB027C" w:rsidP="00EB027C">
      <w:pPr>
        <w:spacing w:line="360" w:lineRule="auto"/>
        <w:ind w:firstLine="709"/>
        <w:jc w:val="both"/>
        <w:rPr>
          <w:rFonts w:ascii="Verdana" w:eastAsiaTheme="minorEastAsia" w:hAnsi="Verdana"/>
          <w:shd w:val="clear" w:color="auto" w:fill="FEFEFE"/>
          <w:lang w:eastAsia="en-US"/>
        </w:rPr>
      </w:pPr>
      <w:r w:rsidRPr="00572F7A">
        <w:rPr>
          <w:rFonts w:ascii="Verdana" w:eastAsiaTheme="minorEastAsia" w:hAnsi="Verdana"/>
          <w:shd w:val="clear" w:color="auto" w:fill="FEFEFE"/>
          <w:lang w:eastAsia="en-US"/>
        </w:rPr>
        <w:t xml:space="preserve">6. При повторно установяване на едно и също несъответствие от „Ниво“ 2 (Сериозно несъответствие) в рамките на две последователни инспекции, несъответствието се квалифицира като несъответствие от „Ниво“ 3 (Критично несъответствие), като се прилагат мерките от част „В – КАТАЛОГ МЕРКИ И НЕСЪОТВЕТСТВИЯ“ при повторно несъответствие, включително и </w:t>
      </w:r>
      <w:r w:rsidRPr="00572F7A">
        <w:rPr>
          <w:rFonts w:ascii="Verdana" w:hAnsi="Verdana" w:cs="Arial"/>
          <w:bCs/>
        </w:rPr>
        <w:t>Допълнителните мерки и действия</w:t>
      </w:r>
      <w:r w:rsidRPr="00572F7A">
        <w:rPr>
          <w:rFonts w:ascii="Verdana" w:eastAsiaTheme="minorEastAsia" w:hAnsi="Verdana"/>
          <w:shd w:val="clear" w:color="auto" w:fill="FEFEFE"/>
          <w:lang w:eastAsia="en-US"/>
        </w:rPr>
        <w:t>.</w:t>
      </w:r>
    </w:p>
    <w:p w:rsidR="00EB027C" w:rsidRPr="00572F7A" w:rsidRDefault="00EB027C" w:rsidP="00EB027C">
      <w:pPr>
        <w:spacing w:line="360" w:lineRule="auto"/>
        <w:ind w:firstLine="709"/>
        <w:jc w:val="both"/>
        <w:rPr>
          <w:rFonts w:ascii="Verdana" w:eastAsiaTheme="minorEastAsia" w:hAnsi="Verdana"/>
          <w:shd w:val="clear" w:color="auto" w:fill="FEFEFE"/>
          <w:lang w:eastAsia="en-US"/>
        </w:rPr>
      </w:pPr>
      <w:r w:rsidRPr="00572F7A">
        <w:rPr>
          <w:rFonts w:ascii="Verdana" w:eastAsiaTheme="minorEastAsia" w:hAnsi="Verdana"/>
          <w:shd w:val="clear" w:color="auto" w:fill="FEFEFE"/>
          <w:lang w:eastAsia="en-US"/>
        </w:rPr>
        <w:t xml:space="preserve">7. В случаите, когато е наложено начало на преходен период за дадена единица за биологично производство, преходният период започва да тече от датата на налагане на мярката. </w:t>
      </w:r>
    </w:p>
    <w:p w:rsidR="00EB027C" w:rsidRPr="00572F7A" w:rsidRDefault="00EB027C" w:rsidP="00EB027C">
      <w:pPr>
        <w:spacing w:line="360" w:lineRule="auto"/>
        <w:ind w:firstLine="709"/>
        <w:jc w:val="both"/>
        <w:rPr>
          <w:rFonts w:ascii="Verdana" w:eastAsiaTheme="minorEastAsia" w:hAnsi="Verdana"/>
          <w:shd w:val="clear" w:color="auto" w:fill="FEFEFE"/>
          <w:lang w:eastAsia="en-US"/>
        </w:rPr>
      </w:pPr>
      <w:r w:rsidRPr="00572F7A">
        <w:rPr>
          <w:rFonts w:ascii="Verdana" w:eastAsiaTheme="minorEastAsia" w:hAnsi="Verdana"/>
          <w:shd w:val="clear" w:color="auto" w:fill="FEFEFE"/>
          <w:lang w:eastAsia="en-US"/>
        </w:rPr>
        <w:t xml:space="preserve">8. В случаите, когато единицата е в преход към биологично производство, </w:t>
      </w:r>
      <w:r w:rsidRPr="00572F7A">
        <w:rPr>
          <w:rFonts w:ascii="Verdana" w:eastAsiaTheme="minorEastAsia" w:hAnsi="Verdana"/>
          <w:shd w:val="clear" w:color="auto" w:fill="FEFEFE"/>
          <w:lang w:eastAsia="en-US"/>
        </w:rPr>
        <w:lastRenderedPageBreak/>
        <w:t xml:space="preserve">преходният период </w:t>
      </w:r>
      <w:r w:rsidR="00254078">
        <w:rPr>
          <w:rFonts w:ascii="Verdana" w:eastAsiaTheme="minorEastAsia" w:hAnsi="Verdana"/>
          <w:shd w:val="clear" w:color="auto" w:fill="FEFEFE"/>
          <w:lang w:eastAsia="en-US"/>
        </w:rPr>
        <w:t>започва</w:t>
      </w:r>
      <w:r w:rsidRPr="00572F7A">
        <w:rPr>
          <w:rFonts w:ascii="Verdana" w:eastAsiaTheme="minorEastAsia" w:hAnsi="Verdana"/>
          <w:shd w:val="clear" w:color="auto" w:fill="FEFEFE"/>
          <w:lang w:eastAsia="en-US"/>
        </w:rPr>
        <w:t xml:space="preserve"> отначало от датата на налагане на мярката.</w:t>
      </w:r>
    </w:p>
    <w:p w:rsidR="00EB027C" w:rsidRPr="00572F7A" w:rsidRDefault="00EB027C" w:rsidP="00EB027C">
      <w:pPr>
        <w:spacing w:line="360" w:lineRule="auto"/>
        <w:ind w:firstLine="709"/>
        <w:jc w:val="both"/>
        <w:rPr>
          <w:rFonts w:ascii="Verdana" w:eastAsiaTheme="minorEastAsia" w:hAnsi="Verdana"/>
          <w:iCs/>
          <w:shd w:val="clear" w:color="auto" w:fill="FEFEFE"/>
          <w:lang w:eastAsia="en-US"/>
        </w:rPr>
      </w:pPr>
      <w:r w:rsidRPr="00572F7A">
        <w:rPr>
          <w:rFonts w:ascii="Verdana" w:eastAsiaTheme="minorEastAsia" w:hAnsi="Verdana"/>
          <w:iCs/>
          <w:shd w:val="clear" w:color="auto" w:fill="FEFEFE"/>
          <w:lang w:eastAsia="en-US"/>
        </w:rPr>
        <w:t>9. Във всички случаи на установени нарушения от ниво 2 „Сериозни“ и ниво 3 „Критични“ и тези по част А2, т. 4, контролиращите лица спазват изискванията на чл. 57 за обмен на информация и прилагат към уведомлението до Компетентното звено:</w:t>
      </w:r>
    </w:p>
    <w:p w:rsidR="00EB027C" w:rsidRPr="00572F7A" w:rsidRDefault="00EB027C" w:rsidP="00EB027C">
      <w:pPr>
        <w:spacing w:line="360" w:lineRule="auto"/>
        <w:ind w:firstLine="709"/>
        <w:jc w:val="both"/>
        <w:rPr>
          <w:rFonts w:ascii="Verdana" w:eastAsiaTheme="minorEastAsia" w:hAnsi="Verdana"/>
          <w:iCs/>
          <w:shd w:val="clear" w:color="auto" w:fill="FEFEFE"/>
          <w:lang w:eastAsia="en-US"/>
        </w:rPr>
      </w:pPr>
      <w:r w:rsidRPr="00572F7A">
        <w:rPr>
          <w:rFonts w:ascii="Verdana" w:eastAsiaTheme="minorEastAsia" w:hAnsi="Verdana"/>
          <w:iCs/>
          <w:shd w:val="clear" w:color="auto" w:fill="FEFEFE"/>
          <w:lang w:eastAsia="en-US"/>
        </w:rPr>
        <w:t xml:space="preserve">а) </w:t>
      </w:r>
      <w:r w:rsidR="00254078">
        <w:rPr>
          <w:rFonts w:ascii="Verdana" w:eastAsiaTheme="minorEastAsia" w:hAnsi="Verdana"/>
          <w:iCs/>
          <w:shd w:val="clear" w:color="auto" w:fill="FEFEFE"/>
          <w:lang w:eastAsia="en-US"/>
        </w:rPr>
        <w:t>и</w:t>
      </w:r>
      <w:r w:rsidRPr="00572F7A">
        <w:rPr>
          <w:rFonts w:ascii="Verdana" w:eastAsiaTheme="minorEastAsia" w:hAnsi="Verdana"/>
          <w:iCs/>
          <w:shd w:val="clear" w:color="auto" w:fill="FEFEFE"/>
          <w:lang w:eastAsia="en-US"/>
        </w:rPr>
        <w:t>нформация за оператора и получателите на продуктите пуснати на пазара, за случаите със засегнато биологично състояние;</w:t>
      </w:r>
    </w:p>
    <w:p w:rsidR="00EB027C" w:rsidRPr="00572F7A" w:rsidRDefault="00EB027C" w:rsidP="00EB027C">
      <w:pPr>
        <w:spacing w:line="360" w:lineRule="auto"/>
        <w:ind w:firstLine="709"/>
        <w:jc w:val="both"/>
        <w:rPr>
          <w:rFonts w:ascii="Verdana" w:eastAsiaTheme="minorEastAsia" w:hAnsi="Verdana"/>
          <w:iCs/>
          <w:shd w:val="clear" w:color="auto" w:fill="FEFEFE"/>
          <w:lang w:eastAsia="en-US"/>
        </w:rPr>
      </w:pPr>
      <w:r w:rsidRPr="00572F7A">
        <w:rPr>
          <w:rFonts w:ascii="Verdana" w:eastAsiaTheme="minorEastAsia" w:hAnsi="Verdana"/>
          <w:iCs/>
          <w:shd w:val="clear" w:color="auto" w:fill="FEFEFE"/>
          <w:lang w:eastAsia="en-US"/>
        </w:rPr>
        <w:t xml:space="preserve">б) </w:t>
      </w:r>
      <w:r w:rsidR="00254078">
        <w:rPr>
          <w:rFonts w:ascii="Verdana" w:eastAsiaTheme="minorEastAsia" w:hAnsi="Verdana"/>
          <w:iCs/>
          <w:shd w:val="clear" w:color="auto" w:fill="FEFEFE"/>
          <w:lang w:eastAsia="en-US"/>
        </w:rPr>
        <w:t>д</w:t>
      </w:r>
      <w:r w:rsidRPr="00572F7A">
        <w:rPr>
          <w:rFonts w:ascii="Verdana" w:eastAsiaTheme="minorEastAsia" w:hAnsi="Verdana"/>
          <w:iCs/>
          <w:shd w:val="clear" w:color="auto" w:fill="FEFEFE"/>
          <w:lang w:eastAsia="en-US"/>
        </w:rPr>
        <w:t>оклад от извършената инспекция и всички писмени записи към него;</w:t>
      </w:r>
    </w:p>
    <w:p w:rsidR="00EB027C" w:rsidRPr="00572F7A" w:rsidRDefault="00EB027C" w:rsidP="00EB027C">
      <w:pPr>
        <w:spacing w:line="360" w:lineRule="auto"/>
        <w:ind w:firstLine="709"/>
        <w:jc w:val="both"/>
        <w:rPr>
          <w:rFonts w:ascii="Verdana" w:eastAsiaTheme="minorEastAsia" w:hAnsi="Verdana"/>
          <w:iCs/>
          <w:shd w:val="clear" w:color="auto" w:fill="FEFEFE"/>
          <w:lang w:eastAsia="en-US"/>
        </w:rPr>
      </w:pPr>
      <w:r w:rsidRPr="00572F7A">
        <w:rPr>
          <w:rFonts w:ascii="Verdana" w:eastAsiaTheme="minorEastAsia" w:hAnsi="Verdana"/>
          <w:iCs/>
          <w:shd w:val="clear" w:color="auto" w:fill="FEFEFE"/>
          <w:lang w:eastAsia="en-US"/>
        </w:rPr>
        <w:t xml:space="preserve">в) </w:t>
      </w:r>
      <w:r w:rsidR="00254078">
        <w:rPr>
          <w:rFonts w:ascii="Verdana" w:eastAsiaTheme="minorEastAsia" w:hAnsi="Verdana"/>
          <w:iCs/>
          <w:shd w:val="clear" w:color="auto" w:fill="FEFEFE"/>
          <w:lang w:eastAsia="en-US"/>
        </w:rPr>
        <w:t>и</w:t>
      </w:r>
      <w:r w:rsidRPr="00572F7A">
        <w:rPr>
          <w:rFonts w:ascii="Verdana" w:eastAsiaTheme="minorEastAsia" w:hAnsi="Verdana"/>
          <w:iCs/>
          <w:shd w:val="clear" w:color="auto" w:fill="FEFEFE"/>
          <w:lang w:eastAsia="en-US"/>
        </w:rPr>
        <w:t>нформация за засегнати партиди, имоти/парцели, продукти/култури, животни, пчелини;</w:t>
      </w:r>
    </w:p>
    <w:p w:rsidR="00EB027C" w:rsidRPr="00572F7A" w:rsidRDefault="00EB027C" w:rsidP="00EB027C">
      <w:pPr>
        <w:spacing w:line="360" w:lineRule="auto"/>
        <w:ind w:firstLine="709"/>
        <w:jc w:val="both"/>
        <w:rPr>
          <w:rFonts w:ascii="Verdana" w:eastAsiaTheme="minorEastAsia" w:hAnsi="Verdana"/>
          <w:iCs/>
          <w:shd w:val="clear" w:color="auto" w:fill="FEFEFE"/>
          <w:lang w:eastAsia="en-US"/>
        </w:rPr>
      </w:pPr>
      <w:r w:rsidRPr="00572F7A">
        <w:rPr>
          <w:rFonts w:ascii="Verdana" w:eastAsiaTheme="minorEastAsia" w:hAnsi="Verdana"/>
          <w:iCs/>
          <w:shd w:val="clear" w:color="auto" w:fill="FEFEFE"/>
          <w:lang w:eastAsia="en-US"/>
        </w:rPr>
        <w:t xml:space="preserve">г) </w:t>
      </w:r>
      <w:r w:rsidR="00254078">
        <w:rPr>
          <w:rFonts w:ascii="Verdana" w:eastAsiaTheme="minorEastAsia" w:hAnsi="Verdana"/>
          <w:iCs/>
          <w:shd w:val="clear" w:color="auto" w:fill="FEFEFE"/>
          <w:lang w:eastAsia="en-US"/>
        </w:rPr>
        <w:t>м</w:t>
      </w:r>
      <w:r w:rsidRPr="00572F7A">
        <w:rPr>
          <w:rFonts w:ascii="Verdana" w:eastAsiaTheme="minorEastAsia" w:hAnsi="Verdana"/>
          <w:iCs/>
          <w:shd w:val="clear" w:color="auto" w:fill="FEFEFE"/>
          <w:lang w:eastAsia="en-US"/>
        </w:rPr>
        <w:t>отиви/обяснения на оператора, в случаите когато замърсяването е по независещи от него обстоятелства (когато е приложимо);</w:t>
      </w:r>
    </w:p>
    <w:p w:rsidR="00EB027C" w:rsidRPr="003D743D" w:rsidRDefault="00EB027C" w:rsidP="00EB027C">
      <w:pPr>
        <w:spacing w:line="360" w:lineRule="auto"/>
        <w:ind w:firstLine="709"/>
        <w:jc w:val="both"/>
        <w:rPr>
          <w:rFonts w:ascii="Verdana" w:eastAsiaTheme="minorEastAsia" w:hAnsi="Verdana"/>
          <w:iCs/>
          <w:shd w:val="clear" w:color="auto" w:fill="FEFEFE"/>
          <w:lang w:val="ru-RU" w:eastAsia="en-US"/>
        </w:rPr>
      </w:pPr>
      <w:r w:rsidRPr="00572F7A">
        <w:rPr>
          <w:rFonts w:ascii="Verdana" w:eastAsiaTheme="minorEastAsia" w:hAnsi="Verdana"/>
          <w:iCs/>
          <w:shd w:val="clear" w:color="auto" w:fill="FEFEFE"/>
          <w:lang w:eastAsia="en-US"/>
        </w:rPr>
        <w:t xml:space="preserve">д) </w:t>
      </w:r>
      <w:r w:rsidR="00254078">
        <w:rPr>
          <w:rFonts w:ascii="Verdana" w:eastAsiaTheme="minorEastAsia" w:hAnsi="Verdana"/>
          <w:iCs/>
          <w:shd w:val="clear" w:color="auto" w:fill="FEFEFE"/>
          <w:lang w:eastAsia="en-US"/>
        </w:rPr>
        <w:t>п</w:t>
      </w:r>
      <w:r w:rsidRPr="00572F7A">
        <w:rPr>
          <w:rFonts w:ascii="Verdana" w:eastAsiaTheme="minorEastAsia" w:hAnsi="Verdana"/>
          <w:iCs/>
          <w:shd w:val="clear" w:color="auto" w:fill="FEFEFE"/>
          <w:lang w:eastAsia="en-US"/>
        </w:rPr>
        <w:t>редпазни мерки, които операторът предприема за възпрепятстване на замърсяването с неразрешени за биологичното производство вещества (когато е приложимо)</w:t>
      </w:r>
      <w:r w:rsidRPr="003D743D">
        <w:rPr>
          <w:rFonts w:ascii="Verdana" w:eastAsiaTheme="minorEastAsia" w:hAnsi="Verdana"/>
          <w:iCs/>
          <w:shd w:val="clear" w:color="auto" w:fill="FEFEFE"/>
          <w:lang w:val="ru-RU" w:eastAsia="en-US"/>
        </w:rPr>
        <w:t>;</w:t>
      </w:r>
    </w:p>
    <w:p w:rsidR="00EB027C" w:rsidRPr="00572F7A" w:rsidRDefault="00EB027C" w:rsidP="00EB027C">
      <w:pPr>
        <w:spacing w:line="360" w:lineRule="auto"/>
        <w:ind w:firstLine="709"/>
        <w:jc w:val="both"/>
        <w:rPr>
          <w:rFonts w:ascii="Verdana" w:eastAsiaTheme="minorEastAsia" w:hAnsi="Verdana"/>
          <w:iCs/>
          <w:shd w:val="clear" w:color="auto" w:fill="FEFEFE"/>
          <w:lang w:eastAsia="en-US"/>
        </w:rPr>
      </w:pPr>
      <w:r w:rsidRPr="00572F7A">
        <w:rPr>
          <w:rFonts w:ascii="Verdana" w:eastAsiaTheme="minorEastAsia" w:hAnsi="Verdana"/>
          <w:iCs/>
          <w:shd w:val="clear" w:color="auto" w:fill="FEFEFE"/>
          <w:lang w:eastAsia="en-US"/>
        </w:rPr>
        <w:t xml:space="preserve">е) </w:t>
      </w:r>
      <w:r w:rsidR="00254078">
        <w:rPr>
          <w:rFonts w:ascii="Verdana" w:eastAsiaTheme="minorEastAsia" w:hAnsi="Verdana"/>
          <w:iCs/>
          <w:shd w:val="clear" w:color="auto" w:fill="FEFEFE"/>
          <w:lang w:eastAsia="en-US"/>
        </w:rPr>
        <w:t>д</w:t>
      </w:r>
      <w:r w:rsidRPr="00572F7A">
        <w:rPr>
          <w:rFonts w:ascii="Verdana" w:eastAsiaTheme="minorEastAsia" w:hAnsi="Verdana"/>
          <w:iCs/>
          <w:shd w:val="clear" w:color="auto" w:fill="FEFEFE"/>
          <w:lang w:eastAsia="en-US"/>
        </w:rPr>
        <w:t>оказателство за уведомяване на оператора/подизпълнителя с информация за наложената мярка;</w:t>
      </w:r>
    </w:p>
    <w:p w:rsidR="00EB027C" w:rsidRPr="003D743D" w:rsidRDefault="00EB027C" w:rsidP="00EB027C">
      <w:pPr>
        <w:spacing w:line="360" w:lineRule="auto"/>
        <w:ind w:firstLine="709"/>
        <w:jc w:val="both"/>
        <w:rPr>
          <w:rFonts w:ascii="Verdana" w:eastAsiaTheme="minorEastAsia" w:hAnsi="Verdana"/>
          <w:iCs/>
          <w:shd w:val="clear" w:color="auto" w:fill="FEFEFE"/>
          <w:lang w:val="ru-RU" w:eastAsia="en-US"/>
        </w:rPr>
      </w:pPr>
      <w:r w:rsidRPr="00572F7A">
        <w:rPr>
          <w:rFonts w:ascii="Verdana" w:eastAsiaTheme="minorEastAsia" w:hAnsi="Verdana"/>
          <w:iCs/>
          <w:shd w:val="clear" w:color="auto" w:fill="FEFEFE"/>
          <w:lang w:eastAsia="en-US"/>
        </w:rPr>
        <w:t xml:space="preserve">ж) </w:t>
      </w:r>
      <w:r w:rsidR="00254078">
        <w:rPr>
          <w:rFonts w:ascii="Verdana" w:eastAsiaTheme="minorEastAsia" w:hAnsi="Verdana"/>
          <w:iCs/>
          <w:shd w:val="clear" w:color="auto" w:fill="FEFEFE"/>
          <w:lang w:eastAsia="en-US"/>
        </w:rPr>
        <w:t>д</w:t>
      </w:r>
      <w:r w:rsidRPr="00572F7A">
        <w:rPr>
          <w:rFonts w:ascii="Verdana" w:eastAsiaTheme="minorEastAsia" w:hAnsi="Verdana"/>
          <w:iCs/>
          <w:shd w:val="clear" w:color="auto" w:fill="FEFEFE"/>
          <w:lang w:eastAsia="en-US"/>
        </w:rPr>
        <w:t>оказателство за уведомяване на БАБХ за случаите по чл. 57, ал. 1 (когато е приложимо)</w:t>
      </w:r>
      <w:r w:rsidRPr="003D743D">
        <w:rPr>
          <w:rFonts w:ascii="Verdana" w:eastAsiaTheme="minorEastAsia" w:hAnsi="Verdana"/>
          <w:iCs/>
          <w:shd w:val="clear" w:color="auto" w:fill="FEFEFE"/>
          <w:lang w:val="ru-RU" w:eastAsia="en-US"/>
        </w:rPr>
        <w:t>.</w:t>
      </w:r>
    </w:p>
    <w:p w:rsidR="00EB027C" w:rsidRPr="00572F7A" w:rsidRDefault="00EB027C" w:rsidP="00EB027C">
      <w:pPr>
        <w:spacing w:line="360" w:lineRule="auto"/>
        <w:ind w:firstLine="709"/>
        <w:jc w:val="both"/>
        <w:rPr>
          <w:rFonts w:ascii="Verdana" w:eastAsiaTheme="minorEastAsia" w:hAnsi="Verdana"/>
          <w:iCs/>
          <w:highlight w:val="white"/>
          <w:shd w:val="clear" w:color="auto" w:fill="FEFEFE"/>
          <w:lang w:eastAsia="en-US"/>
        </w:rPr>
      </w:pPr>
    </w:p>
    <w:p w:rsidR="00EB027C" w:rsidRPr="00572F7A" w:rsidRDefault="00EB027C" w:rsidP="00EB027C">
      <w:pPr>
        <w:spacing w:line="360" w:lineRule="auto"/>
        <w:ind w:firstLine="709"/>
        <w:jc w:val="both"/>
        <w:rPr>
          <w:rFonts w:ascii="Verdana" w:hAnsi="Verdana"/>
          <w:b/>
          <w:bCs/>
          <w:color w:val="000000"/>
        </w:rPr>
      </w:pPr>
      <w:bookmarkStart w:id="0" w:name="RANGE!A1"/>
      <w:r w:rsidRPr="00572F7A">
        <w:rPr>
          <w:rFonts w:ascii="Verdana" w:hAnsi="Verdana"/>
          <w:b/>
          <w:bCs/>
          <w:color w:val="000000"/>
        </w:rPr>
        <w:t>Б.1.КЛАСИФИКАЦИЯ НА НЕСЪОТВЕТСТВИЯТА</w:t>
      </w:r>
      <w:bookmarkEnd w:id="0"/>
    </w:p>
    <w:tbl>
      <w:tblPr>
        <w:tblW w:w="10425" w:type="dxa"/>
        <w:jc w:val="center"/>
        <w:tblLayout w:type="fixed"/>
        <w:tblCellMar>
          <w:left w:w="70" w:type="dxa"/>
          <w:right w:w="70" w:type="dxa"/>
        </w:tblCellMar>
        <w:tblLook w:val="04A0" w:firstRow="1" w:lastRow="0" w:firstColumn="1" w:lastColumn="0" w:noHBand="0" w:noVBand="1"/>
      </w:tblPr>
      <w:tblGrid>
        <w:gridCol w:w="2927"/>
        <w:gridCol w:w="3330"/>
        <w:gridCol w:w="4168"/>
      </w:tblGrid>
      <w:tr w:rsidR="00EB027C" w:rsidRPr="00572F7A" w:rsidTr="003D743D">
        <w:trPr>
          <w:trHeight w:val="454"/>
          <w:jc w:val="center"/>
        </w:trPr>
        <w:tc>
          <w:tcPr>
            <w:tcW w:w="292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EB027C" w:rsidRPr="00572F7A" w:rsidRDefault="00EB027C" w:rsidP="00EB027C">
            <w:pPr>
              <w:widowControl/>
              <w:autoSpaceDE/>
              <w:autoSpaceDN/>
              <w:adjustRightInd/>
              <w:jc w:val="center"/>
              <w:rPr>
                <w:rFonts w:ascii="Verdana" w:hAnsi="Verdana"/>
                <w:b/>
                <w:bCs/>
              </w:rPr>
            </w:pPr>
            <w:r w:rsidRPr="00572F7A">
              <w:rPr>
                <w:rFonts w:ascii="Verdana" w:hAnsi="Verdana"/>
                <w:b/>
                <w:bCs/>
              </w:rPr>
              <w:t>НИВО 1</w:t>
            </w:r>
          </w:p>
        </w:tc>
        <w:tc>
          <w:tcPr>
            <w:tcW w:w="3330" w:type="dxa"/>
            <w:tcBorders>
              <w:top w:val="single" w:sz="4" w:space="0" w:color="auto"/>
              <w:left w:val="nil"/>
              <w:bottom w:val="single" w:sz="4" w:space="0" w:color="auto"/>
              <w:right w:val="single" w:sz="4" w:space="0" w:color="auto"/>
            </w:tcBorders>
            <w:shd w:val="clear" w:color="000000" w:fill="D9E1F2"/>
            <w:vAlign w:val="center"/>
            <w:hideMark/>
          </w:tcPr>
          <w:p w:rsidR="00EB027C" w:rsidRPr="00572F7A" w:rsidRDefault="00EB027C" w:rsidP="00EB027C">
            <w:pPr>
              <w:widowControl/>
              <w:autoSpaceDE/>
              <w:autoSpaceDN/>
              <w:adjustRightInd/>
              <w:jc w:val="center"/>
              <w:rPr>
                <w:rFonts w:ascii="Verdana" w:hAnsi="Verdana"/>
                <w:b/>
                <w:bCs/>
              </w:rPr>
            </w:pPr>
            <w:r w:rsidRPr="00572F7A">
              <w:rPr>
                <w:rFonts w:ascii="Verdana" w:hAnsi="Verdana"/>
                <w:b/>
                <w:bCs/>
              </w:rPr>
              <w:t>НИВО 2</w:t>
            </w:r>
          </w:p>
        </w:tc>
        <w:tc>
          <w:tcPr>
            <w:tcW w:w="4168" w:type="dxa"/>
            <w:tcBorders>
              <w:top w:val="single" w:sz="4" w:space="0" w:color="auto"/>
              <w:left w:val="nil"/>
              <w:bottom w:val="single" w:sz="4" w:space="0" w:color="auto"/>
              <w:right w:val="single" w:sz="4" w:space="0" w:color="auto"/>
            </w:tcBorders>
            <w:shd w:val="clear" w:color="000000" w:fill="D9E1F2"/>
            <w:vAlign w:val="center"/>
            <w:hideMark/>
          </w:tcPr>
          <w:p w:rsidR="00EB027C" w:rsidRPr="00572F7A" w:rsidRDefault="00EB027C" w:rsidP="00EB027C">
            <w:pPr>
              <w:widowControl/>
              <w:autoSpaceDE/>
              <w:autoSpaceDN/>
              <w:adjustRightInd/>
              <w:jc w:val="center"/>
              <w:rPr>
                <w:rFonts w:ascii="Verdana" w:hAnsi="Verdana"/>
                <w:b/>
                <w:bCs/>
              </w:rPr>
            </w:pPr>
            <w:r w:rsidRPr="00572F7A">
              <w:rPr>
                <w:rFonts w:ascii="Verdana" w:hAnsi="Verdana"/>
                <w:b/>
                <w:bCs/>
              </w:rPr>
              <w:t>НИВО 3</w:t>
            </w:r>
          </w:p>
        </w:tc>
      </w:tr>
      <w:tr w:rsidR="00EB027C" w:rsidRPr="00572F7A" w:rsidTr="003D743D">
        <w:trPr>
          <w:trHeight w:val="454"/>
          <w:jc w:val="center"/>
        </w:trPr>
        <w:tc>
          <w:tcPr>
            <w:tcW w:w="2927" w:type="dxa"/>
            <w:tcBorders>
              <w:top w:val="nil"/>
              <w:left w:val="single" w:sz="4" w:space="0" w:color="auto"/>
              <w:bottom w:val="single" w:sz="4" w:space="0" w:color="auto"/>
              <w:right w:val="single" w:sz="4" w:space="0" w:color="auto"/>
            </w:tcBorders>
            <w:shd w:val="clear" w:color="000000" w:fill="D9E1F2"/>
            <w:vAlign w:val="center"/>
            <w:hideMark/>
          </w:tcPr>
          <w:p w:rsidR="00EB027C" w:rsidRPr="00572F7A" w:rsidRDefault="00EB027C" w:rsidP="00EB027C">
            <w:pPr>
              <w:widowControl/>
              <w:autoSpaceDE/>
              <w:autoSpaceDN/>
              <w:adjustRightInd/>
              <w:jc w:val="center"/>
              <w:rPr>
                <w:rFonts w:ascii="Verdana" w:hAnsi="Verdana"/>
              </w:rPr>
            </w:pPr>
            <w:r w:rsidRPr="00572F7A">
              <w:rPr>
                <w:rFonts w:ascii="Verdana" w:hAnsi="Verdana"/>
                <w:b/>
                <w:bCs/>
              </w:rPr>
              <w:t>Незначителни несъответствия</w:t>
            </w:r>
          </w:p>
        </w:tc>
        <w:tc>
          <w:tcPr>
            <w:tcW w:w="3330" w:type="dxa"/>
            <w:tcBorders>
              <w:top w:val="nil"/>
              <w:left w:val="nil"/>
              <w:bottom w:val="single" w:sz="4" w:space="0" w:color="auto"/>
              <w:right w:val="single" w:sz="4" w:space="0" w:color="auto"/>
            </w:tcBorders>
            <w:shd w:val="clear" w:color="000000" w:fill="D9E1F2"/>
            <w:vAlign w:val="center"/>
            <w:hideMark/>
          </w:tcPr>
          <w:p w:rsidR="00EB027C" w:rsidRPr="00572F7A" w:rsidRDefault="00EB027C" w:rsidP="00EB027C">
            <w:pPr>
              <w:widowControl/>
              <w:autoSpaceDE/>
              <w:autoSpaceDN/>
              <w:adjustRightInd/>
              <w:jc w:val="center"/>
              <w:rPr>
                <w:rFonts w:ascii="Verdana" w:hAnsi="Verdana"/>
              </w:rPr>
            </w:pPr>
            <w:r w:rsidRPr="00572F7A">
              <w:rPr>
                <w:rFonts w:ascii="Verdana" w:hAnsi="Verdana"/>
                <w:b/>
                <w:bCs/>
              </w:rPr>
              <w:t>Сериозни несъответствия</w:t>
            </w:r>
          </w:p>
        </w:tc>
        <w:tc>
          <w:tcPr>
            <w:tcW w:w="4168" w:type="dxa"/>
            <w:tcBorders>
              <w:top w:val="nil"/>
              <w:left w:val="nil"/>
              <w:bottom w:val="single" w:sz="4" w:space="0" w:color="auto"/>
              <w:right w:val="single" w:sz="4" w:space="0" w:color="auto"/>
            </w:tcBorders>
            <w:shd w:val="clear" w:color="000000" w:fill="D9E1F2"/>
            <w:vAlign w:val="center"/>
            <w:hideMark/>
          </w:tcPr>
          <w:p w:rsidR="00EB027C" w:rsidRPr="00572F7A" w:rsidRDefault="00EB027C" w:rsidP="00EB027C">
            <w:pPr>
              <w:widowControl/>
              <w:autoSpaceDE/>
              <w:autoSpaceDN/>
              <w:adjustRightInd/>
              <w:jc w:val="center"/>
              <w:rPr>
                <w:rFonts w:ascii="Verdana" w:hAnsi="Verdana"/>
              </w:rPr>
            </w:pPr>
            <w:r w:rsidRPr="00572F7A">
              <w:rPr>
                <w:rFonts w:ascii="Verdana" w:hAnsi="Verdana"/>
                <w:b/>
                <w:bCs/>
              </w:rPr>
              <w:t>Критични несъответствия</w:t>
            </w:r>
          </w:p>
        </w:tc>
      </w:tr>
      <w:tr w:rsidR="00EB027C" w:rsidRPr="00572F7A" w:rsidTr="003D743D">
        <w:trPr>
          <w:jc w:val="center"/>
        </w:trPr>
        <w:tc>
          <w:tcPr>
            <w:tcW w:w="2927" w:type="dxa"/>
            <w:tcBorders>
              <w:top w:val="single" w:sz="4" w:space="0" w:color="auto"/>
              <w:left w:val="single" w:sz="4" w:space="0" w:color="auto"/>
              <w:bottom w:val="single" w:sz="4" w:space="0" w:color="auto"/>
              <w:right w:val="single" w:sz="4" w:space="0" w:color="auto"/>
            </w:tcBorders>
            <w:shd w:val="clear" w:color="000000" w:fill="FFFFFF"/>
            <w:hideMark/>
          </w:tcPr>
          <w:p w:rsidR="00EB027C" w:rsidRPr="00572F7A" w:rsidRDefault="00EB027C" w:rsidP="005A2AD3">
            <w:pPr>
              <w:widowControl/>
              <w:autoSpaceDE/>
              <w:autoSpaceDN/>
              <w:adjustRightInd/>
              <w:rPr>
                <w:rFonts w:ascii="Verdana" w:hAnsi="Verdana"/>
              </w:rPr>
            </w:pPr>
            <w:r w:rsidRPr="00572F7A">
              <w:rPr>
                <w:rFonts w:ascii="Verdana" w:hAnsi="Verdana"/>
              </w:rPr>
              <w:t>Случаят на несъответствие е незначителен, когато са налице една или повече от посочените предпоставки:</w:t>
            </w:r>
          </w:p>
          <w:p w:rsidR="00EB027C" w:rsidRPr="00572F7A" w:rsidRDefault="00EB027C" w:rsidP="005A2AD3">
            <w:pPr>
              <w:widowControl/>
              <w:autoSpaceDE/>
              <w:autoSpaceDN/>
              <w:adjustRightInd/>
              <w:rPr>
                <w:rFonts w:ascii="Verdana" w:hAnsi="Verdana"/>
              </w:rPr>
            </w:pPr>
            <w:r w:rsidRPr="00572F7A">
              <w:rPr>
                <w:rFonts w:ascii="Verdana" w:hAnsi="Verdana"/>
              </w:rPr>
              <w:t xml:space="preserve">i) предпазните мерки са пропорционални и подходящи, а въведеният от оператора контрол е ефикасен; </w:t>
            </w:r>
          </w:p>
          <w:p w:rsidR="00EB027C" w:rsidRPr="00572F7A" w:rsidRDefault="00EB027C" w:rsidP="005A2AD3">
            <w:pPr>
              <w:widowControl/>
              <w:autoSpaceDE/>
              <w:autoSpaceDN/>
              <w:adjustRightInd/>
              <w:rPr>
                <w:rFonts w:ascii="Verdana" w:hAnsi="Verdana"/>
              </w:rPr>
            </w:pPr>
            <w:r w:rsidRPr="00572F7A">
              <w:rPr>
                <w:rFonts w:ascii="Verdana" w:hAnsi="Verdana"/>
              </w:rPr>
              <w:t>ii) несъответствието не засяга биологичния характер на биологичния продукт или на произведения при преход към биологично производство продукт;</w:t>
            </w:r>
          </w:p>
          <w:p w:rsidR="00EB027C" w:rsidRPr="00572F7A" w:rsidRDefault="00EB027C" w:rsidP="005A2AD3">
            <w:pPr>
              <w:widowControl/>
              <w:autoSpaceDE/>
              <w:autoSpaceDN/>
              <w:adjustRightInd/>
              <w:rPr>
                <w:rFonts w:ascii="Verdana" w:hAnsi="Verdana"/>
              </w:rPr>
            </w:pPr>
            <w:r w:rsidRPr="00572F7A">
              <w:rPr>
                <w:rFonts w:ascii="Verdana" w:hAnsi="Verdana"/>
              </w:rPr>
              <w:t xml:space="preserve">iii) системата за проследяване може да идентифицира засегнатия продукт (засегнатите продукти) във веригата на доставки и има възможност за налагане на забрана за пускане на продукти на пазара с </w:t>
            </w:r>
            <w:r w:rsidRPr="00572F7A">
              <w:rPr>
                <w:rFonts w:ascii="Verdana" w:hAnsi="Verdana"/>
              </w:rPr>
              <w:lastRenderedPageBreak/>
              <w:t>позоваване на биологично производство;</w:t>
            </w:r>
          </w:p>
        </w:tc>
        <w:tc>
          <w:tcPr>
            <w:tcW w:w="3330" w:type="dxa"/>
            <w:tcBorders>
              <w:top w:val="single" w:sz="4" w:space="0" w:color="auto"/>
              <w:left w:val="single" w:sz="4" w:space="0" w:color="auto"/>
              <w:bottom w:val="single" w:sz="4" w:space="0" w:color="auto"/>
              <w:right w:val="single" w:sz="4" w:space="0" w:color="auto"/>
            </w:tcBorders>
            <w:shd w:val="clear" w:color="000000" w:fill="FFFFFF"/>
            <w:hideMark/>
          </w:tcPr>
          <w:p w:rsidR="00EB027C" w:rsidRPr="00572F7A" w:rsidRDefault="00EB027C" w:rsidP="005A2AD3">
            <w:pPr>
              <w:widowControl/>
              <w:autoSpaceDE/>
              <w:autoSpaceDN/>
              <w:adjustRightInd/>
              <w:rPr>
                <w:rFonts w:ascii="Verdana" w:hAnsi="Verdana"/>
              </w:rPr>
            </w:pPr>
            <w:r w:rsidRPr="00572F7A">
              <w:rPr>
                <w:rFonts w:ascii="Verdana" w:hAnsi="Verdana"/>
              </w:rPr>
              <w:lastRenderedPageBreak/>
              <w:t>Случаят на несъответствие е сериозен, когато са налице една или повече от посочените предпоставки:</w:t>
            </w:r>
          </w:p>
          <w:p w:rsidR="00EB027C" w:rsidRPr="00572F7A" w:rsidRDefault="00EB027C" w:rsidP="005A2AD3">
            <w:pPr>
              <w:widowControl/>
              <w:autoSpaceDE/>
              <w:autoSpaceDN/>
              <w:adjustRightInd/>
              <w:rPr>
                <w:rFonts w:ascii="Verdana" w:hAnsi="Verdana"/>
              </w:rPr>
            </w:pPr>
            <w:r w:rsidRPr="00572F7A">
              <w:rPr>
                <w:rFonts w:ascii="Verdana" w:hAnsi="Verdana"/>
              </w:rPr>
              <w:t xml:space="preserve">i) предпазните мерки </w:t>
            </w:r>
            <w:r w:rsidRPr="00572F7A">
              <w:rPr>
                <w:rFonts w:ascii="Verdana" w:hAnsi="Verdana"/>
                <w:b/>
              </w:rPr>
              <w:t>не</w:t>
            </w:r>
            <w:r w:rsidRPr="00572F7A">
              <w:rPr>
                <w:rFonts w:ascii="Verdana" w:hAnsi="Verdana"/>
              </w:rPr>
              <w:t xml:space="preserve"> </w:t>
            </w:r>
            <w:r w:rsidRPr="00572F7A">
              <w:rPr>
                <w:rFonts w:ascii="Verdana" w:hAnsi="Verdana"/>
                <w:b/>
              </w:rPr>
              <w:t>са</w:t>
            </w:r>
            <w:r w:rsidRPr="00572F7A">
              <w:rPr>
                <w:rFonts w:ascii="Verdana" w:hAnsi="Verdana"/>
              </w:rPr>
              <w:t xml:space="preserve"> пропорционални и подходящи, а въведеният от оператора контрол </w:t>
            </w:r>
            <w:r w:rsidRPr="00572F7A">
              <w:rPr>
                <w:rFonts w:ascii="Verdana" w:hAnsi="Verdana"/>
                <w:b/>
              </w:rPr>
              <w:t>не е</w:t>
            </w:r>
            <w:r w:rsidRPr="00572F7A">
              <w:rPr>
                <w:rFonts w:ascii="Verdana" w:hAnsi="Verdana"/>
              </w:rPr>
              <w:t xml:space="preserve"> ефикасен;</w:t>
            </w:r>
          </w:p>
          <w:p w:rsidR="00EB027C" w:rsidRPr="00572F7A" w:rsidRDefault="00EB027C" w:rsidP="005A2AD3">
            <w:pPr>
              <w:widowControl/>
              <w:autoSpaceDE/>
              <w:autoSpaceDN/>
              <w:adjustRightInd/>
              <w:rPr>
                <w:rFonts w:ascii="Verdana" w:hAnsi="Verdana"/>
              </w:rPr>
            </w:pPr>
            <w:r w:rsidRPr="00572F7A">
              <w:rPr>
                <w:rFonts w:ascii="Verdana" w:hAnsi="Verdana"/>
              </w:rPr>
              <w:t xml:space="preserve">ii) несъответствието </w:t>
            </w:r>
            <w:r w:rsidRPr="00572F7A">
              <w:rPr>
                <w:rFonts w:ascii="Verdana" w:hAnsi="Verdana"/>
                <w:b/>
              </w:rPr>
              <w:t>засяга</w:t>
            </w:r>
            <w:r w:rsidRPr="00572F7A">
              <w:rPr>
                <w:rFonts w:ascii="Verdana" w:hAnsi="Verdana"/>
              </w:rPr>
              <w:t xml:space="preserve"> биологичния характер на биологичния продукт или на произведения при преход към биологично производство продукт;</w:t>
            </w:r>
          </w:p>
          <w:p w:rsidR="00EB027C" w:rsidRPr="00572F7A" w:rsidRDefault="00EB027C" w:rsidP="005A2AD3">
            <w:pPr>
              <w:widowControl/>
              <w:autoSpaceDE/>
              <w:autoSpaceDN/>
              <w:adjustRightInd/>
              <w:rPr>
                <w:rFonts w:ascii="Verdana" w:hAnsi="Verdana"/>
              </w:rPr>
            </w:pPr>
            <w:r w:rsidRPr="00572F7A">
              <w:rPr>
                <w:rFonts w:ascii="Verdana" w:hAnsi="Verdana"/>
              </w:rPr>
              <w:t xml:space="preserve">iii) </w:t>
            </w:r>
            <w:r w:rsidRPr="00572F7A">
              <w:rPr>
                <w:rFonts w:ascii="Verdana" w:hAnsi="Verdana"/>
                <w:b/>
              </w:rPr>
              <w:t>операторът не е отстранил своевременно незначително несъответствие;</w:t>
            </w:r>
          </w:p>
          <w:p w:rsidR="00EB027C" w:rsidRPr="00572F7A" w:rsidRDefault="00EB027C" w:rsidP="005A2AD3">
            <w:pPr>
              <w:widowControl/>
              <w:autoSpaceDE/>
              <w:autoSpaceDN/>
              <w:adjustRightInd/>
              <w:rPr>
                <w:rFonts w:ascii="Verdana" w:hAnsi="Verdana"/>
              </w:rPr>
            </w:pPr>
            <w:r w:rsidRPr="00572F7A">
              <w:rPr>
                <w:rFonts w:ascii="Verdana" w:hAnsi="Verdana"/>
              </w:rPr>
              <w:t xml:space="preserve">iv) системата за проследяване може да идентифицира засегнатия продукт (засегнатите продукти) във веригата на доставки и има възможност за налагане на забрана за пускане на продукти на </w:t>
            </w:r>
            <w:r w:rsidRPr="00572F7A">
              <w:rPr>
                <w:rFonts w:ascii="Verdana" w:hAnsi="Verdana"/>
              </w:rPr>
              <w:lastRenderedPageBreak/>
              <w:t>пазара с позоваване на биологично производство;</w:t>
            </w:r>
          </w:p>
        </w:tc>
        <w:tc>
          <w:tcPr>
            <w:tcW w:w="4168" w:type="dxa"/>
            <w:tcBorders>
              <w:top w:val="single" w:sz="4" w:space="0" w:color="auto"/>
              <w:left w:val="single" w:sz="4" w:space="0" w:color="auto"/>
              <w:bottom w:val="single" w:sz="4" w:space="0" w:color="auto"/>
              <w:right w:val="single" w:sz="4" w:space="0" w:color="auto"/>
            </w:tcBorders>
            <w:shd w:val="clear" w:color="000000" w:fill="FFFFFF"/>
            <w:hideMark/>
          </w:tcPr>
          <w:p w:rsidR="00EB027C" w:rsidRPr="00572F7A" w:rsidRDefault="00EB027C" w:rsidP="005A2AD3">
            <w:pPr>
              <w:widowControl/>
              <w:autoSpaceDE/>
              <w:autoSpaceDN/>
              <w:adjustRightInd/>
              <w:rPr>
                <w:rFonts w:ascii="Verdana" w:hAnsi="Verdana"/>
              </w:rPr>
            </w:pPr>
            <w:r w:rsidRPr="00572F7A">
              <w:rPr>
                <w:rFonts w:ascii="Verdana" w:hAnsi="Verdana"/>
              </w:rPr>
              <w:lastRenderedPageBreak/>
              <w:t>Случаят на несъответствие е критичен, когато са налице една или повече от посочените предпоставки:</w:t>
            </w:r>
          </w:p>
          <w:p w:rsidR="00EB027C" w:rsidRPr="00572F7A" w:rsidRDefault="00EB027C" w:rsidP="005A2AD3">
            <w:pPr>
              <w:widowControl/>
              <w:autoSpaceDE/>
              <w:autoSpaceDN/>
              <w:adjustRightInd/>
              <w:rPr>
                <w:rFonts w:ascii="Verdana" w:hAnsi="Verdana"/>
              </w:rPr>
            </w:pPr>
            <w:r w:rsidRPr="00572F7A">
              <w:rPr>
                <w:rFonts w:ascii="Verdana" w:hAnsi="Verdana"/>
              </w:rPr>
              <w:t xml:space="preserve">i) предпазните мерки </w:t>
            </w:r>
            <w:r w:rsidRPr="00572F7A">
              <w:rPr>
                <w:rFonts w:ascii="Verdana" w:hAnsi="Verdana"/>
                <w:b/>
              </w:rPr>
              <w:t>не са</w:t>
            </w:r>
            <w:r w:rsidRPr="00572F7A">
              <w:rPr>
                <w:rFonts w:ascii="Verdana" w:hAnsi="Verdana"/>
              </w:rPr>
              <w:t xml:space="preserve"> пропорционални и подходящи, а въведеният от оператора контрол </w:t>
            </w:r>
            <w:r w:rsidRPr="00572F7A">
              <w:rPr>
                <w:rFonts w:ascii="Verdana" w:hAnsi="Verdana"/>
                <w:b/>
              </w:rPr>
              <w:t>не е</w:t>
            </w:r>
            <w:r w:rsidRPr="00572F7A">
              <w:rPr>
                <w:rFonts w:ascii="Verdana" w:hAnsi="Verdana"/>
              </w:rPr>
              <w:t xml:space="preserve"> ефективен;</w:t>
            </w:r>
          </w:p>
          <w:p w:rsidR="00EB027C" w:rsidRPr="00572F7A" w:rsidRDefault="00EB027C" w:rsidP="005A2AD3">
            <w:pPr>
              <w:widowControl/>
              <w:autoSpaceDE/>
              <w:autoSpaceDN/>
              <w:adjustRightInd/>
              <w:rPr>
                <w:rFonts w:ascii="Verdana" w:hAnsi="Verdana"/>
              </w:rPr>
            </w:pPr>
            <w:r w:rsidRPr="00572F7A">
              <w:rPr>
                <w:rFonts w:ascii="Verdana" w:hAnsi="Verdana"/>
              </w:rPr>
              <w:t xml:space="preserve">ii) несъответствието </w:t>
            </w:r>
            <w:r w:rsidRPr="00572F7A">
              <w:rPr>
                <w:rFonts w:ascii="Verdana" w:hAnsi="Verdana"/>
                <w:b/>
              </w:rPr>
              <w:t>засяга</w:t>
            </w:r>
            <w:r w:rsidRPr="00572F7A">
              <w:rPr>
                <w:rFonts w:ascii="Verdana" w:hAnsi="Verdana"/>
              </w:rPr>
              <w:t xml:space="preserve"> биологичния характер на биологичния или произведения при преход към биологично производство продукт;</w:t>
            </w:r>
          </w:p>
          <w:p w:rsidR="00EB027C" w:rsidRPr="00572F7A" w:rsidRDefault="00EB027C" w:rsidP="005A2AD3">
            <w:pPr>
              <w:widowControl/>
              <w:autoSpaceDE/>
              <w:autoSpaceDN/>
              <w:adjustRightInd/>
              <w:rPr>
                <w:rFonts w:ascii="Verdana" w:hAnsi="Verdana"/>
              </w:rPr>
            </w:pPr>
            <w:r w:rsidRPr="00572F7A">
              <w:rPr>
                <w:rFonts w:ascii="Verdana" w:hAnsi="Verdana"/>
              </w:rPr>
              <w:t xml:space="preserve">iii) </w:t>
            </w:r>
            <w:r w:rsidRPr="00572F7A">
              <w:rPr>
                <w:rFonts w:ascii="Verdana" w:hAnsi="Verdana"/>
                <w:b/>
              </w:rPr>
              <w:t>операторът</w:t>
            </w:r>
            <w:r w:rsidRPr="00572F7A">
              <w:rPr>
                <w:rFonts w:ascii="Verdana" w:hAnsi="Verdana"/>
              </w:rPr>
              <w:t xml:space="preserve"> </w:t>
            </w:r>
            <w:r w:rsidRPr="00572F7A">
              <w:rPr>
                <w:rFonts w:ascii="Verdana" w:hAnsi="Verdana"/>
                <w:b/>
              </w:rPr>
              <w:t>не успява да отстрани предишни сериозни несъответствия или многократно не успява да отстрани други категории несъответствия</w:t>
            </w:r>
            <w:r w:rsidRPr="00572F7A">
              <w:rPr>
                <w:rFonts w:ascii="Verdana" w:hAnsi="Verdana"/>
              </w:rPr>
              <w:t>;</w:t>
            </w:r>
          </w:p>
          <w:p w:rsidR="00EB027C" w:rsidRPr="00572F7A" w:rsidRDefault="00EB027C" w:rsidP="005A2AD3">
            <w:pPr>
              <w:widowControl/>
              <w:autoSpaceDE/>
              <w:autoSpaceDN/>
              <w:adjustRightInd/>
              <w:rPr>
                <w:rFonts w:ascii="Verdana" w:hAnsi="Verdana"/>
              </w:rPr>
            </w:pPr>
            <w:r w:rsidRPr="00572F7A">
              <w:rPr>
                <w:rFonts w:ascii="Verdana" w:hAnsi="Verdana"/>
              </w:rPr>
              <w:t>iv) липсва информация от системата за проследяване, за да се идентифицира засегнатият продукт (засегнатите продукти) във веригата на доставки и не е възможно да се наложи забрана за пускане на продукти на пазара с позоваване на биологично производство;</w:t>
            </w:r>
          </w:p>
          <w:p w:rsidR="00EB027C" w:rsidRPr="00572F7A" w:rsidRDefault="00EB027C" w:rsidP="005A2AD3">
            <w:pPr>
              <w:widowControl/>
              <w:autoSpaceDE/>
              <w:autoSpaceDN/>
              <w:adjustRightInd/>
              <w:rPr>
                <w:rFonts w:ascii="Verdana" w:hAnsi="Verdana"/>
              </w:rPr>
            </w:pPr>
            <w:r w:rsidRPr="00572F7A">
              <w:rPr>
                <w:rFonts w:ascii="Verdana" w:hAnsi="Verdana"/>
              </w:rPr>
              <w:t>v). Обосновано съмнение за документална измама.</w:t>
            </w:r>
          </w:p>
          <w:p w:rsidR="00EB027C" w:rsidRPr="00572F7A" w:rsidRDefault="00EB027C" w:rsidP="005A2AD3">
            <w:pPr>
              <w:widowControl/>
              <w:autoSpaceDE/>
              <w:autoSpaceDN/>
              <w:adjustRightInd/>
              <w:rPr>
                <w:rFonts w:ascii="Verdana" w:hAnsi="Verdana"/>
              </w:rPr>
            </w:pPr>
            <w:r w:rsidRPr="00572F7A">
              <w:rPr>
                <w:rFonts w:ascii="Verdana" w:hAnsi="Verdana"/>
              </w:rPr>
              <w:lastRenderedPageBreak/>
              <w:t>vi) Дейности, свързани с измама/употреба/замяна/замърсяване със забранени/неразрешени за биологичното производство препарати/материали/продукти и продажбата на продуктите/партидите като биологични;</w:t>
            </w:r>
          </w:p>
          <w:p w:rsidR="00EB027C" w:rsidRPr="00572F7A" w:rsidRDefault="00EB027C" w:rsidP="005A2AD3">
            <w:pPr>
              <w:widowControl/>
              <w:autoSpaceDE/>
              <w:autoSpaceDN/>
              <w:adjustRightInd/>
              <w:rPr>
                <w:rFonts w:ascii="Verdana" w:hAnsi="Verdana"/>
              </w:rPr>
            </w:pPr>
            <w:r w:rsidRPr="00572F7A">
              <w:rPr>
                <w:rFonts w:ascii="Verdana" w:hAnsi="Verdana"/>
              </w:rPr>
              <w:t>vii) Доказана умишлена употреба на ГМО;</w:t>
            </w:r>
          </w:p>
        </w:tc>
      </w:tr>
    </w:tbl>
    <w:p w:rsidR="00EB027C" w:rsidRPr="00572F7A" w:rsidRDefault="00EB027C" w:rsidP="00EB027C">
      <w:pPr>
        <w:spacing w:line="360" w:lineRule="auto"/>
        <w:rPr>
          <w:rFonts w:ascii="Verdana" w:hAnsi="Verdana"/>
          <w:b/>
          <w:bCs/>
        </w:rPr>
      </w:pPr>
    </w:p>
    <w:p w:rsidR="00EB027C" w:rsidRPr="00572F7A" w:rsidRDefault="00EB027C" w:rsidP="00EB027C">
      <w:pPr>
        <w:spacing w:line="360" w:lineRule="auto"/>
        <w:rPr>
          <w:rFonts w:ascii="Verdana" w:hAnsi="Verdana"/>
          <w:b/>
          <w:bCs/>
        </w:rPr>
      </w:pPr>
      <w:r w:rsidRPr="00572F7A">
        <w:rPr>
          <w:rFonts w:ascii="Verdana" w:hAnsi="Verdana"/>
          <w:b/>
          <w:bCs/>
        </w:rPr>
        <w:t>Б.2. КЛАСИФИКАЦИЯ НА МЕРКИТЕ</w:t>
      </w:r>
    </w:p>
    <w:tbl>
      <w:tblPr>
        <w:tblW w:w="10425" w:type="dxa"/>
        <w:jc w:val="center"/>
        <w:tblLayout w:type="fixed"/>
        <w:tblCellMar>
          <w:left w:w="70" w:type="dxa"/>
          <w:right w:w="70" w:type="dxa"/>
        </w:tblCellMar>
        <w:tblLook w:val="04A0" w:firstRow="1" w:lastRow="0" w:firstColumn="1" w:lastColumn="0" w:noHBand="0" w:noVBand="1"/>
      </w:tblPr>
      <w:tblGrid>
        <w:gridCol w:w="2689"/>
        <w:gridCol w:w="7736"/>
      </w:tblGrid>
      <w:tr w:rsidR="00EB027C" w:rsidRPr="00572F7A" w:rsidTr="00086986">
        <w:trPr>
          <w:trHeight w:val="454"/>
          <w:jc w:val="center"/>
        </w:trPr>
        <w:tc>
          <w:tcPr>
            <w:tcW w:w="2689" w:type="dxa"/>
            <w:tcBorders>
              <w:top w:val="single" w:sz="4" w:space="0" w:color="auto"/>
              <w:left w:val="single" w:sz="4" w:space="0" w:color="auto"/>
              <w:bottom w:val="single" w:sz="4" w:space="0" w:color="auto"/>
              <w:right w:val="single" w:sz="4" w:space="0" w:color="auto"/>
            </w:tcBorders>
            <w:shd w:val="clear" w:color="auto" w:fill="D9E1F2"/>
            <w:vAlign w:val="center"/>
          </w:tcPr>
          <w:p w:rsidR="00EB027C" w:rsidRPr="00572F7A" w:rsidRDefault="00EB027C" w:rsidP="00EB027C">
            <w:pPr>
              <w:widowControl/>
              <w:autoSpaceDE/>
              <w:autoSpaceDN/>
              <w:adjustRightInd/>
              <w:jc w:val="center"/>
              <w:rPr>
                <w:rFonts w:ascii="Verdana" w:hAnsi="Verdana"/>
              </w:rPr>
            </w:pPr>
            <w:r w:rsidRPr="00572F7A">
              <w:rPr>
                <w:rFonts w:ascii="Verdana" w:hAnsi="Verdana"/>
                <w:b/>
                <w:bCs/>
              </w:rPr>
              <w:t>Категория на несъответствие</w:t>
            </w:r>
          </w:p>
        </w:tc>
        <w:tc>
          <w:tcPr>
            <w:tcW w:w="7736" w:type="dxa"/>
            <w:tcBorders>
              <w:top w:val="single" w:sz="4" w:space="0" w:color="auto"/>
              <w:left w:val="nil"/>
              <w:bottom w:val="single" w:sz="4" w:space="0" w:color="auto"/>
              <w:right w:val="single" w:sz="4" w:space="0" w:color="auto"/>
            </w:tcBorders>
            <w:shd w:val="clear" w:color="auto" w:fill="D9E1F2"/>
            <w:vAlign w:val="center"/>
          </w:tcPr>
          <w:p w:rsidR="00EB027C" w:rsidRPr="00572F7A" w:rsidRDefault="00EB027C" w:rsidP="00EB027C">
            <w:pPr>
              <w:widowControl/>
              <w:autoSpaceDE/>
              <w:autoSpaceDN/>
              <w:adjustRightInd/>
              <w:jc w:val="center"/>
              <w:rPr>
                <w:rFonts w:ascii="Verdana" w:hAnsi="Verdana"/>
              </w:rPr>
            </w:pPr>
            <w:r w:rsidRPr="00572F7A">
              <w:rPr>
                <w:rFonts w:ascii="Verdana" w:hAnsi="Verdana"/>
              </w:rPr>
              <w:t>Приложими мерки</w:t>
            </w:r>
          </w:p>
        </w:tc>
      </w:tr>
      <w:tr w:rsidR="00EB027C" w:rsidRPr="00572F7A" w:rsidTr="00086986">
        <w:trPr>
          <w:jc w:val="center"/>
        </w:trPr>
        <w:tc>
          <w:tcPr>
            <w:tcW w:w="2689" w:type="dxa"/>
            <w:tcBorders>
              <w:top w:val="single" w:sz="4" w:space="0" w:color="auto"/>
              <w:left w:val="single" w:sz="4" w:space="0" w:color="auto"/>
              <w:bottom w:val="single" w:sz="4" w:space="0" w:color="auto"/>
              <w:right w:val="single" w:sz="4" w:space="0" w:color="auto"/>
            </w:tcBorders>
            <w:shd w:val="clear" w:color="auto" w:fill="D9E1F2"/>
            <w:vAlign w:val="center"/>
          </w:tcPr>
          <w:p w:rsidR="00EB027C" w:rsidRPr="00572F7A" w:rsidRDefault="00EB027C" w:rsidP="00EB027C">
            <w:pPr>
              <w:widowControl/>
              <w:autoSpaceDE/>
              <w:autoSpaceDN/>
              <w:adjustRightInd/>
              <w:jc w:val="center"/>
              <w:rPr>
                <w:rFonts w:ascii="Verdana" w:hAnsi="Verdana"/>
                <w:b/>
                <w:bCs/>
              </w:rPr>
            </w:pPr>
            <w:r w:rsidRPr="00572F7A">
              <w:rPr>
                <w:rFonts w:ascii="Verdana" w:hAnsi="Verdana"/>
                <w:b/>
                <w:bCs/>
              </w:rPr>
              <w:t>Незначително</w:t>
            </w:r>
          </w:p>
        </w:tc>
        <w:tc>
          <w:tcPr>
            <w:tcW w:w="7736" w:type="dxa"/>
            <w:tcBorders>
              <w:top w:val="single" w:sz="4" w:space="0" w:color="auto"/>
              <w:left w:val="nil"/>
              <w:bottom w:val="single" w:sz="4" w:space="0" w:color="auto"/>
              <w:right w:val="single" w:sz="4" w:space="0" w:color="auto"/>
            </w:tcBorders>
            <w:shd w:val="clear" w:color="auto" w:fill="auto"/>
            <w:vAlign w:val="center"/>
          </w:tcPr>
          <w:p w:rsidR="00EB027C" w:rsidRPr="00572F7A" w:rsidRDefault="00EB027C" w:rsidP="00EB027C">
            <w:pPr>
              <w:widowControl/>
              <w:autoSpaceDE/>
              <w:autoSpaceDN/>
              <w:adjustRightInd/>
              <w:jc w:val="both"/>
              <w:rPr>
                <w:rFonts w:ascii="Verdana" w:hAnsi="Verdana"/>
                <w:b/>
                <w:bCs/>
              </w:rPr>
            </w:pPr>
            <w:r w:rsidRPr="00572F7A">
              <w:rPr>
                <w:rFonts w:ascii="Verdana" w:hAnsi="Verdana"/>
              </w:rPr>
              <w:t>Представяне от оператора на необходимата информация и/или план за действие в срок не по-дълъг от 7 работни дни.</w:t>
            </w:r>
          </w:p>
        </w:tc>
      </w:tr>
      <w:tr w:rsidR="00EB027C" w:rsidRPr="00572F7A" w:rsidTr="00086986">
        <w:trPr>
          <w:jc w:val="center"/>
        </w:trPr>
        <w:tc>
          <w:tcPr>
            <w:tcW w:w="2689" w:type="dxa"/>
            <w:tcBorders>
              <w:top w:val="single" w:sz="4" w:space="0" w:color="auto"/>
              <w:left w:val="single" w:sz="4" w:space="0" w:color="auto"/>
              <w:bottom w:val="single" w:sz="4" w:space="0" w:color="auto"/>
              <w:right w:val="single" w:sz="4" w:space="0" w:color="auto"/>
            </w:tcBorders>
            <w:shd w:val="clear" w:color="auto" w:fill="D9E1F2"/>
            <w:vAlign w:val="center"/>
          </w:tcPr>
          <w:p w:rsidR="00EB027C" w:rsidRPr="00572F7A" w:rsidRDefault="00EB027C" w:rsidP="00EB027C">
            <w:pPr>
              <w:widowControl/>
              <w:autoSpaceDE/>
              <w:autoSpaceDN/>
              <w:adjustRightInd/>
              <w:jc w:val="center"/>
              <w:rPr>
                <w:rFonts w:ascii="Verdana" w:hAnsi="Verdana"/>
                <w:b/>
                <w:bCs/>
              </w:rPr>
            </w:pPr>
            <w:r w:rsidRPr="00572F7A">
              <w:rPr>
                <w:rFonts w:ascii="Verdana" w:hAnsi="Verdana"/>
                <w:b/>
                <w:bCs/>
              </w:rPr>
              <w:t>Сериозно</w:t>
            </w:r>
          </w:p>
        </w:tc>
        <w:tc>
          <w:tcPr>
            <w:tcW w:w="7736" w:type="dxa"/>
            <w:tcBorders>
              <w:top w:val="single" w:sz="4" w:space="0" w:color="auto"/>
              <w:left w:val="nil"/>
              <w:bottom w:val="single" w:sz="4" w:space="0" w:color="auto"/>
              <w:right w:val="single" w:sz="4" w:space="0" w:color="auto"/>
            </w:tcBorders>
            <w:shd w:val="clear" w:color="auto" w:fill="auto"/>
            <w:vAlign w:val="center"/>
          </w:tcPr>
          <w:p w:rsidR="00EB027C" w:rsidRPr="00572F7A" w:rsidRDefault="00EB027C" w:rsidP="00EB027C">
            <w:pPr>
              <w:widowControl/>
              <w:autoSpaceDE/>
              <w:autoSpaceDN/>
              <w:adjustRightInd/>
              <w:jc w:val="both"/>
              <w:rPr>
                <w:rFonts w:ascii="Verdana" w:hAnsi="Verdana"/>
                <w:color w:val="000000"/>
              </w:rPr>
            </w:pPr>
            <w:r w:rsidRPr="00572F7A">
              <w:rPr>
                <w:rFonts w:ascii="Verdana" w:hAnsi="Verdana"/>
                <w:color w:val="000000"/>
              </w:rPr>
              <w:t>Представяне от оператора на необходимата информация и/или план за действие в срок не по-дълъг от 7 работни дни;</w:t>
            </w:r>
          </w:p>
          <w:p w:rsidR="00EB027C" w:rsidRPr="00572F7A" w:rsidRDefault="00EB027C" w:rsidP="00EB027C">
            <w:pPr>
              <w:widowControl/>
              <w:autoSpaceDE/>
              <w:autoSpaceDN/>
              <w:adjustRightInd/>
              <w:jc w:val="both"/>
              <w:rPr>
                <w:rFonts w:ascii="Verdana" w:hAnsi="Verdana"/>
                <w:color w:val="000000"/>
              </w:rPr>
            </w:pPr>
            <w:r w:rsidRPr="00572F7A">
              <w:rPr>
                <w:rFonts w:ascii="Verdana" w:hAnsi="Verdana"/>
                <w:color w:val="000000"/>
              </w:rPr>
              <w:t>Начало на нов преходен период, когато е приложимо;</w:t>
            </w:r>
          </w:p>
          <w:p w:rsidR="00EB027C" w:rsidRPr="00572F7A" w:rsidRDefault="00EB027C" w:rsidP="00EB027C">
            <w:pPr>
              <w:widowControl/>
              <w:autoSpaceDE/>
              <w:autoSpaceDN/>
              <w:adjustRightInd/>
              <w:jc w:val="both"/>
              <w:rPr>
                <w:rFonts w:ascii="Verdana" w:hAnsi="Verdana"/>
                <w:color w:val="000000"/>
              </w:rPr>
            </w:pPr>
            <w:r w:rsidRPr="00572F7A">
              <w:rPr>
                <w:rFonts w:ascii="Verdana" w:hAnsi="Verdana"/>
                <w:color w:val="000000"/>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 или ограничаване на обхвата (на една или повече дейности) на сертификата, ограничаване на биологичния статус на продукция и/или култура;</w:t>
            </w:r>
          </w:p>
          <w:p w:rsidR="00EB027C" w:rsidRPr="00572F7A" w:rsidRDefault="00EB027C" w:rsidP="00EB027C">
            <w:pPr>
              <w:widowControl/>
              <w:autoSpaceDE/>
              <w:autoSpaceDN/>
              <w:adjustRightInd/>
              <w:jc w:val="both"/>
              <w:rPr>
                <w:rFonts w:ascii="Verdana" w:hAnsi="Verdana"/>
                <w:color w:val="000000"/>
              </w:rPr>
            </w:pPr>
            <w:r w:rsidRPr="00572F7A">
              <w:rPr>
                <w:rFonts w:ascii="Verdana" w:hAnsi="Verdana"/>
                <w:color w:val="000000"/>
              </w:rPr>
              <w:t>Подобряване на изпълнението на предпазните мерки и контрола, въведени от оператора с цел гарантиране на съответствие;</w:t>
            </w:r>
          </w:p>
          <w:p w:rsidR="00EB027C" w:rsidRPr="00572F7A" w:rsidRDefault="00EB027C" w:rsidP="00EB027C">
            <w:pPr>
              <w:widowControl/>
              <w:autoSpaceDE/>
              <w:autoSpaceDN/>
              <w:adjustRightInd/>
              <w:jc w:val="both"/>
              <w:rPr>
                <w:rFonts w:ascii="Verdana" w:hAnsi="Verdana"/>
                <w:color w:val="000000"/>
              </w:rPr>
            </w:pPr>
            <w:r w:rsidRPr="00572F7A">
              <w:rPr>
                <w:rFonts w:ascii="Verdana" w:hAnsi="Verdana"/>
                <w:color w:val="000000"/>
              </w:rPr>
              <w:t>Осъществяване на засилен контрол чрез допълнителни инспекции в съответната година;</w:t>
            </w:r>
          </w:p>
          <w:p w:rsidR="00EB027C" w:rsidRPr="00572F7A" w:rsidRDefault="00EB027C" w:rsidP="00EB027C">
            <w:pPr>
              <w:widowControl/>
              <w:autoSpaceDE/>
              <w:autoSpaceDN/>
              <w:adjustRightInd/>
              <w:jc w:val="both"/>
              <w:rPr>
                <w:rFonts w:ascii="Verdana" w:hAnsi="Verdana"/>
                <w:color w:val="000000"/>
              </w:rPr>
            </w:pPr>
            <w:r w:rsidRPr="00572F7A">
              <w:rPr>
                <w:rFonts w:ascii="Verdana" w:hAnsi="Verdana"/>
                <w:color w:val="000000"/>
              </w:rPr>
              <w:t>Контролиращото лице прилага изискванията на чл. 57 от Наредба № 5 от 2018 г.;</w:t>
            </w:r>
          </w:p>
          <w:p w:rsidR="00EB027C" w:rsidRPr="00572F7A" w:rsidRDefault="00EB027C" w:rsidP="00EB027C">
            <w:pPr>
              <w:jc w:val="both"/>
              <w:rPr>
                <w:rFonts w:ascii="Verdana" w:hAnsi="Verdana"/>
              </w:rPr>
            </w:pPr>
            <w:r w:rsidRPr="00572F7A">
              <w:rPr>
                <w:rFonts w:ascii="Verdana" w:hAnsi="Verdana"/>
                <w:iCs/>
                <w:shd w:val="clear" w:color="auto" w:fill="FEFEFE"/>
              </w:rPr>
              <w:t>Засегнатата партида следва да бъде спряна от продажба с позоваване на методите на биологично производство до отстраняване на несъответствието.</w:t>
            </w:r>
          </w:p>
        </w:tc>
      </w:tr>
      <w:tr w:rsidR="00EB027C" w:rsidRPr="00572F7A" w:rsidTr="00086986">
        <w:trPr>
          <w:jc w:val="center"/>
        </w:trPr>
        <w:tc>
          <w:tcPr>
            <w:tcW w:w="2689" w:type="dxa"/>
            <w:tcBorders>
              <w:top w:val="single" w:sz="4" w:space="0" w:color="auto"/>
              <w:left w:val="single" w:sz="4" w:space="0" w:color="auto"/>
              <w:bottom w:val="single" w:sz="4" w:space="0" w:color="auto"/>
              <w:right w:val="single" w:sz="4" w:space="0" w:color="auto"/>
            </w:tcBorders>
            <w:shd w:val="clear" w:color="auto" w:fill="D9E1F2"/>
            <w:vAlign w:val="center"/>
          </w:tcPr>
          <w:p w:rsidR="00EB027C" w:rsidRPr="00572F7A" w:rsidRDefault="00EB027C" w:rsidP="00EB027C">
            <w:pPr>
              <w:widowControl/>
              <w:autoSpaceDE/>
              <w:autoSpaceDN/>
              <w:adjustRightInd/>
              <w:jc w:val="center"/>
              <w:rPr>
                <w:rFonts w:ascii="Verdana" w:hAnsi="Verdana"/>
                <w:b/>
                <w:bCs/>
              </w:rPr>
            </w:pPr>
            <w:r w:rsidRPr="00572F7A">
              <w:rPr>
                <w:rFonts w:ascii="Verdana" w:hAnsi="Verdana"/>
                <w:b/>
                <w:bCs/>
                <w:color w:val="000000"/>
              </w:rPr>
              <w:t>Критично</w:t>
            </w:r>
          </w:p>
        </w:tc>
        <w:tc>
          <w:tcPr>
            <w:tcW w:w="7736" w:type="dxa"/>
            <w:tcBorders>
              <w:top w:val="single" w:sz="4" w:space="0" w:color="auto"/>
              <w:left w:val="nil"/>
              <w:bottom w:val="single" w:sz="4" w:space="0" w:color="auto"/>
              <w:right w:val="single" w:sz="4" w:space="0" w:color="auto"/>
            </w:tcBorders>
            <w:shd w:val="clear" w:color="auto" w:fill="auto"/>
            <w:vAlign w:val="center"/>
          </w:tcPr>
          <w:p w:rsidR="00EB027C" w:rsidRPr="00572F7A" w:rsidRDefault="00EB027C" w:rsidP="00EB027C">
            <w:pPr>
              <w:widowControl/>
              <w:autoSpaceDE/>
              <w:autoSpaceDN/>
              <w:adjustRightInd/>
              <w:jc w:val="both"/>
              <w:rPr>
                <w:rFonts w:ascii="Verdana" w:hAnsi="Verdana"/>
                <w:color w:val="000000"/>
              </w:rPr>
            </w:pPr>
            <w:r w:rsidRPr="00572F7A">
              <w:rPr>
                <w:rFonts w:ascii="Verdana" w:hAnsi="Verdana"/>
                <w:color w:val="000000"/>
              </w:rPr>
              <w:t>Начало на нов преходен период, когато е приложимо;</w:t>
            </w:r>
            <w:r w:rsidRPr="00572F7A">
              <w:rPr>
                <w:rFonts w:ascii="Verdana" w:hAnsi="Verdana"/>
                <w:color w:val="000000"/>
              </w:rPr>
              <w:br w:type="page"/>
            </w:r>
            <w:r w:rsidRPr="00572F7A">
              <w:rPr>
                <w:rFonts w:ascii="Verdana" w:hAnsi="Verdana"/>
                <w:color w:val="000000"/>
              </w:rPr>
              <w:br w:type="page"/>
            </w:r>
          </w:p>
          <w:p w:rsidR="00EB027C" w:rsidRPr="00572F7A" w:rsidRDefault="00EB027C" w:rsidP="00EB027C">
            <w:pPr>
              <w:widowControl/>
              <w:autoSpaceDE/>
              <w:autoSpaceDN/>
              <w:adjustRightInd/>
              <w:jc w:val="both"/>
              <w:rPr>
                <w:rFonts w:ascii="Verdana" w:hAnsi="Verdana"/>
                <w:color w:val="000000"/>
              </w:rPr>
            </w:pPr>
            <w:r w:rsidRPr="00572F7A">
              <w:rPr>
                <w:rFonts w:ascii="Verdana" w:hAnsi="Verdana"/>
                <w:color w:val="000000"/>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r w:rsidRPr="00572F7A">
              <w:rPr>
                <w:rFonts w:ascii="Verdana" w:hAnsi="Verdana"/>
                <w:color w:val="000000"/>
              </w:rPr>
              <w:br w:type="page"/>
            </w:r>
            <w:r w:rsidRPr="00572F7A">
              <w:rPr>
                <w:rFonts w:ascii="Verdana" w:hAnsi="Verdana"/>
                <w:color w:val="000000"/>
              </w:rPr>
              <w:br w:type="page"/>
            </w:r>
          </w:p>
          <w:p w:rsidR="00EB027C" w:rsidRPr="00572F7A" w:rsidRDefault="00EB027C" w:rsidP="00EB027C">
            <w:pPr>
              <w:widowControl/>
              <w:autoSpaceDE/>
              <w:autoSpaceDN/>
              <w:adjustRightInd/>
              <w:jc w:val="both"/>
              <w:rPr>
                <w:rFonts w:ascii="Verdana" w:hAnsi="Verdana"/>
                <w:color w:val="000000"/>
              </w:rPr>
            </w:pPr>
            <w:r w:rsidRPr="00572F7A">
              <w:rPr>
                <w:rFonts w:ascii="Verdana" w:hAnsi="Verdana"/>
                <w:color w:val="000000"/>
              </w:rPr>
              <w:t>Налагане на забрана за пускане на пазара на продукти с позоваване на биологично производство за определен период в съответствие с чл. 42, параграф 2 от Регламент (ЕС) 2018/848 или</w:t>
            </w:r>
            <w:r w:rsidRPr="00572F7A">
              <w:rPr>
                <w:rFonts w:ascii="Verdana" w:hAnsi="Verdana"/>
                <w:color w:val="000000"/>
              </w:rPr>
              <w:br w:type="page"/>
            </w:r>
            <w:r w:rsidRPr="00572F7A">
              <w:rPr>
                <w:rFonts w:ascii="Verdana" w:hAnsi="Verdana"/>
                <w:color w:val="000000"/>
              </w:rPr>
              <w:br w:type="page"/>
              <w:t xml:space="preserve"> ограничаване на обхвата на сертификата (на една или повече дейности) или цялостното му отнемане за определен период от време;</w:t>
            </w:r>
          </w:p>
          <w:p w:rsidR="00EB027C" w:rsidRPr="00572F7A" w:rsidRDefault="00EB027C" w:rsidP="00EB027C">
            <w:pPr>
              <w:widowControl/>
              <w:autoSpaceDE/>
              <w:autoSpaceDN/>
              <w:adjustRightInd/>
              <w:jc w:val="both"/>
              <w:rPr>
                <w:rFonts w:ascii="Verdana" w:hAnsi="Verdana"/>
                <w:color w:val="000000"/>
              </w:rPr>
            </w:pPr>
            <w:r w:rsidRPr="00572F7A">
              <w:rPr>
                <w:rFonts w:ascii="Verdana" w:hAnsi="Verdana"/>
                <w:color w:val="000000"/>
              </w:rPr>
              <w:br w:type="page"/>
            </w:r>
            <w:r w:rsidRPr="00572F7A">
              <w:rPr>
                <w:rFonts w:ascii="Verdana" w:hAnsi="Verdana"/>
                <w:color w:val="000000"/>
              </w:rPr>
              <w:br w:type="page"/>
              <w:t>Подобряване на изпълнението на предпазните мерки и контрола, въведени от оператора с цел гарантиране на съответствие;</w:t>
            </w:r>
            <w:r w:rsidRPr="00572F7A">
              <w:rPr>
                <w:rFonts w:ascii="Verdana" w:hAnsi="Verdana"/>
                <w:color w:val="000000"/>
              </w:rPr>
              <w:br w:type="page"/>
            </w:r>
            <w:r w:rsidRPr="00572F7A">
              <w:rPr>
                <w:rFonts w:ascii="Verdana" w:hAnsi="Verdana"/>
                <w:color w:val="000000"/>
              </w:rPr>
              <w:br w:type="page"/>
            </w:r>
          </w:p>
          <w:p w:rsidR="00EB027C" w:rsidRPr="00572F7A" w:rsidRDefault="00EB027C" w:rsidP="00EB027C">
            <w:pPr>
              <w:widowControl/>
              <w:autoSpaceDE/>
              <w:autoSpaceDN/>
              <w:adjustRightInd/>
              <w:jc w:val="both"/>
              <w:rPr>
                <w:rFonts w:ascii="Verdana" w:hAnsi="Verdana"/>
                <w:color w:val="000000"/>
              </w:rPr>
            </w:pPr>
            <w:r w:rsidRPr="00572F7A">
              <w:rPr>
                <w:rFonts w:ascii="Verdana" w:hAnsi="Verdana"/>
                <w:color w:val="000000"/>
              </w:rPr>
              <w:t>Осъществяване на засилен контрол</w:t>
            </w:r>
            <w:r w:rsidRPr="003D743D">
              <w:rPr>
                <w:rFonts w:ascii="Verdana" w:hAnsi="Verdana"/>
                <w:color w:val="000000"/>
                <w:lang w:val="ru-RU"/>
              </w:rPr>
              <w:t>,</w:t>
            </w:r>
            <w:r w:rsidRPr="00572F7A">
              <w:rPr>
                <w:rFonts w:ascii="Verdana" w:hAnsi="Verdana"/>
                <w:color w:val="000000"/>
              </w:rPr>
              <w:t xml:space="preserve"> чрез допълнителни инспекции в съответната година;</w:t>
            </w:r>
            <w:r w:rsidRPr="00572F7A">
              <w:rPr>
                <w:rFonts w:ascii="Verdana" w:hAnsi="Verdana"/>
                <w:color w:val="000000"/>
              </w:rPr>
              <w:br w:type="page"/>
            </w:r>
            <w:r w:rsidRPr="00572F7A">
              <w:rPr>
                <w:rFonts w:ascii="Verdana" w:hAnsi="Verdana"/>
                <w:color w:val="000000"/>
              </w:rPr>
              <w:br w:type="page"/>
            </w:r>
          </w:p>
          <w:p w:rsidR="00EB027C" w:rsidRPr="00572F7A" w:rsidRDefault="00EB027C" w:rsidP="00EB027C">
            <w:pPr>
              <w:jc w:val="both"/>
              <w:rPr>
                <w:rFonts w:ascii="Verdana" w:hAnsi="Verdana"/>
              </w:rPr>
            </w:pPr>
            <w:r w:rsidRPr="00572F7A">
              <w:rPr>
                <w:rFonts w:ascii="Verdana" w:hAnsi="Verdana"/>
                <w:color w:val="000000"/>
              </w:rPr>
              <w:t>Контролиращото лице</w:t>
            </w:r>
            <w:r w:rsidRPr="00572F7A">
              <w:rPr>
                <w:rFonts w:ascii="Verdana" w:hAnsi="Verdana"/>
                <w:color w:val="000000"/>
                <w:lang w:val="ru-RU"/>
              </w:rPr>
              <w:t xml:space="preserve"> </w:t>
            </w:r>
            <w:r w:rsidRPr="00572F7A">
              <w:rPr>
                <w:rFonts w:ascii="Verdana" w:hAnsi="Verdana"/>
                <w:color w:val="000000"/>
              </w:rPr>
              <w:t>прилага</w:t>
            </w:r>
            <w:r w:rsidRPr="00572F7A">
              <w:rPr>
                <w:rFonts w:ascii="Verdana" w:hAnsi="Verdana"/>
                <w:color w:val="000000"/>
                <w:lang w:val="ru-RU"/>
              </w:rPr>
              <w:t xml:space="preserve"> изискванията на чл. 57 от Наредба № 5 от 2018 г.</w:t>
            </w:r>
          </w:p>
        </w:tc>
      </w:tr>
    </w:tbl>
    <w:p w:rsidR="00EB027C" w:rsidRPr="00572F7A" w:rsidRDefault="00EB027C" w:rsidP="00EB027C">
      <w:pPr>
        <w:spacing w:line="360" w:lineRule="auto"/>
        <w:rPr>
          <w:rFonts w:ascii="Verdana" w:eastAsiaTheme="minorEastAsia" w:hAnsi="Verdana"/>
          <w:lang w:eastAsia="en-US"/>
        </w:rPr>
      </w:pPr>
    </w:p>
    <w:p w:rsidR="00EB027C" w:rsidRPr="003D743D" w:rsidRDefault="00EB027C" w:rsidP="00EB027C">
      <w:pPr>
        <w:spacing w:line="360" w:lineRule="auto"/>
        <w:rPr>
          <w:rFonts w:ascii="Verdana" w:eastAsiaTheme="minorEastAsia" w:hAnsi="Verdana"/>
          <w:lang w:val="ru-RU" w:eastAsia="en-US"/>
        </w:rPr>
        <w:sectPr w:rsidR="00EB027C" w:rsidRPr="003D743D" w:rsidSect="00086986">
          <w:pgSz w:w="11906" w:h="16838" w:code="9"/>
          <w:pgMar w:top="1021" w:right="1134" w:bottom="454" w:left="1701" w:header="709" w:footer="709" w:gutter="0"/>
          <w:cols w:space="708"/>
          <w:docGrid w:linePitch="360"/>
        </w:sectPr>
      </w:pPr>
    </w:p>
    <w:p w:rsidR="00EB027C" w:rsidRPr="00EB027C" w:rsidRDefault="00EB027C" w:rsidP="00EB027C">
      <w:pPr>
        <w:spacing w:line="360" w:lineRule="auto"/>
        <w:rPr>
          <w:rFonts w:ascii="Verdana" w:eastAsiaTheme="minorEastAsia" w:hAnsi="Verdana"/>
          <w:lang w:eastAsia="en-US"/>
        </w:rPr>
      </w:pPr>
      <w:r w:rsidRPr="00EB027C">
        <w:rPr>
          <w:rFonts w:ascii="Verdana" w:hAnsi="Verdana"/>
          <w:b/>
          <w:bCs/>
          <w:color w:val="000000"/>
        </w:rPr>
        <w:lastRenderedPageBreak/>
        <w:t>В. КАТАЛОГ МЕРКИ И НЕСЪОТВЕТСТВИЯ</w:t>
      </w:r>
    </w:p>
    <w:tbl>
      <w:tblPr>
        <w:tblW w:w="15446" w:type="dxa"/>
        <w:jc w:val="center"/>
        <w:tblLayout w:type="fixed"/>
        <w:tblCellMar>
          <w:left w:w="70" w:type="dxa"/>
          <w:right w:w="70" w:type="dxa"/>
        </w:tblCellMar>
        <w:tblLook w:val="04A0" w:firstRow="1" w:lastRow="0" w:firstColumn="1" w:lastColumn="0" w:noHBand="0" w:noVBand="1"/>
      </w:tblPr>
      <w:tblGrid>
        <w:gridCol w:w="711"/>
        <w:gridCol w:w="2261"/>
        <w:gridCol w:w="1986"/>
        <w:gridCol w:w="1844"/>
        <w:gridCol w:w="2873"/>
        <w:gridCol w:w="3225"/>
        <w:gridCol w:w="2546"/>
      </w:tblGrid>
      <w:tr w:rsidR="00E756C5" w:rsidRPr="00EB027C" w:rsidTr="0008305C">
        <w:trPr>
          <w:cantSplit/>
          <w:trHeight w:val="1701"/>
          <w:jc w:val="center"/>
        </w:trPr>
        <w:tc>
          <w:tcPr>
            <w:tcW w:w="230" w:type="pct"/>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rsidR="00EB027C" w:rsidRPr="00EB027C" w:rsidRDefault="00EB027C" w:rsidP="00EB027C">
            <w:pPr>
              <w:widowControl/>
              <w:autoSpaceDE/>
              <w:autoSpaceDN/>
              <w:adjustRightInd/>
              <w:ind w:left="113" w:right="113"/>
              <w:rPr>
                <w:rFonts w:ascii="Verdana" w:hAnsi="Verdana" w:cs="Arial"/>
                <w:b/>
                <w:bCs/>
                <w:sz w:val="16"/>
                <w:szCs w:val="16"/>
              </w:rPr>
            </w:pPr>
            <w:r w:rsidRPr="00EB027C">
              <w:rPr>
                <w:rFonts w:ascii="Verdana" w:hAnsi="Verdana" w:cs="Arial"/>
                <w:b/>
                <w:bCs/>
                <w:sz w:val="16"/>
                <w:szCs w:val="16"/>
              </w:rPr>
              <w:t>Код на несъответствието</w:t>
            </w:r>
          </w:p>
        </w:tc>
        <w:tc>
          <w:tcPr>
            <w:tcW w:w="732"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EB027C" w:rsidRPr="00EB027C" w:rsidRDefault="00EB027C" w:rsidP="00EB027C">
            <w:pPr>
              <w:widowControl/>
              <w:autoSpaceDE/>
              <w:autoSpaceDN/>
              <w:adjustRightInd/>
              <w:jc w:val="center"/>
              <w:rPr>
                <w:rFonts w:ascii="Verdana" w:hAnsi="Verdana" w:cs="Arial"/>
                <w:b/>
                <w:bCs/>
                <w:sz w:val="16"/>
                <w:szCs w:val="16"/>
              </w:rPr>
            </w:pPr>
            <w:r w:rsidRPr="00EB027C">
              <w:rPr>
                <w:rFonts w:ascii="Verdana" w:hAnsi="Verdana" w:cs="Arial"/>
                <w:b/>
                <w:bCs/>
                <w:sz w:val="16"/>
                <w:szCs w:val="16"/>
              </w:rPr>
              <w:t>Несъответствие</w:t>
            </w:r>
          </w:p>
        </w:tc>
        <w:tc>
          <w:tcPr>
            <w:tcW w:w="643"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EB027C" w:rsidRPr="00EB027C" w:rsidRDefault="00EB027C" w:rsidP="00EB027C">
            <w:pPr>
              <w:widowControl/>
              <w:autoSpaceDE/>
              <w:autoSpaceDN/>
              <w:adjustRightInd/>
              <w:jc w:val="center"/>
              <w:rPr>
                <w:rFonts w:ascii="Verdana" w:hAnsi="Verdana" w:cs="Arial"/>
                <w:b/>
                <w:bCs/>
                <w:sz w:val="16"/>
                <w:szCs w:val="16"/>
              </w:rPr>
            </w:pPr>
            <w:r w:rsidRPr="00EB027C">
              <w:rPr>
                <w:rFonts w:ascii="Verdana" w:hAnsi="Verdana" w:cs="Arial"/>
                <w:b/>
                <w:bCs/>
                <w:sz w:val="16"/>
                <w:szCs w:val="16"/>
              </w:rPr>
              <w:t>Правно основание</w:t>
            </w:r>
          </w:p>
        </w:tc>
        <w:tc>
          <w:tcPr>
            <w:tcW w:w="59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EB027C" w:rsidRPr="00EB027C" w:rsidRDefault="00EB027C" w:rsidP="00EB027C">
            <w:pPr>
              <w:widowControl/>
              <w:autoSpaceDE/>
              <w:autoSpaceDN/>
              <w:adjustRightInd/>
              <w:jc w:val="center"/>
              <w:rPr>
                <w:rFonts w:ascii="Verdana" w:hAnsi="Verdana" w:cs="Arial"/>
                <w:b/>
                <w:bCs/>
                <w:sz w:val="16"/>
                <w:szCs w:val="16"/>
              </w:rPr>
            </w:pPr>
            <w:r w:rsidRPr="00EB027C">
              <w:rPr>
                <w:rFonts w:ascii="Verdana" w:hAnsi="Verdana" w:cs="Arial"/>
                <w:b/>
                <w:bCs/>
                <w:sz w:val="16"/>
                <w:szCs w:val="16"/>
              </w:rPr>
              <w:t>Нива на несъответствие</w:t>
            </w:r>
          </w:p>
        </w:tc>
        <w:tc>
          <w:tcPr>
            <w:tcW w:w="930"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EB027C" w:rsidRPr="00EB027C" w:rsidRDefault="00EB027C" w:rsidP="00EB027C">
            <w:pPr>
              <w:widowControl/>
              <w:autoSpaceDE/>
              <w:autoSpaceDN/>
              <w:adjustRightInd/>
              <w:jc w:val="center"/>
              <w:rPr>
                <w:rFonts w:ascii="Verdana" w:hAnsi="Verdana" w:cs="Arial"/>
                <w:b/>
                <w:bCs/>
                <w:sz w:val="16"/>
                <w:szCs w:val="16"/>
              </w:rPr>
            </w:pPr>
            <w:r w:rsidRPr="00EB027C">
              <w:rPr>
                <w:rFonts w:ascii="Verdana" w:hAnsi="Verdana" w:cs="Arial"/>
                <w:b/>
                <w:bCs/>
                <w:sz w:val="16"/>
                <w:szCs w:val="16"/>
              </w:rPr>
              <w:t>Мерки при първо несъответствие</w:t>
            </w:r>
          </w:p>
        </w:tc>
        <w:tc>
          <w:tcPr>
            <w:tcW w:w="10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EB027C" w:rsidRPr="00EB027C" w:rsidRDefault="00EB027C" w:rsidP="00EB027C">
            <w:pPr>
              <w:widowControl/>
              <w:autoSpaceDE/>
              <w:autoSpaceDN/>
              <w:adjustRightInd/>
              <w:jc w:val="center"/>
              <w:rPr>
                <w:rFonts w:ascii="Verdana" w:hAnsi="Verdana" w:cs="Arial"/>
                <w:b/>
                <w:bCs/>
                <w:sz w:val="16"/>
                <w:szCs w:val="16"/>
              </w:rPr>
            </w:pPr>
            <w:r w:rsidRPr="00EB027C">
              <w:rPr>
                <w:rFonts w:ascii="Verdana" w:hAnsi="Verdana" w:cs="Arial"/>
                <w:b/>
                <w:bCs/>
                <w:sz w:val="16"/>
                <w:szCs w:val="16"/>
              </w:rPr>
              <w:t>Мерки при повторно несъответствие</w:t>
            </w:r>
          </w:p>
        </w:tc>
        <w:tc>
          <w:tcPr>
            <w:tcW w:w="82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EB027C" w:rsidRPr="00EB027C" w:rsidRDefault="00EB027C" w:rsidP="00EB027C">
            <w:pPr>
              <w:widowControl/>
              <w:autoSpaceDE/>
              <w:autoSpaceDN/>
              <w:adjustRightInd/>
              <w:jc w:val="center"/>
              <w:rPr>
                <w:rFonts w:ascii="Verdana" w:hAnsi="Verdana" w:cs="Arial"/>
                <w:b/>
                <w:bCs/>
                <w:sz w:val="16"/>
                <w:szCs w:val="16"/>
              </w:rPr>
            </w:pPr>
            <w:r w:rsidRPr="00EB027C">
              <w:rPr>
                <w:rFonts w:ascii="Verdana" w:hAnsi="Verdana" w:cs="Arial"/>
                <w:b/>
                <w:bCs/>
                <w:sz w:val="16"/>
                <w:szCs w:val="16"/>
              </w:rPr>
              <w:t>Допълнителни мерки и действия от КЛ при повторно несъответствие или несъответствие от Ниво 3 "Критични несъответствия</w:t>
            </w:r>
          </w:p>
        </w:tc>
      </w:tr>
    </w:tbl>
    <w:p w:rsidR="0008305C" w:rsidRPr="0008305C" w:rsidRDefault="0008305C">
      <w:pPr>
        <w:rPr>
          <w:sz w:val="10"/>
          <w:szCs w:val="10"/>
        </w:rPr>
      </w:pPr>
    </w:p>
    <w:tbl>
      <w:tblPr>
        <w:tblW w:w="15446" w:type="dxa"/>
        <w:jc w:val="center"/>
        <w:tblLayout w:type="fixed"/>
        <w:tblCellMar>
          <w:left w:w="70" w:type="dxa"/>
          <w:right w:w="70" w:type="dxa"/>
        </w:tblCellMar>
        <w:tblLook w:val="04A0" w:firstRow="1" w:lastRow="0" w:firstColumn="1" w:lastColumn="0" w:noHBand="0" w:noVBand="1"/>
      </w:tblPr>
      <w:tblGrid>
        <w:gridCol w:w="711"/>
        <w:gridCol w:w="2261"/>
        <w:gridCol w:w="1986"/>
        <w:gridCol w:w="1844"/>
        <w:gridCol w:w="2873"/>
        <w:gridCol w:w="3225"/>
        <w:gridCol w:w="2546"/>
      </w:tblGrid>
      <w:tr w:rsidR="00E756C5" w:rsidRPr="00EB027C" w:rsidTr="0008305C">
        <w:trPr>
          <w:cantSplit/>
          <w:trHeight w:val="345"/>
          <w:tblHeader/>
          <w:jc w:val="center"/>
        </w:trPr>
        <w:tc>
          <w:tcPr>
            <w:tcW w:w="230" w:type="pct"/>
            <w:tcBorders>
              <w:top w:val="single" w:sz="4" w:space="0" w:color="auto"/>
              <w:left w:val="single" w:sz="4" w:space="0" w:color="auto"/>
              <w:bottom w:val="single" w:sz="4" w:space="0" w:color="auto"/>
              <w:right w:val="single" w:sz="4" w:space="0" w:color="auto"/>
            </w:tcBorders>
            <w:shd w:val="clear" w:color="000000" w:fill="D9D9D9"/>
            <w:vAlign w:val="center"/>
          </w:tcPr>
          <w:p w:rsidR="00EB027C" w:rsidRPr="00EB027C" w:rsidRDefault="00EB027C" w:rsidP="004242C0">
            <w:pPr>
              <w:widowControl/>
              <w:autoSpaceDE/>
              <w:autoSpaceDN/>
              <w:adjustRightInd/>
              <w:jc w:val="center"/>
              <w:rPr>
                <w:rFonts w:ascii="Verdana" w:hAnsi="Verdana" w:cs="Arial"/>
                <w:b/>
                <w:bCs/>
                <w:sz w:val="16"/>
                <w:szCs w:val="16"/>
              </w:rPr>
            </w:pPr>
            <w:r w:rsidRPr="00EB027C">
              <w:rPr>
                <w:rFonts w:ascii="Verdana" w:hAnsi="Verdana" w:cs="Arial"/>
                <w:b/>
                <w:bCs/>
                <w:sz w:val="16"/>
                <w:szCs w:val="16"/>
              </w:rPr>
              <w:t>1</w:t>
            </w:r>
          </w:p>
        </w:tc>
        <w:tc>
          <w:tcPr>
            <w:tcW w:w="732" w:type="pct"/>
            <w:tcBorders>
              <w:top w:val="single" w:sz="4" w:space="0" w:color="auto"/>
              <w:left w:val="single" w:sz="4" w:space="0" w:color="auto"/>
              <w:bottom w:val="single" w:sz="4" w:space="0" w:color="auto"/>
              <w:right w:val="single" w:sz="4" w:space="0" w:color="auto"/>
            </w:tcBorders>
            <w:shd w:val="clear" w:color="000000" w:fill="D9D9D9"/>
            <w:vAlign w:val="center"/>
          </w:tcPr>
          <w:p w:rsidR="00EB027C" w:rsidRPr="00EB027C" w:rsidRDefault="00EB027C" w:rsidP="004242C0">
            <w:pPr>
              <w:widowControl/>
              <w:autoSpaceDE/>
              <w:autoSpaceDN/>
              <w:adjustRightInd/>
              <w:jc w:val="center"/>
              <w:rPr>
                <w:rFonts w:ascii="Verdana" w:hAnsi="Verdana" w:cs="Arial"/>
                <w:b/>
                <w:bCs/>
                <w:sz w:val="16"/>
                <w:szCs w:val="16"/>
              </w:rPr>
            </w:pPr>
            <w:r w:rsidRPr="00EB027C">
              <w:rPr>
                <w:rFonts w:ascii="Verdana" w:hAnsi="Verdana" w:cs="Arial"/>
                <w:b/>
                <w:bCs/>
                <w:sz w:val="16"/>
                <w:szCs w:val="16"/>
              </w:rPr>
              <w:t>2</w:t>
            </w:r>
          </w:p>
        </w:tc>
        <w:tc>
          <w:tcPr>
            <w:tcW w:w="643" w:type="pct"/>
            <w:tcBorders>
              <w:top w:val="single" w:sz="4" w:space="0" w:color="auto"/>
              <w:left w:val="single" w:sz="4" w:space="0" w:color="auto"/>
              <w:bottom w:val="single" w:sz="4" w:space="0" w:color="auto"/>
              <w:right w:val="single" w:sz="4" w:space="0" w:color="auto"/>
            </w:tcBorders>
            <w:shd w:val="clear" w:color="000000" w:fill="D9D9D9"/>
            <w:vAlign w:val="center"/>
          </w:tcPr>
          <w:p w:rsidR="00EB027C" w:rsidRPr="00EB027C" w:rsidRDefault="00EB027C" w:rsidP="004242C0">
            <w:pPr>
              <w:widowControl/>
              <w:autoSpaceDE/>
              <w:autoSpaceDN/>
              <w:adjustRightInd/>
              <w:jc w:val="center"/>
              <w:rPr>
                <w:rFonts w:ascii="Verdana" w:hAnsi="Verdana" w:cs="Arial"/>
                <w:b/>
                <w:bCs/>
                <w:sz w:val="16"/>
                <w:szCs w:val="16"/>
              </w:rPr>
            </w:pPr>
            <w:r w:rsidRPr="00EB027C">
              <w:rPr>
                <w:rFonts w:ascii="Verdana" w:hAnsi="Verdana" w:cs="Arial"/>
                <w:b/>
                <w:bCs/>
                <w:sz w:val="16"/>
                <w:szCs w:val="16"/>
              </w:rPr>
              <w:t>3</w:t>
            </w:r>
          </w:p>
        </w:tc>
        <w:tc>
          <w:tcPr>
            <w:tcW w:w="597" w:type="pct"/>
            <w:tcBorders>
              <w:top w:val="single" w:sz="4" w:space="0" w:color="auto"/>
              <w:left w:val="single" w:sz="4" w:space="0" w:color="auto"/>
              <w:bottom w:val="single" w:sz="4" w:space="0" w:color="auto"/>
              <w:right w:val="single" w:sz="4" w:space="0" w:color="auto"/>
            </w:tcBorders>
            <w:shd w:val="clear" w:color="000000" w:fill="D9D9D9"/>
            <w:vAlign w:val="center"/>
          </w:tcPr>
          <w:p w:rsidR="00EB027C" w:rsidRPr="00EB027C" w:rsidRDefault="00EB027C" w:rsidP="004242C0">
            <w:pPr>
              <w:widowControl/>
              <w:autoSpaceDE/>
              <w:autoSpaceDN/>
              <w:adjustRightInd/>
              <w:jc w:val="center"/>
              <w:rPr>
                <w:rFonts w:ascii="Verdana" w:hAnsi="Verdana" w:cs="Arial"/>
                <w:b/>
                <w:bCs/>
                <w:sz w:val="16"/>
                <w:szCs w:val="16"/>
              </w:rPr>
            </w:pPr>
            <w:r w:rsidRPr="00EB027C">
              <w:rPr>
                <w:rFonts w:ascii="Verdana" w:hAnsi="Verdana" w:cs="Arial"/>
                <w:b/>
                <w:bCs/>
                <w:sz w:val="16"/>
                <w:szCs w:val="16"/>
              </w:rPr>
              <w:t>4</w:t>
            </w:r>
          </w:p>
        </w:tc>
        <w:tc>
          <w:tcPr>
            <w:tcW w:w="930" w:type="pct"/>
            <w:tcBorders>
              <w:top w:val="single" w:sz="4" w:space="0" w:color="auto"/>
              <w:left w:val="single" w:sz="4" w:space="0" w:color="auto"/>
              <w:bottom w:val="single" w:sz="4" w:space="0" w:color="auto"/>
              <w:right w:val="single" w:sz="4" w:space="0" w:color="auto"/>
            </w:tcBorders>
            <w:shd w:val="clear" w:color="000000" w:fill="D9D9D9"/>
            <w:vAlign w:val="center"/>
          </w:tcPr>
          <w:p w:rsidR="00EB027C" w:rsidRPr="00EB027C" w:rsidRDefault="00EB027C" w:rsidP="004242C0">
            <w:pPr>
              <w:widowControl/>
              <w:autoSpaceDE/>
              <w:autoSpaceDN/>
              <w:adjustRightInd/>
              <w:jc w:val="center"/>
              <w:rPr>
                <w:rFonts w:ascii="Verdana" w:hAnsi="Verdana" w:cs="Arial"/>
                <w:b/>
                <w:bCs/>
                <w:sz w:val="16"/>
                <w:szCs w:val="16"/>
              </w:rPr>
            </w:pPr>
            <w:r w:rsidRPr="00EB027C">
              <w:rPr>
                <w:rFonts w:ascii="Verdana" w:hAnsi="Verdana" w:cs="Arial"/>
                <w:b/>
                <w:bCs/>
                <w:sz w:val="16"/>
                <w:szCs w:val="16"/>
              </w:rPr>
              <w:t>5</w:t>
            </w:r>
          </w:p>
        </w:tc>
        <w:tc>
          <w:tcPr>
            <w:tcW w:w="1044" w:type="pct"/>
            <w:tcBorders>
              <w:top w:val="single" w:sz="4" w:space="0" w:color="auto"/>
              <w:left w:val="single" w:sz="4" w:space="0" w:color="auto"/>
              <w:bottom w:val="single" w:sz="4" w:space="0" w:color="auto"/>
              <w:right w:val="single" w:sz="4" w:space="0" w:color="auto"/>
            </w:tcBorders>
            <w:shd w:val="clear" w:color="auto" w:fill="D9D9D9"/>
            <w:vAlign w:val="center"/>
          </w:tcPr>
          <w:p w:rsidR="00EB027C" w:rsidRPr="00EB027C" w:rsidRDefault="00EB027C" w:rsidP="004242C0">
            <w:pPr>
              <w:widowControl/>
              <w:autoSpaceDE/>
              <w:autoSpaceDN/>
              <w:adjustRightInd/>
              <w:jc w:val="center"/>
              <w:rPr>
                <w:rFonts w:ascii="Verdana" w:hAnsi="Verdana" w:cs="Arial"/>
                <w:b/>
                <w:bCs/>
                <w:sz w:val="16"/>
                <w:szCs w:val="16"/>
              </w:rPr>
            </w:pPr>
            <w:r w:rsidRPr="00EB027C">
              <w:rPr>
                <w:rFonts w:ascii="Verdana" w:hAnsi="Verdana" w:cs="Arial"/>
                <w:b/>
                <w:bCs/>
                <w:sz w:val="16"/>
                <w:szCs w:val="16"/>
              </w:rPr>
              <w:t>6</w:t>
            </w:r>
          </w:p>
        </w:tc>
        <w:tc>
          <w:tcPr>
            <w:tcW w:w="824" w:type="pct"/>
            <w:tcBorders>
              <w:top w:val="single" w:sz="4" w:space="0" w:color="auto"/>
              <w:left w:val="single" w:sz="4" w:space="0" w:color="auto"/>
              <w:bottom w:val="single" w:sz="4" w:space="0" w:color="auto"/>
              <w:right w:val="single" w:sz="4" w:space="0" w:color="auto"/>
            </w:tcBorders>
            <w:shd w:val="clear" w:color="auto" w:fill="D9D9D9"/>
            <w:vAlign w:val="center"/>
          </w:tcPr>
          <w:p w:rsidR="00EB027C" w:rsidRPr="00EB027C" w:rsidRDefault="00EB027C" w:rsidP="004242C0">
            <w:pPr>
              <w:widowControl/>
              <w:autoSpaceDE/>
              <w:autoSpaceDN/>
              <w:adjustRightInd/>
              <w:jc w:val="center"/>
              <w:rPr>
                <w:rFonts w:ascii="Verdana" w:hAnsi="Verdana" w:cs="Arial"/>
                <w:b/>
                <w:bCs/>
                <w:sz w:val="16"/>
                <w:szCs w:val="16"/>
              </w:rPr>
            </w:pPr>
            <w:r w:rsidRPr="00EB027C">
              <w:rPr>
                <w:rFonts w:ascii="Verdana" w:hAnsi="Verdana" w:cs="Arial"/>
                <w:b/>
                <w:bCs/>
                <w:sz w:val="16"/>
                <w:szCs w:val="16"/>
              </w:rPr>
              <w:t>7</w:t>
            </w:r>
          </w:p>
        </w:tc>
      </w:tr>
      <w:tr w:rsidR="00EB027C" w:rsidRPr="00EB027C" w:rsidTr="00E756C5">
        <w:trPr>
          <w:trHeight w:val="397"/>
          <w:jc w:val="center"/>
        </w:trPr>
        <w:tc>
          <w:tcPr>
            <w:tcW w:w="5000" w:type="pct"/>
            <w:gridSpan w:val="7"/>
            <w:tcBorders>
              <w:top w:val="single" w:sz="4" w:space="0" w:color="auto"/>
              <w:left w:val="single" w:sz="4" w:space="0" w:color="auto"/>
              <w:bottom w:val="single" w:sz="4" w:space="0" w:color="auto"/>
              <w:right w:val="single" w:sz="4" w:space="0" w:color="000000"/>
            </w:tcBorders>
            <w:shd w:val="clear" w:color="000000" w:fill="B4C6E7"/>
            <w:vAlign w:val="center"/>
            <w:hideMark/>
          </w:tcPr>
          <w:p w:rsidR="00EB027C" w:rsidRPr="00EB027C" w:rsidRDefault="00EB027C" w:rsidP="00EB027C">
            <w:pPr>
              <w:widowControl/>
              <w:autoSpaceDE/>
              <w:autoSpaceDN/>
              <w:adjustRightInd/>
              <w:jc w:val="center"/>
              <w:rPr>
                <w:rFonts w:ascii="Verdana" w:hAnsi="Verdana" w:cs="Arial"/>
                <w:b/>
                <w:bCs/>
                <w:sz w:val="16"/>
                <w:szCs w:val="16"/>
              </w:rPr>
            </w:pPr>
            <w:r w:rsidRPr="00EB027C">
              <w:rPr>
                <w:rFonts w:ascii="Verdana" w:hAnsi="Verdana" w:cs="Arial"/>
                <w:b/>
                <w:bCs/>
                <w:sz w:val="16"/>
                <w:szCs w:val="16"/>
              </w:rPr>
              <w:t>А. ОБЩИ ДОКУМЕНТАЛНИ НЕСЪОТВЕТСТВИЯ</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А.1</w:t>
            </w:r>
          </w:p>
        </w:tc>
        <w:tc>
          <w:tcPr>
            <w:tcW w:w="732"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В документалната отчетност липсва частично информацията по чл. 1, параграф 4 от Регламент (ЕС) 2021/771.</w:t>
            </w:r>
          </w:p>
        </w:tc>
        <w:tc>
          <w:tcPr>
            <w:tcW w:w="643"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Регламент (ЕС) 2021/771, </w:t>
            </w:r>
            <w:r w:rsidRPr="00EB027C">
              <w:rPr>
                <w:rFonts w:ascii="Verdana" w:hAnsi="Verdana" w:cs="Arial"/>
                <w:sz w:val="16"/>
                <w:szCs w:val="16"/>
              </w:rPr>
              <w:br/>
              <w:t>чл. 1, параграф 4, от буква „а“ до „в“</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1 Незначителни нарушения</w:t>
            </w:r>
          </w:p>
        </w:tc>
        <w:tc>
          <w:tcPr>
            <w:tcW w:w="930"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tc>
        <w:tc>
          <w:tcPr>
            <w:tcW w:w="104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824" w:type="pct"/>
            <w:tcBorders>
              <w:top w:val="single" w:sz="4" w:space="0" w:color="auto"/>
              <w:left w:val="nil"/>
              <w:bottom w:val="single" w:sz="4" w:space="0" w:color="auto"/>
              <w:right w:val="single" w:sz="4" w:space="0" w:color="auto"/>
            </w:tcBorders>
            <w:shd w:val="clear" w:color="000000" w:fill="FFFFFF"/>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съответната година.</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А.2</w:t>
            </w:r>
          </w:p>
        </w:tc>
        <w:tc>
          <w:tcPr>
            <w:tcW w:w="732"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В документалната отчетност липсва  напълно информацията по чл. 1, параграф 4 от Регламент (ЕС) 2021/771.</w:t>
            </w:r>
          </w:p>
        </w:tc>
        <w:tc>
          <w:tcPr>
            <w:tcW w:w="643"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Регламент (ЕС) 2021/771, </w:t>
            </w:r>
            <w:r w:rsidRPr="00EB027C">
              <w:rPr>
                <w:rFonts w:ascii="Verdana" w:hAnsi="Verdana" w:cs="Arial"/>
                <w:sz w:val="16"/>
                <w:szCs w:val="16"/>
              </w:rPr>
              <w:br/>
              <w:t>чл. 1, параграф 4, от буква „а“ до „в“</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Налагане на забрана за пускане на пазара на продукти с позоваване на биологично производство за определен период в съответствие с чл. 42, параграф 2 от Регламент (ЕС) 2018/848.</w:t>
            </w:r>
          </w:p>
        </w:tc>
        <w:tc>
          <w:tcPr>
            <w:tcW w:w="1044" w:type="pct"/>
            <w:tcBorders>
              <w:top w:val="single" w:sz="4" w:space="0" w:color="auto"/>
              <w:left w:val="single" w:sz="4" w:space="0" w:color="auto"/>
              <w:bottom w:val="single" w:sz="4" w:space="0" w:color="auto"/>
              <w:right w:val="single" w:sz="4" w:space="0" w:color="auto"/>
            </w:tcBorders>
            <w:shd w:val="clear" w:color="000000" w:fill="FFFFFF"/>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Ограничаване на обхвата на сертификата за съответния продукт/ производствена единица за не по-малко от 3 месеца от установяване на несъответствието.</w:t>
            </w:r>
          </w:p>
        </w:tc>
        <w:tc>
          <w:tcPr>
            <w:tcW w:w="824" w:type="pct"/>
            <w:tcBorders>
              <w:top w:val="single" w:sz="4" w:space="0" w:color="auto"/>
              <w:left w:val="nil"/>
              <w:bottom w:val="single" w:sz="4" w:space="0" w:color="auto"/>
              <w:right w:val="single" w:sz="4" w:space="0" w:color="auto"/>
            </w:tcBorders>
            <w:shd w:val="clear" w:color="000000" w:fill="FFFFFF"/>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съответната година.</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А.3</w:t>
            </w:r>
          </w:p>
        </w:tc>
        <w:tc>
          <w:tcPr>
            <w:tcW w:w="732"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В документалната отчетност липсва идентификация на партида, която не е пусната на пазара, но системата за проследяване на оператора може да я идентифицира.</w:t>
            </w:r>
          </w:p>
        </w:tc>
        <w:tc>
          <w:tcPr>
            <w:tcW w:w="643"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2021/771, чл. 1, параграф 4, буква „д“</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1 Незначителни нарушения</w:t>
            </w:r>
          </w:p>
        </w:tc>
        <w:tc>
          <w:tcPr>
            <w:tcW w:w="930" w:type="pct"/>
            <w:tcBorders>
              <w:top w:val="single" w:sz="4" w:space="0" w:color="auto"/>
              <w:left w:val="nil"/>
              <w:bottom w:val="single" w:sz="4" w:space="0" w:color="auto"/>
              <w:right w:val="single" w:sz="4" w:space="0" w:color="auto"/>
            </w:tcBorders>
            <w:shd w:val="clear" w:color="000000" w:fill="FFFFFF"/>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Налагане на забрана за пускане на пазара на продукти с позоваване на биологично производство за определен </w:t>
            </w:r>
            <w:r w:rsidRPr="00EB027C">
              <w:rPr>
                <w:rFonts w:ascii="Verdana" w:hAnsi="Verdana" w:cs="Arial"/>
                <w:sz w:val="16"/>
                <w:szCs w:val="16"/>
              </w:rPr>
              <w:lastRenderedPageBreak/>
              <w:t>период в съответствие с чл. 42, параграф 2 от Регламент (ЕС) 2018/848.</w:t>
            </w:r>
          </w:p>
        </w:tc>
        <w:tc>
          <w:tcPr>
            <w:tcW w:w="1044" w:type="pct"/>
            <w:tcBorders>
              <w:top w:val="single" w:sz="4" w:space="0" w:color="auto"/>
              <w:left w:val="nil"/>
              <w:bottom w:val="single" w:sz="4" w:space="0" w:color="auto"/>
              <w:right w:val="single" w:sz="4" w:space="0" w:color="auto"/>
            </w:tcBorders>
            <w:shd w:val="clear" w:color="000000" w:fill="FFFFFF"/>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Подобряване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Премахване на позоваването на биологично производство при етикетирането и рекламирането на цялата засегната партида или продукция [засегната(-ите) </w:t>
            </w:r>
            <w:r w:rsidRPr="00EB027C">
              <w:rPr>
                <w:rFonts w:ascii="Verdana" w:hAnsi="Verdana" w:cs="Arial"/>
                <w:sz w:val="16"/>
                <w:szCs w:val="16"/>
              </w:rPr>
              <w:lastRenderedPageBreak/>
              <w:t>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Ограничаване на обхвата на сертификата за съответния продукт/производствена единица за не по-малко от 3 месеца от установяване на несъответствието.</w:t>
            </w:r>
          </w:p>
        </w:tc>
        <w:tc>
          <w:tcPr>
            <w:tcW w:w="824" w:type="pct"/>
            <w:tcBorders>
              <w:top w:val="single" w:sz="4" w:space="0" w:color="auto"/>
              <w:left w:val="nil"/>
              <w:bottom w:val="single" w:sz="4" w:space="0" w:color="auto"/>
              <w:right w:val="single" w:sz="4" w:space="0" w:color="auto"/>
            </w:tcBorders>
            <w:shd w:val="clear" w:color="000000" w:fill="FFFFFF"/>
          </w:tcPr>
          <w:p w:rsidR="00EB027C" w:rsidRPr="00EB027C" w:rsidRDefault="00EB027C" w:rsidP="004242C0">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Осъществяване на засилен контрол чрез допълнителни инспекции в съответната година.</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А.4</w:t>
            </w:r>
          </w:p>
        </w:tc>
        <w:tc>
          <w:tcPr>
            <w:tcW w:w="732"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В документалната отчетност липсва идентификация на партида, която е пусната на пазара, но системата за проследяване на оператора може да я идентифицира и партидата може да бъде изтеглена.</w:t>
            </w:r>
          </w:p>
        </w:tc>
        <w:tc>
          <w:tcPr>
            <w:tcW w:w="643"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2021/771, чл. 1, параграф 4, буква „д“</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000000" w:fill="FFFFFF"/>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tc>
        <w:tc>
          <w:tcPr>
            <w:tcW w:w="1044" w:type="pct"/>
            <w:tcBorders>
              <w:top w:val="single" w:sz="4" w:space="0" w:color="auto"/>
              <w:left w:val="nil"/>
              <w:bottom w:val="single" w:sz="4" w:space="0" w:color="auto"/>
              <w:right w:val="single" w:sz="4" w:space="0" w:color="auto"/>
            </w:tcBorders>
            <w:shd w:val="clear" w:color="000000" w:fill="FFFFFF"/>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сертификата за съответния продукт/ производствена единица за срок от 6 месеца от установяване на несъответствието.</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824" w:type="pct"/>
            <w:tcBorders>
              <w:top w:val="single" w:sz="4" w:space="0" w:color="auto"/>
              <w:left w:val="nil"/>
              <w:bottom w:val="single" w:sz="4" w:space="0" w:color="auto"/>
              <w:right w:val="single" w:sz="4" w:space="0" w:color="auto"/>
            </w:tcBorders>
            <w:shd w:val="clear" w:color="000000" w:fill="FFFFFF"/>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съответната година.</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А.5</w:t>
            </w:r>
          </w:p>
        </w:tc>
        <w:tc>
          <w:tcPr>
            <w:tcW w:w="732"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Липса на идентификация на партида, която е пусната на пазара, системата за проследяване на оператора може да я идентифицира, но  партидата не може да бъде изтеглена, или системата за проследяване на оператора не може да идентифицира засегнатата партида.</w:t>
            </w:r>
          </w:p>
        </w:tc>
        <w:tc>
          <w:tcPr>
            <w:tcW w:w="643"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2021/771, чл. 1, параграф 4, буква „д“</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3 Критични нарушения</w:t>
            </w:r>
            <w:r w:rsidRPr="00EB027C">
              <w:rPr>
                <w:rFonts w:ascii="Verdana" w:hAnsi="Verdana" w:cs="Arial"/>
                <w:sz w:val="16"/>
                <w:szCs w:val="16"/>
              </w:rPr>
              <w:br w:type="page"/>
            </w:r>
          </w:p>
        </w:tc>
        <w:tc>
          <w:tcPr>
            <w:tcW w:w="930"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br w:type="page"/>
            </w:r>
            <w:r w:rsidRPr="00EB027C">
              <w:rPr>
                <w:rFonts w:ascii="Verdana" w:hAnsi="Verdana" w:cs="Arial"/>
                <w:sz w:val="16"/>
                <w:szCs w:val="16"/>
              </w:rPr>
              <w:br w:type="page"/>
              <w:t>Подобряване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br w:type="page"/>
            </w:r>
            <w:r w:rsidRPr="00EB027C">
              <w:rPr>
                <w:rFonts w:ascii="Verdana" w:hAnsi="Verdana" w:cs="Arial"/>
                <w:sz w:val="16"/>
                <w:szCs w:val="16"/>
              </w:rPr>
              <w:br w:type="page"/>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343031">
            <w:pPr>
              <w:widowControl/>
              <w:autoSpaceDE/>
              <w:autoSpaceDN/>
              <w:adjustRightInd/>
              <w:spacing w:after="120"/>
              <w:rPr>
                <w:rFonts w:ascii="Verdana" w:hAnsi="Verdana" w:cs="Arial"/>
                <w:sz w:val="16"/>
                <w:szCs w:val="16"/>
              </w:rPr>
            </w:pPr>
            <w:r w:rsidRPr="00EB027C">
              <w:rPr>
                <w:rFonts w:ascii="Verdana" w:hAnsi="Verdana" w:cs="Arial"/>
                <w:sz w:val="16"/>
                <w:szCs w:val="16"/>
              </w:rPr>
              <w:lastRenderedPageBreak/>
              <w:t>Ограничаване на обхвата на сертификата за съответния продукт/производствена единица за срок не по-малко от 3 месеца.</w:t>
            </w:r>
          </w:p>
        </w:tc>
        <w:tc>
          <w:tcPr>
            <w:tcW w:w="104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Отнемане на сертификата за съответната дейност за не по-малко от 6 месеца.</w:t>
            </w:r>
            <w:r w:rsidRPr="00EB027C">
              <w:rPr>
                <w:rFonts w:ascii="Verdana" w:hAnsi="Verdana" w:cs="Arial"/>
                <w:sz w:val="16"/>
                <w:szCs w:val="16"/>
              </w:rPr>
              <w:br w:type="page"/>
            </w:r>
            <w:r w:rsidRPr="00EB027C">
              <w:rPr>
                <w:rFonts w:ascii="Verdana" w:hAnsi="Verdana" w:cs="Arial"/>
                <w:sz w:val="16"/>
                <w:szCs w:val="16"/>
              </w:rPr>
              <w:br w:type="page"/>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 </w:t>
            </w:r>
            <w:r w:rsidRPr="00EB027C">
              <w:rPr>
                <w:rFonts w:ascii="Verdana" w:hAnsi="Verdana" w:cs="Arial"/>
                <w:sz w:val="16"/>
                <w:szCs w:val="16"/>
              </w:rPr>
              <w:br w:type="page"/>
            </w:r>
            <w:r w:rsidRPr="00EB027C">
              <w:rPr>
                <w:rFonts w:ascii="Verdana" w:hAnsi="Verdana" w:cs="Arial"/>
                <w:sz w:val="16"/>
                <w:szCs w:val="16"/>
              </w:rPr>
              <w:br w:type="page"/>
            </w:r>
          </w:p>
        </w:tc>
        <w:tc>
          <w:tcPr>
            <w:tcW w:w="824" w:type="pct"/>
            <w:tcBorders>
              <w:top w:val="single" w:sz="4" w:space="0" w:color="auto"/>
              <w:left w:val="nil"/>
              <w:bottom w:val="single" w:sz="4" w:space="0" w:color="auto"/>
              <w:right w:val="single" w:sz="4" w:space="0" w:color="auto"/>
            </w:tcBorders>
            <w:shd w:val="clear" w:color="000000" w:fill="FFFFFF"/>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съответната година.</w:t>
            </w:r>
          </w:p>
        </w:tc>
      </w:tr>
      <w:tr w:rsidR="00E756C5" w:rsidRPr="00EB027C" w:rsidTr="0008305C">
        <w:trPr>
          <w:jc w:val="center"/>
        </w:trPr>
        <w:tc>
          <w:tcPr>
            <w:tcW w:w="230" w:type="pct"/>
            <w:tcBorders>
              <w:top w:val="nil"/>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А.6</w:t>
            </w:r>
          </w:p>
        </w:tc>
        <w:tc>
          <w:tcPr>
            <w:tcW w:w="732" w:type="pct"/>
            <w:tcBorders>
              <w:top w:val="nil"/>
              <w:left w:val="nil"/>
              <w:bottom w:val="single" w:sz="4" w:space="0" w:color="auto"/>
              <w:right w:val="single" w:sz="4" w:space="0" w:color="auto"/>
            </w:tcBorders>
            <w:shd w:val="clear" w:color="000000" w:fill="FFFFFF"/>
            <w:hideMark/>
          </w:tcPr>
          <w:p w:rsidR="00EB027C" w:rsidRPr="00EB027C" w:rsidRDefault="00EB027C" w:rsidP="00343031">
            <w:pPr>
              <w:widowControl/>
              <w:autoSpaceDE/>
              <w:autoSpaceDN/>
              <w:adjustRightInd/>
              <w:spacing w:after="120"/>
              <w:rPr>
                <w:rFonts w:ascii="Verdana" w:hAnsi="Verdana" w:cs="Arial"/>
                <w:sz w:val="16"/>
                <w:szCs w:val="16"/>
              </w:rPr>
            </w:pPr>
            <w:r w:rsidRPr="00EB027C">
              <w:rPr>
                <w:rFonts w:ascii="Verdana" w:hAnsi="Verdana" w:cs="Arial"/>
                <w:sz w:val="16"/>
                <w:szCs w:val="16"/>
              </w:rPr>
              <w:t>Частична липса на документална отчетност по отношение на елементите от материалния баланс съгласно Регламент (ЕС) 2021/771, чл. 1, параграф 5.</w:t>
            </w:r>
          </w:p>
        </w:tc>
        <w:tc>
          <w:tcPr>
            <w:tcW w:w="643" w:type="pct"/>
            <w:tcBorders>
              <w:top w:val="nil"/>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2021/771, чл. 1, параграф 5</w:t>
            </w:r>
          </w:p>
        </w:tc>
        <w:tc>
          <w:tcPr>
            <w:tcW w:w="597" w:type="pct"/>
            <w:tcBorders>
              <w:top w:val="nil"/>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1 Незначителни нарушения</w:t>
            </w:r>
          </w:p>
        </w:tc>
        <w:tc>
          <w:tcPr>
            <w:tcW w:w="930" w:type="pct"/>
            <w:tcBorders>
              <w:top w:val="nil"/>
              <w:left w:val="nil"/>
              <w:bottom w:val="single" w:sz="4" w:space="0" w:color="auto"/>
              <w:right w:val="single" w:sz="4" w:space="0" w:color="auto"/>
            </w:tcBorders>
            <w:shd w:val="clear" w:color="000000" w:fill="FFFFFF"/>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tc>
        <w:tc>
          <w:tcPr>
            <w:tcW w:w="1044" w:type="pct"/>
            <w:tcBorders>
              <w:top w:val="nil"/>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824" w:type="pct"/>
            <w:tcBorders>
              <w:top w:val="single" w:sz="4" w:space="0" w:color="auto"/>
              <w:left w:val="nil"/>
              <w:bottom w:val="single" w:sz="4" w:space="0" w:color="auto"/>
              <w:right w:val="single" w:sz="4" w:space="0" w:color="auto"/>
            </w:tcBorders>
            <w:shd w:val="clear" w:color="000000" w:fill="FFFFFF"/>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съответната година.</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А.7</w:t>
            </w:r>
          </w:p>
        </w:tc>
        <w:tc>
          <w:tcPr>
            <w:tcW w:w="732"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Пълна липса на документалната отчетност по отношение на елементите от материалния баланс съгласно Регламент (ЕС) 2021/771, чл. 1, параграф 5.</w:t>
            </w:r>
          </w:p>
        </w:tc>
        <w:tc>
          <w:tcPr>
            <w:tcW w:w="643"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2021/771, чл. 1, параграф 5</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nil"/>
              <w:bottom w:val="single" w:sz="4" w:space="0" w:color="auto"/>
              <w:right w:val="single" w:sz="4" w:space="0" w:color="auto"/>
            </w:tcBorders>
            <w:shd w:val="clear" w:color="000000" w:fill="FFFFFF"/>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343031">
            <w:pPr>
              <w:widowControl/>
              <w:autoSpaceDE/>
              <w:autoSpaceDN/>
              <w:adjustRightInd/>
              <w:spacing w:after="120"/>
              <w:rPr>
                <w:rFonts w:ascii="Verdana" w:hAnsi="Verdana" w:cs="Arial"/>
                <w:sz w:val="16"/>
                <w:szCs w:val="16"/>
              </w:rPr>
            </w:pPr>
            <w:r w:rsidRPr="00EB027C">
              <w:rPr>
                <w:rFonts w:ascii="Verdana" w:hAnsi="Verdana" w:cs="Arial"/>
                <w:sz w:val="16"/>
                <w:szCs w:val="16"/>
              </w:rPr>
              <w:t>Ограничаване на обхвата на сертификата за съответния продукт/ производствена единица за не по-малко от 3 месеца от установяване на несъответствието.</w:t>
            </w:r>
          </w:p>
        </w:tc>
        <w:tc>
          <w:tcPr>
            <w:tcW w:w="824" w:type="pct"/>
            <w:tcBorders>
              <w:top w:val="single" w:sz="4" w:space="0" w:color="auto"/>
              <w:left w:val="nil"/>
              <w:bottom w:val="single" w:sz="4" w:space="0" w:color="auto"/>
              <w:right w:val="single" w:sz="4" w:space="0" w:color="auto"/>
            </w:tcBorders>
            <w:shd w:val="clear" w:color="000000" w:fill="FFFFFF"/>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съответната година.</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А.8</w:t>
            </w:r>
          </w:p>
        </w:tc>
        <w:tc>
          <w:tcPr>
            <w:tcW w:w="732" w:type="pct"/>
            <w:tcBorders>
              <w:top w:val="single" w:sz="4" w:space="0" w:color="auto"/>
              <w:left w:val="nil"/>
              <w:bottom w:val="single" w:sz="4" w:space="0" w:color="auto"/>
              <w:right w:val="single" w:sz="4" w:space="0" w:color="auto"/>
            </w:tcBorders>
            <w:shd w:val="clear" w:color="000000" w:fill="FFFFFF"/>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Операторът не е актуализирал или не е изпратил описанието на единицата и/или информацията по чл. 46, ал. 4 в указания срок.</w:t>
            </w:r>
          </w:p>
        </w:tc>
        <w:tc>
          <w:tcPr>
            <w:tcW w:w="643" w:type="pct"/>
            <w:tcBorders>
              <w:top w:val="single" w:sz="4" w:space="0" w:color="auto"/>
              <w:left w:val="nil"/>
              <w:bottom w:val="single" w:sz="4" w:space="0" w:color="auto"/>
              <w:right w:val="single" w:sz="4" w:space="0" w:color="auto"/>
            </w:tcBorders>
            <w:shd w:val="clear" w:color="000000" w:fill="FFFFFF"/>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Чл. 8, чл. 46 ал. 1, ал. 2 и ал. 4 от Наредба № 5 от 2018 г.</w:t>
            </w:r>
          </w:p>
        </w:tc>
        <w:tc>
          <w:tcPr>
            <w:tcW w:w="597" w:type="pct"/>
            <w:tcBorders>
              <w:top w:val="single" w:sz="4" w:space="0" w:color="auto"/>
              <w:left w:val="single" w:sz="4" w:space="0" w:color="auto"/>
              <w:bottom w:val="single" w:sz="4" w:space="0" w:color="auto"/>
              <w:right w:val="single" w:sz="4" w:space="0" w:color="auto"/>
            </w:tcBorders>
            <w:shd w:val="clear" w:color="000000" w:fill="FFFFFF"/>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000000" w:fill="FFFFFF"/>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tc>
        <w:tc>
          <w:tcPr>
            <w:tcW w:w="1044" w:type="pct"/>
            <w:tcBorders>
              <w:top w:val="single" w:sz="4" w:space="0" w:color="auto"/>
              <w:left w:val="single" w:sz="4" w:space="0" w:color="auto"/>
              <w:bottom w:val="single" w:sz="4" w:space="0" w:color="auto"/>
              <w:right w:val="single" w:sz="4" w:space="0" w:color="auto"/>
            </w:tcBorders>
            <w:shd w:val="clear" w:color="000000" w:fill="FFFFFF"/>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343031">
            <w:pPr>
              <w:widowControl/>
              <w:autoSpaceDE/>
              <w:autoSpaceDN/>
              <w:adjustRightInd/>
              <w:spacing w:after="12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tc>
        <w:tc>
          <w:tcPr>
            <w:tcW w:w="824" w:type="pct"/>
            <w:tcBorders>
              <w:top w:val="single" w:sz="4" w:space="0" w:color="auto"/>
              <w:left w:val="nil"/>
              <w:bottom w:val="single" w:sz="4" w:space="0" w:color="auto"/>
              <w:right w:val="single" w:sz="4" w:space="0" w:color="auto"/>
            </w:tcBorders>
            <w:shd w:val="clear" w:color="000000" w:fill="FFFFFF"/>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съответната година.</w:t>
            </w:r>
          </w:p>
        </w:tc>
      </w:tr>
      <w:tr w:rsidR="00EB027C" w:rsidRPr="00EB027C" w:rsidTr="00E756C5">
        <w:trPr>
          <w:trHeight w:val="397"/>
          <w:jc w:val="center"/>
        </w:trPr>
        <w:tc>
          <w:tcPr>
            <w:tcW w:w="5000" w:type="pct"/>
            <w:gridSpan w:val="7"/>
            <w:tcBorders>
              <w:top w:val="single" w:sz="4" w:space="0" w:color="auto"/>
              <w:left w:val="single" w:sz="4" w:space="0" w:color="auto"/>
              <w:bottom w:val="single" w:sz="4" w:space="0" w:color="auto"/>
              <w:right w:val="single" w:sz="4" w:space="0" w:color="000000"/>
            </w:tcBorders>
            <w:shd w:val="clear" w:color="000000" w:fill="B4C6E7"/>
            <w:vAlign w:val="center"/>
            <w:hideMark/>
          </w:tcPr>
          <w:p w:rsidR="00EB027C" w:rsidRPr="00EB027C" w:rsidRDefault="00EB027C" w:rsidP="00EB027C">
            <w:pPr>
              <w:widowControl/>
              <w:autoSpaceDE/>
              <w:autoSpaceDN/>
              <w:adjustRightInd/>
              <w:jc w:val="center"/>
              <w:rPr>
                <w:rFonts w:ascii="Verdana" w:hAnsi="Verdana" w:cs="Arial"/>
                <w:b/>
                <w:bCs/>
                <w:sz w:val="16"/>
                <w:szCs w:val="16"/>
              </w:rPr>
            </w:pPr>
            <w:r w:rsidRPr="00EB027C">
              <w:rPr>
                <w:rFonts w:ascii="Verdana" w:hAnsi="Verdana" w:cs="Arial"/>
                <w:b/>
                <w:bCs/>
                <w:sz w:val="16"/>
                <w:szCs w:val="16"/>
              </w:rPr>
              <w:lastRenderedPageBreak/>
              <w:t>Б. ОБЩИ НЕСЪОТВЕТСТВИЯ НА ПРОИЗВОДСТВЕНИТЕ ПРАВИЛА</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Б.1</w:t>
            </w:r>
          </w:p>
        </w:tc>
        <w:tc>
          <w:tcPr>
            <w:tcW w:w="732"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Установено е използване  от оператора на вещества и продукти извън посочените в чл. 24 и чл. 25 и в Приложение II на Регламент (ЕС) 2018/848, в съответните разпоредби на правото на Съюза и в националните разпоредби, основани на правото на Съюза. </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чл. 9, параграф 3</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3 Критични нарушения</w:t>
            </w:r>
          </w:p>
        </w:tc>
        <w:tc>
          <w:tcPr>
            <w:tcW w:w="930" w:type="pct"/>
            <w:tcBorders>
              <w:top w:val="single" w:sz="4" w:space="0" w:color="auto"/>
              <w:left w:val="nil"/>
              <w:bottom w:val="single" w:sz="4" w:space="0" w:color="auto"/>
              <w:right w:val="single" w:sz="4" w:space="0" w:color="auto"/>
            </w:tcBorders>
            <w:shd w:val="clear" w:color="000000" w:fill="FFFFFF"/>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сертификата по отношение на цялата засегната партида или продукция [засегната(-ите) култура(-и) или животно(-и)] за не по-малко от 3 месеца.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Начало на преходен период за засегната партида или продукция [засегната(-ите) култура(-и) или животно(-и)].</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Налагане на забрана за пускане на пазара на продукти с позоваване на биологично производство за определен период в съответствие с чл. 42, параграф 2 от Регламент (ЕС) 2018/848.</w:t>
            </w:r>
          </w:p>
        </w:tc>
        <w:tc>
          <w:tcPr>
            <w:tcW w:w="1044"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Налагане на забрана за пускане на пазара на продукти с позоваване на биологично производство за определен период в съответствие с чл.  42, параграф 2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Начало на нов преходен период за цялото стопанство.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Отнемане на сертификата на оператора, извършил нарушението за не по-малко от 6 месеца от установяването му.</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Преди включване на следваща продукция от засегнатите животни, парцели, райони за събиране, пчелни семейства и аквакултури в сертификата се вземат проби от контролиращото лице и се предоставят за анализ в официална лаборатория.</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Б.</w:t>
            </w:r>
            <w:r w:rsidRPr="00EB027C">
              <w:rPr>
                <w:rFonts w:ascii="Verdana" w:hAnsi="Verdana" w:cs="Arial"/>
                <w:sz w:val="16"/>
                <w:szCs w:val="16"/>
                <w:lang w:val="en-US"/>
              </w:rPr>
              <w:t>2</w:t>
            </w:r>
          </w:p>
        </w:tc>
        <w:tc>
          <w:tcPr>
            <w:tcW w:w="732"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използване на йонизиращо лъчение за третиране на биологични храни или фуражи и/или на суровини, използвани в биологичните храни или фуражи.</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чл. 9, параграф 4</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3 Критични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 </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Налагане на забрана за пускане на пазара на продукти с позоваване на биологично производство за определен период в съответствие с чл. 42, </w:t>
            </w:r>
            <w:r w:rsidRPr="00EB027C">
              <w:rPr>
                <w:rFonts w:ascii="Verdana" w:hAnsi="Verdana" w:cs="Arial"/>
                <w:sz w:val="16"/>
                <w:szCs w:val="16"/>
              </w:rPr>
              <w:lastRenderedPageBreak/>
              <w:t xml:space="preserve">параграф 2 от Регламент (ЕС) 2018/848. </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Начало на нов преходен период за цялото стопанство. </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Отнемане на сертификата за не по-малко от 6 месеца от установяване на нарушението.</w:t>
            </w:r>
          </w:p>
        </w:tc>
        <w:tc>
          <w:tcPr>
            <w:tcW w:w="104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Неприложимо</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Б.</w:t>
            </w:r>
            <w:r w:rsidRPr="00EB027C">
              <w:rPr>
                <w:rFonts w:ascii="Verdana" w:hAnsi="Verdana" w:cs="Arial"/>
                <w:sz w:val="16"/>
                <w:szCs w:val="16"/>
                <w:lang w:val="en-US"/>
              </w:rPr>
              <w:t>3</w:t>
            </w:r>
          </w:p>
        </w:tc>
        <w:tc>
          <w:tcPr>
            <w:tcW w:w="732"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 етап на производството, обработката и разпространението са предприети необходимите превантивни и предпазни мерки, но е установено замърсяване с неразрешени за биологичното производство вещества по независещи от оператора обстоятелства.</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чл. 9, параграф 6</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план с подобрени предпазни мерки в срока, указан в част Б.</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одобрява представения план.</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tc>
        <w:tc>
          <w:tcPr>
            <w:tcW w:w="104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одобрява представения план.</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сертификата по отношение на цялата засегната партида или продукция [засегната(-ите) култура(-и) или животно(-и)] за не по-малко от 3 месеца от установяване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Налагане на забрана за пускане на пазара на продукти с позоваване на биологично производство за определен период в съответствие с чл. 42, параграф 2 от Регламент (ЕС) 2018/848.</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Преди включване на следваща продукция от засегнатите животни, парцели, райони за събиране, пчелни семейства  и аквакултури в сертификата се вземат проби от контролиращото лице и се предоставят за анализ в официална лаборатория по чл. 2, ал. 6 от Наредба № 5 от 2018 г.</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C4407B">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Б.</w:t>
            </w:r>
            <w:r w:rsidRPr="00EB027C">
              <w:rPr>
                <w:rFonts w:ascii="Verdana" w:hAnsi="Verdana" w:cs="Arial"/>
                <w:sz w:val="16"/>
                <w:szCs w:val="16"/>
                <w:lang w:val="en-US"/>
              </w:rPr>
              <w:t>4</w:t>
            </w:r>
          </w:p>
        </w:tc>
        <w:tc>
          <w:tcPr>
            <w:tcW w:w="732"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 етап на производството, обработката и разпространението не са предприети необходимите превантивни и предпазни мерки за избягване на замърсяване.</w:t>
            </w:r>
          </w:p>
        </w:tc>
        <w:tc>
          <w:tcPr>
            <w:tcW w:w="643"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чл. 9, параграф 6</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план с подобрени предпазни мерки в срока, указан в част Б.</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одобрява представения план.</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При </w:t>
            </w:r>
            <w:r w:rsidR="00510FC9" w:rsidRPr="00EB027C">
              <w:rPr>
                <w:rFonts w:ascii="Verdana" w:hAnsi="Verdana" w:cs="Arial"/>
                <w:sz w:val="16"/>
                <w:szCs w:val="16"/>
              </w:rPr>
              <w:t>не представяне</w:t>
            </w:r>
            <w:r w:rsidRPr="00EB027C">
              <w:rPr>
                <w:rFonts w:ascii="Verdana" w:hAnsi="Verdana" w:cs="Arial"/>
                <w:sz w:val="16"/>
                <w:szCs w:val="16"/>
              </w:rPr>
              <w:t xml:space="preserve"> на плана в указания срок да се предприеме премахване на позоваването на методите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съответната година.</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Ограничаване на сертификата за съответната дейност за не по-малко от 3 месеца от установяване на несъответствието.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C4407B">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Б.</w:t>
            </w:r>
            <w:r w:rsidRPr="00EB027C">
              <w:rPr>
                <w:rFonts w:ascii="Verdana" w:hAnsi="Verdana" w:cs="Arial"/>
                <w:sz w:val="16"/>
                <w:szCs w:val="16"/>
                <w:lang w:val="en-US"/>
              </w:rPr>
              <w:t>5</w:t>
            </w:r>
          </w:p>
        </w:tc>
        <w:tc>
          <w:tcPr>
            <w:tcW w:w="732"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В стопанството не са предприети необходимите мерки за ясно и ефективно разделение на производствените единици за биологично производство, за преход към биологично производство и за небиологично производство.</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чл. 9, параграф 6</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сертификата за съответния продукт/ производствена единица.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сертификата по отношение на цялата засегната партида или продукция [засегната(-ите) култура(-и) или животно(-и)] за не по-малко от 3 месеца от установяване на несъответствието.</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Начало на преходен период за засегната партида или продукция [засегната(-ите) култура(-и) или животно(-и)].</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C4407B">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Б.6</w:t>
            </w:r>
          </w:p>
        </w:tc>
        <w:tc>
          <w:tcPr>
            <w:tcW w:w="732"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Установено използване на ГМО от оператора, продукти, произведени от ГМО и продукти, произведени чрез ГМО, различни от ветеринарни лекарствени продукти в храни или фуражи или за храни, фуражи, </w:t>
            </w:r>
            <w:r w:rsidRPr="00EB027C">
              <w:rPr>
                <w:rFonts w:ascii="Verdana" w:hAnsi="Verdana" w:cs="Arial"/>
                <w:sz w:val="16"/>
                <w:szCs w:val="16"/>
              </w:rPr>
              <w:lastRenderedPageBreak/>
              <w:t xml:space="preserve">спомагателни вещества, продукти за растителна защита, торове, подобрители на почвата, РРМ, микроорганизми или животни в резултат на небрежност при прилагане на мерки за предотвратяване на замърсявания </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Регламент (ЕС) 2018/848, чл. 11, параграф 1 и параграф 4</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Налагане на забрана за пускане на пазара на продукти с </w:t>
            </w:r>
            <w:r w:rsidRPr="00EB027C">
              <w:rPr>
                <w:rFonts w:ascii="Verdana" w:hAnsi="Verdana" w:cs="Arial"/>
                <w:sz w:val="16"/>
                <w:szCs w:val="16"/>
              </w:rPr>
              <w:lastRenderedPageBreak/>
              <w:t>позоваване на биологично производство за определен период в съответствие с чл.  42, параграф 2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Налагане на забрана за пускане на пазара на продукти с позоваване на биологично производство за определен период в съответствие с чл.  42, параграф 2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Начало на нов преходен период, на цялото стопанство.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Отнемане на сертификата за не по-малко от 6 месеца от установяване на нарушението.</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Подобряване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C4407B">
              <w:rPr>
                <w:rFonts w:ascii="Verdana" w:hAnsi="Verdana" w:cs="Arial"/>
                <w:sz w:val="16"/>
                <w:szCs w:val="16"/>
              </w:rPr>
              <w:lastRenderedPageBreak/>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Б.7</w:t>
            </w:r>
          </w:p>
        </w:tc>
        <w:tc>
          <w:tcPr>
            <w:tcW w:w="732"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Установено e умишлено използване на ГМО, продукти, произведени от ГМО и продукти, произведени чрез ГМО, различни от ветеринарни лекарствени продукти в храни или фуражи или за храни, фуражи, спомагателни вещества, продукти за растителна защита, торове, подобрители на почвата, РРМ, микроорганизми или животни. </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чл. 11, параграф 1</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3 Критични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Налагане на забрана за пускане на пазара на продукти с позоваване на биологично производство за определен период в съответствие с чл.  42, параграф 2 от Регламент (ЕС) 2018/848. </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Начало на нов преходен период, когато е приложимо.</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Отнемане на сертификата за не по-малко от 6 месеца от установяване на нарушението.</w:t>
            </w:r>
          </w:p>
        </w:tc>
        <w:tc>
          <w:tcPr>
            <w:tcW w:w="104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Неприложимо</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C4407B">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B027C" w:rsidRPr="00EB027C" w:rsidTr="00E756C5">
        <w:trPr>
          <w:trHeight w:val="397"/>
          <w:jc w:val="center"/>
        </w:trPr>
        <w:tc>
          <w:tcPr>
            <w:tcW w:w="5000" w:type="pct"/>
            <w:gridSpan w:val="7"/>
            <w:tcBorders>
              <w:top w:val="single" w:sz="4" w:space="0" w:color="auto"/>
              <w:left w:val="single" w:sz="4" w:space="0" w:color="auto"/>
              <w:bottom w:val="single" w:sz="4" w:space="0" w:color="auto"/>
              <w:right w:val="single" w:sz="4" w:space="0" w:color="000000"/>
            </w:tcBorders>
            <w:shd w:val="clear" w:color="000000" w:fill="B4C6E7"/>
            <w:vAlign w:val="center"/>
            <w:hideMark/>
          </w:tcPr>
          <w:p w:rsidR="00EB027C" w:rsidRPr="00EB027C" w:rsidRDefault="00EB027C" w:rsidP="00EB027C">
            <w:pPr>
              <w:widowControl/>
              <w:autoSpaceDE/>
              <w:autoSpaceDN/>
              <w:adjustRightInd/>
              <w:jc w:val="center"/>
              <w:rPr>
                <w:rFonts w:ascii="Verdana" w:hAnsi="Verdana" w:cs="Arial"/>
                <w:b/>
                <w:bCs/>
                <w:sz w:val="16"/>
                <w:szCs w:val="16"/>
              </w:rPr>
            </w:pPr>
            <w:r w:rsidRPr="00EB027C">
              <w:rPr>
                <w:rFonts w:ascii="Verdana" w:hAnsi="Verdana" w:cs="Arial"/>
                <w:b/>
                <w:bCs/>
                <w:sz w:val="16"/>
                <w:szCs w:val="16"/>
              </w:rPr>
              <w:t>В. НЕСЪОТВЕТСТВИЯ, СВЪРЗАНИ С ДЕЙНОСТ „РАСТЕНИЕВЪДСТВО“</w:t>
            </w:r>
          </w:p>
        </w:tc>
      </w:tr>
      <w:tr w:rsidR="00E756C5" w:rsidRPr="00EB027C" w:rsidTr="0008305C">
        <w:trPr>
          <w:jc w:val="center"/>
        </w:trPr>
        <w:tc>
          <w:tcPr>
            <w:tcW w:w="230" w:type="pct"/>
            <w:tcBorders>
              <w:top w:val="nil"/>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В.1</w:t>
            </w:r>
          </w:p>
        </w:tc>
        <w:tc>
          <w:tcPr>
            <w:tcW w:w="732"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Установено е, че в дадено стопанство са налице производствени единици за биологично производство, за преход към биологично производство и за </w:t>
            </w:r>
            <w:r w:rsidRPr="00EB027C">
              <w:rPr>
                <w:rFonts w:ascii="Verdana" w:hAnsi="Verdana" w:cs="Arial"/>
                <w:sz w:val="16"/>
                <w:szCs w:val="16"/>
              </w:rPr>
              <w:lastRenderedPageBreak/>
              <w:t>небиологично производство, без операторът да е изпълнил изискването растенията да са от различни, лесно разграничими сортове.</w:t>
            </w:r>
          </w:p>
        </w:tc>
        <w:tc>
          <w:tcPr>
            <w:tcW w:w="643"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Регламент (ЕС) 2018/848, чл. 9, параграф 7, буква „б“</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3 Критични нарушения</w:t>
            </w:r>
          </w:p>
        </w:tc>
        <w:tc>
          <w:tcPr>
            <w:tcW w:w="930"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Премахване на позоваването на биологично производство при </w:t>
            </w:r>
            <w:r w:rsidRPr="00EB027C">
              <w:rPr>
                <w:rFonts w:ascii="Verdana" w:hAnsi="Verdana" w:cs="Arial"/>
                <w:sz w:val="16"/>
                <w:szCs w:val="16"/>
              </w:rPr>
              <w:lastRenderedPageBreak/>
              <w:t>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сертификата по отношение на засегната дейност за не по-малко от 3 месеца от установяване на нарушението.</w:t>
            </w:r>
          </w:p>
        </w:tc>
        <w:tc>
          <w:tcPr>
            <w:tcW w:w="104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 xml:space="preserve">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w:t>
            </w:r>
            <w:r w:rsidRPr="00EB027C">
              <w:rPr>
                <w:rFonts w:ascii="Verdana" w:hAnsi="Verdana" w:cs="Arial"/>
                <w:sz w:val="16"/>
                <w:szCs w:val="16"/>
              </w:rPr>
              <w:lastRenderedPageBreak/>
              <w:t>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Налагане на забрана за пускане на пазара на продукти с позоваване на биологично производство за определен период в съответствие с чл.  42, параграф 2 от Регламент (ЕС) 2018/848. </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Начало на нов преходен период за дейността.</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Ограничаване на сертификата по отношение на засегната дейност за не по-малко от 6 месеца от установяване на нарушението.</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Подобряване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 xml:space="preserve">Осъществяване на засилен контрол чрез допълнителни </w:t>
            </w:r>
            <w:r w:rsidR="00C4407B">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В.2</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използване на хидропонно производство.</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w:t>
            </w:r>
            <w:r w:rsidRPr="00EB027C">
              <w:rPr>
                <w:rFonts w:ascii="Verdana" w:eastAsiaTheme="minorEastAsia" w:hAnsi="Verdana"/>
                <w:sz w:val="16"/>
                <w:szCs w:val="16"/>
                <w:shd w:val="clear" w:color="auto" w:fill="FFFFFF"/>
                <w:lang w:eastAsia="en-US"/>
              </w:rPr>
              <w:t xml:space="preserve"> </w:t>
            </w:r>
            <w:r w:rsidRPr="00EB027C">
              <w:rPr>
                <w:rFonts w:ascii="Verdana" w:hAnsi="Verdana" w:cs="Arial"/>
                <w:sz w:val="16"/>
                <w:szCs w:val="16"/>
              </w:rPr>
              <w:t>Част I, т. 1., подточка 1.2.</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3 Критични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Налагане на забрана за пускане на пазара на продукти с позоваване на биологично производство за определен период в съответствие с чл. 42, параграф 2 от Регламент (ЕС) 2018/8</w:t>
            </w:r>
            <w:r w:rsidR="00C4407B">
              <w:rPr>
                <w:rFonts w:ascii="Verdana" w:hAnsi="Verdana" w:cs="Arial"/>
                <w:sz w:val="16"/>
                <w:szCs w:val="16"/>
              </w:rPr>
              <w:t>48.</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Ограничаване на сертификата за засегнатата дейност и/или категорията продукти за не по-малко от 6 месеца от установяване на нарушението.</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Неприложимо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В.3</w:t>
            </w:r>
          </w:p>
        </w:tc>
        <w:tc>
          <w:tcPr>
            <w:tcW w:w="732"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използване на техники, които не отговарят на изискването за свеждане до минимум на замърсяването на околната среда.</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 Част I, т. 1., подточка 1.6.</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Представяне от оператора на необходимата информация и/или план за действие в срока, определен за отстраняване на несъответствието. </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Подобряване на изпълнението на предпазните мерки и контрола, въведени от </w:t>
            </w:r>
            <w:r w:rsidRPr="00EB027C">
              <w:rPr>
                <w:rFonts w:ascii="Verdana" w:hAnsi="Verdana" w:cs="Arial"/>
                <w:sz w:val="16"/>
                <w:szCs w:val="16"/>
              </w:rPr>
              <w:lastRenderedPageBreak/>
              <w:t>оператора с цел гарантиране на съответствие.</w:t>
            </w:r>
          </w:p>
        </w:tc>
        <w:tc>
          <w:tcPr>
            <w:tcW w:w="104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lastRenderedPageBreak/>
              <w:t>Ограничаване на обхвата на сертификата за съответния продукт/ производствена единица за срок не по-малко от 6 месеца от установяване на несъответствието.</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lastRenderedPageBreak/>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В.4</w:t>
            </w:r>
          </w:p>
        </w:tc>
        <w:tc>
          <w:tcPr>
            <w:tcW w:w="732"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използване на разрешените за употреба в биологичното производство торове и подобрители на почвата съгласно чл. 24 от Регламент (ЕС) 2018/848, но над необходимата степен</w:t>
            </w:r>
          </w:p>
        </w:tc>
        <w:tc>
          <w:tcPr>
            <w:tcW w:w="643"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343031">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w:t>
            </w:r>
            <w:r w:rsidRPr="00EB027C">
              <w:rPr>
                <w:rFonts w:ascii="Verdana" w:eastAsiaTheme="minorEastAsia" w:hAnsi="Verdana"/>
                <w:sz w:val="16"/>
                <w:szCs w:val="16"/>
                <w:shd w:val="clear" w:color="auto" w:fill="FFFFFF"/>
                <w:lang w:eastAsia="en-US"/>
              </w:rPr>
              <w:t xml:space="preserve"> </w:t>
            </w:r>
            <w:r w:rsidRPr="00EB027C">
              <w:rPr>
                <w:rFonts w:ascii="Verdana" w:hAnsi="Verdana" w:cs="Arial"/>
                <w:sz w:val="16"/>
                <w:szCs w:val="16"/>
              </w:rPr>
              <w:t>Част I, т. 1.9., подточка 1.9.3.</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1 Незначителни нарушения</w:t>
            </w:r>
          </w:p>
        </w:tc>
        <w:tc>
          <w:tcPr>
            <w:tcW w:w="9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Подобряване на изпълнението на предпазните мерки и контрола, въведени от оператора с цел гарантиране на съответствие. </w:t>
            </w:r>
          </w:p>
          <w:p w:rsidR="00EB027C" w:rsidRPr="00EB027C" w:rsidRDefault="00EB027C" w:rsidP="00EB027C">
            <w:pPr>
              <w:widowControl/>
              <w:autoSpaceDE/>
              <w:autoSpaceDN/>
              <w:adjustRightInd/>
              <w:spacing w:after="120"/>
              <w:rPr>
                <w:rFonts w:ascii="Verdana" w:hAnsi="Verdana" w:cs="Arial"/>
                <w:sz w:val="16"/>
                <w:szCs w:val="16"/>
              </w:rPr>
            </w:pP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сертификата за съответния продукт/ производствена единица за срок от не по-малко от 6 месеца от установяване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Начало на нов преходен период за засегнатата производствена единица </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В.5</w:t>
            </w:r>
          </w:p>
        </w:tc>
        <w:tc>
          <w:tcPr>
            <w:tcW w:w="732"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използване на неразрешените за употреба в биологичното производство торове и подобрители на почвата съгласно чл. 24 от Регламент (ЕС) 2018/848.</w:t>
            </w:r>
          </w:p>
        </w:tc>
        <w:tc>
          <w:tcPr>
            <w:tcW w:w="643"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343031">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w:t>
            </w:r>
            <w:r w:rsidRPr="00EB027C">
              <w:rPr>
                <w:rFonts w:ascii="Verdana" w:eastAsiaTheme="minorEastAsia" w:hAnsi="Verdana"/>
                <w:sz w:val="16"/>
                <w:szCs w:val="16"/>
                <w:shd w:val="clear" w:color="auto" w:fill="FFFFFF"/>
                <w:lang w:eastAsia="en-US"/>
              </w:rPr>
              <w:t xml:space="preserve"> </w:t>
            </w:r>
            <w:r w:rsidRPr="00EB027C">
              <w:rPr>
                <w:rFonts w:ascii="Verdana" w:hAnsi="Verdana" w:cs="Arial"/>
                <w:sz w:val="16"/>
                <w:szCs w:val="16"/>
              </w:rPr>
              <w:t xml:space="preserve">Част I, т. 1.7.3, т. 1.9., </w:t>
            </w:r>
            <w:r w:rsidRPr="00EB027C">
              <w:rPr>
                <w:rFonts w:ascii="Verdana" w:hAnsi="Verdana" w:cs="Arial"/>
                <w:sz w:val="16"/>
                <w:szCs w:val="16"/>
              </w:rPr>
              <w:br/>
              <w:t>подточка 1.9.3.</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3 Критични нарушения</w:t>
            </w:r>
          </w:p>
        </w:tc>
        <w:tc>
          <w:tcPr>
            <w:tcW w:w="930"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Представяне от оператора на необходимата информация и/или план за действие в срока, определен за отстраняване на несъответствието. </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 .</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Начало на нов преходен период за засегнатата производствена единица.</w:t>
            </w:r>
          </w:p>
        </w:tc>
        <w:tc>
          <w:tcPr>
            <w:tcW w:w="104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 </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Отнемане на сертификата за съответната дейност за срок от не по-малък от 6 месеца.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Начало на нов преходен период за засегнатата производствена единица.</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nil"/>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В.6</w:t>
            </w:r>
          </w:p>
        </w:tc>
        <w:tc>
          <w:tcPr>
            <w:tcW w:w="732" w:type="pct"/>
            <w:tcBorders>
              <w:top w:val="nil"/>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Установена е липса на записи по отношение на използването на оборски тор в производствените единици в преход към биологично производство и в единиците за биологично производство.</w:t>
            </w:r>
          </w:p>
        </w:tc>
        <w:tc>
          <w:tcPr>
            <w:tcW w:w="643" w:type="pct"/>
            <w:tcBorders>
              <w:top w:val="nil"/>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Регламент (ЕС) 2018/848, Приложение II, Част I, т. 1.9., </w:t>
            </w:r>
            <w:r w:rsidRPr="00EB027C">
              <w:rPr>
                <w:rFonts w:ascii="Verdana" w:hAnsi="Verdana" w:cs="Arial"/>
                <w:sz w:val="16"/>
                <w:szCs w:val="16"/>
              </w:rPr>
              <w:br/>
              <w:t>подточка 1.9.4. и Регламент (ЕС) 2021/1691, т. 1.9.3.</w:t>
            </w:r>
          </w:p>
        </w:tc>
        <w:tc>
          <w:tcPr>
            <w:tcW w:w="597" w:type="pct"/>
            <w:tcBorders>
              <w:top w:val="nil"/>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1 Незначителни нарушения</w:t>
            </w:r>
          </w:p>
        </w:tc>
        <w:tc>
          <w:tcPr>
            <w:tcW w:w="930" w:type="pct"/>
            <w:tcBorders>
              <w:top w:val="nil"/>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tc>
        <w:tc>
          <w:tcPr>
            <w:tcW w:w="1044" w:type="pct"/>
            <w:tcBorders>
              <w:top w:val="nil"/>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824" w:type="pct"/>
            <w:tcBorders>
              <w:top w:val="nil"/>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съответната година.</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В.7</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използването на оборски тор в производствените единици в преход към биологично производство и в единиците за биологично производство, което надвишава 170 kg азот на година на хектар използвана земеделска площ.</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 Част I, т. 1.9., подточка 1.9.4.</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Ограничаване на обхвата на сертификата за съответния продукт/ производствена единица за срок не по-малко 3 месеца от установяване на несъответствието.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В.8</w:t>
            </w:r>
          </w:p>
        </w:tc>
        <w:tc>
          <w:tcPr>
            <w:tcW w:w="732"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Употреба на оборски тор, който не произхожда от единици за биологично производство или произхожда от екстензивни  животновъдни стопанства.</w:t>
            </w:r>
          </w:p>
        </w:tc>
        <w:tc>
          <w:tcPr>
            <w:tcW w:w="643"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 Част I, т. 1.9., подточка 1.9.2, буква „в“.</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Приложение II, Регламент (ЕС) 2021/1165</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Ограничаване на обхвата на сертификата за съответния продукт/производствена единица за срок не по-малко 3 месеца от установяване на несъответствието.</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Одобряване на изпълнението на предпазните мерки и контрола, въведени от оператора с цел гарантиране на съответствие. </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nil"/>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В.9</w:t>
            </w:r>
          </w:p>
        </w:tc>
        <w:tc>
          <w:tcPr>
            <w:tcW w:w="732" w:type="pct"/>
            <w:tcBorders>
              <w:top w:val="nil"/>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използване на минерални азотни торове.</w:t>
            </w:r>
          </w:p>
        </w:tc>
        <w:tc>
          <w:tcPr>
            <w:tcW w:w="643" w:type="pct"/>
            <w:tcBorders>
              <w:top w:val="nil"/>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Регламент (ЕС) 2018/848, Приложение II, Част </w:t>
            </w:r>
            <w:r w:rsidRPr="00EB027C">
              <w:rPr>
                <w:rFonts w:ascii="Verdana" w:hAnsi="Verdana" w:cs="Arial"/>
                <w:sz w:val="16"/>
                <w:szCs w:val="16"/>
              </w:rPr>
              <w:lastRenderedPageBreak/>
              <w:t xml:space="preserve">I, т. 1.9., </w:t>
            </w:r>
            <w:r w:rsidRPr="00EB027C">
              <w:rPr>
                <w:rFonts w:ascii="Verdana" w:hAnsi="Verdana" w:cs="Arial"/>
                <w:sz w:val="16"/>
                <w:szCs w:val="16"/>
              </w:rPr>
              <w:br/>
              <w:t>подточка 1.9.8.</w:t>
            </w:r>
          </w:p>
        </w:tc>
        <w:tc>
          <w:tcPr>
            <w:tcW w:w="597" w:type="pct"/>
            <w:tcBorders>
              <w:top w:val="nil"/>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3 Критични нарушения</w:t>
            </w:r>
          </w:p>
        </w:tc>
        <w:tc>
          <w:tcPr>
            <w:tcW w:w="930" w:type="pct"/>
            <w:tcBorders>
              <w:top w:val="nil"/>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Подобряване на изпълнението на предпазните мерки и контрола, въведени от </w:t>
            </w:r>
            <w:r w:rsidRPr="00EB027C">
              <w:rPr>
                <w:rFonts w:ascii="Verdana" w:hAnsi="Verdana" w:cs="Arial"/>
                <w:sz w:val="16"/>
                <w:szCs w:val="16"/>
              </w:rPr>
              <w:lastRenderedPageBreak/>
              <w:t>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Начало на нов преходен период за засегнатата производствена единица.</w:t>
            </w:r>
          </w:p>
        </w:tc>
        <w:tc>
          <w:tcPr>
            <w:tcW w:w="1044" w:type="pct"/>
            <w:tcBorders>
              <w:top w:val="nil"/>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 xml:space="preserve">Премахване на позоваването на биологично производство при етикетирането и рекламирането на цялата засегната партида или </w:t>
            </w:r>
            <w:r w:rsidRPr="00EB027C">
              <w:rPr>
                <w:rFonts w:ascii="Verdana" w:hAnsi="Verdana" w:cs="Arial"/>
                <w:sz w:val="16"/>
                <w:szCs w:val="16"/>
              </w:rPr>
              <w:lastRenderedPageBreak/>
              <w:t>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Отнемане на сертификата за съответната дейност за срок не по-малък от 6 месеца от установяване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Начало на нов преходен период за засегнатата производствена единица.</w:t>
            </w:r>
          </w:p>
        </w:tc>
        <w:tc>
          <w:tcPr>
            <w:tcW w:w="824" w:type="pct"/>
            <w:tcBorders>
              <w:top w:val="nil"/>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 xml:space="preserve">Одобряване на изпълнението на предпазните мерки и контрола, въведени от </w:t>
            </w:r>
            <w:r w:rsidRPr="00EB027C">
              <w:rPr>
                <w:rFonts w:ascii="Verdana" w:hAnsi="Verdana" w:cs="Arial"/>
                <w:sz w:val="16"/>
                <w:szCs w:val="16"/>
              </w:rPr>
              <w:lastRenderedPageBreak/>
              <w:t>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В.10</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липса на документация, доказваща необходимостта от използването на продуктите, посочени в членове 9 и 24 от Регламент (ЕС) 2018/848.</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 Част I, т. 1.10, подточка 1.10.2.</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1 Незначителни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 определен за отстраняване на несъответствието.</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от контролиращото лице на план за действие за</w:t>
            </w:r>
            <w:r w:rsidRPr="00EB027C">
              <w:rPr>
                <w:rFonts w:ascii="Verdana" w:hAnsi="Verdana" w:cs="Arial"/>
                <w:strike/>
                <w:sz w:val="16"/>
                <w:szCs w:val="16"/>
              </w:rPr>
              <w:t xml:space="preserve"> </w:t>
            </w:r>
            <w:r w:rsidRPr="00EB027C">
              <w:rPr>
                <w:rFonts w:ascii="Verdana" w:hAnsi="Verdana" w:cs="Arial"/>
                <w:sz w:val="16"/>
                <w:szCs w:val="16"/>
              </w:rPr>
              <w:t>подобряване на изпълнението на предпазните мерки,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съответната г</w:t>
            </w:r>
            <w:r w:rsidR="004B6FB7">
              <w:rPr>
                <w:rFonts w:ascii="Verdana" w:hAnsi="Verdana" w:cs="Arial"/>
                <w:sz w:val="16"/>
                <w:szCs w:val="16"/>
              </w:rPr>
              <w:t>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В.11</w:t>
            </w:r>
          </w:p>
        </w:tc>
        <w:tc>
          <w:tcPr>
            <w:tcW w:w="732"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Капаните или дозаторите не предотвратяват изпускането на продуктите и веществата (различни от феромони) в околната среда, както и контакта между веществата и отглежданите култури. </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343031">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 Част I,</w:t>
            </w:r>
            <w:r w:rsidR="00343031">
              <w:rPr>
                <w:rFonts w:ascii="Verdana" w:hAnsi="Verdana" w:cs="Arial"/>
                <w:sz w:val="16"/>
                <w:szCs w:val="16"/>
              </w:rPr>
              <w:t xml:space="preserve"> </w:t>
            </w:r>
            <w:r w:rsidRPr="00EB027C">
              <w:rPr>
                <w:rFonts w:ascii="Verdana" w:hAnsi="Verdana" w:cs="Arial"/>
                <w:sz w:val="16"/>
                <w:szCs w:val="16"/>
              </w:rPr>
              <w:t>т. 1.10, подточка 1.10.3.</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Представяне от оператора на необходимата информация и/или план за действие в срока, определен за отстраняване на несъответствието. </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в съответствие с чл.  42, параграф 1 от Регламент (ЕС) 2018/848.</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Контролиращото лице прилага изискванията на </w:t>
            </w:r>
            <w:r w:rsidRPr="00EB027C">
              <w:rPr>
                <w:rFonts w:ascii="Verdana" w:hAnsi="Verdana" w:cs="Arial"/>
                <w:sz w:val="16"/>
                <w:szCs w:val="16"/>
              </w:rPr>
              <w:lastRenderedPageBreak/>
              <w:t>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В.12</w:t>
            </w:r>
          </w:p>
        </w:tc>
        <w:tc>
          <w:tcPr>
            <w:tcW w:w="732"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Капаните или дозаторите (включително капаните с феромони) не се събират след употреба и не се обезвреждат по безопасен начин.</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 Част I, т. 1.10, подточка 1.10.3.</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в съответствие с чл.  42, параграф 1 от Регламент (ЕС) 2018/848.</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В.13</w:t>
            </w:r>
          </w:p>
        </w:tc>
        <w:tc>
          <w:tcPr>
            <w:tcW w:w="732"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 xml:space="preserve">Установена е липса на записи, доказващи необходимостта от използването на продукти съгласно чл. 24 от Регламент (ЕС) 2018/848, включително датата или датите, на които всеки продукт е бил използван, вида и името на продукта, неговите активни вещества, приложеното количество, съответната култура и парцели, както и вредители или болести, които трябва да бъдат контролирани. </w:t>
            </w:r>
          </w:p>
        </w:tc>
        <w:tc>
          <w:tcPr>
            <w:tcW w:w="643"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343031">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 Част I,</w:t>
            </w:r>
            <w:r w:rsidR="00343031">
              <w:rPr>
                <w:rFonts w:ascii="Verdana" w:hAnsi="Verdana" w:cs="Arial"/>
                <w:sz w:val="16"/>
                <w:szCs w:val="16"/>
              </w:rPr>
              <w:t xml:space="preserve"> </w:t>
            </w:r>
            <w:r w:rsidRPr="00EB027C">
              <w:rPr>
                <w:rFonts w:ascii="Verdana" w:hAnsi="Verdana" w:cs="Arial"/>
                <w:sz w:val="16"/>
                <w:szCs w:val="16"/>
              </w:rPr>
              <w:t xml:space="preserve">т. 1.10.2. </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B8736F"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000000" w:fill="FFFFFF"/>
            <w:hideMark/>
          </w:tcPr>
          <w:p w:rsid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CC063C" w:rsidRPr="00EB027C" w:rsidRDefault="00CC063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nil"/>
              <w:bottom w:val="single" w:sz="4" w:space="0" w:color="auto"/>
              <w:right w:val="single" w:sz="4" w:space="0" w:color="auto"/>
            </w:tcBorders>
            <w:shd w:val="clear" w:color="000000" w:fill="FFFFFF"/>
            <w:hideMark/>
          </w:tcPr>
          <w:p w:rsidR="003A39D4" w:rsidRPr="00EB027C" w:rsidRDefault="003A39D4" w:rsidP="003A39D4">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824" w:type="pct"/>
            <w:tcBorders>
              <w:top w:val="single" w:sz="4" w:space="0" w:color="auto"/>
              <w:left w:val="nil"/>
              <w:bottom w:val="single" w:sz="4" w:space="0" w:color="auto"/>
              <w:right w:val="single" w:sz="4" w:space="0" w:color="auto"/>
            </w:tcBorders>
            <w:shd w:val="clear" w:color="000000" w:fill="FFFFFF"/>
            <w:hideMark/>
          </w:tcPr>
          <w:p w:rsidR="005A2E46" w:rsidRPr="00EB027C" w:rsidRDefault="005A2E46" w:rsidP="005A2E46">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съответната година.</w:t>
            </w:r>
          </w:p>
          <w:p w:rsidR="005A2E46" w:rsidRPr="00EB027C" w:rsidRDefault="005A2E46"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В.14</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Установена е липса на документация и/или информация за съответните парцели и прогнозен добив от всяка култура и/или същата не е изпратена в указания срок.</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 Част I, т. 1.12.;</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Чл. 8, ал. 1 и ал. 2 от Наредба 5 от 2018 г.</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1 Незначителни нарушения</w:t>
            </w:r>
          </w:p>
        </w:tc>
        <w:tc>
          <w:tcPr>
            <w:tcW w:w="9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4B6FB7">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Pr="00EB027C">
              <w:rPr>
                <w:rFonts w:ascii="Verdana" w:hAnsi="Verdana" w:cs="Arial"/>
                <w:sz w:val="16"/>
                <w:szCs w:val="16"/>
              </w:rPr>
              <w:lastRenderedPageBreak/>
              <w:t>инспек</w:t>
            </w:r>
            <w:r w:rsidR="004B6FB7">
              <w:rPr>
                <w:rFonts w:ascii="Verdana" w:hAnsi="Verdana" w:cs="Arial"/>
                <w:sz w:val="16"/>
                <w:szCs w:val="16"/>
              </w:rPr>
              <w:t>ции в съответната година.</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В.15</w:t>
            </w:r>
          </w:p>
        </w:tc>
        <w:tc>
          <w:tcPr>
            <w:tcW w:w="732" w:type="pct"/>
            <w:tcBorders>
              <w:top w:val="single" w:sz="4" w:space="0" w:color="auto"/>
              <w:left w:val="nil"/>
              <w:bottom w:val="single" w:sz="4" w:space="0" w:color="auto"/>
              <w:right w:val="nil"/>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използване на субстрати за отглеждане на гъби, съдържащи компоненти извън посочените в Регламент (ЕС) 2018/848, Приложение II, Част I, т. 2.1.</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 Част I, т. 2.1.</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от контролиращото лице на план за действие за подобряване на изпълнението на предпазните мерки, въведени от оператора с цел гарантиране на съответствие.</w:t>
            </w:r>
          </w:p>
        </w:tc>
        <w:tc>
          <w:tcPr>
            <w:tcW w:w="1044"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сертификата по отношение на засегната дейност за не по-малко от 3 месеца о т установяване на несъответствието.</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В.16</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събиране на диворастящи растения в райони, които са били третирани с продукти или вещества, различни от разрешените за употреба в биологичното производство съгласно членове 9 и 24 от Регламент (ЕС) 2018/848, преди по-малко от 3 години.</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343031">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 Част I,</w:t>
            </w:r>
            <w:r w:rsidR="00343031">
              <w:rPr>
                <w:rFonts w:ascii="Verdana" w:hAnsi="Verdana" w:cs="Arial"/>
                <w:sz w:val="16"/>
                <w:szCs w:val="16"/>
              </w:rPr>
              <w:t xml:space="preserve"> </w:t>
            </w:r>
            <w:r w:rsidRPr="00EB027C">
              <w:rPr>
                <w:rFonts w:ascii="Verdana" w:hAnsi="Verdana" w:cs="Arial"/>
                <w:sz w:val="16"/>
                <w:szCs w:val="16"/>
              </w:rPr>
              <w:t>т. 2.2., буква „а“</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3 Критични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Налагане на забрана за пускане на пазара на продукти с позоваване на биологично производство за определен период в съответствие с чл. 42, параграф 2 от Регламент (ЕС) 2018/848.</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Отнемане на сертификата за не по-малко от 6 месеца от установяване на нарушението.</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Неприложимо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Преди включване на следваща продукция от засегнатите парцели се вземат проби от контролиращото лице и се предоставят за анализ в официална лаборатория.</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В.17</w:t>
            </w:r>
          </w:p>
        </w:tc>
        <w:tc>
          <w:tcPr>
            <w:tcW w:w="732"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събиране на диворастящи, което засяга устойчивостта на естественото местообитание и опазването на видовете в района на събиране.</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343031">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 Част I.,</w:t>
            </w:r>
            <w:r w:rsidR="00343031">
              <w:rPr>
                <w:rFonts w:ascii="Verdana" w:hAnsi="Verdana" w:cs="Arial"/>
                <w:sz w:val="16"/>
                <w:szCs w:val="16"/>
              </w:rPr>
              <w:t xml:space="preserve"> </w:t>
            </w:r>
            <w:r w:rsidRPr="00EB027C">
              <w:rPr>
                <w:rFonts w:ascii="Verdana" w:hAnsi="Verdana" w:cs="Arial"/>
                <w:sz w:val="16"/>
                <w:szCs w:val="16"/>
              </w:rPr>
              <w:t>т. 2.2.,</w:t>
            </w:r>
            <w:r w:rsidR="00343031">
              <w:rPr>
                <w:rFonts w:ascii="Verdana" w:hAnsi="Verdana" w:cs="Arial"/>
                <w:sz w:val="16"/>
                <w:szCs w:val="16"/>
              </w:rPr>
              <w:t xml:space="preserve"> </w:t>
            </w:r>
            <w:r w:rsidRPr="00EB027C">
              <w:rPr>
                <w:rFonts w:ascii="Verdana" w:hAnsi="Verdana" w:cs="Arial"/>
                <w:sz w:val="16"/>
                <w:szCs w:val="16"/>
              </w:rPr>
              <w:t>буква „б“</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3 Критични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Налагане на забрана за пускане на пазара на продукти с позоваване на биологично производство за определен период в съответствие с чл. 42, параграф 2 от Регламент (ЕС) 2018/848.</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Отнемане на сертификата за не по-малко от 6 месеца от установяване на нарушението.</w:t>
            </w:r>
          </w:p>
        </w:tc>
        <w:tc>
          <w:tcPr>
            <w:tcW w:w="104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Неприложимо</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В.18</w:t>
            </w:r>
          </w:p>
        </w:tc>
        <w:tc>
          <w:tcPr>
            <w:tcW w:w="732"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Установена е частична липса на записи за периода и/или мястото на събиране, съответните видове и количеството на събраните диви растения</w:t>
            </w:r>
          </w:p>
        </w:tc>
        <w:tc>
          <w:tcPr>
            <w:tcW w:w="643"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 Част I,</w:t>
            </w:r>
            <w:r w:rsidR="00343031">
              <w:rPr>
                <w:rFonts w:ascii="Verdana" w:hAnsi="Verdana" w:cs="Arial"/>
                <w:sz w:val="16"/>
                <w:szCs w:val="16"/>
              </w:rPr>
              <w:t xml:space="preserve"> </w:t>
            </w:r>
            <w:r w:rsidRPr="00EB027C">
              <w:rPr>
                <w:rFonts w:ascii="Verdana" w:hAnsi="Verdana" w:cs="Arial"/>
                <w:sz w:val="16"/>
                <w:szCs w:val="16"/>
              </w:rPr>
              <w:t>т. 2.2.</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Чл. 7, ал. 1 от Наредба № 5 от 2018 г.</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от контролиращото лице на план за действие за подобряване на изпълнението на предпазните мерки, въведени от 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сертификата по отношение на засегната дейност за не по-малко от 3 месеца о т установяване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съответната година.</w:t>
            </w:r>
          </w:p>
          <w:p w:rsidR="00EB027C" w:rsidRPr="00EB027C" w:rsidRDefault="00EB027C" w:rsidP="004B6FB7">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w:t>
            </w:r>
            <w:r w:rsidR="004B6FB7">
              <w:rPr>
                <w:rFonts w:ascii="Verdana" w:hAnsi="Verdana" w:cs="Arial"/>
                <w:sz w:val="16"/>
                <w:szCs w:val="16"/>
              </w:rPr>
              <w:t>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В.19</w:t>
            </w:r>
          </w:p>
        </w:tc>
        <w:tc>
          <w:tcPr>
            <w:tcW w:w="732"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Установена е пълна липса на записи за периода и мястото на събиране, съответните видове и количеството на събраните диви растения, , писмени доказателства за проведени обучения, </w:t>
            </w:r>
            <w:r w:rsidRPr="00EB027C">
              <w:rPr>
                <w:rFonts w:ascii="Verdana" w:hAnsi="Verdana" w:cs="Arial"/>
                <w:sz w:val="16"/>
                <w:szCs w:val="16"/>
              </w:rPr>
              <w:lastRenderedPageBreak/>
              <w:t xml:space="preserve">списък на обучените берачи. </w:t>
            </w:r>
          </w:p>
        </w:tc>
        <w:tc>
          <w:tcPr>
            <w:tcW w:w="643"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343031">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Регламент (ЕС) 2018/848, Приложение II, Част I,</w:t>
            </w:r>
            <w:r w:rsidR="00343031">
              <w:rPr>
                <w:rFonts w:ascii="Verdana" w:hAnsi="Verdana" w:cs="Arial"/>
                <w:sz w:val="16"/>
                <w:szCs w:val="16"/>
              </w:rPr>
              <w:t xml:space="preserve"> </w:t>
            </w:r>
            <w:r w:rsidRPr="00EB027C">
              <w:rPr>
                <w:rFonts w:ascii="Verdana" w:hAnsi="Verdana" w:cs="Arial"/>
                <w:sz w:val="16"/>
                <w:szCs w:val="16"/>
              </w:rPr>
              <w:t>т. 2.2.</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3 Критични нарушения</w:t>
            </w:r>
          </w:p>
        </w:tc>
        <w:tc>
          <w:tcPr>
            <w:tcW w:w="930"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Ограничаване на обхвата на сертификата за съответния </w:t>
            </w:r>
            <w:r w:rsidRPr="00EB027C">
              <w:rPr>
                <w:rFonts w:ascii="Verdana" w:hAnsi="Verdana" w:cs="Arial"/>
                <w:sz w:val="16"/>
                <w:szCs w:val="16"/>
              </w:rPr>
              <w:lastRenderedPageBreak/>
              <w:t>продукт/производствена единица за не по-малко от 3 месеца от установяване на несъответствието.</w:t>
            </w:r>
          </w:p>
        </w:tc>
        <w:tc>
          <w:tcPr>
            <w:tcW w:w="104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Подобряване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w:t>
            </w:r>
            <w:r w:rsidRPr="00EB027C">
              <w:rPr>
                <w:rFonts w:ascii="Verdana" w:hAnsi="Verdana" w:cs="Arial"/>
                <w:sz w:val="16"/>
                <w:szCs w:val="16"/>
              </w:rPr>
              <w:lastRenderedPageBreak/>
              <w:t>съответствие с чл. 42, параграф 1 от Регламент (ЕС) 2018/848.</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Ограничаване на обхвата на сертификата за съответния продукт/производствена единица за не по-малко от 6 месеца от установяване на несъответствието.</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lastRenderedPageBreak/>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Преди включване на следваща продукция от засегнатите райони за събиране, в сертификата се вземат проби от контролиращото лице и се предоставят за анализ в официална лаборатория по чл. 2, ал. 6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В.20</w:t>
            </w:r>
          </w:p>
        </w:tc>
        <w:tc>
          <w:tcPr>
            <w:tcW w:w="732" w:type="pct"/>
            <w:tcBorders>
              <w:top w:val="single" w:sz="4" w:space="0" w:color="auto"/>
              <w:left w:val="nil"/>
              <w:bottom w:val="single" w:sz="4" w:space="0" w:color="auto"/>
              <w:right w:val="single" w:sz="4" w:space="0" w:color="auto"/>
            </w:tcBorders>
            <w:shd w:val="clear" w:color="000000" w:fill="FFFFFF"/>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Установена е липса на писмени доказателства за проведени обучения, списък на обучените берачи.</w:t>
            </w:r>
          </w:p>
        </w:tc>
        <w:tc>
          <w:tcPr>
            <w:tcW w:w="643" w:type="pct"/>
            <w:tcBorders>
              <w:top w:val="single" w:sz="4" w:space="0" w:color="auto"/>
              <w:left w:val="nil"/>
              <w:bottom w:val="single" w:sz="4" w:space="0" w:color="auto"/>
              <w:right w:val="single" w:sz="4" w:space="0" w:color="auto"/>
            </w:tcBorders>
            <w:shd w:val="clear" w:color="000000" w:fill="FFFFFF"/>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Чл. 7, ал. 1 от Наредба № 5 от 2018 г.</w:t>
            </w:r>
          </w:p>
        </w:tc>
        <w:tc>
          <w:tcPr>
            <w:tcW w:w="597" w:type="pct"/>
            <w:tcBorders>
              <w:top w:val="single" w:sz="4" w:space="0" w:color="auto"/>
              <w:left w:val="nil"/>
              <w:bottom w:val="single" w:sz="4" w:space="0" w:color="auto"/>
              <w:right w:val="single" w:sz="4" w:space="0" w:color="auto"/>
            </w:tcBorders>
            <w:shd w:val="clear" w:color="000000" w:fill="FFFFFF"/>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000000" w:fill="FFFFFF"/>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Del="00405045"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от контролиращото лице на план за действие за подобряване на изпълнението на предпазните мерки, въведени от оператора с цел гарантиране на съответствие.</w:t>
            </w:r>
          </w:p>
        </w:tc>
        <w:tc>
          <w:tcPr>
            <w:tcW w:w="1044" w:type="pct"/>
            <w:tcBorders>
              <w:top w:val="single" w:sz="4" w:space="0" w:color="auto"/>
              <w:left w:val="nil"/>
              <w:bottom w:val="single" w:sz="4" w:space="0" w:color="auto"/>
              <w:right w:val="single" w:sz="4" w:space="0" w:color="auto"/>
            </w:tcBorders>
            <w:shd w:val="clear" w:color="000000" w:fill="FFFFFF"/>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сертификата по отношение на засегната дейност за не по-малко от 3 месеца о т установяване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tc>
        <w:tc>
          <w:tcPr>
            <w:tcW w:w="824" w:type="pct"/>
            <w:tcBorders>
              <w:top w:val="single" w:sz="4" w:space="0" w:color="auto"/>
              <w:left w:val="nil"/>
              <w:bottom w:val="single" w:sz="4" w:space="0" w:color="auto"/>
              <w:right w:val="single" w:sz="4" w:space="0" w:color="auto"/>
            </w:tcBorders>
            <w:shd w:val="clear" w:color="000000" w:fill="FFFFFF"/>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B027C" w:rsidRPr="00EB027C" w:rsidTr="00E756C5">
        <w:trPr>
          <w:trHeight w:val="397"/>
          <w:jc w:val="center"/>
        </w:trPr>
        <w:tc>
          <w:tcPr>
            <w:tcW w:w="5000" w:type="pct"/>
            <w:gridSpan w:val="7"/>
            <w:tcBorders>
              <w:top w:val="single" w:sz="4" w:space="0" w:color="auto"/>
              <w:left w:val="single" w:sz="4" w:space="0" w:color="auto"/>
              <w:bottom w:val="single" w:sz="4" w:space="0" w:color="auto"/>
              <w:right w:val="single" w:sz="4" w:space="0" w:color="000000"/>
            </w:tcBorders>
            <w:shd w:val="clear" w:color="000000" w:fill="B4C6E7"/>
            <w:vAlign w:val="center"/>
            <w:hideMark/>
          </w:tcPr>
          <w:p w:rsidR="00EB027C" w:rsidRPr="00EB027C" w:rsidRDefault="00EB027C" w:rsidP="00EB027C">
            <w:pPr>
              <w:widowControl/>
              <w:autoSpaceDE/>
              <w:autoSpaceDN/>
              <w:adjustRightInd/>
              <w:jc w:val="center"/>
              <w:rPr>
                <w:rFonts w:ascii="Verdana" w:hAnsi="Verdana" w:cs="Arial"/>
                <w:b/>
                <w:bCs/>
                <w:sz w:val="16"/>
                <w:szCs w:val="16"/>
              </w:rPr>
            </w:pPr>
            <w:r w:rsidRPr="00EB027C">
              <w:rPr>
                <w:rFonts w:ascii="Verdana" w:hAnsi="Verdana" w:cs="Arial"/>
                <w:b/>
                <w:bCs/>
                <w:sz w:val="16"/>
                <w:szCs w:val="16"/>
              </w:rPr>
              <w:t>Г. НЕСЪОТВЕТСТВИЯ, СВЪРЗАНИ С ДЕЙНОСТ „ЖИВОТНОВЪДСТВО“</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Г.1</w:t>
            </w:r>
          </w:p>
        </w:tc>
        <w:tc>
          <w:tcPr>
            <w:tcW w:w="732"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Установено е, че в дадено стопанство са налице производствени единици за биологично производство, за преход към биологично производство и за небиологично производство, без операторът да е изпълнил изискването </w:t>
            </w:r>
            <w:r w:rsidRPr="00EB027C">
              <w:rPr>
                <w:rFonts w:ascii="Verdana" w:hAnsi="Verdana" w:cs="Arial"/>
                <w:sz w:val="16"/>
                <w:szCs w:val="16"/>
              </w:rPr>
              <w:lastRenderedPageBreak/>
              <w:t>отглежданите животни са от различни видове.</w:t>
            </w:r>
          </w:p>
        </w:tc>
        <w:tc>
          <w:tcPr>
            <w:tcW w:w="643"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Регламент (ЕС) 2018/848, чл. 9, параграф 7, буква „а“</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3 Критични нарушения</w:t>
            </w:r>
          </w:p>
        </w:tc>
        <w:tc>
          <w:tcPr>
            <w:tcW w:w="930"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Налагане на забрана за пускане на пазара на продукти с позоваване на биологично </w:t>
            </w:r>
            <w:r w:rsidRPr="00EB027C">
              <w:rPr>
                <w:rFonts w:ascii="Verdana" w:hAnsi="Verdana" w:cs="Arial"/>
                <w:sz w:val="16"/>
                <w:szCs w:val="16"/>
              </w:rPr>
              <w:lastRenderedPageBreak/>
              <w:t>производство за определен период в съответствие с чл. 42, параграф 2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Начало на нов преходен период, когато е приложимо.</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Отнемане на сертификата за не по-малко от 6 месеца от установяване на нарушението.</w:t>
            </w:r>
          </w:p>
        </w:tc>
        <w:tc>
          <w:tcPr>
            <w:tcW w:w="104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Неприложимо</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Pr="00EB027C">
              <w:rPr>
                <w:rFonts w:ascii="Verdana" w:hAnsi="Verdana" w:cs="Arial"/>
                <w:sz w:val="16"/>
                <w:szCs w:val="16"/>
              </w:rPr>
              <w:lastRenderedPageBreak/>
              <w:t>инспек</w:t>
            </w:r>
            <w:r w:rsidR="004B6FB7">
              <w:rPr>
                <w:rFonts w:ascii="Verdana" w:hAnsi="Verdana" w:cs="Arial"/>
                <w:sz w:val="16"/>
                <w:szCs w:val="16"/>
              </w:rPr>
              <w:t>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Г.2</w:t>
            </w:r>
          </w:p>
        </w:tc>
        <w:tc>
          <w:tcPr>
            <w:tcW w:w="732"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В документалната отчетност липсва частично информация за произхода на животните, нововъведени в стопанството, както и техните предходни ветеринарни досиета.</w:t>
            </w:r>
          </w:p>
        </w:tc>
        <w:tc>
          <w:tcPr>
            <w:tcW w:w="643"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 Част II, т. 1.3.4.5.</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1 Незначителни нарушения</w:t>
            </w:r>
          </w:p>
        </w:tc>
        <w:tc>
          <w:tcPr>
            <w:tcW w:w="9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съответната година.</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4B6FB7">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Г.3</w:t>
            </w:r>
          </w:p>
        </w:tc>
        <w:tc>
          <w:tcPr>
            <w:tcW w:w="732"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В документалната отчетност липсва  напълно информация за произхода на животните, нововъведени в стопанството, както и техните предходни ветеринарни досиета.</w:t>
            </w:r>
          </w:p>
        </w:tc>
        <w:tc>
          <w:tcPr>
            <w:tcW w:w="643"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 Част II, т. 1.3.4.5.</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Ограничаване на обхвата на сертификата за съответния продукт/ производствена единица за не по-малко от 3 месеца от установяване на несъответствието.</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Г.4</w:t>
            </w:r>
          </w:p>
        </w:tc>
        <w:tc>
          <w:tcPr>
            <w:tcW w:w="732"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клониране на животни и/или трансфер на ембриони и/или вкарване в стадото на животни, продукт на клониране или ембриотрансфер.</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Регламент (ЕС) 2018/848, чл. 9, параграф 5 </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3 Критични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Налагане на забрана за пускане на пазара на продукти с позоваване на биологично производство за определен период в съответствие с чл. 42, параграф 2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Начало на нов преходен период, на цялото стопанство.</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Отнемане на сертификата за не по-малко от 6 месеца от установяване на нарушението.</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Неприложимо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Г.5</w:t>
            </w:r>
          </w:p>
        </w:tc>
        <w:tc>
          <w:tcPr>
            <w:tcW w:w="732"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насилствено хранене на животните (гушене).</w:t>
            </w:r>
          </w:p>
        </w:tc>
        <w:tc>
          <w:tcPr>
            <w:tcW w:w="643"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 Част II, т. 1.4.1. буква „г“ втора част.</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3 Критични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Налагане на забрана за пускане на пазара на продукти с позоваване на биологично производство за определен период в съответствие с чл. 42, параграф 2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Начало на нов преходен период, на цялото стопанство.</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Отнемане на сертификата за не по-малко от 6 месеца от установяване на нарушението.</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Неприложимо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Г.6</w:t>
            </w:r>
          </w:p>
        </w:tc>
        <w:tc>
          <w:tcPr>
            <w:tcW w:w="732"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Установено е третиране на животните с хормони или други вещества с подобен ефект с цел </w:t>
            </w:r>
            <w:r w:rsidRPr="00EB027C">
              <w:rPr>
                <w:rFonts w:ascii="Verdana" w:hAnsi="Verdana" w:cs="Arial"/>
                <w:sz w:val="16"/>
                <w:szCs w:val="16"/>
              </w:rPr>
              <w:lastRenderedPageBreak/>
              <w:t>възпрепятстване или индуциране на размножаването (освен като форма на терапевтично ветеринарно лечение на отделно животно)</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 xml:space="preserve">Регламент (ЕС) 2018/848, </w:t>
            </w:r>
            <w:r w:rsidRPr="00EB027C">
              <w:rPr>
                <w:rFonts w:ascii="Verdana" w:hAnsi="Verdana" w:cs="Arial"/>
                <w:sz w:val="16"/>
                <w:szCs w:val="16"/>
              </w:rPr>
              <w:lastRenderedPageBreak/>
              <w:t>Приложение II, Част II, т.1.3.1., буква „б“</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3 Критични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Премахване на позоваването на биологично производство при етикетирането и рекламирането на цялата засегната партида </w:t>
            </w:r>
            <w:r w:rsidRPr="00EB027C">
              <w:rPr>
                <w:rFonts w:ascii="Verdana" w:hAnsi="Verdana" w:cs="Arial"/>
                <w:sz w:val="16"/>
                <w:szCs w:val="16"/>
              </w:rPr>
              <w:lastRenderedPageBreak/>
              <w:t>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Налагане на забрана за пускане на пазара на продукти с позоваване на биологично производство за определен период в съответствие с чл. 42, параграф 2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Начало на нов преходен период, на цялото стопанство.</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Отнемане на сертификата за не по-малко от 6 месеца от установяване на нарушението.</w:t>
            </w:r>
          </w:p>
        </w:tc>
        <w:tc>
          <w:tcPr>
            <w:tcW w:w="104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Неприложимо</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Одобряване на изпълнението на предпазните мерки и контрола, въведени от </w:t>
            </w:r>
            <w:r w:rsidRPr="00EB027C">
              <w:rPr>
                <w:rFonts w:ascii="Verdana" w:hAnsi="Verdana" w:cs="Arial"/>
                <w:sz w:val="16"/>
                <w:szCs w:val="16"/>
              </w:rPr>
              <w:lastRenderedPageBreak/>
              <w:t>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Г.7</w:t>
            </w:r>
          </w:p>
        </w:tc>
        <w:tc>
          <w:tcPr>
            <w:tcW w:w="732"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хранене на животните с небиологични фуражи, които не отговарят на хранителните нужди на животните на различните етапи от тяхното развитие и/или е установено ограничено хранене на животните без доказана необходимост от ветеринарно естество.</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 Част II, т. 1.4., подточка 1.4.1., буква „б“</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[засегнатото(-ите) животно(-и)] в съответствие с чл. 42, параграф 1 от Регламент (ЕС) 2018/848.</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Налагане на забрана за пускане на пазара на продукти с позоваване на биологично производство за определен период в съответствие с чл. 42, параграф 2 от Регламент (ЕС) 2018/848.</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съответната год</w:t>
            </w:r>
            <w:r w:rsidR="004B6FB7">
              <w:rPr>
                <w:rFonts w:ascii="Verdana" w:hAnsi="Verdana" w:cs="Arial"/>
                <w:sz w:val="16"/>
                <w:szCs w:val="16"/>
              </w:rPr>
              <w:t>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Г.8</w:t>
            </w:r>
          </w:p>
        </w:tc>
        <w:tc>
          <w:tcPr>
            <w:tcW w:w="732"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отглеждане на животни при условия и хранителни режими, които могат да предизвикат анемия.</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 Част II, т.1.4., подточка 1.4.1., буква „в“</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[засегнатото(-ите)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Налагане на забрана за пускане на пазара на продукти с позоваване на биологично производство за определен период в съответствие с </w:t>
            </w:r>
            <w:r w:rsidRPr="00EB027C">
              <w:rPr>
                <w:rFonts w:ascii="Verdana" w:hAnsi="Verdana" w:cs="Arial"/>
                <w:sz w:val="16"/>
                <w:szCs w:val="16"/>
              </w:rPr>
              <w:lastRenderedPageBreak/>
              <w:t>чл. 42, параграф 2 от Регламент (ЕС) 2018/848.</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Начало на нов преходен период за засегнатите животни, когато е приложимо.</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Контролиращото лице прилага изискванията на </w:t>
            </w:r>
            <w:r w:rsidRPr="00EB027C">
              <w:rPr>
                <w:rFonts w:ascii="Verdana" w:hAnsi="Verdana" w:cs="Arial"/>
                <w:sz w:val="16"/>
                <w:szCs w:val="16"/>
              </w:rPr>
              <w:lastRenderedPageBreak/>
              <w:t>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Г.9</w:t>
            </w:r>
          </w:p>
        </w:tc>
        <w:tc>
          <w:tcPr>
            <w:tcW w:w="732"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използване на методи за угояване, които не съответстват на нормалните модели на хранене за всеки вид и на хуманното отношение към животните на всеки етап от процеса на отглеждане.</w:t>
            </w:r>
          </w:p>
        </w:tc>
        <w:tc>
          <w:tcPr>
            <w:tcW w:w="643"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 Част II, т. 1.4., подточка 1.4.1., буква „г“, без насилствено хранене.</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[засегнатото(-ите)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Налагане на забрана за пускане на пазара на продукти с позоваване на биологично производство за определен период в съответствие с чл. 42, параграф 2 от Регламент (ЕС) 2018/848.</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Начало на нов преходен период за засегнатите животни, когато е приложимо.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Г.10</w:t>
            </w:r>
          </w:p>
        </w:tc>
        <w:tc>
          <w:tcPr>
            <w:tcW w:w="732"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че на тревопасните животни не е осигурен постоянен достъп до пасища, когато са налице условия за това и не е осигурен постоянен достъп до груб фураж.</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Регламент (ЕС) 2018/848, Приложение II, Част II, т. 1.4., подточка 1.4.1., буква „д“ </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една или повече дейности) на сертификата, ограничаване на биологичния статус на продукция и/или животно -и за не по-малко от 3 месеца от установяване на несъответствието.</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4B6FB7">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Г.11</w:t>
            </w:r>
          </w:p>
        </w:tc>
        <w:tc>
          <w:tcPr>
            <w:tcW w:w="732"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Установено е използване на растежни стимулатори и/или синтетични аминокиселини в храната на животните. </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 Част II, т. 1.4., подточка 1.4.1., буква „е“</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3 Критични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Премахване на позоваването на биологично производство при етикетирането и рекламирането на цялата засегната партида или продукция [засегнатото(-ите)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Начало на нов преходен период на засегнатото(-ите) животно(-и).</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 xml:space="preserve">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w:t>
            </w:r>
            <w:r w:rsidRPr="00EB027C">
              <w:rPr>
                <w:rFonts w:ascii="Verdana" w:hAnsi="Verdana" w:cs="Arial"/>
                <w:sz w:val="16"/>
                <w:szCs w:val="16"/>
              </w:rPr>
              <w:lastRenderedPageBreak/>
              <w:t>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Налагане на забрана за пускане на пазара на продукти с позоваване на биологично производство за определен период в съответствие с чл. 42, параграф 2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Начало на нов преходен период на всички животни.</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Ограничаване на обхвата (на една или повече дейности) на сертификата, ограничаване на биологичния статус на продукция и/или животно и за не по-малко от 3 месеца от установяване на несъответствието.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 xml:space="preserve">Одобряване на изпълнението на предпазните мерки и контрола, въведени от оператора с цел </w:t>
            </w:r>
            <w:r w:rsidRPr="00EB027C">
              <w:rPr>
                <w:rFonts w:ascii="Verdana" w:hAnsi="Verdana" w:cs="Arial"/>
                <w:sz w:val="16"/>
                <w:szCs w:val="16"/>
              </w:rPr>
              <w:lastRenderedPageBreak/>
              <w:t>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съотве</w:t>
            </w:r>
            <w:r w:rsidR="004B6FB7">
              <w:rPr>
                <w:rFonts w:ascii="Verdana" w:hAnsi="Verdana" w:cs="Arial"/>
                <w:sz w:val="16"/>
                <w:szCs w:val="16"/>
              </w:rPr>
              <w:t>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Г.12</w:t>
            </w:r>
          </w:p>
        </w:tc>
        <w:tc>
          <w:tcPr>
            <w:tcW w:w="732"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че бозаещите животни са хранени със заместители на мляко, съдържащи химически синтезирани съставки или такива с растителен произход по време на минималния период за хранене с майчино мляко, определен в чл. 14, параграф 3, буква „а“ на Регламент (ЕС) 2018/848.</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 Част II, т. 1.4., подточка 1.4.1., буква „ж“, Регламент (ЕС) 2020/464, чл. 2; чл. 5; чл. 9; чл. 17.</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Начало на нов преходен период за засегнатите животни.</w:t>
            </w:r>
          </w:p>
        </w:tc>
        <w:tc>
          <w:tcPr>
            <w:tcW w:w="1044"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Начало на нов преходен период за засегнатите животни.</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сертификата за засегната дейност не по-малко от 6 месеца от установяване на нарушението.</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4B6FB7">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Г.13</w:t>
            </w:r>
          </w:p>
        </w:tc>
        <w:tc>
          <w:tcPr>
            <w:tcW w:w="732"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използване на фуражни суровини с произход от растения, водорасли, животни или дрожди, които са произведени по небиологичен начин.</w:t>
            </w:r>
          </w:p>
        </w:tc>
        <w:tc>
          <w:tcPr>
            <w:tcW w:w="643" w:type="pct"/>
            <w:tcBorders>
              <w:top w:val="single" w:sz="4" w:space="0" w:color="auto"/>
              <w:left w:val="single" w:sz="4" w:space="0" w:color="auto"/>
              <w:bottom w:val="single" w:sz="4" w:space="0" w:color="auto"/>
              <w:right w:val="single" w:sz="4" w:space="0" w:color="auto"/>
            </w:tcBorders>
            <w:shd w:val="clear" w:color="auto" w:fill="auto"/>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 Част II, т. 1.4., подточка 1.4.1., буква „з“</w:t>
            </w:r>
          </w:p>
        </w:tc>
        <w:tc>
          <w:tcPr>
            <w:tcW w:w="597" w:type="pct"/>
            <w:tcBorders>
              <w:top w:val="single" w:sz="4" w:space="0" w:color="auto"/>
              <w:left w:val="single" w:sz="4" w:space="0" w:color="auto"/>
              <w:bottom w:val="single" w:sz="4" w:space="0" w:color="auto"/>
              <w:right w:val="single" w:sz="4" w:space="0" w:color="auto"/>
            </w:tcBorders>
            <w:shd w:val="clear" w:color="000000" w:fill="FFFFFF"/>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Премахване на позоваването на биологично производство при етикетирането и рекламирането на цялата засегната партида или продукция [засегнатото(-ите) животно(-и)] в </w:t>
            </w:r>
            <w:r w:rsidRPr="00EB027C">
              <w:rPr>
                <w:rFonts w:ascii="Verdana" w:hAnsi="Verdana" w:cs="Arial"/>
                <w:sz w:val="16"/>
                <w:szCs w:val="16"/>
              </w:rPr>
              <w:lastRenderedPageBreak/>
              <w:t>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Налагане на забрана за пускане на пазара на продукти с позоваване на биологично производство за определен период в съответствие с чл. 42, параграф 2 от Регламент (ЕС) 2018/848.</w:t>
            </w:r>
          </w:p>
          <w:p w:rsidR="00EB027C" w:rsidRPr="00EB027C" w:rsidRDefault="00EB027C" w:rsidP="00EB027C">
            <w:pPr>
              <w:widowControl/>
              <w:autoSpaceDE/>
              <w:autoSpaceDN/>
              <w:adjustRightInd/>
              <w:spacing w:after="120"/>
              <w:rPr>
                <w:rFonts w:ascii="Verdana" w:hAnsi="Verdana" w:cs="Arial"/>
                <w:sz w:val="16"/>
                <w:szCs w:val="16"/>
              </w:rPr>
            </w:pP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Начало на нов преходен период на засегнатите животни.</w:t>
            </w:r>
          </w:p>
        </w:tc>
        <w:tc>
          <w:tcPr>
            <w:tcW w:w="1044" w:type="pct"/>
            <w:tcBorders>
              <w:top w:val="single" w:sz="4" w:space="0" w:color="auto"/>
              <w:left w:val="single" w:sz="4" w:space="0" w:color="auto"/>
              <w:bottom w:val="single" w:sz="4" w:space="0" w:color="auto"/>
              <w:right w:val="single" w:sz="4" w:space="0" w:color="auto"/>
            </w:tcBorders>
            <w:shd w:val="clear" w:color="000000" w:fill="FFFFFF"/>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Премахване на позоваването на биологично производство при етикетирането и рекламирането на цялата засегната партида или продукция [засегнато (-ти)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Начало на нов преходен период за засегнатите животни, когато е приложимо.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Налагане на забрана за пускане на пазара на продукти с позоваване на биологично производство за определен период в съответствие с чл. 42, параграф 2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сертификата за засегната дейност не по-малко от 6 месеца от установяване на нарушението.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Г.14</w:t>
            </w:r>
          </w:p>
        </w:tc>
        <w:tc>
          <w:tcPr>
            <w:tcW w:w="732" w:type="pct"/>
            <w:tcBorders>
              <w:top w:val="single" w:sz="4" w:space="0" w:color="auto"/>
              <w:left w:val="single" w:sz="4" w:space="0" w:color="auto"/>
              <w:bottom w:val="single" w:sz="4" w:space="0" w:color="auto"/>
              <w:right w:val="single" w:sz="4" w:space="0" w:color="auto"/>
            </w:tcBorders>
            <w:shd w:val="clear" w:color="000000" w:fill="FFFFFF"/>
          </w:tcPr>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 xml:space="preserve">Установено е използване на небиологични фуражни суровини с произход от растения, водорасли, животни или дрожди, фуражни суровини с микробен или минерален произход, фуражни добавки и технологични спомагателни вещества,които не са разрешени за употреба в биологичното производство съгласно чл. 24 от Регламент (ЕС) 2018/848 </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Регламент (ЕС) 2018/848, Приложение II, Част </w:t>
            </w:r>
            <w:r w:rsidRPr="00EB027C">
              <w:rPr>
                <w:rFonts w:ascii="Verdana" w:hAnsi="Verdana" w:cs="Arial"/>
                <w:sz w:val="16"/>
                <w:szCs w:val="16"/>
                <w:lang w:val="en-US"/>
              </w:rPr>
              <w:t>II</w:t>
            </w:r>
            <w:r w:rsidRPr="00EB027C">
              <w:rPr>
                <w:rFonts w:ascii="Verdana" w:hAnsi="Verdana" w:cs="Arial"/>
                <w:sz w:val="16"/>
                <w:szCs w:val="16"/>
              </w:rPr>
              <w:t>, т. 1.4</w:t>
            </w:r>
            <w:r w:rsidRPr="00EB027C">
              <w:rPr>
                <w:rFonts w:ascii="Verdana" w:hAnsi="Verdana" w:cs="Arial"/>
                <w:sz w:val="16"/>
                <w:szCs w:val="16"/>
                <w:lang w:val="ru-RU"/>
              </w:rPr>
              <w:t>.</w:t>
            </w:r>
            <w:r w:rsidRPr="00EB027C">
              <w:rPr>
                <w:rFonts w:ascii="Verdana" w:hAnsi="Verdana" w:cs="Arial"/>
                <w:sz w:val="16"/>
                <w:szCs w:val="16"/>
              </w:rPr>
              <w:t>, подточка 1.4.1., буква „и“</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3 Критични нарушения</w:t>
            </w:r>
          </w:p>
        </w:tc>
        <w:tc>
          <w:tcPr>
            <w:tcW w:w="9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[засегнато (-ти)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Начало на нов преходен период за засегнатите животни, когато е приложимо.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сертификата на засегната дейност за срок не по-малко от 3 месеца от установяване на нарушението.</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[засегнато (-ти)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Начало на нов преходен период за засегнатите животни, когато е приложимо.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Отнемане на сертификата за не по-малко от 6 месеца от установяване на нарушението за съответната дейност. </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Г.15</w:t>
            </w:r>
          </w:p>
        </w:tc>
        <w:tc>
          <w:tcPr>
            <w:tcW w:w="732" w:type="pct"/>
            <w:tcBorders>
              <w:top w:val="single" w:sz="4" w:space="0" w:color="auto"/>
              <w:left w:val="single" w:sz="4" w:space="0" w:color="auto"/>
              <w:bottom w:val="single" w:sz="4" w:space="0" w:color="auto"/>
              <w:right w:val="single" w:sz="4" w:space="0" w:color="auto"/>
            </w:tcBorders>
            <w:shd w:val="clear" w:color="000000" w:fill="FFFFFF"/>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използване на синтезирани по химически път алопатични ветеринарни лекарствени продукти, включително антибиотици и болуси от синтезирани алопатични химически молекули с цел профилактика..</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 Част II, т. 1.5.1., подточка 1.5.1.3.</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3. Критични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Налагане на забрана за пускане на пазара на продукти с позоваване на биологично производство за определен период в съответствие с чл. 42, параграф 2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Начало на нов преходен период, за засегнатото (ите) животно (-и).</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сертификата за засегната дейност не по-малко от 3 месеца от установяване на нарушението</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Налагане на забрана за пускане на пазара на продукти с позоваване на биологично производство за определен период в съответствие с чл. 42, параграф 2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Начало на нов преходен период за засегнатите животни.</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 xml:space="preserve">Отнемане на сертификата за не по-малко от 6 месеца от установяване на нарушението за съответната дейност. </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Контролиращото лице прилага изискванията на </w:t>
            </w:r>
            <w:r w:rsidRPr="00EB027C">
              <w:rPr>
                <w:rFonts w:ascii="Verdana" w:hAnsi="Verdana" w:cs="Arial"/>
                <w:sz w:val="16"/>
                <w:szCs w:val="16"/>
              </w:rPr>
              <w:lastRenderedPageBreak/>
              <w:t>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Г.16</w:t>
            </w:r>
          </w:p>
        </w:tc>
        <w:tc>
          <w:tcPr>
            <w:tcW w:w="732"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Установено, че са въведени животни от небиологични производствени единици, без да са приложени специални мерки като скрининг тестове или периоди на карантина в зависимост от местните обстоятелства. </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Регламент (ЕС) 2018/848, Приложение II, Част </w:t>
            </w:r>
            <w:r w:rsidRPr="00EB027C">
              <w:rPr>
                <w:rFonts w:ascii="Verdana" w:hAnsi="Verdana" w:cs="Arial"/>
                <w:sz w:val="16"/>
                <w:szCs w:val="16"/>
                <w:lang w:val="en-US"/>
              </w:rPr>
              <w:t>II</w:t>
            </w:r>
            <w:r w:rsidRPr="00EB027C">
              <w:rPr>
                <w:rFonts w:ascii="Verdana" w:hAnsi="Verdana" w:cs="Arial"/>
                <w:sz w:val="16"/>
                <w:szCs w:val="16"/>
              </w:rPr>
              <w:t>, т. 1.5.1., подточка 1.5.1.5.</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1 Незначителни нарушения</w:t>
            </w:r>
          </w:p>
        </w:tc>
        <w:tc>
          <w:tcPr>
            <w:tcW w:w="930"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tc>
        <w:tc>
          <w:tcPr>
            <w:tcW w:w="104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сертификата по отношение на  биологичния статус на засегнатия вид животни за не по-малко от 3 месеца от установяване на несъответствието.</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от контролиращото лице на план за действие за подобряване на изпълнението на предпазните мерки, въведени от оператора с цел гарантиране на съответствие.</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Г.17</w:t>
            </w:r>
          </w:p>
        </w:tc>
        <w:tc>
          <w:tcPr>
            <w:tcW w:w="732"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използване на продукти за почистване и дезинфекция на сградите за животните, които не са разрешени за употреба в биологичното производство съгласно чл. 24 от Регламент (ЕС) 2018/848. Замърсяването не е повлияло на биологичния статус на продукта.</w:t>
            </w:r>
          </w:p>
        </w:tc>
        <w:tc>
          <w:tcPr>
            <w:tcW w:w="643" w:type="pct"/>
            <w:tcBorders>
              <w:top w:val="single" w:sz="4" w:space="0" w:color="auto"/>
              <w:left w:val="single" w:sz="4" w:space="0" w:color="auto"/>
              <w:bottom w:val="single" w:sz="4" w:space="0" w:color="auto"/>
              <w:right w:val="single" w:sz="4" w:space="0" w:color="auto"/>
            </w:tcBorders>
            <w:shd w:val="clear" w:color="auto" w:fill="auto"/>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 Част II, т. 1.5.1., подточка 1.5.1.6.</w:t>
            </w:r>
          </w:p>
        </w:tc>
        <w:tc>
          <w:tcPr>
            <w:tcW w:w="597" w:type="pct"/>
            <w:tcBorders>
              <w:top w:val="single" w:sz="4" w:space="0" w:color="auto"/>
              <w:left w:val="single" w:sz="4" w:space="0" w:color="auto"/>
              <w:bottom w:val="single" w:sz="4" w:space="0" w:color="auto"/>
              <w:right w:val="single" w:sz="4" w:space="0" w:color="auto"/>
            </w:tcBorders>
            <w:shd w:val="clear" w:color="000000" w:fill="FFFFFF"/>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1 Незначителни нарушения</w:t>
            </w:r>
          </w:p>
        </w:tc>
        <w:tc>
          <w:tcPr>
            <w:tcW w:w="930" w:type="pct"/>
            <w:tcBorders>
              <w:top w:val="single" w:sz="4" w:space="0" w:color="auto"/>
              <w:left w:val="single" w:sz="4" w:space="0" w:color="auto"/>
              <w:bottom w:val="single" w:sz="4" w:space="0" w:color="auto"/>
              <w:right w:val="single" w:sz="4" w:space="0" w:color="auto"/>
            </w:tcBorders>
            <w:shd w:val="clear" w:color="000000" w:fill="FFFFFF"/>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auto" w:fill="auto"/>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сертификата по отношение на цялата засегната партида или продукция [засегната(-ите) култура(-и) или животно(-и)] за не по-малко от 3 месеца от установяване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Начало на преходен период за засегната партида или продукция [засегната(-ите) култура(-и) или животно(-и)].</w:t>
            </w:r>
          </w:p>
        </w:tc>
        <w:tc>
          <w:tcPr>
            <w:tcW w:w="824" w:type="pct"/>
            <w:tcBorders>
              <w:top w:val="single" w:sz="4" w:space="0" w:color="auto"/>
              <w:left w:val="single" w:sz="4" w:space="0" w:color="auto"/>
              <w:bottom w:val="single" w:sz="4" w:space="0" w:color="auto"/>
              <w:right w:val="single" w:sz="4" w:space="0" w:color="auto"/>
            </w:tcBorders>
            <w:shd w:val="clear" w:color="000000" w:fill="FFFFFF"/>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съответната година.</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Г.18</w:t>
            </w:r>
          </w:p>
        </w:tc>
        <w:tc>
          <w:tcPr>
            <w:tcW w:w="732" w:type="pct"/>
            <w:tcBorders>
              <w:top w:val="single" w:sz="4" w:space="0" w:color="auto"/>
              <w:left w:val="nil"/>
              <w:bottom w:val="single" w:sz="4" w:space="0" w:color="auto"/>
              <w:right w:val="single" w:sz="4" w:space="0" w:color="auto"/>
            </w:tcBorders>
            <w:shd w:val="clear" w:color="000000" w:fill="FFFFFF"/>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Установено е използване на продукти за почистване и дезинфекция на инсталациите за животните, които не са разрешени за употреба в биологичното </w:t>
            </w:r>
            <w:r w:rsidRPr="00EB027C">
              <w:rPr>
                <w:rFonts w:ascii="Verdana" w:hAnsi="Verdana" w:cs="Arial"/>
                <w:sz w:val="16"/>
                <w:szCs w:val="16"/>
              </w:rPr>
              <w:lastRenderedPageBreak/>
              <w:t>производство съгласно чл. 24 от Регламент (ЕС) 2018/848.</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Регламент (ЕС) 2018/848, Приложение II, Част II, т. 1.5.1., подточка 1.5.1.6.</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Премахване на позоваването на биологично производство при етикетирането и рекламирането </w:t>
            </w:r>
            <w:r w:rsidRPr="00EB027C">
              <w:rPr>
                <w:rFonts w:ascii="Verdana" w:hAnsi="Verdana" w:cs="Arial"/>
                <w:sz w:val="16"/>
                <w:szCs w:val="16"/>
              </w:rPr>
              <w:lastRenderedPageBreak/>
              <w:t>на цялата засегната партида или продукция [засегната(-ите) култура(-и) или животно(-и)] в съответствие с чл. 42, параграф 1 от Регламент (ЕС) 2018/848.</w:t>
            </w:r>
          </w:p>
        </w:tc>
        <w:tc>
          <w:tcPr>
            <w:tcW w:w="1044"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Налагане на забрана за пускане на пазара на продукти с позоваване на биологично производство за определен период в съответствие с чл. 42, параграф 2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Начало на нов преходен период за цялото стопанство.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Отнемане на сертификата на оператора, извършил нарушението за не по-малко от 6 месеца от установяването му.</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Осъществяване на засилен контрол чрез допълнителни 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Преди включване на следваща продукция от засегнатите животни, в сертификата се вземат проби от контролиращото лице и се предоставят за анализ в официална лаборатория по чл. 2, ал. 6 от Наредба № 5 от 2018 г.</w:t>
            </w:r>
          </w:p>
        </w:tc>
      </w:tr>
      <w:tr w:rsidR="00E756C5" w:rsidRPr="00EB027C" w:rsidTr="0008305C">
        <w:trPr>
          <w:jc w:val="center"/>
        </w:trPr>
        <w:tc>
          <w:tcPr>
            <w:tcW w:w="230" w:type="pct"/>
            <w:tcBorders>
              <w:top w:val="nil"/>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Г.19</w:t>
            </w:r>
          </w:p>
        </w:tc>
        <w:tc>
          <w:tcPr>
            <w:tcW w:w="732" w:type="pct"/>
            <w:tcBorders>
              <w:top w:val="nil"/>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частично нарушение на изискванията за почистване и дезинфекцията на биологичните животновъдни обекти съгласно Регламент (ЕС) 2018/848, Приложение II, Част II, т. 1.5.1., подточка 1.5.1.7.</w:t>
            </w:r>
          </w:p>
        </w:tc>
        <w:tc>
          <w:tcPr>
            <w:tcW w:w="643" w:type="pct"/>
            <w:tcBorders>
              <w:top w:val="nil"/>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 Част II, т. 1.5.1., подточка 1.5.1.7.</w:t>
            </w:r>
          </w:p>
        </w:tc>
        <w:tc>
          <w:tcPr>
            <w:tcW w:w="597" w:type="pct"/>
            <w:tcBorders>
              <w:top w:val="nil"/>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nil"/>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tc>
        <w:tc>
          <w:tcPr>
            <w:tcW w:w="1044" w:type="pct"/>
            <w:tcBorders>
              <w:top w:val="nil"/>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сертификата по отношение на цялата засегната партида или продукция [засегната(-ите) култура(-и) или животно(-и)] за не по-малко от 3 месеца от установяване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Начало на преходен период за засегната партида или продукция [засегната(-ите) култура(-и) или животно(-и)].</w:t>
            </w:r>
          </w:p>
        </w:tc>
        <w:tc>
          <w:tcPr>
            <w:tcW w:w="824" w:type="pct"/>
            <w:tcBorders>
              <w:top w:val="nil"/>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4B6FB7">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Г.20</w:t>
            </w:r>
          </w:p>
        </w:tc>
        <w:tc>
          <w:tcPr>
            <w:tcW w:w="732"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Установено е цялостно нарушение на изискванията за почистване и дезинфенкцията на биологичните животновъдни обекти съгласно Регламент (ЕС) 2018/848, Приложение II, Част </w:t>
            </w:r>
            <w:r w:rsidRPr="00EB027C">
              <w:rPr>
                <w:rFonts w:ascii="Verdana" w:hAnsi="Verdana" w:cs="Arial"/>
                <w:sz w:val="16"/>
                <w:szCs w:val="16"/>
                <w:lang w:val="en-US"/>
              </w:rPr>
              <w:t>II</w:t>
            </w:r>
            <w:r w:rsidRPr="00EB027C">
              <w:rPr>
                <w:rFonts w:ascii="Verdana" w:hAnsi="Verdana" w:cs="Arial"/>
                <w:sz w:val="16"/>
                <w:szCs w:val="16"/>
              </w:rPr>
              <w:t>, т. 1.5.1., подточка 1.5.1.7.</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Регламент (ЕС) 2018/848, Приложение II, Част </w:t>
            </w:r>
            <w:r w:rsidRPr="00EB027C">
              <w:rPr>
                <w:rFonts w:ascii="Verdana" w:hAnsi="Verdana" w:cs="Arial"/>
                <w:sz w:val="16"/>
                <w:szCs w:val="16"/>
                <w:lang w:val="en-US"/>
              </w:rPr>
              <w:t>II</w:t>
            </w:r>
            <w:r w:rsidRPr="00EB027C">
              <w:rPr>
                <w:rFonts w:ascii="Verdana" w:hAnsi="Verdana" w:cs="Arial"/>
                <w:sz w:val="16"/>
                <w:szCs w:val="16"/>
              </w:rPr>
              <w:t>, т. 1.5.1., подточка 1.5.1.7.</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3 Критични нарушения</w:t>
            </w:r>
          </w:p>
        </w:tc>
        <w:tc>
          <w:tcPr>
            <w:tcW w:w="9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сертификата по отношение на цялата засегната партида или продукция [засегната(-ите) култура(-и) или животно(-и)] за не по-малко от 3 месеца.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Начало на преходен период за засегната партида или продукция [засегната(-ите) култура(-и) или животно(-и)].</w:t>
            </w:r>
          </w:p>
          <w:p w:rsidR="00EB027C" w:rsidRPr="00EB027C" w:rsidRDefault="00EB027C" w:rsidP="004B6FB7">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w:t>
            </w:r>
            <w:r w:rsidR="004B6FB7">
              <w:rPr>
                <w:rFonts w:ascii="Verdana" w:hAnsi="Verdana" w:cs="Arial"/>
                <w:sz w:val="16"/>
                <w:szCs w:val="16"/>
              </w:rPr>
              <w:t>ф 1 от Регламент (ЕС) 2018/848.</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Налагане на забрана за пускане на пазара на продукти с позоваване на биологично производство за определен период в съответствие с </w:t>
            </w:r>
            <w:r w:rsidRPr="00EB027C">
              <w:rPr>
                <w:rFonts w:ascii="Verdana" w:hAnsi="Verdana" w:cs="Arial"/>
                <w:sz w:val="16"/>
                <w:szCs w:val="16"/>
              </w:rPr>
              <w:lastRenderedPageBreak/>
              <w:t>чл. 42, параграф 2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Начало на нов преходен период за цялото стопанство.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Отнемане на сертификата на оператора, извършил нарушението за не по-малко от 6 месеца от установяването му.</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Г.21</w:t>
            </w:r>
          </w:p>
        </w:tc>
        <w:tc>
          <w:tcPr>
            <w:tcW w:w="732"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неспазване на карентния период за синтезиран по химичен път алопатичен ветеринарен лекарствен продукт.</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Регламент (ЕС) 2018/848, Приложение II, Част </w:t>
            </w:r>
            <w:r w:rsidRPr="00EB027C">
              <w:rPr>
                <w:rFonts w:ascii="Verdana" w:hAnsi="Verdana" w:cs="Arial"/>
                <w:sz w:val="16"/>
                <w:szCs w:val="16"/>
                <w:lang w:val="en-US"/>
              </w:rPr>
              <w:t>II</w:t>
            </w:r>
            <w:r w:rsidRPr="00EB027C">
              <w:rPr>
                <w:rFonts w:ascii="Verdana" w:hAnsi="Verdana" w:cs="Arial"/>
                <w:sz w:val="16"/>
                <w:szCs w:val="16"/>
              </w:rPr>
              <w:t>, т. 1.5.2., подточка 1.5.2.5.</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Налагане на забрана за пускане на пазара на продукти с позоваване на биологично производство за определен период в съответствие с чл. 42, параграф 2 от Регламент (ЕС) 2018/848.</w:t>
            </w:r>
          </w:p>
        </w:tc>
        <w:tc>
          <w:tcPr>
            <w:tcW w:w="104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сертификата по отношение на биологичния статус на засегнатите животни.</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Г.22</w:t>
            </w:r>
          </w:p>
        </w:tc>
        <w:tc>
          <w:tcPr>
            <w:tcW w:w="732"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Установена е продажба като биологични на животни или продукти от животни, които са получили повече от три курса на лечение със синтезирани по химически път алопатични ветеринарни лекарствени продукти, включително антибиотици в рамките на 12 месеца, или </w:t>
            </w:r>
            <w:r w:rsidRPr="00EB027C">
              <w:rPr>
                <w:rFonts w:ascii="Verdana" w:hAnsi="Verdana" w:cs="Arial"/>
                <w:sz w:val="16"/>
                <w:szCs w:val="16"/>
              </w:rPr>
              <w:lastRenderedPageBreak/>
              <w:t>повече от един курс на лечение, ако производственият им жизнен цикъл продължава по-малко от година.</w:t>
            </w:r>
          </w:p>
        </w:tc>
        <w:tc>
          <w:tcPr>
            <w:tcW w:w="643"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 xml:space="preserve">Регламент (ЕС) 2018/848, Приложение II, Част </w:t>
            </w:r>
            <w:r w:rsidRPr="00EB027C">
              <w:rPr>
                <w:rFonts w:ascii="Verdana" w:hAnsi="Verdana" w:cs="Arial"/>
                <w:sz w:val="16"/>
                <w:szCs w:val="16"/>
                <w:lang w:val="en-US"/>
              </w:rPr>
              <w:t>II</w:t>
            </w:r>
            <w:r w:rsidRPr="00EB027C">
              <w:rPr>
                <w:rFonts w:ascii="Verdana" w:hAnsi="Verdana" w:cs="Arial"/>
                <w:sz w:val="16"/>
                <w:szCs w:val="16"/>
              </w:rPr>
              <w:t>, т. 1.5.2., подточка 1.5.2.4.</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3 Критични нарушения</w:t>
            </w:r>
          </w:p>
        </w:tc>
        <w:tc>
          <w:tcPr>
            <w:tcW w:w="9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Налагане на забрана за пускане на пазара на продукти с позоваване на биологично производство за определен период в съответствие с чл. 42, </w:t>
            </w:r>
            <w:r w:rsidRPr="00EB027C">
              <w:rPr>
                <w:rFonts w:ascii="Verdana" w:hAnsi="Verdana" w:cs="Arial"/>
                <w:sz w:val="16"/>
                <w:szCs w:val="16"/>
              </w:rPr>
              <w:lastRenderedPageBreak/>
              <w:t>параграф 2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Начало на нов преходен период на засегнатото животно/животни.</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Ограничаване на сертификата за съотвентия продукт/производствена единица за не по-малко от 3 месеца.</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Подобряване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 .</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Отнемане на сертификата за съответната дейност за не по-малко от 6 месеца.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Начало на нов преходен период на засегнатата производствена единица.</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Г.23</w:t>
            </w:r>
          </w:p>
        </w:tc>
        <w:tc>
          <w:tcPr>
            <w:tcW w:w="732"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неспазване на изискванията в Приложение II, Част II, т. 1.6., подточка 1.6.1. от Регламент (ЕС) 2018/848 по отношение на поддържане на въздушната циркулация, нивото на праха, температурата, относителната влажност на въздуха и др.</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 Част II, т. 1.6., подточка 1.6.1.</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tc>
        <w:tc>
          <w:tcPr>
            <w:tcW w:w="1044"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Начало на нов преходен период, когато е приложимо.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сертификата по отношение на  биологичния статус на засегнатите животни.</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4B6FB7">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nil"/>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Г.24</w:t>
            </w:r>
          </w:p>
        </w:tc>
        <w:tc>
          <w:tcPr>
            <w:tcW w:w="732" w:type="pct"/>
            <w:tcBorders>
              <w:top w:val="nil"/>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неспазване на изискванията на осигуряването на заслон или сенчести места в случаите на отглеждането на животните на открито без животновъдни помещения.</w:t>
            </w:r>
          </w:p>
        </w:tc>
        <w:tc>
          <w:tcPr>
            <w:tcW w:w="643" w:type="pct"/>
            <w:tcBorders>
              <w:top w:val="nil"/>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 Част II, т. 1.6., подточка 1.6.2.</w:t>
            </w:r>
          </w:p>
        </w:tc>
        <w:tc>
          <w:tcPr>
            <w:tcW w:w="597" w:type="pct"/>
            <w:tcBorders>
              <w:top w:val="nil"/>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1 Незначителни нарушения</w:t>
            </w:r>
          </w:p>
        </w:tc>
        <w:tc>
          <w:tcPr>
            <w:tcW w:w="930" w:type="pct"/>
            <w:tcBorders>
              <w:top w:val="nil"/>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Подобряване на изпълнението на предпазните мерки и контрола, въведени от оператора с цел гарантиране на съответствие. </w:t>
            </w:r>
          </w:p>
        </w:tc>
        <w:tc>
          <w:tcPr>
            <w:tcW w:w="1044" w:type="pct"/>
            <w:tcBorders>
              <w:top w:val="nil"/>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Начало на нов преходен период, когато е приложимо.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сертификата по отношение на биологичния статус на засегнатите животни.</w:t>
            </w:r>
          </w:p>
        </w:tc>
        <w:tc>
          <w:tcPr>
            <w:tcW w:w="824" w:type="pct"/>
            <w:tcBorders>
              <w:top w:val="nil"/>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4B6FB7">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Г.25</w:t>
            </w:r>
          </w:p>
        </w:tc>
        <w:tc>
          <w:tcPr>
            <w:tcW w:w="732"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Установено е неспазване на изискванията по отношение на гъстотата </w:t>
            </w:r>
            <w:r w:rsidRPr="00EB027C">
              <w:rPr>
                <w:rFonts w:ascii="Verdana" w:hAnsi="Verdana" w:cs="Arial"/>
                <w:sz w:val="16"/>
                <w:szCs w:val="16"/>
              </w:rPr>
              <w:lastRenderedPageBreak/>
              <w:t>на животните и минималните повърхности на открито и/или на закрито, както и техническите подробности, свързани с помещенията за отглеждане на животни.</w:t>
            </w:r>
          </w:p>
        </w:tc>
        <w:tc>
          <w:tcPr>
            <w:tcW w:w="643"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 xml:space="preserve">Регламент (ЕС) 2018/848, Приложение II, Част </w:t>
            </w:r>
            <w:r w:rsidRPr="00EB027C">
              <w:rPr>
                <w:rFonts w:ascii="Verdana" w:hAnsi="Verdana" w:cs="Arial"/>
                <w:sz w:val="16"/>
                <w:szCs w:val="16"/>
              </w:rPr>
              <w:lastRenderedPageBreak/>
              <w:t xml:space="preserve">II, т. 1.6., подточка 1.6.4., Регламент (ЕС) 2020/464, Приложение I. </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Представяне от оператора на необходимата информация и/или план за действие в срока, </w:t>
            </w:r>
            <w:r w:rsidRPr="00EB027C">
              <w:rPr>
                <w:rFonts w:ascii="Verdana" w:hAnsi="Verdana" w:cs="Arial"/>
                <w:sz w:val="16"/>
                <w:szCs w:val="16"/>
              </w:rPr>
              <w:lastRenderedPageBreak/>
              <w:t>определен за отстраняване на несъответствието.</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 xml:space="preserve">Ограничаване на  на биологичния статус на продукция и/или животно (-и) за срок най-малко от 6 месеца </w:t>
            </w:r>
            <w:r w:rsidRPr="00EB027C">
              <w:rPr>
                <w:rFonts w:ascii="Verdana" w:hAnsi="Verdana" w:cs="Arial"/>
                <w:sz w:val="16"/>
                <w:szCs w:val="16"/>
              </w:rPr>
              <w:lastRenderedPageBreak/>
              <w:t>от установяване на несъответствието.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 xml:space="preserve">Одобряване на изпълнението на предпазните мерки и </w:t>
            </w:r>
            <w:r w:rsidRPr="00EB027C">
              <w:rPr>
                <w:rFonts w:ascii="Verdana" w:hAnsi="Verdana" w:cs="Arial"/>
                <w:sz w:val="16"/>
                <w:szCs w:val="16"/>
              </w:rPr>
              <w:lastRenderedPageBreak/>
              <w:t>контрола, въведени от оператора с цел гарантиране на съответствие.</w:t>
            </w:r>
          </w:p>
          <w:p w:rsidR="00EB027C" w:rsidRPr="00EB027C" w:rsidRDefault="00EB027C" w:rsidP="004B6FB7">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Г.26</w:t>
            </w:r>
          </w:p>
        </w:tc>
        <w:tc>
          <w:tcPr>
            <w:tcW w:w="732"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използване на клетки, боксове и платформи за отглеждане на животни, с изключение за телета до 7-дневна възраст.</w:t>
            </w:r>
          </w:p>
        </w:tc>
        <w:tc>
          <w:tcPr>
            <w:tcW w:w="643"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 Част II, т. 1.6., подточка 1.6.8.</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съответната година.</w:t>
            </w:r>
          </w:p>
        </w:tc>
        <w:tc>
          <w:tcPr>
            <w:tcW w:w="104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Ограничаване на обхвата на сертификата за съответния продукт/ производствена единица за срок не по-малко от 3 месеца от установяване на несъответствието.</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Г.27</w:t>
            </w:r>
          </w:p>
        </w:tc>
        <w:tc>
          <w:tcPr>
            <w:tcW w:w="732"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разполагане на телета на възраст над една седмица в индивидуални боксове, без това да е обосновано по причини от ветеринарно естество.</w:t>
            </w:r>
          </w:p>
        </w:tc>
        <w:tc>
          <w:tcPr>
            <w:tcW w:w="643"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 Част II, т. 1.9., подточка 1.9.1.2., буква „в“</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 xml:space="preserve">Ограничаване на обхвата на сертификата за съответния продукт/ производствена единица </w:t>
            </w:r>
            <w:r w:rsidRPr="00EB027C">
              <w:rPr>
                <w:rFonts w:ascii="Verdana" w:hAnsi="Verdana" w:cs="Arial"/>
                <w:sz w:val="16"/>
                <w:szCs w:val="16"/>
              </w:rPr>
              <w:lastRenderedPageBreak/>
              <w:t>за срок не по-малко от 3 месеца от установяване на несъответствието.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C4407B">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Г.28</w:t>
            </w:r>
          </w:p>
        </w:tc>
        <w:tc>
          <w:tcPr>
            <w:tcW w:w="732"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Установено е лекуване на животно при неспазване на изискванията на  Приложение II, Част </w:t>
            </w:r>
            <w:r w:rsidRPr="00EB027C">
              <w:rPr>
                <w:rFonts w:ascii="Verdana" w:hAnsi="Verdana" w:cs="Arial"/>
                <w:sz w:val="16"/>
                <w:szCs w:val="16"/>
                <w:lang w:val="en-US"/>
              </w:rPr>
              <w:t>II</w:t>
            </w:r>
            <w:r w:rsidRPr="00EB027C">
              <w:rPr>
                <w:rFonts w:ascii="Verdana" w:hAnsi="Verdana" w:cs="Arial"/>
                <w:sz w:val="16"/>
                <w:szCs w:val="16"/>
              </w:rPr>
              <w:t>, т. 1.6., подточка 1.6.9. от Регламент (ЕС) 2018/848.</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Регламент (ЕС) 2018/848, Приложение II, Част </w:t>
            </w:r>
            <w:r w:rsidRPr="00EB027C">
              <w:rPr>
                <w:rFonts w:ascii="Verdana" w:hAnsi="Verdana" w:cs="Arial"/>
                <w:sz w:val="16"/>
                <w:szCs w:val="16"/>
                <w:lang w:val="en-US"/>
              </w:rPr>
              <w:t>II</w:t>
            </w:r>
            <w:r w:rsidRPr="00EB027C">
              <w:rPr>
                <w:rFonts w:ascii="Verdana" w:hAnsi="Verdana" w:cs="Arial"/>
                <w:sz w:val="16"/>
                <w:szCs w:val="16"/>
              </w:rPr>
              <w:t>, т. 1.6., подточка 1.6.9.</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w:t>
            </w:r>
            <w:r w:rsidR="004B6FB7">
              <w:rPr>
                <w:rFonts w:ascii="Verdana" w:hAnsi="Verdana" w:cs="Arial"/>
                <w:sz w:val="16"/>
                <w:szCs w:val="16"/>
              </w:rPr>
              <w:t xml:space="preserve">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nil"/>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Г.29</w:t>
            </w:r>
          </w:p>
        </w:tc>
        <w:tc>
          <w:tcPr>
            <w:tcW w:w="732" w:type="pct"/>
            <w:tcBorders>
              <w:top w:val="nil"/>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отглеждане на биологични животни  в заграждения върху много мокри или блатисти почви.</w:t>
            </w:r>
          </w:p>
        </w:tc>
        <w:tc>
          <w:tcPr>
            <w:tcW w:w="643" w:type="pct"/>
            <w:tcBorders>
              <w:top w:val="nil"/>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 Част II, т. 1.6., подточка 1.6.10.</w:t>
            </w:r>
          </w:p>
        </w:tc>
        <w:tc>
          <w:tcPr>
            <w:tcW w:w="597" w:type="pct"/>
            <w:tcBorders>
              <w:top w:val="nil"/>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nil"/>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nil"/>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Ограничаване на обхвата на сертификата за съответния продукт/ производствена единица за не по-малко от 3 месеца.</w:t>
            </w:r>
          </w:p>
        </w:tc>
        <w:tc>
          <w:tcPr>
            <w:tcW w:w="824" w:type="pct"/>
            <w:tcBorders>
              <w:top w:val="nil"/>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Г.30</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Лицата, участващи в процеса на отглеждане на биологични животни, не отговарят на изискванията на Приложение II, Част II, т. 1.7., подточка 1.7.1. от Регламент (ЕС) 2018/848. </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 Част II, т. 1.7., подточка 1.7.1.</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Подобряване на изпълнението на предпазните мерки и контрола, </w:t>
            </w:r>
            <w:r w:rsidRPr="00EB027C">
              <w:rPr>
                <w:rFonts w:ascii="Verdana" w:hAnsi="Verdana" w:cs="Arial"/>
                <w:sz w:val="16"/>
                <w:szCs w:val="16"/>
              </w:rPr>
              <w:lastRenderedPageBreak/>
              <w:t>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сертификата за съответния продукт/ производствена единица за не по-малко от 3 месеца.</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Pr="00EB027C">
              <w:rPr>
                <w:rFonts w:ascii="Verdana" w:hAnsi="Verdana" w:cs="Arial"/>
                <w:sz w:val="16"/>
                <w:szCs w:val="16"/>
              </w:rPr>
              <w:lastRenderedPageBreak/>
              <w:t>инспекции в съответната година.</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Преди включване на следваща продукция от засегнатите животни, в сертификата се вземат проби от контролиращото лице и се предоставят за анализ в официална лаборатория по чл. 2, ал. 6 от Наредба № 5 от 2018 г..</w:t>
            </w:r>
          </w:p>
        </w:tc>
      </w:tr>
      <w:tr w:rsidR="00E756C5" w:rsidRPr="00EB027C" w:rsidTr="0008305C">
        <w:trPr>
          <w:jc w:val="center"/>
        </w:trPr>
        <w:tc>
          <w:tcPr>
            <w:tcW w:w="230" w:type="pct"/>
            <w:tcBorders>
              <w:top w:val="nil"/>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Г.31</w:t>
            </w:r>
          </w:p>
        </w:tc>
        <w:tc>
          <w:tcPr>
            <w:tcW w:w="732"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Установено е, че пасищата са изтощени, почвата е утъпкана, налице е ерозия и замърсяване, причинени от животните или от разнасянето на техния тор поради прекалено голям брой животни. </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Регламент (ЕС) 2018/848, Приложение II, Част </w:t>
            </w:r>
            <w:r w:rsidRPr="00EB027C">
              <w:rPr>
                <w:rFonts w:ascii="Verdana" w:hAnsi="Verdana" w:cs="Arial"/>
                <w:sz w:val="16"/>
                <w:szCs w:val="16"/>
                <w:lang w:val="en-US"/>
              </w:rPr>
              <w:t>II</w:t>
            </w:r>
            <w:r w:rsidRPr="00EB027C">
              <w:rPr>
                <w:rFonts w:ascii="Verdana" w:hAnsi="Verdana" w:cs="Arial"/>
                <w:sz w:val="16"/>
                <w:szCs w:val="16"/>
              </w:rPr>
              <w:t>, т. 1.7., подточка 1.7.4.</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1 Незначителни нарушения</w:t>
            </w:r>
          </w:p>
        </w:tc>
        <w:tc>
          <w:tcPr>
            <w:tcW w:w="930"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tc>
        <w:tc>
          <w:tcPr>
            <w:tcW w:w="104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или план за действие и назначаване на допълнителни инспекции до отстраняване на несъответствието.</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от КЛ на план за действие за подобряване на изпълнението на предпазните мерки, въведени от оператора с цел гарантиране на съответствие.</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Г.32</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Установено е нехуманно отношение към отглежданите животни, свързани с изискванията на Приложение II, Част </w:t>
            </w:r>
            <w:r w:rsidRPr="00EB027C">
              <w:rPr>
                <w:rFonts w:ascii="Verdana" w:hAnsi="Verdana" w:cs="Arial"/>
                <w:sz w:val="16"/>
                <w:szCs w:val="16"/>
                <w:lang w:val="en-US"/>
              </w:rPr>
              <w:t>II</w:t>
            </w:r>
            <w:r w:rsidRPr="00EB027C">
              <w:rPr>
                <w:rFonts w:ascii="Verdana" w:hAnsi="Verdana" w:cs="Arial"/>
                <w:sz w:val="16"/>
                <w:szCs w:val="16"/>
              </w:rPr>
              <w:t xml:space="preserve">, т. 1.7., подточка 1.7.7. от Регламент (ЕС) 2018/848. </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Регламент (ЕС) 2018/848, Приложение II, Част </w:t>
            </w:r>
            <w:r w:rsidRPr="00EB027C">
              <w:rPr>
                <w:rFonts w:ascii="Verdana" w:hAnsi="Verdana" w:cs="Arial"/>
                <w:sz w:val="16"/>
                <w:szCs w:val="16"/>
                <w:lang w:val="en-US"/>
              </w:rPr>
              <w:t>II</w:t>
            </w:r>
            <w:r w:rsidRPr="00EB027C">
              <w:rPr>
                <w:rFonts w:ascii="Verdana" w:hAnsi="Verdana" w:cs="Arial"/>
                <w:sz w:val="16"/>
                <w:szCs w:val="16"/>
              </w:rPr>
              <w:t>, т. 1.7., подточка 1.7.7.</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сертификата за съответния продукт/ производствена единица за не по-малко от 3 месеца.</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от контролиращото лице на план за действие за подобряване на изпълнението на предпазните мерки, въведени от оператора с цел гарантиране на съответствие.</w:t>
            </w:r>
          </w:p>
          <w:p w:rsidR="00EB027C" w:rsidRPr="00EB027C" w:rsidRDefault="00EB027C" w:rsidP="004B6FB7">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lastRenderedPageBreak/>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lang w:val="en-US"/>
              </w:rPr>
            </w:pPr>
            <w:r w:rsidRPr="00EB027C">
              <w:rPr>
                <w:rFonts w:ascii="Verdana" w:hAnsi="Verdana" w:cs="Arial"/>
                <w:sz w:val="16"/>
                <w:szCs w:val="16"/>
              </w:rPr>
              <w:lastRenderedPageBreak/>
              <w:t>Г.3</w:t>
            </w:r>
            <w:r w:rsidRPr="00EB027C">
              <w:rPr>
                <w:rFonts w:ascii="Verdana" w:hAnsi="Verdana" w:cs="Arial"/>
                <w:sz w:val="16"/>
                <w:szCs w:val="16"/>
                <w:lang w:val="en-US"/>
              </w:rPr>
              <w:t>3</w:t>
            </w:r>
          </w:p>
        </w:tc>
        <w:tc>
          <w:tcPr>
            <w:tcW w:w="732"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Операцията не е извършена в най-подходящата възраст и/или операцията е извършена без адекватна анестезия/аналгезия и/или операцията е извършена от неквалифициран персонал.</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 Част II, т. 1.7., подточка 1.7.9.</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сертификата за съответния продукт/производствена единица за не по-малко от 3 месеца.</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от контролиращото лице на план за действие за подобряване на изпълнението на предпазните мерки, въведени от оператора с цел гарантиране на съответствие.</w:t>
            </w:r>
          </w:p>
          <w:p w:rsidR="00EB027C" w:rsidRPr="00EB027C" w:rsidRDefault="00EB027C" w:rsidP="004B6FB7">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nil"/>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Г.34</w:t>
            </w:r>
          </w:p>
        </w:tc>
        <w:tc>
          <w:tcPr>
            <w:tcW w:w="732" w:type="pct"/>
            <w:tcBorders>
              <w:top w:val="nil"/>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При употреба на анестезия и/или аналгезия е установено,че операцията не е извършена в най-подходящата възраст и/или от неквалифициран персонал.</w:t>
            </w:r>
          </w:p>
        </w:tc>
        <w:tc>
          <w:tcPr>
            <w:tcW w:w="643" w:type="pct"/>
            <w:tcBorders>
              <w:top w:val="nil"/>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 Част II, т. 1.7., подточка 1.7.9.</w:t>
            </w:r>
          </w:p>
        </w:tc>
        <w:tc>
          <w:tcPr>
            <w:tcW w:w="597" w:type="pct"/>
            <w:tcBorders>
              <w:top w:val="nil"/>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nil"/>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nil"/>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сертификата за съответния продукт/производствена единица за не по-малко от 3 месеца.</w:t>
            </w:r>
          </w:p>
        </w:tc>
        <w:tc>
          <w:tcPr>
            <w:tcW w:w="824" w:type="pct"/>
            <w:tcBorders>
              <w:top w:val="nil"/>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от контролиращото лице  на план за действие за подобряване на изпълнението на предпазните мерки, въведени от оператора с цел гарантиране на съответствие.</w:t>
            </w:r>
          </w:p>
          <w:p w:rsidR="00EB027C" w:rsidRPr="00EB027C" w:rsidRDefault="00EB027C" w:rsidP="004B6FB7">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 xml:space="preserve">Контролиращото лице прилага изискванията на </w:t>
            </w:r>
            <w:r w:rsidRPr="00EB027C">
              <w:rPr>
                <w:rFonts w:ascii="Verdana" w:hAnsi="Verdana" w:cs="Arial"/>
                <w:sz w:val="16"/>
                <w:szCs w:val="16"/>
              </w:rPr>
              <w:lastRenderedPageBreak/>
              <w:t>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Г.35</w:t>
            </w:r>
          </w:p>
        </w:tc>
        <w:tc>
          <w:tcPr>
            <w:tcW w:w="732"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Установена е физическата кастрация на животни от персонал, който няма необходимата квалификация и/или операцията не е извършена без адекватна анестезия/аналгезия, и/или операцията не е извършена в най-подходящата възраст.</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 Част II, т. 1.7., подточка 1.7.10.</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сертификата за съответния продукт/производствена единица за не по-малко от 3 месеца.</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от контролиращото лице  на план за действие за подобряване на изпълнението на предпазните мерки, въведени от оператора с цел гарантиране на съответствие.</w:t>
            </w:r>
          </w:p>
          <w:p w:rsidR="00EB027C" w:rsidRPr="00EB027C" w:rsidRDefault="00EB027C" w:rsidP="004B6FB7">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Г.36</w:t>
            </w:r>
          </w:p>
        </w:tc>
        <w:tc>
          <w:tcPr>
            <w:tcW w:w="732"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Установено е използване на причиняващи болка и страдание електрически или друг вид стимулатори върху животни с цел тяхното придвижване със сила по време на товарене и разтоварване и транспортиране. </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 Част II, т. 1.7., подточка 1.7.11.</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сертификата за съответния продукт/производствена единица за не по-малко от 3 месеца.</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от контролиращото лице  на план за действие за подобряване на изпълнението на предпазните мерки, въведени от оператора с цел гарантиране на съответствие.</w:t>
            </w:r>
          </w:p>
          <w:p w:rsidR="00EB027C" w:rsidRPr="00EB027C" w:rsidRDefault="00EB027C" w:rsidP="004B6FB7">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w:t>
            </w:r>
            <w:r w:rsidR="004B6FB7">
              <w:rPr>
                <w:rFonts w:ascii="Verdana" w:hAnsi="Verdana" w:cs="Arial"/>
                <w:sz w:val="16"/>
                <w:szCs w:val="16"/>
              </w:rPr>
              <w:t>ъответната година.</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 xml:space="preserve">Контролиращото лице прилага изискванията на </w:t>
            </w:r>
            <w:r w:rsidRPr="00EB027C">
              <w:rPr>
                <w:rFonts w:ascii="Verdana" w:hAnsi="Verdana" w:cs="Arial"/>
                <w:sz w:val="16"/>
                <w:szCs w:val="16"/>
              </w:rPr>
              <w:lastRenderedPageBreak/>
              <w:t>чл. 57 от Наредба № 5 от 2018 г.</w:t>
            </w:r>
          </w:p>
        </w:tc>
      </w:tr>
      <w:tr w:rsidR="00E756C5" w:rsidRPr="00EB027C" w:rsidTr="0008305C">
        <w:trPr>
          <w:jc w:val="center"/>
        </w:trPr>
        <w:tc>
          <w:tcPr>
            <w:tcW w:w="230" w:type="pct"/>
            <w:tcBorders>
              <w:top w:val="nil"/>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Г.37</w:t>
            </w:r>
          </w:p>
        </w:tc>
        <w:tc>
          <w:tcPr>
            <w:tcW w:w="732" w:type="pct"/>
            <w:tcBorders>
              <w:top w:val="nil"/>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Установено е използване на алопатични успокоителни преди или по време на транспортиране на животни. </w:t>
            </w:r>
          </w:p>
        </w:tc>
        <w:tc>
          <w:tcPr>
            <w:tcW w:w="643" w:type="pct"/>
            <w:tcBorders>
              <w:top w:val="nil"/>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 Част II, т. 1.7., подточка 1.7.11.</w:t>
            </w:r>
          </w:p>
        </w:tc>
        <w:tc>
          <w:tcPr>
            <w:tcW w:w="597" w:type="pct"/>
            <w:tcBorders>
              <w:top w:val="nil"/>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 3.Критични нарушения</w:t>
            </w:r>
          </w:p>
        </w:tc>
        <w:tc>
          <w:tcPr>
            <w:tcW w:w="930" w:type="pct"/>
            <w:tcBorders>
              <w:top w:val="nil"/>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Начало на нов преходен период за засегнатите животни.</w:t>
            </w:r>
          </w:p>
        </w:tc>
        <w:tc>
          <w:tcPr>
            <w:tcW w:w="1044" w:type="pct"/>
            <w:tcBorders>
              <w:top w:val="nil"/>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Ограничаване на обхвата на сертификата за съответния продукт/ производствена единица за не по-малко от 6 месеца.</w:t>
            </w:r>
          </w:p>
        </w:tc>
        <w:tc>
          <w:tcPr>
            <w:tcW w:w="824" w:type="pct"/>
            <w:tcBorders>
              <w:top w:val="nil"/>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от контролиращото лице  на план за действие за подобряване на изпълнението на предпазните мерки, въведени от оператора с ц</w:t>
            </w:r>
            <w:r w:rsidR="004B6FB7">
              <w:rPr>
                <w:rFonts w:ascii="Verdana" w:hAnsi="Verdana" w:cs="Arial"/>
                <w:sz w:val="16"/>
                <w:szCs w:val="16"/>
              </w:rPr>
              <w:t>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Г.38</w:t>
            </w:r>
          </w:p>
        </w:tc>
        <w:tc>
          <w:tcPr>
            <w:tcW w:w="732"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Установено е, че по-малко от 60% от фуража произхожда от самото стопанство и не е налице доказателство, че фуражът е произведен в сътрудничество с други единици за биологично производство или производствени единици в преход към биологично производство и фуражни оператори, използващи фураж и фуражни суровини от същия район. </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 Част II, т. 1.9., подточка 1.9.1.1., буква „а”</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Налагане на забрана за пускане на пазара на продукти с позоваване на биологично производство за определен период в съответствие с чл. 42, параграф 2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сертификата по отношение на засегнатите животни за срок не по-малко от 3 месеца от установяване на несъответствието.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от контролиращото лице  на план за действие за подобряване на изпълнението на предпазните мерки,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съответната година.</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Г.39</w:t>
            </w:r>
          </w:p>
        </w:tc>
        <w:tc>
          <w:tcPr>
            <w:tcW w:w="732"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 xml:space="preserve">Установено е, че по-малко от 60%  от сухото вещество в дневните дажби се състои от груб </w:t>
            </w:r>
            <w:r w:rsidRPr="00EB027C">
              <w:rPr>
                <w:rFonts w:ascii="Verdana" w:hAnsi="Verdana" w:cs="Arial"/>
                <w:sz w:val="16"/>
                <w:szCs w:val="16"/>
              </w:rPr>
              <w:lastRenderedPageBreak/>
              <w:t xml:space="preserve">фураж, пресен или изсушен фураж, или силажи. При животните в млекопроизводството за максимален период от три месеца в началния период на лактация по-малко от 50% от сухото вещество в дневните дажби се състои от груб фураж, пресен или изсушен фураж, или силажи. </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 xml:space="preserve">Регламент (ЕС) 2018/848, Приложение II, Част </w:t>
            </w:r>
            <w:r w:rsidRPr="00EB027C">
              <w:rPr>
                <w:rFonts w:ascii="Verdana" w:hAnsi="Verdana" w:cs="Arial"/>
                <w:sz w:val="16"/>
                <w:szCs w:val="16"/>
              </w:rPr>
              <w:lastRenderedPageBreak/>
              <w:t>II, т. 1.9., подточка 1.9.1.1., буква „е”</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2 Сериозни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Представяне от оператора на необходимата информация и/или план за действие в срока, </w:t>
            </w:r>
            <w:r w:rsidRPr="00EB027C">
              <w:rPr>
                <w:rFonts w:ascii="Verdana" w:hAnsi="Verdana" w:cs="Arial"/>
                <w:sz w:val="16"/>
                <w:szCs w:val="16"/>
              </w:rPr>
              <w:lastRenderedPageBreak/>
              <w:t>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 xml:space="preserve">Ограничаване на биологичния статус на продукция и/или животни </w:t>
            </w:r>
            <w:r w:rsidRPr="00EB027C">
              <w:rPr>
                <w:rFonts w:ascii="Verdana" w:hAnsi="Verdana" w:cs="Arial"/>
                <w:sz w:val="16"/>
                <w:szCs w:val="16"/>
              </w:rPr>
              <w:lastRenderedPageBreak/>
              <w:t>за период от 3 месеца от установяване на несъответствието.</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 xml:space="preserve">Одобряване на изпълнението на предпазните мерки и контрола, въведени от </w:t>
            </w:r>
            <w:r w:rsidRPr="00EB027C">
              <w:rPr>
                <w:rFonts w:ascii="Verdana" w:hAnsi="Verdana" w:cs="Arial"/>
                <w:sz w:val="16"/>
                <w:szCs w:val="16"/>
              </w:rPr>
              <w:lastRenderedPageBreak/>
              <w:t>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инспекции </w:t>
            </w:r>
            <w:r w:rsidR="004B6FB7">
              <w:rPr>
                <w:rFonts w:ascii="Verdana" w:hAnsi="Verdana" w:cs="Arial"/>
                <w:sz w:val="16"/>
                <w:szCs w:val="16"/>
              </w:rPr>
              <w:t>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Г.40</w:t>
            </w:r>
          </w:p>
        </w:tc>
        <w:tc>
          <w:tcPr>
            <w:tcW w:w="732"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Установени са гладки и/или хлъзгави подове в помещенията за отглеждане на животните.</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 Част II, т. 1.9., подточка 1.9.1.2., буква „а”</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1 Незначителни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съответната година.</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Г.41</w:t>
            </w:r>
          </w:p>
        </w:tc>
        <w:tc>
          <w:tcPr>
            <w:tcW w:w="732"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че помещенията не разполагат с удобни, чисти и сухи площи с достатъчни размери за лягане или почивка, на местата за почивка на животните не се предоставят достатъчно широки сухи постели, покрити с постелъчен материал от слама или други подходящи естествени материали.</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 Част II, т. 1.9., подточка 1.9.1.2., буква „б”</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за засегнатите животни за срок не по-малко от 3 месеца.</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4B6FB7">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Г.42</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Установено е неизпълнение на изискванията по отношение на храненето </w:t>
            </w:r>
            <w:r w:rsidRPr="00EB027C">
              <w:rPr>
                <w:rFonts w:ascii="Verdana" w:hAnsi="Verdana" w:cs="Arial"/>
                <w:sz w:val="16"/>
                <w:szCs w:val="16"/>
              </w:rPr>
              <w:lastRenderedPageBreak/>
              <w:t>на животните от семейство еленови.</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 xml:space="preserve">Регламент (ЕС) 2018/848, Приложение II, Част II, т. 1.9.2., подточка </w:t>
            </w:r>
            <w:r w:rsidRPr="00EB027C">
              <w:rPr>
                <w:rFonts w:ascii="Verdana" w:hAnsi="Verdana" w:cs="Arial"/>
                <w:sz w:val="16"/>
                <w:szCs w:val="16"/>
              </w:rPr>
              <w:lastRenderedPageBreak/>
              <w:t>1.9.2.1., от буква „а” до „з”</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Начало на нов преходен период, когато е приложимо.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Ограничаване на обхвата на сертификата по отношение на засегнатите видове животни за </w:t>
            </w:r>
            <w:r w:rsidRPr="00EB027C">
              <w:rPr>
                <w:rFonts w:ascii="Verdana" w:hAnsi="Verdana" w:cs="Arial"/>
                <w:sz w:val="16"/>
                <w:szCs w:val="16"/>
              </w:rPr>
              <w:lastRenderedPageBreak/>
              <w:t>период не по-малко от 3 месеца от установяване на несъответствието.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 xml:space="preserve">Одобряване на изпълнението на предпазните мерки и контрола, въведени от оператора с цел </w:t>
            </w:r>
            <w:r w:rsidRPr="00EB027C">
              <w:rPr>
                <w:rFonts w:ascii="Verdana" w:hAnsi="Verdana" w:cs="Arial"/>
                <w:sz w:val="16"/>
                <w:szCs w:val="16"/>
              </w:rPr>
              <w:lastRenderedPageBreak/>
              <w:t>гарантиране на съответствие.</w:t>
            </w:r>
          </w:p>
          <w:p w:rsidR="00EB027C" w:rsidRPr="00EB027C" w:rsidRDefault="00EB027C" w:rsidP="004B6FB7">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Г.43</w:t>
            </w:r>
          </w:p>
        </w:tc>
        <w:tc>
          <w:tcPr>
            <w:tcW w:w="732"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неизпълнение на изискванията по отношение на правилата за помещения за отглеждане и животновъдни практики на животните от семейство еленови.</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 Част II, т. 1.9.2., подточка 1.9.2.2., букви от „а” до „е”</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Начало на нов преходен период, когато е приложимо.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сертификата по отношение на засегнатите видове животни за период не по-малко от 3 месеца от установяване на несъответствието.</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съответната година.</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Г.44</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Установено е неизпълнение на изискванията по отношение на храненето на свине. </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 Част II, т. 1.9.3., подточка 1.9.3.1., букви „а” и „б”</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Начало на нов преходен период, когато е приложимо.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сертификата по отношение на засегнатите видове животни за период не по-малко от 3 месеца от установяване на несъответствието.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4B6FB7">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nil"/>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Г.45</w:t>
            </w:r>
          </w:p>
        </w:tc>
        <w:tc>
          <w:tcPr>
            <w:tcW w:w="732"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Установено е неизпълнение на изискванията по </w:t>
            </w:r>
            <w:r w:rsidRPr="00EB027C">
              <w:rPr>
                <w:rFonts w:ascii="Verdana" w:hAnsi="Verdana" w:cs="Arial"/>
                <w:sz w:val="16"/>
                <w:szCs w:val="16"/>
              </w:rPr>
              <w:lastRenderedPageBreak/>
              <w:t>отношение на правилата за помещения за отглеждане свине.</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 xml:space="preserve">Регламент (ЕС) 2018/848, Приложение II, Част </w:t>
            </w:r>
            <w:r w:rsidRPr="00EB027C">
              <w:rPr>
                <w:rFonts w:ascii="Verdana" w:hAnsi="Verdana" w:cs="Arial"/>
                <w:sz w:val="16"/>
                <w:szCs w:val="16"/>
              </w:rPr>
              <w:lastRenderedPageBreak/>
              <w:t>II, т. 1.9.3., подточка 1.9.3.2., букви от „а” до „е”</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2 Сериозни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Представяне от оператора на необходимата информация и/или план за действие в срока, </w:t>
            </w:r>
            <w:r w:rsidRPr="00EB027C">
              <w:rPr>
                <w:rFonts w:ascii="Verdana" w:hAnsi="Verdana" w:cs="Arial"/>
                <w:sz w:val="16"/>
                <w:szCs w:val="16"/>
              </w:rPr>
              <w:lastRenderedPageBreak/>
              <w:t>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Начало на нов преходен период, когато е приложимо.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Ограничаване на обхвата на сертификата по отношение на засегнатите видове животни за период не по-малко от 3 месеца от установяване на несъответствието.</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 xml:space="preserve">Одобряване на изпълнението на предпазните мерки и </w:t>
            </w:r>
            <w:r w:rsidRPr="00EB027C">
              <w:rPr>
                <w:rFonts w:ascii="Verdana" w:hAnsi="Verdana" w:cs="Arial"/>
                <w:sz w:val="16"/>
                <w:szCs w:val="16"/>
              </w:rPr>
              <w:lastRenderedPageBreak/>
              <w:t>контрола, въведени от оператора с цел гарантиране на съответствие.</w:t>
            </w:r>
          </w:p>
          <w:p w:rsidR="00EB027C" w:rsidRPr="00EB027C" w:rsidRDefault="00EB027C" w:rsidP="004B6FB7">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Г.46</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неспазване на изискванията по отношение на произхода на домашни птици и минималната възраст за клане, посочени в Приложение II, Част II, т. 1.9.4., подточка 1.9.4.1.  от Регламент (ЕС) 2018/848.</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Регламент (ЕС) 2018/848, Приложение II, Част II, т. 1.9.4., подточка 1.9.4.1. </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Начало на нов преходен период, когато е приложимо.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сертификата по отношение на засегнатите видове животни за период не по-малко от 3 месеца от установяване на несъответствието.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съответната година.</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Г.47</w:t>
            </w:r>
          </w:p>
        </w:tc>
        <w:tc>
          <w:tcPr>
            <w:tcW w:w="732"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неспазване на изискванията по отношение на храненето на домашни птици, посочени в Приложение II, Част II, т. 1.9.4., подточка 1.9.4.2. от Регламент (ЕС) 2018/848.</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 Част II, т. 1.9.4., подточка 1.9.4.2., букви „а” и „б”</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Начало на нов преходен период, когато е приложимо.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сертификата по отношение на засегнатите видове животни за период не по-малко от 3 месеца от установяване на несъответствието.</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съответната година.</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Г.48</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неизпълнение на изискванието за помещения за отглеждане на домашни птици, посочени в Приложение II, Част II, т. 1.9.4., подточка 1.9.4.4., букви от „а“ до „н“ от Регламент (ЕС) 2018/848.</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 Част II, т. 1.9.4., подточка 1.9.4.4., букви от „а” до „н”</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Начало на нов преходен период, когато е приложимо.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сертификата по отношение на засегнатите видове животни за период не по-малко от 3 месеца от установяване на несъответствието.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съответната година.</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Г.49</w:t>
            </w:r>
          </w:p>
        </w:tc>
        <w:tc>
          <w:tcPr>
            <w:tcW w:w="732"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неспазване на изискванията по отношение на храненето на зайци, посочени в Приложение II, Част II, т. 1.9.5., подточка 1.9.5.1. от Регламент (ЕС) 2018/848.</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 Част II, т. 1.9.5., подточка 1.9.5.1., букви от „а” до „г”</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Начало на нов преходен период, когато е приложимо.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сертификата по отношение на засегнатите видове животни за период не по-малко от 3 месеца от установяване на несъответствието.</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съответната година.</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Г.50</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неизпълнение на изискванието за помещения за отглеждане и животновъдни практики на зайци, посочени в Приложение II, Част II, т. 1.9.5., подточка 1.9.5.2. от Регламент (ЕС) 2018/848.</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Регламент (ЕС) 2018/848, Приложение II, Част II, т. 1.9.5., подточка 1.9.5.2., букви „а” до „г” </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Начало на нов преходен период, когато е приложимо.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сертификата по отношение на засегнатите видове животни за период не по-малко от 3 месеца от установяване на несъответствието.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съответната година.</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 xml:space="preserve">Контролиращото лице прилага изискванията на </w:t>
            </w:r>
            <w:r w:rsidRPr="00EB027C">
              <w:rPr>
                <w:rFonts w:ascii="Verdana" w:hAnsi="Verdana" w:cs="Arial"/>
                <w:sz w:val="16"/>
                <w:szCs w:val="16"/>
              </w:rPr>
              <w:lastRenderedPageBreak/>
              <w:t>чл. 57 от Наредба № 5 от 2018 г.</w:t>
            </w:r>
          </w:p>
        </w:tc>
      </w:tr>
      <w:tr w:rsidR="00EB027C" w:rsidRPr="00EB027C" w:rsidTr="00E756C5">
        <w:trPr>
          <w:trHeight w:val="397"/>
          <w:jc w:val="center"/>
        </w:trPr>
        <w:tc>
          <w:tcPr>
            <w:tcW w:w="5000" w:type="pct"/>
            <w:gridSpan w:val="7"/>
            <w:tcBorders>
              <w:top w:val="single" w:sz="4" w:space="0" w:color="auto"/>
              <w:left w:val="single" w:sz="4" w:space="0" w:color="auto"/>
              <w:bottom w:val="single" w:sz="4" w:space="0" w:color="auto"/>
              <w:right w:val="single" w:sz="4" w:space="0" w:color="auto"/>
            </w:tcBorders>
            <w:shd w:val="clear" w:color="000000" w:fill="B4C6E7"/>
            <w:vAlign w:val="center"/>
            <w:hideMark/>
          </w:tcPr>
          <w:p w:rsidR="00EB027C" w:rsidRPr="00EB027C" w:rsidRDefault="00EB027C" w:rsidP="00EB027C">
            <w:pPr>
              <w:widowControl/>
              <w:autoSpaceDE/>
              <w:autoSpaceDN/>
              <w:adjustRightInd/>
              <w:jc w:val="center"/>
              <w:rPr>
                <w:rFonts w:ascii="Verdana" w:hAnsi="Verdana" w:cs="Arial"/>
                <w:b/>
                <w:bCs/>
                <w:sz w:val="16"/>
                <w:szCs w:val="16"/>
              </w:rPr>
            </w:pPr>
            <w:r w:rsidRPr="00EB027C">
              <w:rPr>
                <w:rFonts w:ascii="Verdana" w:hAnsi="Verdana" w:cs="Arial"/>
                <w:b/>
                <w:bCs/>
                <w:sz w:val="16"/>
                <w:szCs w:val="16"/>
              </w:rPr>
              <w:lastRenderedPageBreak/>
              <w:t>Д. НЕСЪОТВЕТСТВИЯ, СВЪРЗАНИ С ДЕЙНОСТ „ПЧЕЛАРСТВО”</w:t>
            </w:r>
          </w:p>
        </w:tc>
      </w:tr>
      <w:tr w:rsidR="00E756C5" w:rsidRPr="00EB027C" w:rsidTr="0008305C">
        <w:trPr>
          <w:jc w:val="center"/>
        </w:trPr>
        <w:tc>
          <w:tcPr>
            <w:tcW w:w="230" w:type="pct"/>
            <w:tcBorders>
              <w:top w:val="nil"/>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 xml:space="preserve">Д.1 </w:t>
            </w:r>
          </w:p>
        </w:tc>
        <w:tc>
          <w:tcPr>
            <w:tcW w:w="732" w:type="pct"/>
            <w:tcBorders>
              <w:top w:val="nil"/>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неспазване на изискванията в края на производствения сезон на пчелните семейства да се оставят достатъчни запаси от мед и полен за пчелите, за да преживеят зимата.</w:t>
            </w:r>
          </w:p>
        </w:tc>
        <w:tc>
          <w:tcPr>
            <w:tcW w:w="643" w:type="pct"/>
            <w:tcBorders>
              <w:top w:val="nil"/>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Регламент (ЕС) 2018/848, Приложение II, Част </w:t>
            </w:r>
            <w:r w:rsidRPr="00EB027C">
              <w:rPr>
                <w:rFonts w:ascii="Verdana" w:hAnsi="Verdana" w:cs="Arial"/>
                <w:sz w:val="16"/>
                <w:szCs w:val="16"/>
                <w:lang w:val="en-US"/>
              </w:rPr>
              <w:t>II</w:t>
            </w:r>
            <w:r w:rsidRPr="00EB027C">
              <w:rPr>
                <w:rFonts w:ascii="Verdana" w:hAnsi="Verdana" w:cs="Arial"/>
                <w:sz w:val="16"/>
                <w:szCs w:val="16"/>
              </w:rPr>
              <w:t>, т. 1.9. подточка 1.9.6.2., буква „а”</w:t>
            </w:r>
          </w:p>
        </w:tc>
        <w:tc>
          <w:tcPr>
            <w:tcW w:w="597" w:type="pct"/>
            <w:tcBorders>
              <w:top w:val="nil"/>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nil"/>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tc>
        <w:tc>
          <w:tcPr>
            <w:tcW w:w="1044" w:type="pct"/>
            <w:tcBorders>
              <w:top w:val="nil"/>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сертификата по отношение на дейността за срок от не по-малко от 3 месеца от установяване на нарушението.</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 за срок не по-малко от 3 месеца.</w:t>
            </w:r>
          </w:p>
        </w:tc>
        <w:tc>
          <w:tcPr>
            <w:tcW w:w="824" w:type="pct"/>
            <w:tcBorders>
              <w:top w:val="nil"/>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Д.2</w:t>
            </w:r>
          </w:p>
        </w:tc>
        <w:tc>
          <w:tcPr>
            <w:tcW w:w="732"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подхранване на пчелните семейства извън случаите, когато оцеляването на пчелното семейство е застрашено поради климатични условия.</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 Част II, т. 1.9., подточка 1.9.6.2., буква „б”</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сертификата по отношение на дейността за срок от не по-малко от 9 месеца от установяване на нарушението.</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2018/848за срок не по-малко от 6 месеца.</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Д.3</w:t>
            </w:r>
          </w:p>
        </w:tc>
        <w:tc>
          <w:tcPr>
            <w:tcW w:w="732"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подхранване на пчелните семейства с мед, захарен сироп или захар, които не са биологични.</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 Част II, т. 1.9., подточка 1.9.6.2., буква „б”</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3 Критични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Налагане на забрана за пускане на пазара на продукти с </w:t>
            </w:r>
            <w:r w:rsidRPr="00EB027C">
              <w:rPr>
                <w:rFonts w:ascii="Verdana" w:hAnsi="Verdana" w:cs="Arial"/>
                <w:sz w:val="16"/>
                <w:szCs w:val="16"/>
              </w:rPr>
              <w:lastRenderedPageBreak/>
              <w:t>позоваване на биологично производство за определен период в съответствие с чл. 42, параграф 2 от Регламент (ЕС) 2018/848.</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Начало на нов преходен период, когато е приложимо.</w:t>
            </w:r>
          </w:p>
        </w:tc>
        <w:tc>
          <w:tcPr>
            <w:tcW w:w="104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Неприложимо</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lastRenderedPageBreak/>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Преди включване на следваща продукция от засегнатите, пчелни семейства в сертификата се вземат проби от контролиращото лице и се предоставят за анализ в официална лаборатория по чл. 2, ал. 6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Д.4</w:t>
            </w:r>
          </w:p>
        </w:tc>
        <w:tc>
          <w:tcPr>
            <w:tcW w:w="732"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При защита на рамки, кошери и пити е установено използване на родентициди или продукти и вещества, неразрешени за употреба в биологичното производство съгласно членове 9 и 24 от Регламент (ЕС) 2018/848.</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Регламент (ЕС) 2018/848, Приложение II, Част </w:t>
            </w:r>
            <w:r w:rsidRPr="00EB027C">
              <w:rPr>
                <w:rFonts w:ascii="Verdana" w:hAnsi="Verdana" w:cs="Arial"/>
                <w:sz w:val="16"/>
                <w:szCs w:val="16"/>
                <w:lang w:val="en-US"/>
              </w:rPr>
              <w:t>II</w:t>
            </w:r>
            <w:r w:rsidRPr="00EB027C">
              <w:rPr>
                <w:rFonts w:ascii="Verdana" w:hAnsi="Verdana" w:cs="Arial"/>
                <w:sz w:val="16"/>
                <w:szCs w:val="16"/>
              </w:rPr>
              <w:t>, т. 1.9., подточка 1.9.6.3., буква „а”</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3 Критични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Налагане на забрана за пускане на пазара на продукти с позоваване на биологично производство за определен период в съответствие с чл. 42, параграф 2 от Регламент (ЕС) 2018/848.</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Начало на нов преходен период.</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Неприложимо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Одобряване на изпълнението на предпазните мерки и контрола, въведени от оператора с цел гарантиране на съответствие. 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Преди включване на следваща продукция от засегнатите пчелни семейства в сертификата се вземат проби от контролиращото лице и се предоставят за анализ в официална лаборатория по чл. 2, ал. 6.</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Д.5</w:t>
            </w:r>
          </w:p>
        </w:tc>
        <w:tc>
          <w:tcPr>
            <w:tcW w:w="732"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Установено е използване на методи и химични средства за дезинфекция на пчелните семейства </w:t>
            </w:r>
            <w:r w:rsidRPr="00EB027C">
              <w:rPr>
                <w:rFonts w:ascii="Verdana" w:hAnsi="Verdana" w:cs="Arial"/>
                <w:sz w:val="16"/>
                <w:szCs w:val="16"/>
              </w:rPr>
              <w:lastRenderedPageBreak/>
              <w:t>извън посочените в Приложение II, Част II, т. 1.9., подточка 1.9.6.3., буква „б” от Регламент (ЕС) 2018/848.</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Регламент (ЕС) 2018/848, Приложение II, Част II, т. 1.9., подточка 1.9.6.3., буква „б”</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3 Критични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Премахване на позоваването на биологично производство при етикетирането и рекламирането на цялата засегната партида или продукция [засегната(-ите) </w:t>
            </w:r>
            <w:r w:rsidRPr="00EB027C">
              <w:rPr>
                <w:rFonts w:ascii="Verdana" w:hAnsi="Verdana" w:cs="Arial"/>
                <w:sz w:val="16"/>
                <w:szCs w:val="16"/>
              </w:rPr>
              <w:lastRenderedPageBreak/>
              <w:t>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Налагане на забрана за пускане на пазара на продукти с позоваване на биологично производство за определен период в съответствие с чл. 42, параграф 2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Начало на нов преходен период, когато е приложимо.</w:t>
            </w:r>
          </w:p>
        </w:tc>
        <w:tc>
          <w:tcPr>
            <w:tcW w:w="104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Неприложимо</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Одобряване на изпълнението на предпазните мерки и контрола, въведени от оператора с цел </w:t>
            </w:r>
            <w:r w:rsidRPr="00EB027C">
              <w:rPr>
                <w:rFonts w:ascii="Verdana" w:hAnsi="Verdana" w:cs="Arial"/>
                <w:sz w:val="16"/>
                <w:szCs w:val="16"/>
              </w:rPr>
              <w:lastRenderedPageBreak/>
              <w:t>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Д.6</w:t>
            </w:r>
          </w:p>
        </w:tc>
        <w:tc>
          <w:tcPr>
            <w:tcW w:w="732"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унищожаване на мъжкото потомство в пчелното семейство без да е налице предпоставката-нашествие на Varroa destructor.</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Р Регламент (ЕС) 2018/848, Приложение II, Част </w:t>
            </w:r>
            <w:r w:rsidRPr="00EB027C">
              <w:rPr>
                <w:rFonts w:ascii="Verdana" w:hAnsi="Verdana" w:cs="Arial"/>
                <w:sz w:val="16"/>
                <w:szCs w:val="16"/>
                <w:lang w:val="en-US"/>
              </w:rPr>
              <w:t>II</w:t>
            </w:r>
            <w:r w:rsidRPr="00EB027C">
              <w:rPr>
                <w:rFonts w:ascii="Verdana" w:hAnsi="Verdana" w:cs="Arial"/>
                <w:sz w:val="16"/>
                <w:szCs w:val="16"/>
              </w:rPr>
              <w:t>, т. 1.9., подточка 1.9.6.3., буква „в”</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w:t>
            </w:r>
            <w:r w:rsidR="004B6FB7">
              <w:rPr>
                <w:rFonts w:ascii="Verdana" w:hAnsi="Verdana" w:cs="Arial"/>
                <w:sz w:val="16"/>
                <w:szCs w:val="16"/>
              </w:rPr>
              <w:t>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Ограничаване на обхвата на сертификата по отношение на дейността. 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 за срок не по-малко от 3 месеца.</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от контролиращото лице на план за действие за подобряване на изпълнението на предпазните мерки, въведени от оператора с цел гарантиране на съответствие.</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Д.7</w:t>
            </w:r>
          </w:p>
        </w:tc>
        <w:tc>
          <w:tcPr>
            <w:tcW w:w="732"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унищожаване на пчелите в пчелните пити като метод за добиване на пчелни продукти.</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Регламент (ЕС) 2018/848, Приложение II, Част </w:t>
            </w:r>
            <w:r w:rsidRPr="00EB027C">
              <w:rPr>
                <w:rFonts w:ascii="Verdana" w:hAnsi="Verdana" w:cs="Arial"/>
                <w:sz w:val="16"/>
                <w:szCs w:val="16"/>
                <w:lang w:val="en-US"/>
              </w:rPr>
              <w:t>II</w:t>
            </w:r>
            <w:r w:rsidRPr="00EB027C">
              <w:rPr>
                <w:rFonts w:ascii="Verdana" w:hAnsi="Verdana" w:cs="Arial"/>
                <w:sz w:val="16"/>
                <w:szCs w:val="16"/>
              </w:rPr>
              <w:t>, т. 1.9., подточка 1.9.6.4., буква „a”</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w:t>
            </w:r>
            <w:r w:rsidR="004B6FB7">
              <w:rPr>
                <w:rFonts w:ascii="Verdana" w:hAnsi="Verdana" w:cs="Arial"/>
                <w:sz w:val="16"/>
                <w:szCs w:val="16"/>
              </w:rPr>
              <w:t>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tc>
        <w:tc>
          <w:tcPr>
            <w:tcW w:w="104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сертификата по отношение на дейността.</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 за срок не по-малко от 3 месеца.</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от контролиращото лице на план за действие за подобряване на изпълнението на предпазните мерки,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Д.8</w:t>
            </w:r>
          </w:p>
        </w:tc>
        <w:tc>
          <w:tcPr>
            <w:tcW w:w="732"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осакатяване на пчелите майки.</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 Част II, т. 1.9., подточка 1.9.6.4., буква „б”</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tc>
        <w:tc>
          <w:tcPr>
            <w:tcW w:w="104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сертификата по отношение на дейността за не по-малко от 3 месеца от установяване на нарушението.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Начало на нов преходен период, когато е приложимо.</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Д.9</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че пчелините са разположени в райони, които не отговарят на изискванията на Приложение II, Част II, т. 1.9., подточка 1.9.6.5., букви „а” и „в от Регламент (ЕС) 2018/848.</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Регламент (ЕС) 2018/848, Приложение II, Част </w:t>
            </w:r>
            <w:r w:rsidRPr="00EB027C">
              <w:rPr>
                <w:rFonts w:ascii="Verdana" w:hAnsi="Verdana" w:cs="Arial"/>
                <w:sz w:val="16"/>
                <w:szCs w:val="16"/>
                <w:lang w:val="en-US"/>
              </w:rPr>
              <w:t>II</w:t>
            </w:r>
            <w:r w:rsidRPr="00EB027C">
              <w:rPr>
                <w:rFonts w:ascii="Verdana" w:hAnsi="Verdana" w:cs="Arial"/>
                <w:sz w:val="16"/>
                <w:szCs w:val="16"/>
              </w:rPr>
              <w:t>, т. 1.9., подточка 1.9.6.5., букви „а” и „в”</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сертификата по отношение на дейността за не по-малко от 3 месеца от установяване на нарушението.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Начало на нов преходен период, когато е приложимо.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Д.10</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че пчелините са разположени на недостатъчно разстояние от източници, които могат да причинят замърсяване на пчелните продукти или увреждане на здравето на пчелите.</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 Част II, т. 1.9., подточка 1.9.6.5., буква „б”</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сертификата по отношение на дейността за не по-малко от 3 месеца от установяване на нарушението.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w:t>
            </w:r>
            <w:r w:rsidRPr="00EB027C">
              <w:rPr>
                <w:rFonts w:ascii="Verdana" w:hAnsi="Verdana" w:cs="Arial"/>
                <w:sz w:val="16"/>
                <w:szCs w:val="16"/>
              </w:rPr>
              <w:lastRenderedPageBreak/>
              <w:t>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Начало на нов преходен период, когато е приложимо.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Контролиращото лице прилага изискванията на чл. 57 от Наредба № 5 от 2018 г.</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Преди включване на следваща продукция от засегнатите, пчелни семейства в сертификата се вземат проби от контролиращото лице и се предоставят за анализ в официална лаборатория по чл. 2, ал. 6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Д.11</w:t>
            </w:r>
          </w:p>
        </w:tc>
        <w:tc>
          <w:tcPr>
            <w:tcW w:w="732"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че кошерите и материалите, използвани в пчеларството, не се състоят основно от естествени материали, които крият риск от замърсяване на околната среда или на пчеларските продукти.</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 Част II, т. 1.9., подточка 1.9.6.5., буква „г”</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сертификата по отношение на дейността за не по-малко от 3 месеца от установяване на нарушението.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Начало на нов преходен период, когато е приложимо.</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 Осъществяване на засилен контрол чрез допълнителни 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w:t>
            </w:r>
            <w:r w:rsidR="004B6FB7">
              <w:rPr>
                <w:rFonts w:ascii="Verdana" w:hAnsi="Verdana" w:cs="Arial"/>
                <w:sz w:val="16"/>
                <w:szCs w:val="16"/>
              </w:rPr>
              <w:t>л. 57 от Наредба № 5 от 2018 г.</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Преди включване на следваща продукция от засегнатите животни, парцели, райони за събиране, пчелни семейства и аквакултури в сертификата се вземат проби от контролиращото лице и се предоставят за анализ в официална лаборатория по чл. 2, ал. 6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Д.12</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Установено е, че пчелният восък за поставяне на нови основи не произхожда </w:t>
            </w:r>
            <w:r w:rsidRPr="00EB027C">
              <w:rPr>
                <w:rFonts w:ascii="Verdana" w:hAnsi="Verdana" w:cs="Arial"/>
                <w:sz w:val="16"/>
                <w:szCs w:val="16"/>
              </w:rPr>
              <w:lastRenderedPageBreak/>
              <w:t>от единици за биологично производство.</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 xml:space="preserve">Регламент (ЕС) 2018/848, Приложение II, Част </w:t>
            </w:r>
            <w:r w:rsidRPr="00EB027C">
              <w:rPr>
                <w:rFonts w:ascii="Verdana" w:hAnsi="Verdana" w:cs="Arial"/>
                <w:sz w:val="16"/>
                <w:szCs w:val="16"/>
              </w:rPr>
              <w:lastRenderedPageBreak/>
              <w:t>II, т. 1.9., подточка 1.9.6.5., буква „д”</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3. Критични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Представяне от оператора на необходимата информация и/или план за действие в срока, </w:t>
            </w:r>
            <w:r w:rsidRPr="00EB027C">
              <w:rPr>
                <w:rFonts w:ascii="Verdana" w:hAnsi="Verdana" w:cs="Arial"/>
                <w:sz w:val="16"/>
                <w:szCs w:val="16"/>
              </w:rPr>
              <w:lastRenderedPageBreak/>
              <w:t>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Начало на нов преходен период за засегнатите пчелни.</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 xml:space="preserve">Ограничаване на обхвата на сертификата по отношение на дейността за не по-малко от 3 </w:t>
            </w:r>
            <w:r w:rsidRPr="00EB027C">
              <w:rPr>
                <w:rFonts w:ascii="Verdana" w:hAnsi="Verdana" w:cs="Arial"/>
                <w:sz w:val="16"/>
                <w:szCs w:val="16"/>
              </w:rPr>
              <w:lastRenderedPageBreak/>
              <w:t>месеца от установяване на нарушението.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Начало на нов преходен период за цялото стопанство.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 xml:space="preserve">Одобряване на изпълнението на предпазните мерки и контрола, въведени от </w:t>
            </w:r>
            <w:r w:rsidRPr="00EB027C">
              <w:rPr>
                <w:rFonts w:ascii="Verdana" w:hAnsi="Verdana" w:cs="Arial"/>
                <w:sz w:val="16"/>
                <w:szCs w:val="16"/>
              </w:rPr>
              <w:lastRenderedPageBreak/>
              <w:t>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Преди включване на следваща продукция от засегнатите животни, парцели, райони за събиране, пчелни семейства и аквакултури в сертификата се вземат проби от контролиращото лице и се предоставят за анализ в официална лаборатория по чл. 2, ал. 6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Д.13</w:t>
            </w:r>
          </w:p>
        </w:tc>
        <w:tc>
          <w:tcPr>
            <w:tcW w:w="732"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w:t>
            </w:r>
            <w:r w:rsidRPr="00EB027C">
              <w:rPr>
                <w:rFonts w:ascii="Verdana" w:hAnsi="Verdana" w:cs="Arial"/>
                <w:sz w:val="16"/>
                <w:szCs w:val="16"/>
                <w:lang w:val="ru-RU"/>
              </w:rPr>
              <w:t xml:space="preserve"> </w:t>
            </w:r>
            <w:r w:rsidRPr="00EB027C">
              <w:rPr>
                <w:rFonts w:ascii="Verdana" w:hAnsi="Verdana" w:cs="Arial"/>
                <w:sz w:val="16"/>
                <w:szCs w:val="16"/>
              </w:rPr>
              <w:t>че в кошерите не са използвани само естествени продукти като прополис, восък и растителни масла.</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 Част II, т. 1.9., подточка 1.9.6.5., буква „е”</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сертификата по отношение на дейността за не по-малко от 3 месеца от установяване на нарушението.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 xml:space="preserve">Преди включване на следваща продукция от засегнатите животни, парцели, райони за събиране, пчелни семейства и аквакултури в </w:t>
            </w:r>
            <w:r w:rsidRPr="00EB027C">
              <w:rPr>
                <w:rFonts w:ascii="Verdana" w:hAnsi="Verdana" w:cs="Arial"/>
                <w:sz w:val="16"/>
                <w:szCs w:val="16"/>
              </w:rPr>
              <w:lastRenderedPageBreak/>
              <w:t>сертификата се вземат проби от контролиращото лице и се предоставят за анализ в официална лаборатория по чл. 2, ал. 6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Д.14</w:t>
            </w:r>
          </w:p>
        </w:tc>
        <w:tc>
          <w:tcPr>
            <w:tcW w:w="732"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използването на синтетични химически репеленти в помещенията по време на извличането на меда.</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 Част II, т. 1.9., подточка 1.9.6.5., буква „ж”</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3 Критични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сертификата по отношение на дейността за не по-малко от 6 месеца от установяване на нарушението.</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Д.15</w:t>
            </w:r>
          </w:p>
        </w:tc>
        <w:tc>
          <w:tcPr>
            <w:tcW w:w="732"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използването на синтетични химически репеленти в помещенията по време на извличането на меда.</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Регламент (ЕС) 2018/848, Приложение II, Част </w:t>
            </w:r>
            <w:r w:rsidRPr="00EB027C">
              <w:rPr>
                <w:rFonts w:ascii="Verdana" w:hAnsi="Verdana" w:cs="Arial"/>
                <w:sz w:val="16"/>
                <w:szCs w:val="16"/>
                <w:lang w:val="en-US"/>
              </w:rPr>
              <w:t>II</w:t>
            </w:r>
            <w:r w:rsidRPr="00EB027C">
              <w:rPr>
                <w:rFonts w:ascii="Verdana" w:hAnsi="Verdana" w:cs="Arial"/>
                <w:sz w:val="16"/>
                <w:szCs w:val="16"/>
              </w:rPr>
              <w:t>, т. 1.9., подточка 1.9.6.5., буква „ж”</w:t>
            </w:r>
          </w:p>
        </w:tc>
        <w:tc>
          <w:tcPr>
            <w:tcW w:w="597"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сертификата по отношение на дейността за не по-малко от 3 месеца от установяване на нарушението.</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Д.16</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Установено е използване на пити с пчелно пило </w:t>
            </w:r>
            <w:r w:rsidRPr="00EB027C">
              <w:rPr>
                <w:rFonts w:ascii="Verdana" w:hAnsi="Verdana" w:cs="Arial"/>
                <w:sz w:val="16"/>
                <w:szCs w:val="16"/>
              </w:rPr>
              <w:lastRenderedPageBreak/>
              <w:t>за извличането на пчелен мед.</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 xml:space="preserve">Регламент (ЕС) 2018/848, Приложение II, Част </w:t>
            </w:r>
            <w:r w:rsidRPr="00EB027C">
              <w:rPr>
                <w:rFonts w:ascii="Verdana" w:hAnsi="Verdana" w:cs="Arial"/>
                <w:sz w:val="16"/>
                <w:szCs w:val="16"/>
                <w:lang w:val="en-US"/>
              </w:rPr>
              <w:lastRenderedPageBreak/>
              <w:t>II</w:t>
            </w:r>
            <w:r w:rsidRPr="00EB027C">
              <w:rPr>
                <w:rFonts w:ascii="Verdana" w:hAnsi="Verdana" w:cs="Arial"/>
                <w:sz w:val="16"/>
                <w:szCs w:val="16"/>
              </w:rPr>
              <w:t>, т. 1.9., подточка 1.9.6.5., буква „з”</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Представяне от оператора на необходимата информация и/или план за действие в срока, </w:t>
            </w:r>
            <w:r w:rsidRPr="00EB027C">
              <w:rPr>
                <w:rFonts w:ascii="Verdana" w:hAnsi="Verdana" w:cs="Arial"/>
                <w:sz w:val="16"/>
                <w:szCs w:val="16"/>
              </w:rPr>
              <w:lastRenderedPageBreak/>
              <w:t>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 xml:space="preserve">Ограничаване на обхвата на сертификата по отношение на дейността за не по-малко от 3 </w:t>
            </w:r>
            <w:r w:rsidRPr="00EB027C">
              <w:rPr>
                <w:rFonts w:ascii="Verdana" w:hAnsi="Verdana" w:cs="Arial"/>
                <w:sz w:val="16"/>
                <w:szCs w:val="16"/>
              </w:rPr>
              <w:lastRenderedPageBreak/>
              <w:t>месеца от установяване на нарушението.</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 xml:space="preserve">Одобряване на изпълнението на предпазните мерки и </w:t>
            </w:r>
            <w:r w:rsidRPr="00EB027C">
              <w:rPr>
                <w:rFonts w:ascii="Verdana" w:hAnsi="Verdana" w:cs="Arial"/>
                <w:sz w:val="16"/>
                <w:szCs w:val="16"/>
              </w:rPr>
              <w:lastRenderedPageBreak/>
              <w:t>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B027C" w:rsidRPr="00EB027C" w:rsidTr="00E756C5">
        <w:trPr>
          <w:trHeight w:val="397"/>
          <w:jc w:val="center"/>
        </w:trPr>
        <w:tc>
          <w:tcPr>
            <w:tcW w:w="5000" w:type="pct"/>
            <w:gridSpan w:val="7"/>
            <w:tcBorders>
              <w:top w:val="single" w:sz="4" w:space="0" w:color="auto"/>
              <w:left w:val="single" w:sz="4" w:space="0" w:color="auto"/>
              <w:bottom w:val="single" w:sz="4" w:space="0" w:color="auto"/>
              <w:right w:val="single" w:sz="4" w:space="0" w:color="000000"/>
            </w:tcBorders>
            <w:shd w:val="clear" w:color="000000" w:fill="B4C6E7"/>
            <w:vAlign w:val="center"/>
            <w:hideMark/>
          </w:tcPr>
          <w:p w:rsidR="00EB027C" w:rsidRPr="00EB027C" w:rsidRDefault="00EB027C" w:rsidP="00EB027C">
            <w:pPr>
              <w:widowControl/>
              <w:autoSpaceDE/>
              <w:autoSpaceDN/>
              <w:adjustRightInd/>
              <w:jc w:val="center"/>
              <w:rPr>
                <w:rFonts w:ascii="Verdana" w:hAnsi="Verdana" w:cs="Arial"/>
                <w:b/>
                <w:bCs/>
                <w:sz w:val="16"/>
                <w:szCs w:val="16"/>
              </w:rPr>
            </w:pPr>
            <w:r w:rsidRPr="00EB027C">
              <w:rPr>
                <w:rFonts w:ascii="Verdana" w:hAnsi="Verdana" w:cs="Arial"/>
                <w:b/>
                <w:bCs/>
                <w:sz w:val="16"/>
                <w:szCs w:val="16"/>
              </w:rPr>
              <w:lastRenderedPageBreak/>
              <w:t>Е. НЕСЪОТВЕТСТВИЯ, СВЪРЗАНИ С ДЕЙНОСТ „ПРОИЗВОДСТВО НА АКВАКУЛТУРИ”</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Е.1</w:t>
            </w:r>
          </w:p>
        </w:tc>
        <w:tc>
          <w:tcPr>
            <w:tcW w:w="732"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че в дадено стопанство са налице  производствени единици за биологично производство, за преход към биологично производство и за небиологично производство, като водораслите и аквакултурните животни са от едни и същи видове, но производствените обекти или единици не са ясно и ефективно обособени.</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чл. 9, параграф 7, буква „а“</w:t>
            </w:r>
          </w:p>
        </w:tc>
        <w:tc>
          <w:tcPr>
            <w:tcW w:w="597"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3 Критични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Налагане на забрана за пускане на пазара на продукти с позоваване на биологично производство за определен период в съответствие с чл. 42, параграф 2 от Регламент (ЕС) 2018/848.</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Начало на нов преходен период, когато е приложимо.</w:t>
            </w:r>
          </w:p>
        </w:tc>
        <w:tc>
          <w:tcPr>
            <w:tcW w:w="1044"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Неприложимо</w:t>
            </w:r>
          </w:p>
        </w:tc>
        <w:tc>
          <w:tcPr>
            <w:tcW w:w="824"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Е.2</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Установено е, че производството на водорасли и аквакултурни животни е разположено на място, което е замърсено от неразрешени за употреба в биологичното производство продукти или вещества или от замърсители, които биха изложили на риск </w:t>
            </w:r>
            <w:r w:rsidRPr="00EB027C">
              <w:rPr>
                <w:rFonts w:ascii="Verdana" w:hAnsi="Verdana" w:cs="Arial"/>
                <w:sz w:val="16"/>
                <w:szCs w:val="16"/>
              </w:rPr>
              <w:lastRenderedPageBreak/>
              <w:t>биологичния характер на продуктите.</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 xml:space="preserve">Регламент (ЕС) 2018/848, Приложение II, Част </w:t>
            </w:r>
            <w:r w:rsidRPr="00EB027C">
              <w:rPr>
                <w:rFonts w:ascii="Verdana" w:hAnsi="Verdana" w:cs="Arial"/>
                <w:sz w:val="16"/>
                <w:szCs w:val="16"/>
                <w:lang w:val="en-US"/>
              </w:rPr>
              <w:t>III</w:t>
            </w:r>
            <w:r w:rsidRPr="00EB027C">
              <w:rPr>
                <w:rFonts w:ascii="Verdana" w:hAnsi="Verdana" w:cs="Arial"/>
                <w:sz w:val="16"/>
                <w:szCs w:val="16"/>
              </w:rPr>
              <w:t>,</w:t>
            </w:r>
            <w:r w:rsidRPr="00EB027C">
              <w:rPr>
                <w:rFonts w:ascii="Verdana" w:hAnsi="Verdana" w:cs="Arial"/>
                <w:sz w:val="16"/>
                <w:szCs w:val="16"/>
                <w:lang w:val="ru-RU"/>
              </w:rPr>
              <w:t xml:space="preserve"> </w:t>
            </w:r>
            <w:r w:rsidRPr="00EB027C">
              <w:rPr>
                <w:rFonts w:ascii="Verdana" w:hAnsi="Verdana" w:cs="Arial"/>
                <w:sz w:val="16"/>
                <w:szCs w:val="16"/>
              </w:rPr>
              <w:t>т.</w:t>
            </w:r>
            <w:r w:rsidRPr="00EB027C">
              <w:rPr>
                <w:rFonts w:ascii="Verdana" w:hAnsi="Verdana" w:cs="Arial"/>
                <w:sz w:val="16"/>
                <w:szCs w:val="16"/>
                <w:lang w:val="ru-RU"/>
              </w:rPr>
              <w:t xml:space="preserve"> </w:t>
            </w:r>
            <w:r w:rsidRPr="00EB027C">
              <w:rPr>
                <w:rFonts w:ascii="Verdana" w:hAnsi="Verdana" w:cs="Arial"/>
                <w:sz w:val="16"/>
                <w:szCs w:val="16"/>
              </w:rPr>
              <w:t>1., подточка 1.1.</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3 Критични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Налагане на забрана за пускане на пазара на продукти с позоваване на биологично производство за определен период в съответствие с чл. 42, </w:t>
            </w:r>
            <w:r w:rsidRPr="00EB027C">
              <w:rPr>
                <w:rFonts w:ascii="Verdana" w:hAnsi="Verdana" w:cs="Arial"/>
                <w:sz w:val="16"/>
                <w:szCs w:val="16"/>
              </w:rPr>
              <w:lastRenderedPageBreak/>
              <w:t>параграф 2 от Регламент (ЕС) 2018/848.</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Начало на нов преходен период, когато е приложимо.</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Неприложимо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Контролиращото лице прилага изискванията на </w:t>
            </w:r>
            <w:r w:rsidRPr="00EB027C">
              <w:rPr>
                <w:rFonts w:ascii="Verdana" w:hAnsi="Verdana" w:cs="Arial"/>
                <w:sz w:val="16"/>
                <w:szCs w:val="16"/>
              </w:rPr>
              <w:lastRenderedPageBreak/>
              <w:t>чл. 57 от Наредба № 5 от 2018 г.</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Преди включване на следваща продукция от засегнатите аквакултури в сертификата се вземат проби от контролиращото лице и се предоставят за анализ в официална лаборатория по чл. 2, ал. 6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Е.3</w:t>
            </w:r>
          </w:p>
        </w:tc>
        <w:tc>
          <w:tcPr>
            <w:tcW w:w="732"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Производствените единици за биологично и небиологично производство не отговарят на изискванията Приложение II, Част </w:t>
            </w:r>
            <w:r w:rsidRPr="00EB027C">
              <w:rPr>
                <w:rFonts w:ascii="Verdana" w:hAnsi="Verdana" w:cs="Arial"/>
                <w:sz w:val="16"/>
                <w:szCs w:val="16"/>
                <w:lang w:val="en-US"/>
              </w:rPr>
              <w:t>III</w:t>
            </w:r>
            <w:r w:rsidRPr="00EB027C">
              <w:rPr>
                <w:rFonts w:ascii="Verdana" w:hAnsi="Verdana" w:cs="Arial"/>
                <w:sz w:val="16"/>
                <w:szCs w:val="16"/>
              </w:rPr>
              <w:t xml:space="preserve">, т. 1., подточка 1.1. от Регламент (ЕС) 2018/848. </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 Част III, т. 1., подточка 1.1.</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3 Критични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Налагане на забрана за пускане на пазара на продукти с позоваване на биологично производство за определен период в съответствие с чл. 42, параграф 2 от Регламент (ЕС) 2018/848.</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Начало на нов преходен период, когато е приложимо.</w:t>
            </w:r>
          </w:p>
        </w:tc>
        <w:tc>
          <w:tcPr>
            <w:tcW w:w="104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Неприложимо</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Преди включване на следваща продукция от засегнатите аквакултури в сертификата се вземат проби от контролиращото лице и се предоставят за анализ в официална лаборатория по чл. 2, ал. 6 от Наредба № 5 от 2018 г.</w:t>
            </w:r>
          </w:p>
        </w:tc>
      </w:tr>
      <w:tr w:rsidR="00E756C5" w:rsidRPr="00EB027C" w:rsidTr="0008305C">
        <w:trPr>
          <w:jc w:val="center"/>
        </w:trPr>
        <w:tc>
          <w:tcPr>
            <w:tcW w:w="230" w:type="pct"/>
            <w:tcBorders>
              <w:top w:val="nil"/>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Е.4</w:t>
            </w:r>
          </w:p>
        </w:tc>
        <w:tc>
          <w:tcPr>
            <w:tcW w:w="732" w:type="pct"/>
            <w:tcBorders>
              <w:top w:val="nil"/>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Установена е липса на план за устойчиво управление, съобразен с производствената единица за  аквакултури и събирането на водорасли.</w:t>
            </w:r>
          </w:p>
        </w:tc>
        <w:tc>
          <w:tcPr>
            <w:tcW w:w="643" w:type="pct"/>
            <w:tcBorders>
              <w:top w:val="nil"/>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Регламент (ЕС) 2018/848, Приложение II, Част </w:t>
            </w:r>
            <w:r w:rsidRPr="00EB027C">
              <w:rPr>
                <w:rFonts w:ascii="Verdana" w:hAnsi="Verdana" w:cs="Arial"/>
                <w:sz w:val="16"/>
                <w:szCs w:val="16"/>
                <w:lang w:val="en-US"/>
              </w:rPr>
              <w:t>III</w:t>
            </w:r>
            <w:r w:rsidRPr="00EB027C">
              <w:rPr>
                <w:rFonts w:ascii="Verdana" w:hAnsi="Verdana" w:cs="Arial"/>
                <w:sz w:val="16"/>
                <w:szCs w:val="16"/>
              </w:rPr>
              <w:t>, т. 1., подточка 1.5.</w:t>
            </w:r>
          </w:p>
        </w:tc>
        <w:tc>
          <w:tcPr>
            <w:tcW w:w="597" w:type="pct"/>
            <w:tcBorders>
              <w:top w:val="nil"/>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nil"/>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Подобряване на изпълнението на предпазните мерки и контрола, въведени от </w:t>
            </w:r>
            <w:r w:rsidRPr="00EB027C">
              <w:rPr>
                <w:rFonts w:ascii="Verdana" w:hAnsi="Verdana" w:cs="Arial"/>
                <w:sz w:val="16"/>
                <w:szCs w:val="16"/>
              </w:rPr>
              <w:lastRenderedPageBreak/>
              <w:t>оператора с цел гарантиране на съответствие.</w:t>
            </w:r>
          </w:p>
        </w:tc>
        <w:tc>
          <w:tcPr>
            <w:tcW w:w="1044" w:type="pct"/>
            <w:tcBorders>
              <w:top w:val="nil"/>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Начало на нов преходен период, когато е приложимо.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една или повече дейности) на сертификата, ограничаване на биологичния статус на продукция и/или култура.</w:t>
            </w:r>
          </w:p>
        </w:tc>
        <w:tc>
          <w:tcPr>
            <w:tcW w:w="824" w:type="pct"/>
            <w:tcBorders>
              <w:top w:val="nil"/>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4B6FB7">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lastRenderedPageBreak/>
              <w:t>инспекции в съответната година.</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Е.5</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неактуализиране на плана за устойчиво управление.</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Регламент (ЕС) 2018/848, Приложение II, Част </w:t>
            </w:r>
            <w:r w:rsidRPr="00EB027C">
              <w:rPr>
                <w:rFonts w:ascii="Verdana" w:hAnsi="Verdana" w:cs="Arial"/>
                <w:sz w:val="16"/>
                <w:szCs w:val="16"/>
                <w:lang w:val="en-US"/>
              </w:rPr>
              <w:t>III</w:t>
            </w:r>
            <w:r w:rsidRPr="00EB027C">
              <w:rPr>
                <w:rFonts w:ascii="Verdana" w:hAnsi="Verdana" w:cs="Arial"/>
                <w:sz w:val="16"/>
                <w:szCs w:val="16"/>
              </w:rPr>
              <w:t>, т. 1., подточка 1.6.</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Начало на нов преходен период, когато е приложимо.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една или повече дейности) на сертификата, ограничаване на биологичния статус на продукция и/или култура.</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4B6FB7">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Е.6</w:t>
            </w:r>
          </w:p>
        </w:tc>
        <w:tc>
          <w:tcPr>
            <w:tcW w:w="732"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че планът за устойчиво управление няма предвидени защитни и превантивни мерки.</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Регламент (ЕС) 2018/848, Приложение II, Част </w:t>
            </w:r>
            <w:r w:rsidRPr="00EB027C">
              <w:rPr>
                <w:rFonts w:ascii="Verdana" w:hAnsi="Verdana" w:cs="Arial"/>
                <w:sz w:val="16"/>
                <w:szCs w:val="16"/>
                <w:lang w:val="en-US"/>
              </w:rPr>
              <w:t>III</w:t>
            </w:r>
            <w:r w:rsidRPr="00EB027C">
              <w:rPr>
                <w:rFonts w:ascii="Verdana" w:hAnsi="Verdana" w:cs="Arial"/>
                <w:sz w:val="16"/>
                <w:szCs w:val="16"/>
              </w:rPr>
              <w:t>, т. 1., подточка 1.7.</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Начало на нов преходен период, когато е приложимо.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една или повече дейности) на сертификата, ограничаване на биологичния статус на продукция и/или култура.</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Преди включване на следваща продукция от засегнатите</w:t>
            </w:r>
            <w:r w:rsidRPr="00EB027C">
              <w:rPr>
                <w:rFonts w:ascii="Verdana" w:hAnsi="Verdana" w:cs="Arial"/>
                <w:sz w:val="16"/>
                <w:szCs w:val="16"/>
                <w:lang w:val="ru-RU"/>
              </w:rPr>
              <w:t xml:space="preserve"> </w:t>
            </w:r>
            <w:r w:rsidRPr="00EB027C">
              <w:rPr>
                <w:rFonts w:ascii="Verdana" w:hAnsi="Verdana" w:cs="Arial"/>
                <w:sz w:val="16"/>
                <w:szCs w:val="16"/>
              </w:rPr>
              <w:t xml:space="preserve">аквакултури в сертификата се вземат проби от контролиращото лице и се предоставят за анализ в официална </w:t>
            </w:r>
            <w:r w:rsidRPr="00EB027C">
              <w:rPr>
                <w:rFonts w:ascii="Verdana" w:hAnsi="Verdana" w:cs="Arial"/>
                <w:sz w:val="16"/>
                <w:szCs w:val="16"/>
              </w:rPr>
              <w:lastRenderedPageBreak/>
              <w:t>лаборатория по чл. 2, ал. 6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Е.7</w:t>
            </w:r>
          </w:p>
        </w:tc>
        <w:tc>
          <w:tcPr>
            <w:tcW w:w="732"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че липсва график за намаляване на отпадъците в плана за устойчиво управление.</w:t>
            </w:r>
          </w:p>
        </w:tc>
        <w:tc>
          <w:tcPr>
            <w:tcW w:w="643"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Регламент (ЕС) 2018/848, Приложение II, Част </w:t>
            </w:r>
            <w:r w:rsidRPr="00EB027C">
              <w:rPr>
                <w:rFonts w:ascii="Verdana" w:hAnsi="Verdana" w:cs="Arial"/>
                <w:sz w:val="16"/>
                <w:szCs w:val="16"/>
                <w:lang w:val="en-US"/>
              </w:rPr>
              <w:t>III</w:t>
            </w:r>
            <w:r w:rsidRPr="00EB027C">
              <w:rPr>
                <w:rFonts w:ascii="Verdana" w:hAnsi="Verdana" w:cs="Arial"/>
                <w:sz w:val="16"/>
                <w:szCs w:val="16"/>
              </w:rPr>
              <w:t>, т. 1., подточка 1.9.</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1 Незначителни нарушения</w:t>
            </w:r>
          </w:p>
        </w:tc>
        <w:tc>
          <w:tcPr>
            <w:tcW w:w="9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4B6FB7">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съответната година.</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Е.8</w:t>
            </w:r>
          </w:p>
        </w:tc>
        <w:tc>
          <w:tcPr>
            <w:tcW w:w="732"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Установено е, че събирането на диви водорасли и части от тях не отговаря на изискванията на Приложение II, част </w:t>
            </w:r>
            <w:r w:rsidRPr="00EB027C">
              <w:rPr>
                <w:rFonts w:ascii="Verdana" w:hAnsi="Verdana" w:cs="Arial"/>
                <w:sz w:val="16"/>
                <w:szCs w:val="16"/>
                <w:lang w:val="en-US"/>
              </w:rPr>
              <w:t>III</w:t>
            </w:r>
            <w:r w:rsidRPr="00EB027C">
              <w:rPr>
                <w:rFonts w:ascii="Verdana" w:hAnsi="Verdana" w:cs="Arial"/>
                <w:sz w:val="16"/>
                <w:szCs w:val="16"/>
              </w:rPr>
              <w:t>, т. 2.2., подточка 2.2.1. от Регламент (ЕС) 2018/848.</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Регламент (ЕС) 2018/848, Приложение II, Част </w:t>
            </w:r>
            <w:r w:rsidRPr="00EB027C">
              <w:rPr>
                <w:rFonts w:ascii="Verdana" w:hAnsi="Verdana" w:cs="Arial"/>
                <w:sz w:val="16"/>
                <w:szCs w:val="16"/>
                <w:lang w:val="en-US"/>
              </w:rPr>
              <w:t>III</w:t>
            </w:r>
            <w:r w:rsidRPr="00EB027C">
              <w:rPr>
                <w:rFonts w:ascii="Verdana" w:hAnsi="Verdana" w:cs="Arial"/>
                <w:sz w:val="16"/>
                <w:szCs w:val="16"/>
              </w:rPr>
              <w:t>, т. 2.2., подточка 2.2.1.</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Начало на нов преходен период, когато е приложимо.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една или повече дейности) на сертификата, ограничаване на биологичния статус на продукция и/или култура.</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4B6FB7">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Е.9</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че събирането на диви водорасли и части от тях не отговаря на изискванията за произодствени правила, посочени в Приложение II, Част III, т. 2.2., подточка 2.2.2. от Регламент (ЕС) 2018/848.</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Регламент (ЕС) 2018/848, Приложение II, Част </w:t>
            </w:r>
            <w:r w:rsidRPr="00EB027C">
              <w:rPr>
                <w:rFonts w:ascii="Verdana" w:hAnsi="Verdana" w:cs="Arial"/>
                <w:sz w:val="16"/>
                <w:szCs w:val="16"/>
                <w:lang w:val="en-US"/>
              </w:rPr>
              <w:t>III</w:t>
            </w:r>
            <w:r w:rsidRPr="00EB027C">
              <w:rPr>
                <w:rFonts w:ascii="Verdana" w:hAnsi="Verdana" w:cs="Arial"/>
                <w:sz w:val="16"/>
                <w:szCs w:val="16"/>
              </w:rPr>
              <w:t>, т. 2.2., подточка 2.2.2.</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Начало на нов преходен период, когато е приложимо.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една или повече дейности) на сертификата, ограничаване на биологичния статус на продукция и/или култура.</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Контролиращото лице прилага изискванията на чл. 57 от Наредба № 5 от 2018 г.</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Преди включване на следваща продукция от засегнатите аквакултури в сертификата се вземат проби от контролиращото лице и се предоставят за анализ в официална лаборатория по чл. 2, ал. 6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Е.10</w:t>
            </w:r>
          </w:p>
        </w:tc>
        <w:tc>
          <w:tcPr>
            <w:tcW w:w="732"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Установено е, че хранителни вещества, които са използвани при отглеждането на морски водорасли не отговарят на Приложение II, Част </w:t>
            </w:r>
            <w:r w:rsidRPr="00EB027C">
              <w:rPr>
                <w:rFonts w:ascii="Verdana" w:hAnsi="Verdana" w:cs="Arial"/>
                <w:sz w:val="16"/>
                <w:szCs w:val="16"/>
                <w:lang w:val="en-US"/>
              </w:rPr>
              <w:t>III</w:t>
            </w:r>
            <w:r w:rsidRPr="00EB027C">
              <w:rPr>
                <w:rFonts w:ascii="Verdana" w:hAnsi="Verdana" w:cs="Arial"/>
                <w:sz w:val="16"/>
                <w:szCs w:val="16"/>
              </w:rPr>
              <w:t>, т. 2.3., подточка 2.3.1. от Регламент (ЕС) 2018/848.</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Регламент (ЕС) 2018/848, Приложение II, Част </w:t>
            </w:r>
            <w:r w:rsidRPr="00EB027C">
              <w:rPr>
                <w:rFonts w:ascii="Verdana" w:hAnsi="Verdana" w:cs="Arial"/>
                <w:sz w:val="16"/>
                <w:szCs w:val="16"/>
                <w:lang w:val="en-US"/>
              </w:rPr>
              <w:t>III</w:t>
            </w:r>
            <w:r w:rsidRPr="00EB027C">
              <w:rPr>
                <w:rFonts w:ascii="Verdana" w:hAnsi="Verdana" w:cs="Arial"/>
                <w:sz w:val="16"/>
                <w:szCs w:val="16"/>
              </w:rPr>
              <w:t>, т. 2.3., подточка 2.3.1.</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Начало на нов преходен период, когато е приложимо.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една или повече дейности) на сертификата, ограничаване на биологичния статус на продукция и/или култура.</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4B6FB7">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nil"/>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Е.11</w:t>
            </w:r>
          </w:p>
        </w:tc>
        <w:tc>
          <w:tcPr>
            <w:tcW w:w="732" w:type="pct"/>
            <w:tcBorders>
              <w:top w:val="nil"/>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използването на хранителни вещества от растителен или минерален произход, неразрешени за употреба в биологичното производство съгласно чл. 24 от Регламент (ЕС) 2018/848.</w:t>
            </w:r>
          </w:p>
        </w:tc>
        <w:tc>
          <w:tcPr>
            <w:tcW w:w="643" w:type="pct"/>
            <w:tcBorders>
              <w:top w:val="nil"/>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Регламент (ЕС) 2018/848, Приложение II, Част </w:t>
            </w:r>
            <w:r w:rsidRPr="00EB027C">
              <w:rPr>
                <w:rFonts w:ascii="Verdana" w:hAnsi="Verdana" w:cs="Arial"/>
                <w:sz w:val="16"/>
                <w:szCs w:val="16"/>
                <w:lang w:val="en-US"/>
              </w:rPr>
              <w:t>III</w:t>
            </w:r>
            <w:r w:rsidRPr="00EB027C">
              <w:rPr>
                <w:rFonts w:ascii="Verdana" w:hAnsi="Verdana" w:cs="Arial"/>
                <w:sz w:val="16"/>
                <w:szCs w:val="16"/>
              </w:rPr>
              <w:t>, т. 2.3., подточка 2.3.2.</w:t>
            </w:r>
          </w:p>
        </w:tc>
        <w:tc>
          <w:tcPr>
            <w:tcW w:w="597" w:type="pct"/>
            <w:tcBorders>
              <w:top w:val="nil"/>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nil"/>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nil"/>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Начало на нов преходен период, когато е приложимо.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една или повече дейности) на сертификата, ограничаване на биологичния статус на продукция и/или култура.</w:t>
            </w:r>
          </w:p>
        </w:tc>
        <w:tc>
          <w:tcPr>
            <w:tcW w:w="824" w:type="pct"/>
            <w:tcBorders>
              <w:top w:val="nil"/>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lastRenderedPageBreak/>
              <w:t>Преди включване на следваща продукция от засегнатите аквакултури в сертификата се вземат проби от контролиращото лице и се предоставят за анализ в официална лаборатория по чл. 2, ал. 6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Е.12</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че при събирането на диви водорасли не са предприети мерки на възстановяването на водораслите и за предотвратяване на прилов.</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 Част III, т. 2.4., подточка 2.4.3.</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Начало на нов преходен период, когато е приложимо.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една или повече дейности) на сертификата, ограничаване на биологичния статус на продукция и/или култура.</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4B6FB7">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съответната</w:t>
            </w:r>
            <w:r w:rsidR="004B6FB7">
              <w:rPr>
                <w:rFonts w:ascii="Verdana" w:hAnsi="Verdana" w:cs="Arial"/>
                <w:sz w:val="16"/>
                <w:szCs w:val="16"/>
              </w:rPr>
              <w:t xml:space="preserve"> година.</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Е.13</w:t>
            </w:r>
          </w:p>
        </w:tc>
        <w:tc>
          <w:tcPr>
            <w:tcW w:w="732"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Липса на документация относно биологичния статус на събираните водорасли.</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 Част III, т. 2.4., подточка 2.4.4.</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Начало на нов преходен период, когато е приложимо.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една или повече дейности) на сертификата, ограничаване на биологичния статус на продукция и/или култура.</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 xml:space="preserve">Преди включване на следваща продукция от засегнатите аквакултури в сертификата се вземат проби от контролиращото </w:t>
            </w:r>
            <w:r w:rsidRPr="00EB027C">
              <w:rPr>
                <w:rFonts w:ascii="Verdana" w:hAnsi="Verdana" w:cs="Arial"/>
                <w:sz w:val="16"/>
                <w:szCs w:val="16"/>
              </w:rPr>
              <w:lastRenderedPageBreak/>
              <w:t>лице и се предоставят за анализ в официална лаборатория по чл. 2, ал. 6 от Наредба № 5 от 2018 г.</w:t>
            </w:r>
          </w:p>
        </w:tc>
      </w:tr>
      <w:tr w:rsidR="00E756C5" w:rsidRPr="00EB027C" w:rsidTr="0008305C">
        <w:trPr>
          <w:jc w:val="center"/>
        </w:trPr>
        <w:tc>
          <w:tcPr>
            <w:tcW w:w="230" w:type="pct"/>
            <w:tcBorders>
              <w:top w:val="nil"/>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Е.14</w:t>
            </w:r>
          </w:p>
        </w:tc>
        <w:tc>
          <w:tcPr>
            <w:tcW w:w="732" w:type="pct"/>
            <w:tcBorders>
              <w:top w:val="nil"/>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Липса на писмени доказателства за произхода на аквакултурните животни и за тяхното лечение.</w:t>
            </w:r>
          </w:p>
        </w:tc>
        <w:tc>
          <w:tcPr>
            <w:tcW w:w="643" w:type="pct"/>
            <w:tcBorders>
              <w:top w:val="nil"/>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Регламент (ЕС) 2018/848, Приложение II, Част </w:t>
            </w:r>
            <w:r w:rsidRPr="00EB027C">
              <w:rPr>
                <w:rFonts w:ascii="Verdana" w:hAnsi="Verdana" w:cs="Arial"/>
                <w:sz w:val="16"/>
                <w:szCs w:val="16"/>
                <w:lang w:val="en-US"/>
              </w:rPr>
              <w:t>III</w:t>
            </w:r>
            <w:r w:rsidRPr="00EB027C">
              <w:rPr>
                <w:rFonts w:ascii="Verdana" w:hAnsi="Verdana" w:cs="Arial"/>
                <w:sz w:val="16"/>
                <w:szCs w:val="16"/>
              </w:rPr>
              <w:t>, т. 3.1.2., подточка 3.1.2.1., буква „б“</w:t>
            </w:r>
          </w:p>
        </w:tc>
        <w:tc>
          <w:tcPr>
            <w:tcW w:w="597" w:type="pct"/>
            <w:tcBorders>
              <w:top w:val="nil"/>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nil"/>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nil"/>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Начало на нов преходен период, когато е приложимо.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една или повече дейности) на сертификата, ограничаване на биологичния статус на продукция и/или култура.</w:t>
            </w:r>
          </w:p>
        </w:tc>
        <w:tc>
          <w:tcPr>
            <w:tcW w:w="824" w:type="pct"/>
            <w:tcBorders>
              <w:top w:val="nil"/>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w:t>
            </w:r>
            <w:r w:rsidR="004B6FB7">
              <w:rPr>
                <w:rFonts w:ascii="Verdana" w:hAnsi="Verdana" w:cs="Arial"/>
                <w:sz w:val="16"/>
                <w:szCs w:val="16"/>
              </w:rPr>
              <w:t xml:space="preserve">нспекции в съответната година. </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Преди включване на следваща продукция от засегнатите аквакултури в сертификата се вземат проби от контролиращото лице и се предоставят за анализ в официална лаборатория по чл 2, ал 6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Е.15</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both"/>
              <w:rPr>
                <w:rFonts w:ascii="Verdana" w:hAnsi="Verdana" w:cs="Arial"/>
                <w:sz w:val="16"/>
                <w:szCs w:val="16"/>
              </w:rPr>
            </w:pPr>
            <w:r w:rsidRPr="00EB027C">
              <w:rPr>
                <w:rFonts w:ascii="Verdana" w:hAnsi="Verdana" w:cs="Arial"/>
                <w:sz w:val="16"/>
                <w:szCs w:val="16"/>
              </w:rPr>
              <w:t>Установено е използване на хормони и производни на хормоните при развъждането на аквакултурните животни.</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both"/>
              <w:rPr>
                <w:rFonts w:ascii="Verdana" w:hAnsi="Verdana" w:cs="Arial"/>
                <w:sz w:val="16"/>
                <w:szCs w:val="16"/>
              </w:rPr>
            </w:pPr>
            <w:r w:rsidRPr="00EB027C">
              <w:rPr>
                <w:rFonts w:ascii="Verdana" w:hAnsi="Verdana" w:cs="Arial"/>
                <w:sz w:val="16"/>
                <w:szCs w:val="16"/>
              </w:rPr>
              <w:t xml:space="preserve">Регламент (ЕС) 2018/848, Приложение II, Част </w:t>
            </w:r>
            <w:r w:rsidRPr="00EB027C">
              <w:rPr>
                <w:rFonts w:ascii="Verdana" w:hAnsi="Verdana" w:cs="Arial"/>
                <w:sz w:val="16"/>
                <w:szCs w:val="16"/>
                <w:lang w:val="en-US"/>
              </w:rPr>
              <w:t>III</w:t>
            </w:r>
            <w:r w:rsidRPr="00EB027C">
              <w:rPr>
                <w:rFonts w:ascii="Verdana" w:hAnsi="Verdana" w:cs="Arial"/>
                <w:sz w:val="16"/>
                <w:szCs w:val="16"/>
              </w:rPr>
              <w:t>, т. 3.1.2., подточка 3.1.2.2., буква „a“</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3 Критични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Налагане на забрана за пускане на пазара на продукти с позоваване на биологично производство за определен период в съответствие с чл. 42, параграф 2 от Регламент (ЕС) 2018/848.</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lastRenderedPageBreak/>
              <w:t>Начало на нов преходен период, когато е приложимо.</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Неприложимо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Преди включване на следваща продукция от засегнатите аквакултури в сертификата се вземат проби от контролиращото лице и се предоставят за анализ в официална лаборатория по чл. 2, ал. 6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Е.16</w:t>
            </w:r>
          </w:p>
        </w:tc>
        <w:tc>
          <w:tcPr>
            <w:tcW w:w="732"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използване на изкуствено индуциране на полиплоидност, изкуствена хибридизация, клониране и получаване на еднополови генетични линии.</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 Част III, т. 3.1.2., подточка 3.1.2.2., буква „б“</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3 Критични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Налагане на забрана за пускане на пазара на продукти с позоваване на биологично производство за определен период в съответствие с чл. 42, параграф 2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Начало на нов преходен период, когато е приложимо.</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Отнемане на сертификата за не по-малко от 6 месеца от установяване на нарушението.</w:t>
            </w:r>
          </w:p>
        </w:tc>
        <w:tc>
          <w:tcPr>
            <w:tcW w:w="104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Неприложимо</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Е.17</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използване на неподходящи генетични линии при развъждането на аквакултурните животни.</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 Част III, т. 3.1.2., подточка 3.1.2.2., буква „в“</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3 Критични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Налагане на забрана за пускане на пазара на продукти с позоваване на биологично производство за определен период в съответствие с чл. 42, параграф 2 от Регламент (ЕС) 2018/848.</w:t>
            </w:r>
          </w:p>
          <w:p w:rsidR="00EB027C" w:rsidRPr="00EB027C" w:rsidRDefault="00EB027C" w:rsidP="004B6FB7">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Начало на нов преходен период, когато е приложимо.</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Неприложимо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Е.18</w:t>
            </w:r>
          </w:p>
        </w:tc>
        <w:tc>
          <w:tcPr>
            <w:tcW w:w="732"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нехуманно отношение към животните по отношение на храненето на акватултурни животни.</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Регламент (ЕС) 2018/848, Приложение II, Част </w:t>
            </w:r>
            <w:r w:rsidRPr="00EB027C">
              <w:rPr>
                <w:rFonts w:ascii="Verdana" w:hAnsi="Verdana" w:cs="Arial"/>
                <w:sz w:val="16"/>
                <w:szCs w:val="16"/>
                <w:lang w:val="en-US"/>
              </w:rPr>
              <w:t>III</w:t>
            </w:r>
            <w:r w:rsidRPr="00EB027C">
              <w:rPr>
                <w:rFonts w:ascii="Verdana" w:hAnsi="Verdana" w:cs="Arial"/>
                <w:sz w:val="16"/>
                <w:szCs w:val="16"/>
              </w:rPr>
              <w:t>, т. 3.1.3., подточка 3.1.3.1., буква „б“, т. i.</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3 Критични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Налагане на забрана за пускане на пазара на продукти с позоваване на биологично производство за определен период в съответствие с чл. 42, параграф 2 от Регламент (ЕС) 2018/848.</w:t>
            </w:r>
          </w:p>
          <w:p w:rsidR="00EB027C" w:rsidRPr="00EB027C" w:rsidRDefault="00EB027C" w:rsidP="004B6FB7">
            <w:pPr>
              <w:widowControl/>
              <w:autoSpaceDE/>
              <w:autoSpaceDN/>
              <w:adjustRightInd/>
              <w:spacing w:after="60"/>
              <w:rPr>
                <w:rFonts w:ascii="Verdana" w:hAnsi="Verdana" w:cs="Arial"/>
                <w:sz w:val="16"/>
                <w:szCs w:val="16"/>
              </w:rPr>
            </w:pPr>
            <w:r w:rsidRPr="00EB027C">
              <w:rPr>
                <w:rFonts w:ascii="Verdana" w:hAnsi="Verdana" w:cs="Arial"/>
                <w:sz w:val="16"/>
                <w:szCs w:val="16"/>
              </w:rPr>
              <w:t>Начало на нов прехо</w:t>
            </w:r>
            <w:r w:rsidR="004B6FB7">
              <w:rPr>
                <w:rFonts w:ascii="Verdana" w:hAnsi="Verdana" w:cs="Arial"/>
                <w:sz w:val="16"/>
                <w:szCs w:val="16"/>
              </w:rPr>
              <w:t>ден период, когато е приложимо.</w:t>
            </w:r>
          </w:p>
        </w:tc>
        <w:tc>
          <w:tcPr>
            <w:tcW w:w="104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Неприложимо</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nil"/>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Е.19</w:t>
            </w:r>
          </w:p>
        </w:tc>
        <w:tc>
          <w:tcPr>
            <w:tcW w:w="732" w:type="pct"/>
            <w:tcBorders>
              <w:top w:val="nil"/>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значително екологично въздействие при храненето на аквакултурните животни.</w:t>
            </w:r>
          </w:p>
        </w:tc>
        <w:tc>
          <w:tcPr>
            <w:tcW w:w="643" w:type="pct"/>
            <w:tcBorders>
              <w:top w:val="nil"/>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 Част III, т. 3.1.3., подточка 3.1.3.1., буква „б“, т. iii.</w:t>
            </w:r>
          </w:p>
        </w:tc>
        <w:tc>
          <w:tcPr>
            <w:tcW w:w="597" w:type="pct"/>
            <w:tcBorders>
              <w:top w:val="nil"/>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3 Критични нарушения</w:t>
            </w:r>
          </w:p>
        </w:tc>
        <w:tc>
          <w:tcPr>
            <w:tcW w:w="930" w:type="pct"/>
            <w:tcBorders>
              <w:top w:val="nil"/>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Налагане на забрана за пускане на пазара на продукти с позоваване на биологично производство за определен период в съответствие с чл. 42, параграф 2 от Регламент (ЕС) 2018/848.</w:t>
            </w:r>
          </w:p>
          <w:p w:rsidR="00EB027C" w:rsidRPr="00EB027C" w:rsidRDefault="00EB027C" w:rsidP="004B6FB7">
            <w:pPr>
              <w:widowControl/>
              <w:autoSpaceDE/>
              <w:autoSpaceDN/>
              <w:adjustRightInd/>
              <w:spacing w:after="60"/>
              <w:rPr>
                <w:rFonts w:ascii="Verdana" w:hAnsi="Verdana" w:cs="Arial"/>
                <w:sz w:val="16"/>
                <w:szCs w:val="16"/>
              </w:rPr>
            </w:pPr>
            <w:r w:rsidRPr="00EB027C">
              <w:rPr>
                <w:rFonts w:ascii="Verdana" w:hAnsi="Verdana" w:cs="Arial"/>
                <w:sz w:val="16"/>
                <w:szCs w:val="16"/>
              </w:rPr>
              <w:t>Начало на нов прехо</w:t>
            </w:r>
            <w:r w:rsidR="004B6FB7">
              <w:rPr>
                <w:rFonts w:ascii="Verdana" w:hAnsi="Verdana" w:cs="Arial"/>
                <w:sz w:val="16"/>
                <w:szCs w:val="16"/>
              </w:rPr>
              <w:t>ден период, когато е приложимо.</w:t>
            </w:r>
          </w:p>
        </w:tc>
        <w:tc>
          <w:tcPr>
            <w:tcW w:w="1044" w:type="pct"/>
            <w:tcBorders>
              <w:top w:val="nil"/>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Неприложимо</w:t>
            </w:r>
          </w:p>
        </w:tc>
        <w:tc>
          <w:tcPr>
            <w:tcW w:w="824" w:type="pct"/>
            <w:tcBorders>
              <w:top w:val="nil"/>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Е.20</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Установено е неспазване на изискванията по отношение на растителния елемент във фуражите, фуражният елемент, получен от водни организми или от рибарска дейност, посочени в Приложение </w:t>
            </w:r>
            <w:r w:rsidRPr="00EB027C">
              <w:rPr>
                <w:rFonts w:ascii="Verdana" w:hAnsi="Verdana" w:cs="Arial"/>
                <w:sz w:val="16"/>
                <w:szCs w:val="16"/>
              </w:rPr>
              <w:lastRenderedPageBreak/>
              <w:t>II, Част III, т. 3.1.3., подточка 3.1.3.1., буква „в“ от Регламент (ЕС) 2018/848 за аквакултурните животни.</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Регламент (ЕС) 2018/848, Приложение II, Част III, т. 3.1.3., подточка 3.1.3.1., буква „в“</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Представяне от оператора на необходимата информация и/или план за действие в срока, определен за отстраняване на несъответствието. Подобряване на изпълнението на предпазните мерки и контрола, </w:t>
            </w:r>
            <w:r w:rsidRPr="00EB027C">
              <w:rPr>
                <w:rFonts w:ascii="Verdana" w:hAnsi="Verdana" w:cs="Arial"/>
                <w:sz w:val="16"/>
                <w:szCs w:val="16"/>
              </w:rPr>
              <w:lastRenderedPageBreak/>
              <w:t>въведени от 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Начало на нов преходен период, когато е приложимо.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една или повече дейности) на сертификата, ограничаване на биологичния статус на продукция и/или култура.</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4B6FB7">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Е.21</w:t>
            </w:r>
          </w:p>
        </w:tc>
        <w:tc>
          <w:tcPr>
            <w:tcW w:w="732"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неспазване на изискванията по отношение на небиологичните фуражни суровини, посочени в Приложение II, Част III, т. 3.1.3., подточка 3.1.3.1., буква „г“ от Регламент (ЕС) 2018/848 за аквакултурните животни.</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 Част III, т. 3.1.3., подточка 3.1.3.1., буква „г“.</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3 Критични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Налагане на забрана за пускане на пазара на продукти с позоваване на биологично производство за определен период в съответствие с чл. 42, параграф 2 от Регламент (ЕС) 2018/848.</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Начало на нов преходен период, когато е приложимо.</w:t>
            </w:r>
          </w:p>
        </w:tc>
        <w:tc>
          <w:tcPr>
            <w:tcW w:w="104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Неприложимо</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Преди включване на следваща продукция от засегнатите аквакултури в сертификата се вземат проби от контролиращото лице и се предоставят за анализ в официална лаборатория по чл. 2, ал. 6 от Наредба № 5 от 2018 г.</w:t>
            </w:r>
          </w:p>
        </w:tc>
      </w:tr>
      <w:tr w:rsidR="00E756C5" w:rsidRPr="00EB027C" w:rsidTr="0008305C">
        <w:trPr>
          <w:jc w:val="center"/>
        </w:trPr>
        <w:tc>
          <w:tcPr>
            <w:tcW w:w="230" w:type="pct"/>
            <w:tcBorders>
              <w:top w:val="nil"/>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Е.22</w:t>
            </w:r>
          </w:p>
        </w:tc>
        <w:tc>
          <w:tcPr>
            <w:tcW w:w="732" w:type="pct"/>
            <w:tcBorders>
              <w:top w:val="nil"/>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използването на растежни стимулатори и синтетични аминокиселини при отглеждането на аквакултурните животни.</w:t>
            </w:r>
          </w:p>
        </w:tc>
        <w:tc>
          <w:tcPr>
            <w:tcW w:w="643" w:type="pct"/>
            <w:tcBorders>
              <w:top w:val="nil"/>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Регламент (ЕС) 2018/848, Приложение II, Част </w:t>
            </w:r>
            <w:r w:rsidRPr="00EB027C">
              <w:rPr>
                <w:rFonts w:ascii="Verdana" w:hAnsi="Verdana" w:cs="Arial"/>
                <w:sz w:val="16"/>
                <w:szCs w:val="16"/>
                <w:lang w:val="en-US"/>
              </w:rPr>
              <w:t>III</w:t>
            </w:r>
            <w:r w:rsidRPr="00EB027C">
              <w:rPr>
                <w:rFonts w:ascii="Verdana" w:hAnsi="Verdana" w:cs="Arial"/>
                <w:sz w:val="16"/>
                <w:szCs w:val="16"/>
              </w:rPr>
              <w:t>, т. 3.1.3., подточка 3.1.3.1., буква „д“.</w:t>
            </w:r>
          </w:p>
        </w:tc>
        <w:tc>
          <w:tcPr>
            <w:tcW w:w="597" w:type="pct"/>
            <w:tcBorders>
              <w:top w:val="nil"/>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3 Критични нарушения</w:t>
            </w:r>
          </w:p>
        </w:tc>
        <w:tc>
          <w:tcPr>
            <w:tcW w:w="930" w:type="pct"/>
            <w:tcBorders>
              <w:top w:val="nil"/>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Налагане на забрана за пускане на пазара на продукти с позоваване на биологично производство за определен </w:t>
            </w:r>
            <w:r w:rsidRPr="00EB027C">
              <w:rPr>
                <w:rFonts w:ascii="Verdana" w:hAnsi="Verdana" w:cs="Arial"/>
                <w:sz w:val="16"/>
                <w:szCs w:val="16"/>
              </w:rPr>
              <w:lastRenderedPageBreak/>
              <w:t>период в съответствие с чл. 42, параграф 2 от Регламент (ЕС) 2018/848.</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Начало на нов преходен период, когато е приложимо.</w:t>
            </w:r>
          </w:p>
        </w:tc>
        <w:tc>
          <w:tcPr>
            <w:tcW w:w="1044" w:type="pct"/>
            <w:tcBorders>
              <w:top w:val="nil"/>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Неприложимо</w:t>
            </w:r>
          </w:p>
        </w:tc>
        <w:tc>
          <w:tcPr>
            <w:tcW w:w="824" w:type="pct"/>
            <w:tcBorders>
              <w:top w:val="nil"/>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Контролиращото лице прилага изискванията на чл. 57 от Наредба № 5 от 2018 г.</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Преди включване на следваща продукция от засегнатите аквакултури в сертификата се вземат проби от контролиращото лице и се предоставят за анализ в официална лаборатория по чл. 2, ал. 6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Е.23</w:t>
            </w:r>
          </w:p>
        </w:tc>
        <w:tc>
          <w:tcPr>
            <w:tcW w:w="732"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неспазване на изискванията за отглеждане на двучерупчестите мекотели и други видове, хранещи</w:t>
            </w:r>
            <w:r w:rsidRPr="00EB027C">
              <w:rPr>
                <w:rFonts w:ascii="Verdana" w:hAnsi="Verdana" w:cs="Arial"/>
                <w:bCs/>
                <w:sz w:val="16"/>
                <w:szCs w:val="16"/>
              </w:rPr>
              <w:t xml:space="preserve"> се с естествен </w:t>
            </w:r>
            <w:r w:rsidRPr="00EB027C">
              <w:rPr>
                <w:rFonts w:ascii="Verdana" w:hAnsi="Verdana" w:cs="Arial"/>
                <w:sz w:val="16"/>
                <w:szCs w:val="16"/>
              </w:rPr>
              <w:t xml:space="preserve"> планктон, които са посочени в Приложение II, Част </w:t>
            </w:r>
            <w:r w:rsidRPr="00EB027C">
              <w:rPr>
                <w:rFonts w:ascii="Verdana" w:hAnsi="Verdana" w:cs="Arial"/>
                <w:sz w:val="16"/>
                <w:szCs w:val="16"/>
                <w:lang w:val="en-US"/>
              </w:rPr>
              <w:t>III</w:t>
            </w:r>
            <w:r w:rsidRPr="00EB027C">
              <w:rPr>
                <w:rFonts w:ascii="Verdana" w:hAnsi="Verdana" w:cs="Arial"/>
                <w:sz w:val="16"/>
                <w:szCs w:val="16"/>
              </w:rPr>
              <w:t>, т. 3.1.3., подточка 3.1.3.2. от Регламент (ЕС) 2018/848.</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Регламент (ЕС) 2018/848, Приложение II, Част </w:t>
            </w:r>
            <w:r w:rsidRPr="00EB027C">
              <w:rPr>
                <w:rFonts w:ascii="Verdana" w:hAnsi="Verdana" w:cs="Arial"/>
                <w:sz w:val="16"/>
                <w:szCs w:val="16"/>
                <w:lang w:val="en-US"/>
              </w:rPr>
              <w:t>III</w:t>
            </w:r>
            <w:r w:rsidRPr="00EB027C">
              <w:rPr>
                <w:rFonts w:ascii="Verdana" w:hAnsi="Verdana" w:cs="Arial"/>
                <w:sz w:val="16"/>
                <w:szCs w:val="16"/>
              </w:rPr>
              <w:t>, т. 3.1.3., подточка 3.1.3.2.</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3 Критични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Налагане на забрана за пускане на пазара на продукти с позоваване на биологично производство за определен период в съответствие с чл. 42, параграф 2 от Регламент (ЕС) 2018/848.</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Начало на нов преходен период, когато е приложимо.</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Неприложимо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Е.24</w:t>
            </w:r>
          </w:p>
        </w:tc>
        <w:tc>
          <w:tcPr>
            <w:tcW w:w="732"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неспазване на специалните правила относно фуражите за хищни аквакултурни животни.</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Регламент (ЕС) 2018/848, Приложение II, Част </w:t>
            </w:r>
            <w:r w:rsidRPr="00EB027C">
              <w:rPr>
                <w:rFonts w:ascii="Verdana" w:hAnsi="Verdana" w:cs="Arial"/>
                <w:sz w:val="16"/>
                <w:szCs w:val="16"/>
                <w:lang w:val="en-US"/>
              </w:rPr>
              <w:t>III</w:t>
            </w:r>
            <w:r w:rsidRPr="00EB027C">
              <w:rPr>
                <w:rFonts w:ascii="Verdana" w:hAnsi="Verdana" w:cs="Arial"/>
                <w:sz w:val="16"/>
                <w:szCs w:val="16"/>
              </w:rPr>
              <w:t>, т. 3.1.3., подточка 3.1.3.3.</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Начало на нов преходен период, когато е приложимо.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една или повече дейности) на сертификата, ограничаване на биологичния статус на продукция и/или култура.</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4B6FB7">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 xml:space="preserve">Контролиращото лице прилага изискванията на </w:t>
            </w:r>
            <w:r w:rsidRPr="00EB027C">
              <w:rPr>
                <w:rFonts w:ascii="Verdana" w:hAnsi="Verdana" w:cs="Arial"/>
                <w:sz w:val="16"/>
                <w:szCs w:val="16"/>
              </w:rPr>
              <w:lastRenderedPageBreak/>
              <w:t>чл. 57 от Наредба № 5 от 2018 г.</w:t>
            </w:r>
          </w:p>
        </w:tc>
      </w:tr>
      <w:tr w:rsidR="00E756C5" w:rsidRPr="00EB027C" w:rsidTr="0008305C">
        <w:trPr>
          <w:jc w:val="center"/>
        </w:trPr>
        <w:tc>
          <w:tcPr>
            <w:tcW w:w="230" w:type="pct"/>
            <w:tcBorders>
              <w:top w:val="nil"/>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Е.25</w:t>
            </w:r>
          </w:p>
        </w:tc>
        <w:tc>
          <w:tcPr>
            <w:tcW w:w="732" w:type="pct"/>
            <w:tcBorders>
              <w:top w:val="nil"/>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неспазване на изискванията по отношение на храненето при угояването на рибите във вътрешни води, белите скариди и сладководните скариди и тропическите сладководни риби.</w:t>
            </w:r>
          </w:p>
        </w:tc>
        <w:tc>
          <w:tcPr>
            <w:tcW w:w="643" w:type="pct"/>
            <w:tcBorders>
              <w:top w:val="nil"/>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 Част III, т. 3.1.3., подточка 3.1.3.4.</w:t>
            </w:r>
          </w:p>
        </w:tc>
        <w:tc>
          <w:tcPr>
            <w:tcW w:w="597" w:type="pct"/>
            <w:tcBorders>
              <w:top w:val="nil"/>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nil"/>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nil"/>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Начало на нов преходен период, когато е приложимо.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една или повече дейности) на сертификата, ограничаване на биологичния статус на продукция и/или култура.</w:t>
            </w:r>
          </w:p>
        </w:tc>
        <w:tc>
          <w:tcPr>
            <w:tcW w:w="824" w:type="pct"/>
            <w:tcBorders>
              <w:top w:val="nil"/>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4B6FB7">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инспекции в </w:t>
            </w:r>
            <w:r w:rsidR="004B6FB7">
              <w:rPr>
                <w:rFonts w:ascii="Verdana" w:hAnsi="Verdana" w:cs="Arial"/>
                <w:sz w:val="16"/>
                <w:szCs w:val="16"/>
              </w:rPr>
              <w:t>съответната година.</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both"/>
              <w:rPr>
                <w:rFonts w:ascii="Verdana" w:hAnsi="Verdana" w:cs="Arial"/>
                <w:sz w:val="16"/>
                <w:szCs w:val="16"/>
              </w:rPr>
            </w:pPr>
            <w:r w:rsidRPr="00EB027C">
              <w:rPr>
                <w:rFonts w:ascii="Verdana" w:hAnsi="Verdana" w:cs="Arial"/>
                <w:sz w:val="16"/>
                <w:szCs w:val="16"/>
              </w:rPr>
              <w:t>Е.26</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Установено е неспазване на изискванията за профилактика на заболяванията Приложение II, Част </w:t>
            </w:r>
            <w:r w:rsidRPr="00EB027C">
              <w:rPr>
                <w:rFonts w:ascii="Verdana" w:hAnsi="Verdana" w:cs="Arial"/>
                <w:sz w:val="16"/>
                <w:szCs w:val="16"/>
                <w:lang w:val="en-US"/>
              </w:rPr>
              <w:t>III</w:t>
            </w:r>
            <w:r w:rsidRPr="00EB027C">
              <w:rPr>
                <w:rFonts w:ascii="Verdana" w:hAnsi="Verdana" w:cs="Arial"/>
                <w:sz w:val="16"/>
                <w:szCs w:val="16"/>
              </w:rPr>
              <w:t>, т. 3.1.4., подточка 3.1.4.1. от Регламент (ЕС) 2018/848.</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Регламент (ЕС) 2018/848, Приложение II, Част </w:t>
            </w:r>
            <w:r w:rsidRPr="00EB027C">
              <w:rPr>
                <w:rFonts w:ascii="Verdana" w:hAnsi="Verdana" w:cs="Arial"/>
                <w:sz w:val="16"/>
                <w:szCs w:val="16"/>
                <w:lang w:val="en-US"/>
              </w:rPr>
              <w:t>III</w:t>
            </w:r>
            <w:r w:rsidRPr="00EB027C">
              <w:rPr>
                <w:rFonts w:ascii="Verdana" w:hAnsi="Verdana" w:cs="Arial"/>
                <w:sz w:val="16"/>
                <w:szCs w:val="16"/>
              </w:rPr>
              <w:t>, т. 3.1.4., подточка 3.1.4.1.</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Начало на нов преходен период, когато е приложимо.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една или повече дейности) на сертификата, ограничаване на биологичния статус на продукция и/или култура.</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Преди включване на следваща продукция от засегнатите аквакултури в сертификата се вземат проби от контролиращото лице и се предоставят за анализ в официална лаборатория по чл. 2, ал. 6 от Наредба № 5 от 2018 г.</w:t>
            </w:r>
          </w:p>
        </w:tc>
      </w:tr>
      <w:tr w:rsidR="00E756C5" w:rsidRPr="00EB027C" w:rsidTr="00343031">
        <w:trPr>
          <w:cantSplit/>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Е.27</w:t>
            </w:r>
          </w:p>
        </w:tc>
        <w:tc>
          <w:tcPr>
            <w:tcW w:w="732"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Установено е нарушение на правилата за ветеринарно лечение на аквакултурни животни, посочени в Приложение II, Част </w:t>
            </w:r>
            <w:r w:rsidRPr="00EB027C">
              <w:rPr>
                <w:rFonts w:ascii="Verdana" w:hAnsi="Verdana" w:cs="Arial"/>
                <w:sz w:val="16"/>
                <w:szCs w:val="16"/>
                <w:lang w:val="en-US"/>
              </w:rPr>
              <w:t>III</w:t>
            </w:r>
            <w:r w:rsidRPr="00EB027C">
              <w:rPr>
                <w:rFonts w:ascii="Verdana" w:hAnsi="Verdana" w:cs="Arial"/>
                <w:sz w:val="16"/>
                <w:szCs w:val="16"/>
              </w:rPr>
              <w:t>, т. 3.1.4., подточка 3.1.4.2.  от Регламент (ЕС) 2018/848.</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Регламент (ЕС) 2018/848, Приложение II, Част </w:t>
            </w:r>
            <w:r w:rsidRPr="00EB027C">
              <w:rPr>
                <w:rFonts w:ascii="Verdana" w:hAnsi="Verdana" w:cs="Arial"/>
                <w:sz w:val="16"/>
                <w:szCs w:val="16"/>
                <w:lang w:val="en-US"/>
              </w:rPr>
              <w:t>III</w:t>
            </w:r>
            <w:r w:rsidRPr="00EB027C">
              <w:rPr>
                <w:rFonts w:ascii="Verdana" w:hAnsi="Verdana" w:cs="Arial"/>
                <w:sz w:val="16"/>
                <w:szCs w:val="16"/>
              </w:rPr>
              <w:t xml:space="preserve">, т. 3.1.4., подточка 3.1.4.2. </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Начало на нов преходен период, когато е приложимо.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една или повече дейности) на сертификата, ограничаване на биологичния статус на продукция и/или култура.</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Преди включване на следваща продукция от засегнатите аквакултури в сертификата се вземат проби от контролиращото лице и се предоставят за анализ в официална лаборатория по чл. 2, ал. 6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Е.28</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отглеждане на аквакултурни животни в затворен тип рециркулационни съоръжения за отглеждане .</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Регламент (ЕС) 2018/848, Приложение II, Част </w:t>
            </w:r>
            <w:r w:rsidRPr="00EB027C">
              <w:rPr>
                <w:rFonts w:ascii="Verdana" w:hAnsi="Verdana" w:cs="Arial"/>
                <w:sz w:val="16"/>
                <w:szCs w:val="16"/>
                <w:lang w:val="en-US"/>
              </w:rPr>
              <w:t>III</w:t>
            </w:r>
            <w:r w:rsidRPr="00EB027C">
              <w:rPr>
                <w:rFonts w:ascii="Verdana" w:hAnsi="Verdana" w:cs="Arial"/>
                <w:sz w:val="16"/>
                <w:szCs w:val="16"/>
              </w:rPr>
              <w:t xml:space="preserve">, т. 3.1.5., подточка 3.1.5.1. </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3 Критични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Налагане на забрана за пускане на пазара на продукти с позоваване на биологично производство за определен период в съответствие с чл. 42, параграф 2 от Регламент (ЕС) 2018/848.</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Начало на нов преходен период, когато е приложимо.</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Неприложимо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343031">
        <w:trPr>
          <w:cantSplit/>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Е.29</w:t>
            </w:r>
          </w:p>
        </w:tc>
        <w:tc>
          <w:tcPr>
            <w:tcW w:w="732"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Установено е неспазване на изискванията за окръжаващата среда при отглеждането на аквакултурните животни, посочени в Приложение II, Част </w:t>
            </w:r>
            <w:r w:rsidRPr="00EB027C">
              <w:rPr>
                <w:rFonts w:ascii="Verdana" w:hAnsi="Verdana" w:cs="Arial"/>
                <w:sz w:val="16"/>
                <w:szCs w:val="16"/>
                <w:lang w:val="en-US"/>
              </w:rPr>
              <w:t>III</w:t>
            </w:r>
            <w:r w:rsidRPr="00EB027C">
              <w:rPr>
                <w:rFonts w:ascii="Verdana" w:hAnsi="Verdana" w:cs="Arial"/>
                <w:sz w:val="16"/>
                <w:szCs w:val="16"/>
              </w:rPr>
              <w:t>, т. 3.1.5., подточка 3.1.5.3.  от Регламент (ЕС) 2018/848.</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Регламент (ЕС) 2018/848, Приложение II, част </w:t>
            </w:r>
            <w:r w:rsidRPr="00EB027C">
              <w:rPr>
                <w:rFonts w:ascii="Verdana" w:hAnsi="Verdana" w:cs="Arial"/>
                <w:sz w:val="16"/>
                <w:szCs w:val="16"/>
                <w:lang w:val="en-US"/>
              </w:rPr>
              <w:t>III</w:t>
            </w:r>
            <w:r w:rsidRPr="00EB027C">
              <w:rPr>
                <w:rFonts w:ascii="Verdana" w:hAnsi="Verdana" w:cs="Arial"/>
                <w:sz w:val="16"/>
                <w:szCs w:val="16"/>
              </w:rPr>
              <w:t xml:space="preserve">, т. 3.1.5., подточка 3.1.5.3. </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Начало на нов преходен период, когато е приложимо.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една или повече дейности) на сертификата, ограничаване на биологичния статус на продукция и/или култура.</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4B6FB7">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Е.30</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Разположените на сушата единици за отглеждане на животни не отговарят на условията, посочени в Приложение II, Част </w:t>
            </w:r>
            <w:r w:rsidRPr="00EB027C">
              <w:rPr>
                <w:rFonts w:ascii="Verdana" w:hAnsi="Verdana" w:cs="Arial"/>
                <w:sz w:val="16"/>
                <w:szCs w:val="16"/>
                <w:lang w:val="en-US"/>
              </w:rPr>
              <w:t>III</w:t>
            </w:r>
            <w:r w:rsidRPr="00EB027C">
              <w:rPr>
                <w:rFonts w:ascii="Verdana" w:hAnsi="Verdana" w:cs="Arial"/>
                <w:sz w:val="16"/>
                <w:szCs w:val="16"/>
              </w:rPr>
              <w:t>, т. 3.1.5., подточка 3.1.5.5. от Регламент (ЕС) 2018/848.</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Регламент (ЕС) 2018/848, Приложение II, Част </w:t>
            </w:r>
            <w:r w:rsidRPr="00EB027C">
              <w:rPr>
                <w:rFonts w:ascii="Verdana" w:hAnsi="Verdana" w:cs="Arial"/>
                <w:sz w:val="16"/>
                <w:szCs w:val="16"/>
                <w:lang w:val="en-US"/>
              </w:rPr>
              <w:t>III</w:t>
            </w:r>
            <w:r w:rsidRPr="00EB027C">
              <w:rPr>
                <w:rFonts w:ascii="Verdana" w:hAnsi="Verdana" w:cs="Arial"/>
                <w:sz w:val="16"/>
                <w:szCs w:val="16"/>
              </w:rPr>
              <w:t xml:space="preserve">, т. 3.1.5., подточка 3.1.5.5. </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Начало на нов преходен период, когато е приложимо.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една или повече дейности) на сертификата, ограничаване на биологичния статус на продукция и/или култура.</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4B6FB7">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съ</w:t>
            </w:r>
            <w:r w:rsidR="004B6FB7">
              <w:rPr>
                <w:rFonts w:ascii="Verdana" w:hAnsi="Verdana" w:cs="Arial"/>
                <w:sz w:val="16"/>
                <w:szCs w:val="16"/>
              </w:rPr>
              <w:t>ответната година.</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Е.31</w:t>
            </w:r>
          </w:p>
        </w:tc>
        <w:tc>
          <w:tcPr>
            <w:tcW w:w="732"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Установено е,че разположените в морето садкови системи не отговарят на изискванията на Приложение II, Част </w:t>
            </w:r>
            <w:r w:rsidRPr="00EB027C">
              <w:rPr>
                <w:rFonts w:ascii="Verdana" w:hAnsi="Verdana" w:cs="Arial"/>
                <w:sz w:val="16"/>
                <w:szCs w:val="16"/>
                <w:lang w:val="en-US"/>
              </w:rPr>
              <w:t>III</w:t>
            </w:r>
            <w:r w:rsidRPr="00EB027C">
              <w:rPr>
                <w:rFonts w:ascii="Verdana" w:hAnsi="Verdana" w:cs="Arial"/>
                <w:sz w:val="16"/>
                <w:szCs w:val="16"/>
              </w:rPr>
              <w:t>, т. 3.1.5., подточка 3.1.5.6. от Регламент (ЕС) 2018/848.</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Регламент (ЕС) 2018/848, Приложение II, Част </w:t>
            </w:r>
            <w:r w:rsidRPr="00EB027C">
              <w:rPr>
                <w:rFonts w:ascii="Verdana" w:hAnsi="Verdana" w:cs="Arial"/>
                <w:sz w:val="16"/>
                <w:szCs w:val="16"/>
                <w:lang w:val="en-US"/>
              </w:rPr>
              <w:t>III</w:t>
            </w:r>
            <w:r w:rsidRPr="00EB027C">
              <w:rPr>
                <w:rFonts w:ascii="Verdana" w:hAnsi="Verdana" w:cs="Arial"/>
                <w:sz w:val="16"/>
                <w:szCs w:val="16"/>
              </w:rPr>
              <w:t>, т. 3.1.5., подточка 3.1.5.6.</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Начало на нов преходен период, когато е приложимо.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една или повече дейности) на сертификата, ограничаване на биологичния статус на продукция и/или култура.</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4B6FB7">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съответната година.</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 xml:space="preserve">Контролиращото лице прилага изискванията на </w:t>
            </w:r>
            <w:r w:rsidRPr="00EB027C">
              <w:rPr>
                <w:rFonts w:ascii="Verdana" w:hAnsi="Verdana" w:cs="Arial"/>
                <w:sz w:val="16"/>
                <w:szCs w:val="16"/>
              </w:rPr>
              <w:lastRenderedPageBreak/>
              <w:t>чл. 57 от Наредба № 5 от 2018 г.</w:t>
            </w:r>
          </w:p>
        </w:tc>
      </w:tr>
      <w:tr w:rsidR="00E756C5" w:rsidRPr="00EB027C" w:rsidTr="0008305C">
        <w:trPr>
          <w:jc w:val="center"/>
        </w:trPr>
        <w:tc>
          <w:tcPr>
            <w:tcW w:w="230" w:type="pct"/>
            <w:tcBorders>
              <w:top w:val="nil"/>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Е.32</w:t>
            </w:r>
          </w:p>
        </w:tc>
        <w:tc>
          <w:tcPr>
            <w:tcW w:w="732" w:type="pct"/>
            <w:tcBorders>
              <w:top w:val="nil"/>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е,че садковите системи са проектирани, разположени и се експлоатират по начин, който създава рискове от инциденти, свързани с изпускане на животни.</w:t>
            </w:r>
          </w:p>
        </w:tc>
        <w:tc>
          <w:tcPr>
            <w:tcW w:w="643" w:type="pct"/>
            <w:tcBorders>
              <w:top w:val="nil"/>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Регламент (ЕС) 2018/848, Приложение II, Част </w:t>
            </w:r>
            <w:r w:rsidRPr="00EB027C">
              <w:rPr>
                <w:rFonts w:ascii="Verdana" w:hAnsi="Verdana" w:cs="Arial"/>
                <w:sz w:val="16"/>
                <w:szCs w:val="16"/>
                <w:lang w:val="en-US"/>
              </w:rPr>
              <w:t>III</w:t>
            </w:r>
            <w:r w:rsidRPr="00EB027C">
              <w:rPr>
                <w:rFonts w:ascii="Verdana" w:hAnsi="Verdana" w:cs="Arial"/>
                <w:sz w:val="16"/>
                <w:szCs w:val="16"/>
              </w:rPr>
              <w:t>, т. 3.1.5., подточка 3.1.5.7.</w:t>
            </w:r>
          </w:p>
        </w:tc>
        <w:tc>
          <w:tcPr>
            <w:tcW w:w="597" w:type="pct"/>
            <w:tcBorders>
              <w:top w:val="nil"/>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nil"/>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nil"/>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Начало на нов преходен период, когато е приложимо.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една или повече дейности) на сертификата, ограничаване на биологичния статус на продукция и/или култура.</w:t>
            </w:r>
          </w:p>
        </w:tc>
        <w:tc>
          <w:tcPr>
            <w:tcW w:w="824" w:type="pct"/>
            <w:tcBorders>
              <w:top w:val="nil"/>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4B6FB7">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Е.33</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 xml:space="preserve">Установено е,че при производството на аквакултурни животни в рибовъдни стопанства с басейни, резервоари или канали не е предвидено използване на оборудването и методите за подобряване на качеството на отпадните води, посочени в Приложение II, Част </w:t>
            </w:r>
            <w:r w:rsidRPr="00EB027C">
              <w:rPr>
                <w:rFonts w:ascii="Verdana" w:hAnsi="Verdana" w:cs="Arial"/>
                <w:sz w:val="16"/>
                <w:szCs w:val="16"/>
                <w:lang w:val="en-US"/>
              </w:rPr>
              <w:t>III</w:t>
            </w:r>
            <w:r w:rsidRPr="00EB027C">
              <w:rPr>
                <w:rFonts w:ascii="Verdana" w:hAnsi="Verdana" w:cs="Arial"/>
                <w:sz w:val="16"/>
                <w:szCs w:val="16"/>
              </w:rPr>
              <w:t>, т. 3.1.5., подточка 3.1.5.9. от Регламент (ЕС) 2018/848.</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Регламент (ЕС) 2018/848, Приложение II, част </w:t>
            </w:r>
            <w:r w:rsidRPr="00EB027C">
              <w:rPr>
                <w:rFonts w:ascii="Verdana" w:hAnsi="Verdana" w:cs="Arial"/>
                <w:sz w:val="16"/>
                <w:szCs w:val="16"/>
                <w:lang w:val="en-US"/>
              </w:rPr>
              <w:t>III</w:t>
            </w:r>
            <w:r w:rsidRPr="00EB027C">
              <w:rPr>
                <w:rFonts w:ascii="Verdana" w:hAnsi="Verdana" w:cs="Arial"/>
                <w:sz w:val="16"/>
                <w:szCs w:val="16"/>
              </w:rPr>
              <w:t>, т. 3.1.5., подточка 3.1.5.9.</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Начало на нов преходен период, когато е приложимо.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една или повече дейности) на сертификата, ограничаване на биологичния статус на продукция и/или култура.</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Е.34</w:t>
            </w:r>
          </w:p>
        </w:tc>
        <w:tc>
          <w:tcPr>
            <w:tcW w:w="732"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Установено е,че не са спазени изисквания за  произход на индивидите за разплод, посочени в Приложение II, Част </w:t>
            </w:r>
            <w:r w:rsidRPr="00EB027C">
              <w:rPr>
                <w:rFonts w:ascii="Verdana" w:hAnsi="Verdana" w:cs="Arial"/>
                <w:sz w:val="16"/>
                <w:szCs w:val="16"/>
                <w:lang w:val="en-US"/>
              </w:rPr>
              <w:t>III</w:t>
            </w:r>
            <w:r w:rsidRPr="00EB027C">
              <w:rPr>
                <w:rFonts w:ascii="Verdana" w:hAnsi="Verdana" w:cs="Arial"/>
                <w:sz w:val="16"/>
                <w:szCs w:val="16"/>
              </w:rPr>
              <w:t>, т. 3.2., подточка 3.2.1. от Регламент (ЕС) 2018/848 по отношение на мекотелите.</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Регламент (ЕС) 2018/848, Приложение II, Част </w:t>
            </w:r>
            <w:r w:rsidRPr="00EB027C">
              <w:rPr>
                <w:rFonts w:ascii="Verdana" w:hAnsi="Verdana" w:cs="Arial"/>
                <w:sz w:val="16"/>
                <w:szCs w:val="16"/>
                <w:lang w:val="en-US"/>
              </w:rPr>
              <w:t>III</w:t>
            </w:r>
            <w:r w:rsidRPr="00EB027C">
              <w:rPr>
                <w:rFonts w:ascii="Verdana" w:hAnsi="Verdana" w:cs="Arial"/>
                <w:sz w:val="16"/>
                <w:szCs w:val="16"/>
              </w:rPr>
              <w:t>, т. 3.2., подточка 3.2.1.</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3 Критични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Налагане на забрана за пускане на пазара на продукти с позоваване на биологично </w:t>
            </w:r>
            <w:r w:rsidRPr="00EB027C">
              <w:rPr>
                <w:rFonts w:ascii="Verdana" w:hAnsi="Verdana" w:cs="Arial"/>
                <w:sz w:val="16"/>
                <w:szCs w:val="16"/>
              </w:rPr>
              <w:lastRenderedPageBreak/>
              <w:t>производство за определен период в съответствие с чл.  42, параграф 2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Начало на нов преходен период, когато е приложимо.</w:t>
            </w:r>
          </w:p>
        </w:tc>
        <w:tc>
          <w:tcPr>
            <w:tcW w:w="104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Неприложимо</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w:t>
            </w:r>
            <w:r w:rsidR="004B6FB7">
              <w:rPr>
                <w:rFonts w:ascii="Verdana" w:hAnsi="Verdana" w:cs="Arial"/>
                <w:sz w:val="16"/>
                <w:szCs w:val="16"/>
              </w:rPr>
              <w:t>ол чрез допълнителни инспекции.</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Контролиращото лице прилага изискванията на чл. 57 от Наредба № 5 от 2018 г.</w:t>
            </w:r>
          </w:p>
        </w:tc>
      </w:tr>
      <w:tr w:rsidR="00E756C5" w:rsidRPr="00EB027C" w:rsidTr="0008305C">
        <w:trPr>
          <w:jc w:val="center"/>
        </w:trPr>
        <w:tc>
          <w:tcPr>
            <w:tcW w:w="230" w:type="pct"/>
            <w:tcBorders>
              <w:top w:val="nil"/>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Е.35</w:t>
            </w:r>
          </w:p>
        </w:tc>
        <w:tc>
          <w:tcPr>
            <w:tcW w:w="732" w:type="pct"/>
            <w:tcBorders>
              <w:top w:val="nil"/>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че не са спазени изисквания по отношение на помещенията за отглеждане и животновъдните практики за мекотелите.</w:t>
            </w:r>
          </w:p>
        </w:tc>
        <w:tc>
          <w:tcPr>
            <w:tcW w:w="643" w:type="pct"/>
            <w:tcBorders>
              <w:top w:val="nil"/>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Регламент (ЕС) 2018/848, Приложение II, Част </w:t>
            </w:r>
            <w:r w:rsidRPr="00EB027C">
              <w:rPr>
                <w:rFonts w:ascii="Verdana" w:hAnsi="Verdana" w:cs="Arial"/>
                <w:sz w:val="16"/>
                <w:szCs w:val="16"/>
                <w:lang w:val="en-US"/>
              </w:rPr>
              <w:t>III</w:t>
            </w:r>
            <w:r w:rsidRPr="00EB027C">
              <w:rPr>
                <w:rFonts w:ascii="Verdana" w:hAnsi="Verdana" w:cs="Arial"/>
                <w:sz w:val="16"/>
                <w:szCs w:val="16"/>
              </w:rPr>
              <w:t>, т. 3.2., подточка 3.2.2.</w:t>
            </w:r>
          </w:p>
        </w:tc>
        <w:tc>
          <w:tcPr>
            <w:tcW w:w="597" w:type="pct"/>
            <w:tcBorders>
              <w:top w:val="nil"/>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nil"/>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nil"/>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Начало на нов преходен период, когато е приложимо.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една или повече дейности) на сертификата, ограничаване на биологичния статус на продукция и/или култура.</w:t>
            </w:r>
          </w:p>
        </w:tc>
        <w:tc>
          <w:tcPr>
            <w:tcW w:w="824" w:type="pct"/>
            <w:tcBorders>
              <w:top w:val="nil"/>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4B6FB7">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Е.36</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че не са спазени изискванията по отношение на правилата за отглеждане и управление при мекотелите.</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Регламент (ЕС) 2018/848, Приложение II, Част </w:t>
            </w:r>
            <w:r w:rsidRPr="00EB027C">
              <w:rPr>
                <w:rFonts w:ascii="Verdana" w:hAnsi="Verdana" w:cs="Arial"/>
                <w:sz w:val="16"/>
                <w:szCs w:val="16"/>
                <w:lang w:val="en-US"/>
              </w:rPr>
              <w:t>III</w:t>
            </w:r>
            <w:r w:rsidRPr="00EB027C">
              <w:rPr>
                <w:rFonts w:ascii="Verdana" w:hAnsi="Verdana" w:cs="Arial"/>
                <w:sz w:val="16"/>
                <w:szCs w:val="16"/>
              </w:rPr>
              <w:t>, т. 3.2., подточка 3.2.4.</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Начало на нов преходен период, когато е приложимо.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една или повече дейности) на сертификата, ограничаване на биологичния статус на продукция и/или култура.</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4B6FB7">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Е.37</w:t>
            </w:r>
          </w:p>
        </w:tc>
        <w:tc>
          <w:tcPr>
            <w:tcW w:w="732"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е,че са нарушени специалните правила за отглеждане на стриди.</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Регламент (ЕС) 2018/848, Приложение II, Част </w:t>
            </w:r>
            <w:r w:rsidRPr="00EB027C">
              <w:rPr>
                <w:rFonts w:ascii="Verdana" w:hAnsi="Verdana" w:cs="Arial"/>
                <w:sz w:val="16"/>
                <w:szCs w:val="16"/>
                <w:lang w:val="en-US"/>
              </w:rPr>
              <w:t>III</w:t>
            </w:r>
            <w:r w:rsidRPr="00EB027C">
              <w:rPr>
                <w:rFonts w:ascii="Verdana" w:hAnsi="Verdana" w:cs="Arial"/>
                <w:sz w:val="16"/>
                <w:szCs w:val="16"/>
              </w:rPr>
              <w:t>, т. 3.2., подточка 3.2.5.</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Подобряване на изпълнението на предпазните мерки и </w:t>
            </w:r>
            <w:r w:rsidRPr="00EB027C">
              <w:rPr>
                <w:rFonts w:ascii="Verdana" w:hAnsi="Verdana" w:cs="Arial"/>
                <w:sz w:val="16"/>
                <w:szCs w:val="16"/>
              </w:rPr>
              <w:lastRenderedPageBreak/>
              <w:t>контрола, въведени от оператора с цел гарантиране на съответствие.</w:t>
            </w:r>
          </w:p>
        </w:tc>
        <w:tc>
          <w:tcPr>
            <w:tcW w:w="1044"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Начало на нов преходен период, когато е приложимо.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една или повече дейности) на сертификата, ограничаване на биологичния статус на продукция и/или култура.</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4B6FB7">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B027C" w:rsidRPr="00EB027C" w:rsidTr="00E756C5">
        <w:trPr>
          <w:trHeight w:val="397"/>
          <w:jc w:val="center"/>
        </w:trPr>
        <w:tc>
          <w:tcPr>
            <w:tcW w:w="5000" w:type="pct"/>
            <w:gridSpan w:val="7"/>
            <w:tcBorders>
              <w:top w:val="single" w:sz="4" w:space="0" w:color="auto"/>
              <w:left w:val="single" w:sz="4" w:space="0" w:color="auto"/>
              <w:bottom w:val="single" w:sz="4" w:space="0" w:color="auto"/>
              <w:right w:val="single" w:sz="4" w:space="0" w:color="000000"/>
            </w:tcBorders>
            <w:shd w:val="clear" w:color="000000" w:fill="B4C6E7"/>
            <w:vAlign w:val="center"/>
            <w:hideMark/>
          </w:tcPr>
          <w:p w:rsidR="00EB027C" w:rsidRPr="00EB027C" w:rsidRDefault="00EB027C" w:rsidP="00EB027C">
            <w:pPr>
              <w:widowControl/>
              <w:autoSpaceDE/>
              <w:autoSpaceDN/>
              <w:adjustRightInd/>
              <w:jc w:val="center"/>
              <w:rPr>
                <w:rFonts w:ascii="Verdana" w:hAnsi="Verdana" w:cs="Arial"/>
                <w:b/>
                <w:bCs/>
                <w:sz w:val="16"/>
                <w:szCs w:val="16"/>
              </w:rPr>
            </w:pPr>
            <w:r w:rsidRPr="00EB027C">
              <w:rPr>
                <w:rFonts w:ascii="Verdana" w:hAnsi="Verdana" w:cs="Arial"/>
                <w:b/>
                <w:bCs/>
                <w:sz w:val="16"/>
                <w:szCs w:val="16"/>
              </w:rPr>
              <w:lastRenderedPageBreak/>
              <w:t>Ж. НЕСЪОТВЕТСТВИЯ, СВЪРЗАНИ С ДЕЙНОСТ „ПРЕРАБОТКА“</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Ж.1</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Установена е липса и/или липса на актуализация на процедури въз основа на системното идентифициране на критичните етапи от процедурата за преработка.</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Регламент (ЕС) 2018/848, Приложение II, Част </w:t>
            </w:r>
            <w:r w:rsidRPr="00EB027C">
              <w:rPr>
                <w:rFonts w:ascii="Verdana" w:hAnsi="Verdana" w:cs="Arial"/>
                <w:sz w:val="16"/>
                <w:szCs w:val="16"/>
                <w:lang w:val="en-US"/>
              </w:rPr>
              <w:t>IV</w:t>
            </w:r>
            <w:r w:rsidRPr="00EB027C">
              <w:rPr>
                <w:rFonts w:ascii="Verdana" w:hAnsi="Verdana" w:cs="Arial"/>
                <w:sz w:val="16"/>
                <w:szCs w:val="16"/>
              </w:rPr>
              <w:t>, т. 1.2.</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ограничаване на биологичния статус на продукция и/или култура за не по-малко от 3 месеца от установяване на нарушението.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4B6FB7">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Ж.2</w:t>
            </w:r>
          </w:p>
        </w:tc>
        <w:tc>
          <w:tcPr>
            <w:tcW w:w="732" w:type="pct"/>
            <w:tcBorders>
              <w:top w:val="single" w:sz="4" w:space="0" w:color="auto"/>
              <w:left w:val="nil"/>
              <w:bottom w:val="single" w:sz="4" w:space="0" w:color="auto"/>
              <w:right w:val="nil"/>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w:t>
            </w:r>
            <w:r w:rsidRPr="00EB027C">
              <w:rPr>
                <w:rFonts w:ascii="Verdana" w:hAnsi="Verdana" w:cs="Arial"/>
                <w:sz w:val="16"/>
                <w:szCs w:val="16"/>
                <w:lang w:val="ru-RU"/>
              </w:rPr>
              <w:t xml:space="preserve"> </w:t>
            </w:r>
            <w:r w:rsidRPr="00EB027C">
              <w:rPr>
                <w:rFonts w:ascii="Verdana" w:hAnsi="Verdana" w:cs="Arial"/>
                <w:sz w:val="16"/>
                <w:szCs w:val="16"/>
              </w:rPr>
              <w:t xml:space="preserve">че операторът не прилага предпазните мерки, посочени в процедурите, съгласно Регламент (ЕС) 2018/848, Приложение II, част </w:t>
            </w:r>
            <w:r w:rsidRPr="00EB027C">
              <w:rPr>
                <w:rFonts w:ascii="Verdana" w:hAnsi="Verdana" w:cs="Arial"/>
                <w:sz w:val="16"/>
                <w:szCs w:val="16"/>
                <w:lang w:val="en-US"/>
              </w:rPr>
              <w:t>IV</w:t>
            </w:r>
            <w:r w:rsidRPr="00EB027C">
              <w:rPr>
                <w:rFonts w:ascii="Verdana" w:hAnsi="Verdana" w:cs="Arial"/>
                <w:sz w:val="16"/>
                <w:szCs w:val="16"/>
              </w:rPr>
              <w:t>, т. 1.4., буква „а“.</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Регламент (ЕС) 2018/848, Приложение II, Част </w:t>
            </w:r>
            <w:r w:rsidRPr="00EB027C">
              <w:rPr>
                <w:rFonts w:ascii="Verdana" w:hAnsi="Verdana" w:cs="Arial"/>
                <w:sz w:val="16"/>
                <w:szCs w:val="16"/>
                <w:lang w:val="en-US"/>
              </w:rPr>
              <w:t>IV</w:t>
            </w:r>
            <w:r w:rsidRPr="00EB027C">
              <w:rPr>
                <w:rFonts w:ascii="Verdana" w:hAnsi="Verdana" w:cs="Arial"/>
                <w:sz w:val="16"/>
                <w:szCs w:val="16"/>
              </w:rPr>
              <w:t>, т. 1.4., буква „а“</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биологичния статус на продукция и/или култура за не по-малко от 3 месеца от установяване на нарушението.</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 xml:space="preserve">Преди включване на следваща продукция от засегнатата/ите партида/и в сертификата се вземат </w:t>
            </w:r>
            <w:r w:rsidRPr="00EB027C">
              <w:rPr>
                <w:rFonts w:ascii="Verdana" w:hAnsi="Verdana" w:cs="Arial"/>
                <w:sz w:val="16"/>
                <w:szCs w:val="16"/>
              </w:rPr>
              <w:lastRenderedPageBreak/>
              <w:t>проби от контролиращото лице и се предоставят за анализ в официална лаборатория по чл. 2, ал. 6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Ж.3</w:t>
            </w:r>
          </w:p>
        </w:tc>
        <w:tc>
          <w:tcPr>
            <w:tcW w:w="732" w:type="pct"/>
            <w:tcBorders>
              <w:top w:val="single" w:sz="4" w:space="0" w:color="auto"/>
              <w:left w:val="nil"/>
              <w:bottom w:val="single" w:sz="4" w:space="0" w:color="auto"/>
              <w:right w:val="nil"/>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w:t>
            </w:r>
            <w:r w:rsidRPr="00EB027C">
              <w:rPr>
                <w:rFonts w:ascii="Verdana" w:hAnsi="Verdana" w:cs="Arial"/>
                <w:sz w:val="16"/>
                <w:szCs w:val="16"/>
                <w:lang w:val="ru-RU"/>
              </w:rPr>
              <w:t xml:space="preserve"> </w:t>
            </w:r>
            <w:r w:rsidRPr="00EB027C">
              <w:rPr>
                <w:rFonts w:ascii="Verdana" w:hAnsi="Verdana" w:cs="Arial"/>
                <w:sz w:val="16"/>
                <w:szCs w:val="16"/>
              </w:rPr>
              <w:t xml:space="preserve">че операторът не изпълнява изискванията по отношение на необходимите мерки за почистване, посочени в Приложение II, Част </w:t>
            </w:r>
            <w:r w:rsidRPr="00EB027C">
              <w:rPr>
                <w:rFonts w:ascii="Verdana" w:hAnsi="Verdana" w:cs="Arial"/>
                <w:sz w:val="16"/>
                <w:szCs w:val="16"/>
                <w:lang w:val="en-US"/>
              </w:rPr>
              <w:t>IV</w:t>
            </w:r>
            <w:r w:rsidRPr="00EB027C">
              <w:rPr>
                <w:rFonts w:ascii="Verdana" w:hAnsi="Verdana" w:cs="Arial"/>
                <w:sz w:val="16"/>
                <w:szCs w:val="16"/>
              </w:rPr>
              <w:t>, т. 1.4., буква „б“ от Регламент (ЕС) 2018/848.</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Регламент (ЕС) 2018/848, Приложение II, Част </w:t>
            </w:r>
            <w:r w:rsidRPr="00EB027C">
              <w:rPr>
                <w:rFonts w:ascii="Verdana" w:hAnsi="Verdana" w:cs="Arial"/>
                <w:sz w:val="16"/>
                <w:szCs w:val="16"/>
                <w:lang w:val="en-US"/>
              </w:rPr>
              <w:t>IV</w:t>
            </w:r>
            <w:r w:rsidRPr="00EB027C">
              <w:rPr>
                <w:rFonts w:ascii="Verdana" w:hAnsi="Verdana" w:cs="Arial"/>
                <w:sz w:val="16"/>
                <w:szCs w:val="16"/>
              </w:rPr>
              <w:t>, т. 1.4., буква „б“</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биологичния статус на продукция и/или култура за не по-малко от 3 месеца от установяване на нарушението.</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Преди включване на следваща продукция от засегнатата/ите партида/и в сертификата се вземат проби от контролиращото лице и се предоставят за анализ в официална лаборатория по чл. 2, ал. 6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Ж.4</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че не са налице гаранции, че небиологичните продукти не се пускат на пазара с означение, указващо биологично производство.</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Регламент (ЕС) 2018/848, Приложение II, Част </w:t>
            </w:r>
            <w:r w:rsidRPr="00EB027C">
              <w:rPr>
                <w:rFonts w:ascii="Verdana" w:hAnsi="Verdana" w:cs="Arial"/>
                <w:sz w:val="16"/>
                <w:szCs w:val="16"/>
                <w:lang w:val="en-US"/>
              </w:rPr>
              <w:t>IV</w:t>
            </w:r>
            <w:r w:rsidRPr="00EB027C">
              <w:rPr>
                <w:rFonts w:ascii="Verdana" w:hAnsi="Verdana" w:cs="Arial"/>
                <w:sz w:val="16"/>
                <w:szCs w:val="16"/>
              </w:rPr>
              <w:t>, т. 1.4., буква „в“</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биологичния статус на продукция и/или култура за не по-малко от 3 месеца от установяване на нарушението.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lastRenderedPageBreak/>
              <w:t>Преди включване на следваща продукция от засегнатата/ите партида/и в сертификата се вземат проби от контролиращото лице и се предоставят за анализ в официална лаборатория по чл. 2, ал. 6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Ж.5</w:t>
            </w:r>
          </w:p>
        </w:tc>
        <w:tc>
          <w:tcPr>
            <w:tcW w:w="732"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Операторът не е информирал контролиращото лице, когато в съответната единица за обработка се обработват и/или съхраняват биологични продукти, продукти при преход към биологично производство и небиологични продукти, във всякаква комбинация, като не са предоставени достатъчно доказателства за  спазване на изискванията за разделяне по време или място на обработваните/ съхраняваните биологични продукти, продукти при преход към биологично производство и небиологични продукти.</w:t>
            </w:r>
          </w:p>
        </w:tc>
        <w:tc>
          <w:tcPr>
            <w:tcW w:w="643"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Регламент (ЕС) 2018/848, Приложение II, Част </w:t>
            </w:r>
            <w:r w:rsidRPr="00EB027C">
              <w:rPr>
                <w:rFonts w:ascii="Verdana" w:hAnsi="Verdana" w:cs="Arial"/>
                <w:sz w:val="16"/>
                <w:szCs w:val="16"/>
                <w:lang w:val="en-US"/>
              </w:rPr>
              <w:t>IV</w:t>
            </w:r>
            <w:r w:rsidRPr="00EB027C">
              <w:rPr>
                <w:rFonts w:ascii="Verdana" w:hAnsi="Verdana" w:cs="Arial"/>
                <w:sz w:val="16"/>
                <w:szCs w:val="16"/>
              </w:rPr>
              <w:t>, т. 1.5., буква „а“</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3. Критични нарушения</w:t>
            </w:r>
          </w:p>
        </w:tc>
        <w:tc>
          <w:tcPr>
            <w:tcW w:w="930"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Ограничаване на сертификата за съответната дейност за срок от не по-малко от 3 месеца от установяване на нарушението.</w:t>
            </w:r>
          </w:p>
        </w:tc>
        <w:tc>
          <w:tcPr>
            <w:tcW w:w="1044"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Налагане на забрана за пускане на пазара на продукти с позоваване на биологично производство за определен период в съответствие с чл. 42, параграф 2 от Регламент (ЕС) 2018/848. Ограничаване на биологичния статус на продукция и/или култура за не по-малко от 6 месеца от установяване на нарушението.</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Преди включване на следваща продукция от засегнатата/ите партида/ии в сертификата се вземат проби от контролиращото лице и се предоставят за анализ в официална лаборатория по чл. 2, ал. 6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Ж.6</w:t>
            </w:r>
          </w:p>
        </w:tc>
        <w:tc>
          <w:tcPr>
            <w:tcW w:w="732"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Операторът не е информирал контролиращото лице, когато в съответната единица за обработка се обработват или съхраняват биологични продукти, продукти при преход към биологично производство и небиологични продукти, </w:t>
            </w:r>
            <w:r w:rsidRPr="00EB027C">
              <w:rPr>
                <w:rFonts w:ascii="Verdana" w:hAnsi="Verdana" w:cs="Arial"/>
                <w:sz w:val="16"/>
                <w:szCs w:val="16"/>
              </w:rPr>
              <w:lastRenderedPageBreak/>
              <w:t>във всякаква комбинация, като са спазени изискванията за разделяне по време или място на обработваните съхраняваните биологични продукти, продукти при преход към биологично производство и небиологични продукти.</w:t>
            </w:r>
          </w:p>
        </w:tc>
        <w:tc>
          <w:tcPr>
            <w:tcW w:w="643"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 xml:space="preserve">Регламент (ЕС) 2018/848, Приложение II, Част </w:t>
            </w:r>
            <w:r w:rsidRPr="00EB027C">
              <w:rPr>
                <w:rFonts w:ascii="Verdana" w:hAnsi="Verdana" w:cs="Arial"/>
                <w:sz w:val="16"/>
                <w:szCs w:val="16"/>
                <w:lang w:val="en-US"/>
              </w:rPr>
              <w:t>IV</w:t>
            </w:r>
            <w:r w:rsidRPr="00EB027C">
              <w:rPr>
                <w:rFonts w:ascii="Verdana" w:hAnsi="Verdana" w:cs="Arial"/>
                <w:sz w:val="16"/>
                <w:szCs w:val="16"/>
              </w:rPr>
              <w:t>, т. 1.5., буква „а“</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Налагане на забрана за пускане на пазара на продукти с позоваване на биологично производство за </w:t>
            </w:r>
            <w:r w:rsidRPr="00EB027C">
              <w:rPr>
                <w:rFonts w:ascii="Verdana" w:hAnsi="Verdana" w:cs="Arial"/>
                <w:sz w:val="16"/>
                <w:szCs w:val="16"/>
              </w:rPr>
              <w:lastRenderedPageBreak/>
              <w:t>определен период в съответствие с чл. 42, параграф 2 от Регламент (ЕС) 2018/848.</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Ограничаване на сертификата за съответната дейност за срок от не по-малко от 3 месеца от установяване на нарушението.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lastRenderedPageBreak/>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Преди включване на следваща продукция от засегнатата/ите артида/и в сертификата се вземат проби от контролиращото лице и се предоставят за анализ в официална лаборатория по чл. 2, ал. 6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Ж.7</w:t>
            </w:r>
          </w:p>
        </w:tc>
        <w:tc>
          <w:tcPr>
            <w:tcW w:w="732" w:type="pct"/>
            <w:tcBorders>
              <w:top w:val="single" w:sz="4" w:space="0" w:color="auto"/>
              <w:left w:val="nil"/>
              <w:bottom w:val="single" w:sz="4" w:space="0" w:color="auto"/>
              <w:right w:val="nil"/>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Операторът не е спазил изискването за непрекъснатост и разделеност по време или място на операциите по преработка, когато в съответната единица за обработка се обработват или съхраняват биологични продукти, продукти при преход към биологично производство и небиологични продукти, във всякаква комбинация. </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Регламент (ЕС) 2018/848, Приложение II, Част </w:t>
            </w:r>
            <w:r w:rsidRPr="00EB027C">
              <w:rPr>
                <w:rFonts w:ascii="Verdana" w:hAnsi="Verdana" w:cs="Arial"/>
                <w:sz w:val="16"/>
                <w:szCs w:val="16"/>
                <w:lang w:val="en-US"/>
              </w:rPr>
              <w:t>IV</w:t>
            </w:r>
            <w:r w:rsidRPr="00EB027C">
              <w:rPr>
                <w:rFonts w:ascii="Verdana" w:hAnsi="Verdana" w:cs="Arial"/>
                <w:sz w:val="16"/>
                <w:szCs w:val="16"/>
              </w:rPr>
              <w:t>, т. 1.5., буква „б“</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3 Критични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Ограничаване на сертификата за засегнатия продукт за не по-малко от 3 месеца от установяване на нарушението.</w:t>
            </w:r>
          </w:p>
        </w:tc>
        <w:tc>
          <w:tcPr>
            <w:tcW w:w="104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Неприложимо</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4B6FB7"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Преди включване на следваща продукция от засегнатата/ите партида/и в сертификата се вземат проби от контролиращото лице и се предоставят за анализ в официална лаборатория по чл. 2, ал. 6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Ж.8</w:t>
            </w:r>
          </w:p>
        </w:tc>
        <w:tc>
          <w:tcPr>
            <w:tcW w:w="732"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 xml:space="preserve">Операторът не е спазил изискването за разделеност при съхранение на биологичните продукти, продуктите в преход към </w:t>
            </w:r>
            <w:r w:rsidRPr="00EB027C">
              <w:rPr>
                <w:rFonts w:ascii="Verdana" w:hAnsi="Verdana" w:cs="Arial"/>
                <w:sz w:val="16"/>
                <w:szCs w:val="16"/>
              </w:rPr>
              <w:lastRenderedPageBreak/>
              <w:t>биологично производство и небиологичните продукти когато в съответната единица за обработка се обработват или съхраняват биологични продукти, продукти при преход към биологично производство и небиологични продукти, във всякаква комбинация. (В случаите, когато засегнатите продукти не могат да бъдат идентифицирани, няма гаранции, че не е нарушено биологичното състояние на продуктите.)</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 xml:space="preserve">Регламент (ЕС) 2018/848, Приложение II, Част </w:t>
            </w:r>
            <w:r w:rsidRPr="00EB027C">
              <w:rPr>
                <w:rFonts w:ascii="Verdana" w:hAnsi="Verdana" w:cs="Arial"/>
                <w:sz w:val="16"/>
                <w:szCs w:val="16"/>
                <w:lang w:val="en-US"/>
              </w:rPr>
              <w:t>IV</w:t>
            </w:r>
            <w:r w:rsidRPr="00EB027C">
              <w:rPr>
                <w:rFonts w:ascii="Verdana" w:hAnsi="Verdana" w:cs="Arial"/>
                <w:sz w:val="16"/>
                <w:szCs w:val="16"/>
              </w:rPr>
              <w:t>, т. 1.5., буква „в“</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3 Критични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w:t>
            </w:r>
            <w:r w:rsidRPr="00EB027C">
              <w:rPr>
                <w:rFonts w:ascii="Verdana" w:hAnsi="Verdana" w:cs="Arial"/>
                <w:sz w:val="16"/>
                <w:szCs w:val="16"/>
              </w:rPr>
              <w:lastRenderedPageBreak/>
              <w:t>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сертификата за засегнатия продукт за не по-малко от 3 месеца от установяване на нарушението.</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Неприложимо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Одобряване на изпълнението на предпазните мерки и контрола, въведени от оператора с цел </w:t>
            </w:r>
            <w:r w:rsidRPr="00EB027C">
              <w:rPr>
                <w:rFonts w:ascii="Verdana" w:hAnsi="Verdana" w:cs="Arial"/>
                <w:sz w:val="16"/>
                <w:szCs w:val="16"/>
              </w:rPr>
              <w:lastRenderedPageBreak/>
              <w:t>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Преди включване на следваща продукция от засегнатата/ите партида/и в сертификата се вземат проби от контролиращото лице и се предоставят за анализ в официална лаборатория по чл. 2, ал. 6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Ж.9</w:t>
            </w:r>
          </w:p>
        </w:tc>
        <w:tc>
          <w:tcPr>
            <w:tcW w:w="732"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 xml:space="preserve">Операторът не е спазил изискването за разделеност при съхранение на биологичните продукти, продуктите в преход към биологично производство и небиологичните продукти когато в съответната единица за обработка се обработват или съхраняват биологични продукти, продукти при преход към биологично производство и небиологични продукти, във всякаква комбинация. (В случаите, когато засегнатите продукти/партиди могат </w:t>
            </w:r>
            <w:r w:rsidRPr="00EB027C">
              <w:rPr>
                <w:rFonts w:ascii="Verdana" w:hAnsi="Verdana" w:cs="Arial"/>
                <w:sz w:val="16"/>
                <w:szCs w:val="16"/>
              </w:rPr>
              <w:lastRenderedPageBreak/>
              <w:t>да бъдат идентифицирани.)</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 xml:space="preserve">Регламент (ЕС) 2018/848, Приложение II, Част </w:t>
            </w:r>
            <w:r w:rsidRPr="00EB027C">
              <w:rPr>
                <w:rFonts w:ascii="Verdana" w:hAnsi="Verdana" w:cs="Arial"/>
                <w:sz w:val="16"/>
                <w:szCs w:val="16"/>
                <w:lang w:val="en-US"/>
              </w:rPr>
              <w:t>IV</w:t>
            </w:r>
            <w:r w:rsidRPr="00EB027C">
              <w:rPr>
                <w:rFonts w:ascii="Verdana" w:hAnsi="Verdana" w:cs="Arial"/>
                <w:sz w:val="16"/>
                <w:szCs w:val="16"/>
              </w:rPr>
              <w:t>, т. 1.5., буква „в“</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1. Незначителни нарушения </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Налагане на забрана за пускане на пазара на продукти с позоваване на биологично производство за определен период в съответствие с чл. 42, параграф 2 от Регламент (ЕС) 2018/84.</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Отнемане на сертификата за не по-малко от 3 месеца от установяване на нарушението.</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съответната годин</w:t>
            </w:r>
            <w:r w:rsidR="004B6FB7">
              <w:rPr>
                <w:rFonts w:ascii="Verdana" w:hAnsi="Verdana" w:cs="Arial"/>
                <w:sz w:val="16"/>
                <w:szCs w:val="16"/>
              </w:rPr>
              <w:t>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Преди включване на следваща продукция от засегнатата/ите партида/и в сертификата се вземат проби от контролиращото лице и се предоставят за анализ в официална </w:t>
            </w:r>
            <w:r w:rsidRPr="00EB027C">
              <w:rPr>
                <w:rFonts w:ascii="Verdana" w:hAnsi="Verdana" w:cs="Arial"/>
                <w:sz w:val="16"/>
                <w:szCs w:val="16"/>
              </w:rPr>
              <w:lastRenderedPageBreak/>
              <w:t>лаборатория по чл. 2, ал. 6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Ж.10</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Операторът не поддържа регистър на всички операции по преработка и преработени количества.</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Регламент (ЕС) 2018/848, Приложение II, Част </w:t>
            </w:r>
            <w:r w:rsidRPr="00EB027C">
              <w:rPr>
                <w:rFonts w:ascii="Verdana" w:hAnsi="Verdana" w:cs="Arial"/>
                <w:sz w:val="16"/>
                <w:szCs w:val="16"/>
                <w:lang w:val="en-US"/>
              </w:rPr>
              <w:t>IV</w:t>
            </w:r>
            <w:r w:rsidRPr="00EB027C">
              <w:rPr>
                <w:rFonts w:ascii="Verdana" w:hAnsi="Verdana" w:cs="Arial"/>
                <w:sz w:val="16"/>
                <w:szCs w:val="16"/>
              </w:rPr>
              <w:t>, т. 1.5., буква „г“</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една или повече дейности) на сертификата, ограничаване на биологичния статус на продукция и/или култура за не по-малко от 3 месеца от установяване на нарушението.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Преди включване на следваща продукция от засегнатата/ите партида/и в сертификата се вземат проби от контролиращото лице и се предоставят за анализ в официална лаборатория по чл. 2, ал. 6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Ж.11</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Не са предприети необходимите мерки за избягване на смесването и обмена между биологичните продукти, продуктите при преход към биологично производство и небиологичните продукти</w:t>
            </w:r>
          </w:p>
        </w:tc>
        <w:tc>
          <w:tcPr>
            <w:tcW w:w="643" w:type="pct"/>
            <w:tcBorders>
              <w:top w:val="single" w:sz="4" w:space="0" w:color="auto"/>
              <w:left w:val="single" w:sz="4" w:space="0" w:color="auto"/>
              <w:bottom w:val="single" w:sz="4" w:space="0" w:color="auto"/>
              <w:right w:val="single" w:sz="4" w:space="0" w:color="auto"/>
            </w:tcBorders>
            <w:shd w:val="clear" w:color="auto" w:fill="auto"/>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 Част IV, т. 1.5., буква „д“</w:t>
            </w:r>
          </w:p>
        </w:tc>
        <w:tc>
          <w:tcPr>
            <w:tcW w:w="597" w:type="pct"/>
            <w:tcBorders>
              <w:top w:val="single" w:sz="4" w:space="0" w:color="auto"/>
              <w:left w:val="single" w:sz="4" w:space="0" w:color="auto"/>
              <w:bottom w:val="single" w:sz="4" w:space="0" w:color="auto"/>
              <w:right w:val="single" w:sz="4" w:space="0" w:color="auto"/>
            </w:tcBorders>
            <w:shd w:val="clear" w:color="000000" w:fill="FFFFFF"/>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3. Критични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сертификата на оператора ,който е извършил нарушениетоза дейността за не по-малко от 6 месеца от установяването му.</w:t>
            </w:r>
          </w:p>
        </w:tc>
        <w:tc>
          <w:tcPr>
            <w:tcW w:w="1044" w:type="pct"/>
            <w:tcBorders>
              <w:top w:val="single" w:sz="4" w:space="0" w:color="auto"/>
              <w:left w:val="single" w:sz="4" w:space="0" w:color="auto"/>
              <w:bottom w:val="single" w:sz="4" w:space="0" w:color="auto"/>
              <w:right w:val="single" w:sz="4" w:space="0" w:color="auto"/>
            </w:tcBorders>
            <w:shd w:val="clear" w:color="auto" w:fill="auto"/>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една или повече дейности) на сертификата, ограничаване на биологичния статус на продукция и/или култура за не по-малко от 3 месеца от установяване на нарушението.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tcPr>
          <w:p w:rsidR="00EB027C" w:rsidRPr="00EB027C" w:rsidRDefault="00EB027C" w:rsidP="00EB027C">
            <w:pPr>
              <w:widowControl/>
              <w:autoSpaceDE/>
              <w:autoSpaceDN/>
              <w:adjustRightInd/>
              <w:spacing w:after="60"/>
              <w:rPr>
                <w:rFonts w:ascii="Verdana" w:hAnsi="Verdana" w:cs="Arial"/>
                <w:sz w:val="16"/>
                <w:szCs w:val="16"/>
              </w:rPr>
            </w:pP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Ж.12</w:t>
            </w:r>
          </w:p>
        </w:tc>
        <w:tc>
          <w:tcPr>
            <w:tcW w:w="732"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Операторът не е предприел необходимите мерки по почистване на оборудването, с което в съответната единица се обработват или съхраняват биологични продукти, продукти при преход към биологично производство и небиологични продукти, във всякаква комбинация.</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Регламент (ЕС) 2018/848, Приложение II, Част </w:t>
            </w:r>
            <w:r w:rsidRPr="00EB027C">
              <w:rPr>
                <w:rFonts w:ascii="Verdana" w:hAnsi="Verdana" w:cs="Arial"/>
                <w:sz w:val="16"/>
                <w:szCs w:val="16"/>
                <w:lang w:val="en-US"/>
              </w:rPr>
              <w:t>IV</w:t>
            </w:r>
            <w:r w:rsidRPr="00EB027C">
              <w:rPr>
                <w:rFonts w:ascii="Verdana" w:hAnsi="Verdana" w:cs="Arial"/>
                <w:sz w:val="16"/>
                <w:szCs w:val="16"/>
              </w:rPr>
              <w:t>, т. 1.5., буква „е“</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една или повече дейности) на сертификата, ограничаване на биологичния статус на продукция и/или култура за не по-малко от 3 месеца от установяване на нарушението.</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Преди включване на следваща продукция от засегнатата/ите партида/и в сертификата се вземат проби от контролиращото лице и се предоставят за анализ в официална лаборатория по чл. 2, ал. 6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Ж.13</w:t>
            </w:r>
          </w:p>
        </w:tc>
        <w:tc>
          <w:tcPr>
            <w:tcW w:w="732"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използването от оператора на продукти, вещества и технологии, които възстановяват свойства, загубени при преработката и съхранението на биологични храни, които коригират последствията от небрежна преработка на биологични храни или които иначе могат да бъдат подвеждащи по отношение на истинския вид на продуктите, предназначени за пускане на пазара като биологични храни.</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Регламент (ЕС) 2018/848, Приложение II, Част </w:t>
            </w:r>
            <w:r w:rsidRPr="00EB027C">
              <w:rPr>
                <w:rFonts w:ascii="Verdana" w:hAnsi="Verdana" w:cs="Arial"/>
                <w:sz w:val="16"/>
                <w:szCs w:val="16"/>
                <w:lang w:val="en-US"/>
              </w:rPr>
              <w:t>IV</w:t>
            </w:r>
            <w:r w:rsidRPr="00EB027C">
              <w:rPr>
                <w:rFonts w:ascii="Verdana" w:hAnsi="Verdana" w:cs="Arial"/>
                <w:sz w:val="16"/>
                <w:szCs w:val="16"/>
              </w:rPr>
              <w:t>, т. 1.6.</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3 Критични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Представяне от оператора на необходимата информация и/или </w:t>
            </w:r>
            <w:r w:rsidRPr="00EB027C">
              <w:rPr>
                <w:rFonts w:ascii="Verdana" w:hAnsi="Verdana" w:cs="Arial"/>
                <w:b/>
                <w:sz w:val="16"/>
                <w:szCs w:val="16"/>
              </w:rPr>
              <w:t>план за действие в срока, определен от КЛ за отстраняване на несъответствието</w:t>
            </w:r>
            <w:r w:rsidRPr="00EB027C">
              <w:rPr>
                <w:rFonts w:ascii="Verdana" w:hAnsi="Verdana" w:cs="Arial"/>
                <w:sz w:val="16"/>
                <w:szCs w:val="16"/>
              </w:rPr>
              <w:t>.</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Ограничаване на сертификата на оператора ,който е извършил нарушениетоза дейността за не по-малко от 6 месеца от установяването му.</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Неприложимо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Преди включване на следваща продукция от засегнатата/ите партида/и в сертификата се вземат проби от контролиращото </w:t>
            </w:r>
            <w:r w:rsidRPr="00EB027C">
              <w:rPr>
                <w:rFonts w:ascii="Verdana" w:hAnsi="Verdana" w:cs="Arial"/>
                <w:sz w:val="16"/>
                <w:szCs w:val="16"/>
              </w:rPr>
              <w:lastRenderedPageBreak/>
              <w:t>лице и се предоставят за анализ в официална лаборатория по чл. 2, ал. 6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Ж.14</w:t>
            </w:r>
          </w:p>
        </w:tc>
        <w:tc>
          <w:tcPr>
            <w:tcW w:w="732"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че операторът не произвежда продукт/продукти главно от съставки със земеделски произход или продукти, предназначени за употреба като храна, изброени в Рриложение I от Регламент (ЕС) 2018/848.</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Регламент (ЕС) 2018/848, Приложение II, Част </w:t>
            </w:r>
            <w:r w:rsidRPr="00EB027C">
              <w:rPr>
                <w:rFonts w:ascii="Verdana" w:hAnsi="Verdana" w:cs="Arial"/>
                <w:sz w:val="16"/>
                <w:szCs w:val="16"/>
                <w:lang w:val="en-US"/>
              </w:rPr>
              <w:t>IV</w:t>
            </w:r>
            <w:r w:rsidRPr="00EB027C">
              <w:rPr>
                <w:rFonts w:ascii="Verdana" w:hAnsi="Verdana" w:cs="Arial"/>
                <w:sz w:val="16"/>
                <w:szCs w:val="16"/>
              </w:rPr>
              <w:t>, т. 2, подточка 2.1, буква „а“</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от КЛ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tc>
        <w:tc>
          <w:tcPr>
            <w:tcW w:w="1044"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една или повече дейности) на сертификата, ограничаване на биологичния статус на продукция и/или култура за не по-малко от 3 месеца от установяване на нарушението.</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Преди включване на следваща продукция от засегнатата/ите партида/и в сертификата се вземат проби от контролиращото лице и се предоставят за анализ в официална лаборатория по чл. 2, ал. 6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Ж.15</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е,че операторът е комбинирал съставка, произведена по биологичен начин, със същата съставка в небиологичен вид за производство на продукт.</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Регламент (ЕС) 2018/848, Приложение II, Част </w:t>
            </w:r>
            <w:r w:rsidRPr="00EB027C">
              <w:rPr>
                <w:rFonts w:ascii="Verdana" w:hAnsi="Verdana" w:cs="Arial"/>
                <w:sz w:val="16"/>
                <w:szCs w:val="16"/>
                <w:lang w:val="en-US"/>
              </w:rPr>
              <w:t>IV</w:t>
            </w:r>
            <w:r w:rsidRPr="00EB027C">
              <w:rPr>
                <w:rFonts w:ascii="Verdana" w:hAnsi="Verdana" w:cs="Arial"/>
                <w:sz w:val="16"/>
                <w:szCs w:val="16"/>
              </w:rPr>
              <w:t>, т. 2, подточка 2.1., буква „б“</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3 Критични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от КЛ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 xml:space="preserve">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w:t>
            </w:r>
            <w:r w:rsidRPr="00EB027C">
              <w:rPr>
                <w:rFonts w:ascii="Verdana" w:hAnsi="Verdana" w:cs="Arial"/>
                <w:sz w:val="16"/>
                <w:szCs w:val="16"/>
              </w:rPr>
              <w:lastRenderedPageBreak/>
              <w:t>съответствие с чл. 42, параграф 1 от Регламент (ЕС) 2018/848.</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Ограничаване на обхвата (на една или повече дейности) на сертификата, ограничаване на биологичния статус на продукция и/или култура за не по-малко от 3 месеца от установяване на нарушението.</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Ограничаване на обхвата (на една или повече дейности) на сертификата, ограничаване на биологичния статус на продукция и/или култура за не по-малко от 6 месеца от установяване на нарушението.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w:t>
            </w:r>
            <w:r w:rsidR="004B6FB7">
              <w:rPr>
                <w:rFonts w:ascii="Verdana" w:hAnsi="Verdana" w:cs="Arial"/>
                <w:sz w:val="16"/>
                <w:szCs w:val="16"/>
              </w:rPr>
              <w:t>л. 57 от Наредба № 5 от 2018 г.</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Преди включване на следваща продукция от засегнатата/ите партида/и в сертификата се вземат проби от контролиращото лице и се предоставят за анализ в официална лаборатория по чл. 2, ал. 6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Ж.16</w:t>
            </w:r>
          </w:p>
        </w:tc>
        <w:tc>
          <w:tcPr>
            <w:tcW w:w="732"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е,че операторът е комбинирал съставка, произведена при преход за биологично производство, със същата съставка в небиологичен вид за производство на продукт.</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Регламент (ЕС) 2018/848, Приложение II, Част </w:t>
            </w:r>
            <w:r w:rsidRPr="00EB027C">
              <w:rPr>
                <w:rFonts w:ascii="Verdana" w:hAnsi="Verdana" w:cs="Arial"/>
                <w:sz w:val="16"/>
                <w:szCs w:val="16"/>
                <w:lang w:val="en-US"/>
              </w:rPr>
              <w:t>IV</w:t>
            </w:r>
            <w:r w:rsidRPr="00EB027C">
              <w:rPr>
                <w:rFonts w:ascii="Verdana" w:hAnsi="Verdana" w:cs="Arial"/>
                <w:sz w:val="16"/>
                <w:szCs w:val="16"/>
              </w:rPr>
              <w:t>, т. 2., подточка 2.1., буква „в“</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от КЛ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w:t>
            </w:r>
            <w:r w:rsidRPr="003D743D">
              <w:rPr>
                <w:rFonts w:ascii="Verdana" w:hAnsi="Verdana" w:cs="Arial"/>
                <w:sz w:val="16"/>
                <w:szCs w:val="16"/>
                <w:lang w:val="ru-RU"/>
              </w:rPr>
              <w:t>,</w:t>
            </w:r>
            <w:r w:rsidRPr="00EB027C">
              <w:rPr>
                <w:rFonts w:ascii="Verdana" w:hAnsi="Verdana" w:cs="Arial"/>
                <w:sz w:val="16"/>
                <w:szCs w:val="16"/>
              </w:rPr>
              <w:t xml:space="preserve"> с цел гарантиране на съответствие.</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tc>
        <w:tc>
          <w:tcPr>
            <w:tcW w:w="1044"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една или повече дейности) на сертификата, ограничаване на биологичния статус на продукция и/или култура за не по-малко от 3 месеца от установяване на нарушението.</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Преди включване на следваща продукция от засегнатата/ите партида/и в сертификата се вземат проби от контролиращото лице и се предоставят за анализ в официална лаборатория по чл. 2, ал. 6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Ж.17</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Установено е използването на хранителни добавки, спомагателни вещества и съставки от небиологичното земеделие, които не са част разрешените в чл. 24 или чл. 25 от Регламент (ЕС) 2018/848 и Приложение II, Част </w:t>
            </w:r>
            <w:r w:rsidRPr="00EB027C">
              <w:rPr>
                <w:rFonts w:ascii="Verdana" w:hAnsi="Verdana" w:cs="Arial"/>
                <w:sz w:val="16"/>
                <w:szCs w:val="16"/>
              </w:rPr>
              <w:lastRenderedPageBreak/>
              <w:t>IV, т. 2., подточки 2.1 и 2.2., подточки 2.2.1. и 2.2.2</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 xml:space="preserve">Регламент (ЕС) 2018/848, Приложение II, Част </w:t>
            </w:r>
            <w:r w:rsidRPr="00EB027C">
              <w:rPr>
                <w:rFonts w:ascii="Verdana" w:hAnsi="Verdana" w:cs="Arial"/>
                <w:sz w:val="16"/>
                <w:szCs w:val="16"/>
                <w:lang w:val="en-US"/>
              </w:rPr>
              <w:t>IV</w:t>
            </w:r>
            <w:r w:rsidRPr="00EB027C">
              <w:rPr>
                <w:rFonts w:ascii="Verdana" w:hAnsi="Verdana" w:cs="Arial"/>
                <w:sz w:val="16"/>
                <w:szCs w:val="16"/>
              </w:rPr>
              <w:t>, т. 2., подточки 2.1 и 2.2., подточки 2.2.1. и 2.2.2.</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3 Критични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от КЛ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lastRenderedPageBreak/>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 (-и)] в съответствие с чл. 42, параграф 1 от Регламент (ЕС) 2018/848.</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Ограничаване на обхвата (на една или повече дейности) на сертификата, ограничаване на биологичния статус на продукция и/или култура за не по-малко от 3 месеца от установяване на нарушението.</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Ограничаване на обхвата (на една или повече дейности) на сертификата, ограничаване на биологичния статус на продукция и/или култура за не по-малко от 6 месеца от установяване на нарушението.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Контролиращото лице прилага изискванията на чл. 57 от Наредба № 5 от 2018 г.</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Преди включване на следваща продукция от засегнатата/ите партида/и в сертификата, се вземат проби от контролиращото лице и се предоставят за анализ в официална лаборатория по чл. 2, ал. 5,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Ж.18</w:t>
            </w:r>
          </w:p>
        </w:tc>
        <w:tc>
          <w:tcPr>
            <w:tcW w:w="732"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използване на продукти за почистване и дезинфекция, извън разрешените за употреба в преработката съгласно чл. 24 от Регламент (ЕС) 2018/848.</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Регламент (ЕС) 2018/848, Приложение II, Част </w:t>
            </w:r>
            <w:r w:rsidRPr="00EB027C">
              <w:rPr>
                <w:rFonts w:ascii="Verdana" w:hAnsi="Verdana" w:cs="Arial"/>
                <w:sz w:val="16"/>
                <w:szCs w:val="16"/>
                <w:lang w:val="en-US"/>
              </w:rPr>
              <w:t>IV</w:t>
            </w:r>
            <w:r w:rsidRPr="00EB027C">
              <w:rPr>
                <w:rFonts w:ascii="Verdana" w:hAnsi="Verdana" w:cs="Arial"/>
                <w:sz w:val="16"/>
                <w:szCs w:val="16"/>
              </w:rPr>
              <w:t>, т. 2., подточка 2.1., подточка 2.2.3.</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от КЛ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една или повече дейности) на сертификата, ограничаване на биологичния статус на продукция и/или култура за не по-малко от 3 месеца от установяване на нарушението.</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Преди включване на следваща продукция от засегнатата/ите партида/и в сертификата, се вземат проби от контролиращото лице и се предоставят за анализ в официална лаборатория по чл. 2, ал. 6 от Наредба № 5 от 2018 г.</w:t>
            </w:r>
          </w:p>
        </w:tc>
      </w:tr>
      <w:tr w:rsidR="00E756C5" w:rsidRPr="00EB027C" w:rsidTr="0008305C">
        <w:trPr>
          <w:jc w:val="center"/>
        </w:trPr>
        <w:tc>
          <w:tcPr>
            <w:tcW w:w="230" w:type="pct"/>
            <w:tcBorders>
              <w:top w:val="nil"/>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Ж.19</w:t>
            </w:r>
          </w:p>
        </w:tc>
        <w:tc>
          <w:tcPr>
            <w:tcW w:w="732" w:type="pct"/>
            <w:tcBorders>
              <w:top w:val="nil"/>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Установено е неспазване на принципите на добрата производствена практика при прилагане на преработвателните </w:t>
            </w:r>
            <w:r w:rsidRPr="00EB027C">
              <w:rPr>
                <w:rFonts w:ascii="Verdana" w:hAnsi="Verdana" w:cs="Arial"/>
                <w:sz w:val="16"/>
                <w:szCs w:val="16"/>
              </w:rPr>
              <w:lastRenderedPageBreak/>
              <w:t>практики по отношение на  фуражните добавки, спомагателните вещества и другите вещества и съставки.</w:t>
            </w:r>
          </w:p>
        </w:tc>
        <w:tc>
          <w:tcPr>
            <w:tcW w:w="643" w:type="pct"/>
            <w:tcBorders>
              <w:top w:val="nil"/>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Регламент (ЕС) 2018/848, Приложение II, Част V, т. 2., т. 1., подточка 1.1.</w:t>
            </w:r>
          </w:p>
        </w:tc>
        <w:tc>
          <w:tcPr>
            <w:tcW w:w="597" w:type="pct"/>
            <w:tcBorders>
              <w:top w:val="nil"/>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nil"/>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Представяне от оператора на необходимата информация и/или план за действие в срока, определен от КЛ за </w:t>
            </w:r>
            <w:r w:rsidRPr="00EB027C">
              <w:rPr>
                <w:rFonts w:ascii="Verdana" w:hAnsi="Verdana" w:cs="Arial"/>
                <w:sz w:val="16"/>
                <w:szCs w:val="16"/>
              </w:rPr>
              <w:lastRenderedPageBreak/>
              <w:t>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nil"/>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 xml:space="preserve">Ограничаване на обхвата (на една или повече дейности) на сертификата, ограничаване на биологичния статус на продукция и/или култура за не по-малко от 3 </w:t>
            </w:r>
            <w:r w:rsidRPr="00EB027C">
              <w:rPr>
                <w:rFonts w:ascii="Verdana" w:hAnsi="Verdana" w:cs="Arial"/>
                <w:sz w:val="16"/>
                <w:szCs w:val="16"/>
              </w:rPr>
              <w:lastRenderedPageBreak/>
              <w:t>месеца от установяване на нарушението.</w:t>
            </w:r>
          </w:p>
        </w:tc>
        <w:tc>
          <w:tcPr>
            <w:tcW w:w="824" w:type="pct"/>
            <w:tcBorders>
              <w:top w:val="nil"/>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 xml:space="preserve">Одобряване на изпълнението на предпазните мерки и контрола, въведени от оператора с цел </w:t>
            </w:r>
            <w:r w:rsidRPr="00EB027C">
              <w:rPr>
                <w:rFonts w:ascii="Verdana" w:hAnsi="Verdana" w:cs="Arial"/>
                <w:sz w:val="16"/>
                <w:szCs w:val="16"/>
              </w:rPr>
              <w:lastRenderedPageBreak/>
              <w:t>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съ</w:t>
            </w:r>
            <w:r w:rsidR="004B6FB7">
              <w:rPr>
                <w:rFonts w:ascii="Verdana" w:hAnsi="Verdana" w:cs="Arial"/>
                <w:sz w:val="16"/>
                <w:szCs w:val="16"/>
              </w:rPr>
              <w:t>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Преди включване на следваща продукция от засегнатата/ите партида/и в сертификата, се вземат проби от контролиращото лице и се предоставят за анализ в официална лаборатория по чл. 2, ал. 5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Ж.20</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Установена е обработка или съхраняване на биологични продукти, продукти, произведени при преход към биологично производство и небиологични продукти, във всякаква комбинация, представляващи преработени фуражи без да е информирано контролиращото лице.</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Регламент (ЕС) 2018/848, Приложение II, Част </w:t>
            </w:r>
            <w:r w:rsidRPr="00EB027C">
              <w:rPr>
                <w:rFonts w:ascii="Verdana" w:hAnsi="Verdana" w:cs="Arial"/>
                <w:sz w:val="16"/>
                <w:szCs w:val="16"/>
                <w:lang w:val="en-US"/>
              </w:rPr>
              <w:t>V</w:t>
            </w:r>
            <w:r w:rsidRPr="00EB027C">
              <w:rPr>
                <w:rFonts w:ascii="Verdana" w:hAnsi="Verdana" w:cs="Arial"/>
                <w:sz w:val="16"/>
                <w:szCs w:val="16"/>
              </w:rPr>
              <w:t>,</w:t>
            </w:r>
            <w:r w:rsidRPr="00EB027C">
              <w:rPr>
                <w:rFonts w:ascii="Verdana" w:hAnsi="Verdana" w:cs="Arial"/>
                <w:sz w:val="16"/>
                <w:szCs w:val="16"/>
                <w:lang w:val="ru-RU"/>
              </w:rPr>
              <w:t xml:space="preserve"> </w:t>
            </w:r>
            <w:r w:rsidRPr="00EB027C">
              <w:rPr>
                <w:rFonts w:ascii="Verdana" w:hAnsi="Verdana" w:cs="Arial"/>
                <w:sz w:val="16"/>
                <w:szCs w:val="16"/>
              </w:rPr>
              <w:t>т.</w:t>
            </w:r>
            <w:r w:rsidRPr="00EB027C">
              <w:rPr>
                <w:rFonts w:ascii="Verdana" w:hAnsi="Verdana" w:cs="Arial"/>
                <w:sz w:val="16"/>
                <w:szCs w:val="16"/>
                <w:lang w:val="ru-RU"/>
              </w:rPr>
              <w:t xml:space="preserve"> </w:t>
            </w:r>
            <w:r w:rsidRPr="00EB027C">
              <w:rPr>
                <w:rFonts w:ascii="Verdana" w:hAnsi="Verdana" w:cs="Arial"/>
                <w:sz w:val="16"/>
                <w:szCs w:val="16"/>
              </w:rPr>
              <w:t>2, т.</w:t>
            </w:r>
            <w:r w:rsidRPr="00EB027C">
              <w:rPr>
                <w:rFonts w:ascii="Verdana" w:hAnsi="Verdana" w:cs="Arial"/>
                <w:sz w:val="16"/>
                <w:szCs w:val="16"/>
                <w:lang w:val="ru-RU"/>
              </w:rPr>
              <w:t xml:space="preserve"> </w:t>
            </w:r>
            <w:r w:rsidRPr="00EB027C">
              <w:rPr>
                <w:rFonts w:ascii="Verdana" w:hAnsi="Verdana" w:cs="Arial"/>
                <w:sz w:val="16"/>
                <w:szCs w:val="16"/>
              </w:rPr>
              <w:t>1, подточка 1.5.</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от КЛ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една или повече дейности) на сертификата, ограничаване на биологичния статус на продукция и/или култура за не по-малко от 3 месеца от установяване на нарушението.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Преди включване на следваща продукция от засегнатата/ите партида/и в сертификата, се вземат проби от контролиращото лице и се предоставят за анализ в официална лаборатория по чл. 2, ал. 5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Ж.21</w:t>
            </w:r>
          </w:p>
        </w:tc>
        <w:tc>
          <w:tcPr>
            <w:tcW w:w="732" w:type="pct"/>
            <w:tcBorders>
              <w:top w:val="single" w:sz="4" w:space="0" w:color="auto"/>
              <w:left w:val="nil"/>
              <w:bottom w:val="single" w:sz="4" w:space="0" w:color="auto"/>
              <w:right w:val="nil"/>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изплзване на биологични фуражни суровини или фуражни суровини, произведени при преход към биологично производство, които са вложени в състава на биологичните фуражни продукти едновременно със същите фуражни суровини, произведени по небиологичен начин.</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Регламент (ЕС) 2018/848, Приложение II, Част </w:t>
            </w:r>
            <w:r w:rsidRPr="00EB027C">
              <w:rPr>
                <w:rFonts w:ascii="Verdana" w:hAnsi="Verdana" w:cs="Arial"/>
                <w:sz w:val="16"/>
                <w:szCs w:val="16"/>
                <w:lang w:val="en-US"/>
              </w:rPr>
              <w:t>V</w:t>
            </w:r>
            <w:r w:rsidRPr="00EB027C">
              <w:rPr>
                <w:rFonts w:ascii="Verdana" w:hAnsi="Verdana" w:cs="Arial"/>
                <w:sz w:val="16"/>
                <w:szCs w:val="16"/>
              </w:rPr>
              <w:t>, т. 2., подточка 2.1.</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от КЛ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tc>
        <w:tc>
          <w:tcPr>
            <w:tcW w:w="1044"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една или повече дейности) на сертификата, ограничаване на биологичния статус на продукция и/или култура за не по-малко от 3 месеца от установяване на нарушението.</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w:t>
            </w:r>
            <w:r w:rsidR="004B6FB7">
              <w:rPr>
                <w:rFonts w:ascii="Verdana" w:hAnsi="Verdana" w:cs="Arial"/>
                <w:sz w:val="16"/>
                <w:szCs w:val="16"/>
              </w:rPr>
              <w:t>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Преди включване на следваща продукция от засегнатата/ите партида/и в сертификата, се вземат проби от контролиращото лице и се предоставят за анализ в официална лаборатория по чл. 2, ал. 6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Ж.22</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преработка на фуражни суровини, използвани или преработвани в биологично производство с помощта на синтезирани по химически път разтворители.</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 Част V, т. 2., подточка 2.2.</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3 Критични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Отнемане на сертификата за засегнатата дейност и/или категория продукти за не по-малко от 6 месеца от установяване на нарушението.</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Неприложимо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 xml:space="preserve">Преди включване на следваща продукция от засегнатата/ите партида/и в сертификата се вземат проби от контролиращото лице и се предоставят за </w:t>
            </w:r>
            <w:r w:rsidRPr="00EB027C">
              <w:rPr>
                <w:rFonts w:ascii="Verdana" w:hAnsi="Verdana" w:cs="Arial"/>
                <w:sz w:val="16"/>
                <w:szCs w:val="16"/>
              </w:rPr>
              <w:lastRenderedPageBreak/>
              <w:t>анализ в официална лаборатория по чл. 2, ал. 6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Ж.23</w:t>
            </w:r>
          </w:p>
        </w:tc>
        <w:tc>
          <w:tcPr>
            <w:tcW w:w="732"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използване на небиологични фуражни суровини, извън разрешените за употреба в преработката съгласно чл. 24 от Регламент (ЕС) 2018/848.</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 Част V, т. 2., подточка 2.3.</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3 Критични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Отнемане на сертификата за засегнатата дейност и/или категория продукти за не по-малко от 6 месеца от установяване на нарушението.</w:t>
            </w:r>
          </w:p>
        </w:tc>
        <w:tc>
          <w:tcPr>
            <w:tcW w:w="104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Неприложимо</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Преди включване на следваща продукция от засегнатата/ите партида/и в сертификата се вземат проби от контролиращото лице и се предоставят за анализ в официална лаборатория по чл. 2, ал. 6 от Наредба № 5 от 2018 г.</w:t>
            </w:r>
          </w:p>
        </w:tc>
      </w:tr>
      <w:tr w:rsidR="00EB027C" w:rsidRPr="00EB027C" w:rsidTr="00E756C5">
        <w:trPr>
          <w:trHeight w:val="397"/>
          <w:jc w:val="center"/>
        </w:trPr>
        <w:tc>
          <w:tcPr>
            <w:tcW w:w="5000" w:type="pct"/>
            <w:gridSpan w:val="7"/>
            <w:tcBorders>
              <w:top w:val="single" w:sz="4" w:space="0" w:color="auto"/>
              <w:left w:val="single" w:sz="4" w:space="0" w:color="auto"/>
              <w:bottom w:val="single" w:sz="4" w:space="0" w:color="auto"/>
              <w:right w:val="single" w:sz="4" w:space="0" w:color="000000"/>
            </w:tcBorders>
            <w:shd w:val="clear" w:color="000000" w:fill="B4C6E7"/>
            <w:vAlign w:val="center"/>
            <w:hideMark/>
          </w:tcPr>
          <w:p w:rsidR="00EB027C" w:rsidRPr="00EB027C" w:rsidRDefault="00EB027C" w:rsidP="00EB027C">
            <w:pPr>
              <w:widowControl/>
              <w:autoSpaceDE/>
              <w:autoSpaceDN/>
              <w:adjustRightInd/>
              <w:jc w:val="center"/>
              <w:rPr>
                <w:rFonts w:ascii="Verdana" w:hAnsi="Verdana" w:cs="Arial"/>
                <w:b/>
                <w:bCs/>
                <w:sz w:val="16"/>
                <w:szCs w:val="16"/>
              </w:rPr>
            </w:pPr>
            <w:r w:rsidRPr="00EB027C">
              <w:rPr>
                <w:rFonts w:ascii="Verdana" w:hAnsi="Verdana" w:cs="Arial"/>
                <w:b/>
                <w:bCs/>
                <w:sz w:val="16"/>
                <w:szCs w:val="16"/>
              </w:rPr>
              <w:t>З. НЕСЪОТВЕТСТВИЯ, СВЪРЗАНИ С ДЕЙНОСТ „ВИНО“ И „ДРОЖДИ, ИЗПОЛЗВАНИ ЗА ХРАНА ИЛИ ФУРАЖ“</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З.1</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използване на енологични практики, процеси и обработки, които са забранени в Приложение II, Част VI, т. 3., подточка 3.2 от Регламент (ЕС) 2018/848.</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 Част VI, т. 3., подточка 3.2.</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3 Критични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Налагане на забрана за пускане на пазара на продукти с позоваване на биологично производство за определен период в съответствие с чл. 42, параграф 2 от Регламент (ЕС) 2018/848.</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lastRenderedPageBreak/>
              <w:t>Отнемане на сертификата за засегнатата дейност и/или категория прподукти за не по-малко от 6 месеца от установяване на нарушението.</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Неприложимо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Преди включване на следваща продукция от засегнатата/ите партида/и в сертификата, се вземат проби от контролиращото лице и се предоставят за анализ в официална лаборатория по чл. 2, ал. 6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З.2</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използване на термични обработки в съответствие с т. 2 от приложение I А към Регламент (ЕО) № 606/2009, при превишаване на температура от 75 градуса.</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 Част VI, т. 3., подточка 3.3., буква „а“</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3 Критични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Налагане на забрана за пускане на пазара на продукти с позоваване на биологично производство за определен период в съответствие с чл. 42, параграф 2 от Регламент (ЕС) 2018/848.</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Отнемане на сертификата за засегнатата дейност и/или категория продукти за не по-малко от 6 месеца от установяване на нарушението.</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Неприложимо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Преди включване на следваща продукция от засегнатата/ите партида/и в сертификата, се вземат проби от контролиращото лице и се предоставят за анализ в официална лаборатория по чл. 2, ал. 6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З.3</w:t>
            </w:r>
          </w:p>
        </w:tc>
        <w:tc>
          <w:tcPr>
            <w:tcW w:w="732"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центрофугиране и филтриране със или без спомагателен инертен материал в съответствие с т. 3 от приложение I А към Регламент (ЕО) № 606/2009, при използване на пори с големина на порите не е по-малка от 0,2 микрометра.</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 Част VI, т. 3., подточка 3.3., буква „б“</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3 Критични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Налагане на забрана за пускане на пазара на продукти с позоваване на биологично производство за определен </w:t>
            </w:r>
            <w:r w:rsidRPr="00EB027C">
              <w:rPr>
                <w:rFonts w:ascii="Verdana" w:hAnsi="Verdana" w:cs="Arial"/>
                <w:sz w:val="16"/>
                <w:szCs w:val="16"/>
              </w:rPr>
              <w:lastRenderedPageBreak/>
              <w:t>период в съответствие с чл. 42, параграф 2 от Регламент (ЕС) 2018/848.</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Отнемане на сертификата за засегнатата дейност и/или категория продукти за не по-малко от 3 месеца от установяване на нарушението.</w:t>
            </w:r>
          </w:p>
        </w:tc>
        <w:tc>
          <w:tcPr>
            <w:tcW w:w="104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Неприложимо</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Контролиращото лице прилага изискванията на чл. 57 от Наредба № 5 от 2018 г.</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Преди включване на следваща продукция от засегнатата/ите партида/и в сертификата, се вземат проби от контролиращото лице и се предоставят за анализ в официална лаборатория по чл. 2, ал. 6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З.4</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Установено е присъствие на небиологични дрожди едновременно с биологични дрожди в биологични храни или фуражи. </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 Част VII, т. 1., подточка 1.2., буква „а“</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3 Критични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Налагане на забрана за пускане на пазара на продукти с позоваване на биологично производство за определен период в съответствие с чл. 42, параграф 2 от Регламент (ЕС) 2018/848.</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Отнемане на сертификата за засегнатата дейност и/или категория продукти за не по-малко от 3 месеца от установяване на нарушението.</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Неприложимо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Преди включване на следваща продукция от засегнатата/ите партида/и в сертификата, се вземат проби от контролиращото лице и се предоставят за анализ в официална лаборатория по чл. 2, ал. 6 от Наредба № 5 от 2018 г.</w:t>
            </w:r>
          </w:p>
        </w:tc>
      </w:tr>
      <w:tr w:rsidR="00EB027C" w:rsidRPr="00EB027C" w:rsidTr="00E756C5">
        <w:trPr>
          <w:trHeight w:val="397"/>
          <w:jc w:val="center"/>
        </w:trPr>
        <w:tc>
          <w:tcPr>
            <w:tcW w:w="5000" w:type="pct"/>
            <w:gridSpan w:val="7"/>
            <w:tcBorders>
              <w:top w:val="single" w:sz="4" w:space="0" w:color="auto"/>
              <w:left w:val="single" w:sz="4" w:space="0" w:color="auto"/>
              <w:bottom w:val="single" w:sz="4" w:space="0" w:color="auto"/>
              <w:right w:val="single" w:sz="4" w:space="0" w:color="000000"/>
            </w:tcBorders>
            <w:shd w:val="clear" w:color="000000" w:fill="B4C6E7"/>
            <w:vAlign w:val="center"/>
            <w:hideMark/>
          </w:tcPr>
          <w:p w:rsidR="00EB027C" w:rsidRPr="00EB027C" w:rsidRDefault="00EB027C" w:rsidP="00EB027C">
            <w:pPr>
              <w:widowControl/>
              <w:autoSpaceDE/>
              <w:autoSpaceDN/>
              <w:adjustRightInd/>
              <w:jc w:val="center"/>
              <w:rPr>
                <w:rFonts w:ascii="Verdana" w:hAnsi="Verdana" w:cs="Arial"/>
                <w:b/>
                <w:bCs/>
                <w:sz w:val="16"/>
                <w:szCs w:val="16"/>
              </w:rPr>
            </w:pPr>
            <w:r w:rsidRPr="00EB027C">
              <w:rPr>
                <w:rFonts w:ascii="Verdana" w:hAnsi="Verdana" w:cs="Arial"/>
                <w:b/>
                <w:bCs/>
                <w:sz w:val="16"/>
                <w:szCs w:val="16"/>
              </w:rPr>
              <w:t>И. НЕСЪОТВЕТСТВИЯ, СВЪРЗАНИ СЪС СЪБИРАНЕ, ОПАКОВАНЕ, ТРАНСПОРТИРАНЕ И СЪХРАНЕНИЕ НА ПРОДУКТИТЕ</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И.1</w:t>
            </w:r>
          </w:p>
        </w:tc>
        <w:tc>
          <w:tcPr>
            <w:tcW w:w="732"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Установено е, че не са взети подходящи мерки за предотвратяване на всякакво смесване или замяна между биологични продукти, </w:t>
            </w:r>
            <w:r w:rsidRPr="00EB027C">
              <w:rPr>
                <w:rFonts w:ascii="Verdana" w:hAnsi="Verdana" w:cs="Arial"/>
                <w:sz w:val="16"/>
                <w:szCs w:val="16"/>
              </w:rPr>
              <w:lastRenderedPageBreak/>
              <w:t>продукти, произведени при преход към биологично производство, и небиологични продукти.</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Регламент (ЕС) 2018/848, Приложение III, т. 7.1.</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 xml:space="preserve">Ограничаване на обхвата (на една или повече дейности) на сертификата, ограничаване на биологичния статус на продукция и/или култура за не по-малко от 3 </w:t>
            </w:r>
            <w:r w:rsidRPr="00EB027C">
              <w:rPr>
                <w:rFonts w:ascii="Verdana" w:hAnsi="Verdana" w:cs="Arial"/>
                <w:sz w:val="16"/>
                <w:szCs w:val="16"/>
              </w:rPr>
              <w:lastRenderedPageBreak/>
              <w:t>месеца от установяване на нарушението.</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 xml:space="preserve">Одобряване на изпълнението на предпазните мерки и контрола, въведени от оператора с цел </w:t>
            </w:r>
            <w:r w:rsidRPr="00EB027C">
              <w:rPr>
                <w:rFonts w:ascii="Verdana" w:hAnsi="Verdana" w:cs="Arial"/>
                <w:sz w:val="16"/>
                <w:szCs w:val="16"/>
              </w:rPr>
              <w:lastRenderedPageBreak/>
              <w:t>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съответната го</w:t>
            </w:r>
            <w:r w:rsidR="004B6FB7">
              <w:rPr>
                <w:rFonts w:ascii="Verdana" w:hAnsi="Verdana" w:cs="Arial"/>
                <w:sz w:val="16"/>
                <w:szCs w:val="16"/>
              </w:rPr>
              <w:t>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Преди включване на следваща продукция от засегнатата/ите партида/и в сертификата, се вземат проби от контролиращото лице и се предоставят за анализ в официална лаборатория по чл. 2, ал. 6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И.2</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Установена е липса на идентифициране на биологичните продукти и продуктите, произведени при преход към биологично производство.</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III, т. 7.2.</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една или повече дейности) на сертификата, ограничаване на биологичния статус на продукция и/или култура за не по-малко от 3 месеца от установяване на нарушението.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Преди включване на следваща продукция от засегнатата/ите партида/и в сертификата, се вземат проби от контролиращото лице и се предоставят за анализ в официална лаборатория по чл. 2, ал. 6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И.3</w:t>
            </w:r>
          </w:p>
        </w:tc>
        <w:tc>
          <w:tcPr>
            <w:tcW w:w="732"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Липса на информация, отнасяща се за дните, часовете, маршрута на събиране и датата и часа на получаване на продуктите при оператор, който извършва едновременно събиране на биологични продукти и/или продукти, произведени при преход към биологично производство, и/или небиологични продукти.</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III, т. 1.</w:t>
            </w:r>
          </w:p>
        </w:tc>
        <w:tc>
          <w:tcPr>
            <w:tcW w:w="597"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една или повече дейности) на сертификата, ограничаване на биологичния статус на продукция и/или култура за не по-малко от 3 месеца от установяване на нарушението.</w:t>
            </w:r>
          </w:p>
        </w:tc>
        <w:tc>
          <w:tcPr>
            <w:tcW w:w="824"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Преди включване на следваща продукция от засегнатата/ите партида/и в сертификата, се вземат проби от контролиращото лице и се предоставят за анализ в официална лаборатория по чл. 2, ал. 6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И.4</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транспортиране в неподходящи опаковки, контейнери или превозни средства.</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III, т.2.1. и т. 2.2.</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една или повече дейности) на сертификата, ограничаване на биологичния статус на продукция и/или култура за не по-малко от 3 месеца от установяване на нарушението.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4B6FB7">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И.5</w:t>
            </w:r>
          </w:p>
        </w:tc>
        <w:tc>
          <w:tcPr>
            <w:tcW w:w="732"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Установено е липса на едно или повече от означенията, посочени в Приложение III,  т. 2.1., букви от „а“ до „г“ от </w:t>
            </w:r>
            <w:r w:rsidRPr="00EB027C">
              <w:rPr>
                <w:rFonts w:ascii="Verdana" w:hAnsi="Verdana" w:cs="Arial"/>
                <w:sz w:val="16"/>
                <w:szCs w:val="16"/>
              </w:rPr>
              <w:lastRenderedPageBreak/>
              <w:t>Регламент (ЕС) 2018/848.</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Регламент (ЕС) 2018/848, Приложение III, т. 2.1., букви от „а“ до „г“</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Представяне от оператора на необходимата информация и/или план за действие в срока, определен за отстраняване на несъответствието. Засегната </w:t>
            </w:r>
            <w:r w:rsidRPr="00EB027C">
              <w:rPr>
                <w:rFonts w:ascii="Verdana" w:hAnsi="Verdana" w:cs="Arial"/>
                <w:sz w:val="16"/>
                <w:szCs w:val="16"/>
              </w:rPr>
              <w:lastRenderedPageBreak/>
              <w:t>партида се възбранява до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 xml:space="preserve">Ограничаване на обхвата (на една или повече дейности) на сертификата, ограничаване на биологичния статус на продукция и/или култура за не по-малко от 3 </w:t>
            </w:r>
            <w:r w:rsidRPr="00EB027C">
              <w:rPr>
                <w:rFonts w:ascii="Verdana" w:hAnsi="Verdana" w:cs="Arial"/>
                <w:sz w:val="16"/>
                <w:szCs w:val="16"/>
              </w:rPr>
              <w:lastRenderedPageBreak/>
              <w:t>месеца от установяване на нарушението.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Налагане на забрана за пускане на пазара на продукти с позоваване на биологично производство за определен период в съответствие с чл. 42, параграф 2 от Регламент (ЕС) 2018/848.</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 xml:space="preserve">Одобряване на изпълнението на предпазните мерки и контрола, въведени от оператора с цел </w:t>
            </w:r>
            <w:r w:rsidRPr="00EB027C">
              <w:rPr>
                <w:rFonts w:ascii="Verdana" w:hAnsi="Verdana" w:cs="Arial"/>
                <w:sz w:val="16"/>
                <w:szCs w:val="16"/>
              </w:rPr>
              <w:lastRenderedPageBreak/>
              <w:t>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И.6</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че при транспортиране биологично произведеният фураж, фуражът, произведен при преход към биологично производство, и небиологичният фураж не са физически отделени един от друг.</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III, т. 3., буква „а“</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3 Критични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Налагане на забрана за пускане на пазара на продукти с позоваване на биологично производство за определен период в съответствие с чл. 42, параграф 2 от Регламент (ЕС) 2018/848.</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Отнемане на сертификата за не по-малко от 6 месеца от установяване на нарушението.</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Неприложимо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И.7</w:t>
            </w:r>
          </w:p>
        </w:tc>
        <w:tc>
          <w:tcPr>
            <w:tcW w:w="732"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Установено е, че при транспортиране на биологични фуражи и/или фуражи, произведени при преход, не са предприети подходящи мерки по почистване на превозните средства или контейнерите. </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III, т. 3., буква „б“</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една или повече дейности) на сертификата, ограничаване на биологичния статус на продукция и/или култура за не по-малко от 3 месеца от установяване на нарушението.</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lastRenderedPageBreak/>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Преди включване на следваща продукция от засегнатата/ите партида/и в сертификата, се вземат проби от контролиращото лице и се предоставят за анализ в официална лаборатория по чл. 2, ал. 6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И.8</w:t>
            </w:r>
          </w:p>
        </w:tc>
        <w:tc>
          <w:tcPr>
            <w:tcW w:w="732"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Установено е, при транспортиране на продукти, произведени при преход към биологично производство, не са предприети подходящи мерки по почистване на превозните средства или контейнерите. </w:t>
            </w:r>
          </w:p>
        </w:tc>
        <w:tc>
          <w:tcPr>
            <w:tcW w:w="643"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III, т. 3., буква „б“</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една или повече дейности) на сертификата, ограничаване на биологичния статус на продукция и/или култура за не по-малко от 3 месеца от установяване на нарушението.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Преди включване на следваща продукция от засегнатата/ите партида/и в сертификата, се вземат проби от контролиращото лице и се предоставят за анализ в официална лаборатория по чл. 2, ал. 6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И.9</w:t>
            </w:r>
          </w:p>
        </w:tc>
        <w:tc>
          <w:tcPr>
            <w:tcW w:w="732"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Установено е, че транспортирането на готов биологичен фураж или на фураж, произведен при преход </w:t>
            </w:r>
            <w:r w:rsidRPr="00EB027C">
              <w:rPr>
                <w:rFonts w:ascii="Verdana" w:hAnsi="Verdana" w:cs="Arial"/>
                <w:sz w:val="16"/>
                <w:szCs w:val="16"/>
              </w:rPr>
              <w:lastRenderedPageBreak/>
              <w:t>към биологично производство, не се отделя физически или във времето от транспортирането на други готови продукти.</w:t>
            </w:r>
          </w:p>
        </w:tc>
        <w:tc>
          <w:tcPr>
            <w:tcW w:w="643"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Регламент (ЕС) 2018/848, Приложение III, т. 3., буква „в“</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 xml:space="preserve">Ограничаване на обхвата (на една или повече дейности) на сертификата, ограничаване на биологичния статус на продукция и/или култура за не по-малко от 3 </w:t>
            </w:r>
            <w:r w:rsidRPr="00EB027C">
              <w:rPr>
                <w:rFonts w:ascii="Verdana" w:hAnsi="Verdana" w:cs="Arial"/>
                <w:sz w:val="16"/>
                <w:szCs w:val="16"/>
              </w:rPr>
              <w:lastRenderedPageBreak/>
              <w:t>месеца от установяване на нарушението.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 xml:space="preserve">Одобряване на изпълнението на предпазните мерки и контрола, въведени от оператора с цел </w:t>
            </w:r>
            <w:r w:rsidRPr="00EB027C">
              <w:rPr>
                <w:rFonts w:ascii="Verdana" w:hAnsi="Verdana" w:cs="Arial"/>
                <w:sz w:val="16"/>
                <w:szCs w:val="16"/>
              </w:rPr>
              <w:lastRenderedPageBreak/>
              <w:t>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Преди включване на следваща продукция от засегнатата/ите партида/и в сертификата, се вземат проби от контролиращото лице и се предоставят за анализ в официална лаборатория по чл. 2, ал. 6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И.10</w:t>
            </w:r>
          </w:p>
        </w:tc>
        <w:tc>
          <w:tcPr>
            <w:tcW w:w="732"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че по време на транспортиране не се записва количеството на продуктите в началото на курса и количеството на всяка отделна междинна доставка.</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III, т. 3., буква „г“</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1 Незначителни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tc>
        <w:tc>
          <w:tcPr>
            <w:tcW w:w="1044"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от КЛ на план за действие за</w:t>
            </w:r>
            <w:r w:rsidRPr="00EB027C">
              <w:rPr>
                <w:rFonts w:ascii="Verdana" w:hAnsi="Verdana" w:cs="Arial"/>
                <w:strike/>
                <w:sz w:val="16"/>
                <w:szCs w:val="16"/>
              </w:rPr>
              <w:t xml:space="preserve"> </w:t>
            </w:r>
            <w:r w:rsidRPr="00EB027C">
              <w:rPr>
                <w:rFonts w:ascii="Verdana" w:hAnsi="Verdana" w:cs="Arial"/>
                <w:sz w:val="16"/>
                <w:szCs w:val="16"/>
              </w:rPr>
              <w:t>подобряване на изпълнението на предпазните мерки, въведени от оператора с цел гарантиране на съответствие;</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И.11</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че при транспорт на жива риба се не се използват подходящи резервоари с чиста вода, които удовлетворяват физиологичните нужди на рибата по отношение на температурата и разтворения кислород.</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III, т. 4., подточка 4.1.</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една или повече дейности) на сертификата, ограничаване на биологичния статус на продукция и/или култура за не по-малко от 3 месеца от установяване на нарушението.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4B6FB7">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 xml:space="preserve">Контролиращото лице прилага изискванията на </w:t>
            </w:r>
            <w:r w:rsidRPr="00EB027C">
              <w:rPr>
                <w:rFonts w:ascii="Verdana" w:hAnsi="Verdana" w:cs="Arial"/>
                <w:sz w:val="16"/>
                <w:szCs w:val="16"/>
              </w:rPr>
              <w:lastRenderedPageBreak/>
              <w:t>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И.12</w:t>
            </w:r>
          </w:p>
        </w:tc>
        <w:tc>
          <w:tcPr>
            <w:tcW w:w="732"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че при транспорт на жива риба не се почистват, дезинфекцират и изплакват резервоарите за биологично произведена риба.</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III, т. 4., подточка 4.2.</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една или повече дейности) на сертификата, ограничаване на биологичния статус на продукция и/или култура за не по-малко от 3 месеца от установяване на нарушението.</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4B6FB7">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И.13</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Не са взети предпазни мерки за намаляване на стреса при транспортирането на жива риба и спазването на изискванията за гъстотата.</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III, т. 4., подточка 4.3.</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една или повече дейности) на сертификата, ограничаване на биологичния статус на продукция и/или култура за не по-малко от 3 месеца от установяване на нарушението.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4B6FB7">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И.14</w:t>
            </w:r>
          </w:p>
        </w:tc>
        <w:tc>
          <w:tcPr>
            <w:tcW w:w="732"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че не се води документация за операциите, посочени в т. 4, подточка 4.1., 4.2. и 4.3. от Приложение III на Регламент (ЕС) 2018/848.</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III, т. 4., подточка 4.4.</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1 Незначителни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tc>
        <w:tc>
          <w:tcPr>
            <w:tcW w:w="1044"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 xml:space="preserve">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w:t>
            </w:r>
            <w:r w:rsidRPr="00EB027C">
              <w:rPr>
                <w:rFonts w:ascii="Verdana" w:hAnsi="Verdana" w:cs="Arial"/>
                <w:sz w:val="16"/>
                <w:szCs w:val="16"/>
              </w:rPr>
              <w:lastRenderedPageBreak/>
              <w:t>съответствие с</w:t>
            </w:r>
            <w:r w:rsidRPr="00EB027C">
              <w:rPr>
                <w:rFonts w:ascii="Verdana" w:hAnsi="Verdana" w:cs="Arial"/>
                <w:sz w:val="16"/>
                <w:szCs w:val="16"/>
                <w:u w:val="single"/>
              </w:rPr>
              <w:t xml:space="preserve"> </w:t>
            </w:r>
            <w:r w:rsidRPr="00EB027C">
              <w:rPr>
                <w:rFonts w:ascii="Verdana" w:hAnsi="Verdana" w:cs="Arial"/>
                <w:sz w:val="16"/>
                <w:szCs w:val="16"/>
              </w:rPr>
              <w:t>член 42, параграф 1 от Регламент (ЕС) 2018/848.</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Одобряване от контролиращото лице на план за действие за</w:t>
            </w:r>
            <w:r w:rsidRPr="00EB027C">
              <w:rPr>
                <w:rFonts w:ascii="Verdana" w:hAnsi="Verdana" w:cs="Arial"/>
                <w:strike/>
                <w:sz w:val="16"/>
                <w:szCs w:val="16"/>
              </w:rPr>
              <w:t xml:space="preserve"> </w:t>
            </w:r>
            <w:r w:rsidRPr="00EB027C">
              <w:rPr>
                <w:rFonts w:ascii="Verdana" w:hAnsi="Verdana" w:cs="Arial"/>
                <w:sz w:val="16"/>
                <w:szCs w:val="16"/>
              </w:rPr>
              <w:t>подобряване на изпълнението на предпазните мерки, въведени от оператора с цел гарантиране на съответствие.</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И.15</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неспазване на правилата за получаване на продукти от трета държава, посочени в т. 6. от Приложение III на Регламент (ЕС) 2018/848.</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III, т. 6.</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една или повече дейности) на сертификата, ограничаване на биологичния статус на продукция и/или култура за не по-малко от 3 месеца от установяване на нарушението.</w:t>
            </w:r>
          </w:p>
          <w:p w:rsidR="00EB027C" w:rsidRPr="00EB027C" w:rsidRDefault="00EB027C" w:rsidP="00EB027C">
            <w:pPr>
              <w:widowControl/>
              <w:autoSpaceDE/>
              <w:autoSpaceDN/>
              <w:adjustRightInd/>
              <w:spacing w:after="60"/>
              <w:rPr>
                <w:rFonts w:ascii="Verdana" w:hAnsi="Verdana" w:cs="Arial"/>
                <w:sz w:val="16"/>
                <w:szCs w:val="16"/>
              </w:rPr>
            </w:pP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4B6FB7">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И.16</w:t>
            </w:r>
          </w:p>
        </w:tc>
        <w:tc>
          <w:tcPr>
            <w:tcW w:w="732"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Установено е, че при съхранението на продуктите е липсва ясна идентификация на партидите. </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III, т. 7., подточка 7.1.</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една или повече дейности) на сертификата, ограничаване на биологичния статус на продукция и/или култура за не по-малко от 3 месеца от установяване на нарушението.</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Преди включване на следваща продукция от засегнатата/ите партида/и в сертификата, се вземат проби от контролиращото лице и се предоставят за анализ в официална лаборатория по чл. 2, ал. 6 от Наредба № 5 от 2018 г.</w:t>
            </w:r>
          </w:p>
        </w:tc>
      </w:tr>
      <w:tr w:rsidR="00E756C5" w:rsidRPr="00EB027C" w:rsidTr="00343031">
        <w:trPr>
          <w:cantSplit/>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И.17</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При съхранение в производствените единици за биологично растениевъдство и животновъдство или за растениевъдство и животновъдство в преход към биологично производство е установено съхранение на суровини и вещества извън посочените съгласно членове 9 и 24 от Регламент (ЕС) 2018/848.</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III, т. 7., подточка 7.2.</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една или повече дейности) на сертификата, ограничаване на биологичния статус на продукция и/или култура за не по-малко от 3 месеца от установяване на нарушението.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Преди включване на следваща продукция от засегнатата/ите партида/и в сертификата, се вземат проби от контролиращото лице и се предоставят за анализ в официална лаборатория по чл. 2, ал. 6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И.18</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При съхранение в производствените единици за биологично растениевъдство и животновъдство или за растениевъдство и животновъдство в преход към биологично производство е установено съхранение на алопатични ветеринарни лекарствени продукти без необходимите предписания, посочени в Приложение III, т. 7., подточка 7.3. от Регламент (ЕС) 2018/848.</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III, т. 7., подточка 7.3.</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една или повече дейности) на сертификата, ограничаване на биологичния статус на продукция и/или култура за не по-малко от 3 месеца от установяване на нарушението.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 xml:space="preserve">Преди включване на следваща продукция от засегнатата/ите партида/и в сертификата, се вземат проби от контролиращото </w:t>
            </w:r>
            <w:r w:rsidRPr="00EB027C">
              <w:rPr>
                <w:rFonts w:ascii="Verdana" w:hAnsi="Verdana" w:cs="Arial"/>
                <w:sz w:val="16"/>
                <w:szCs w:val="16"/>
              </w:rPr>
              <w:lastRenderedPageBreak/>
              <w:t>лице и се предоставят за анализ в официална лаборатория по чл. 2, ал. 6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И.19</w:t>
            </w:r>
          </w:p>
        </w:tc>
        <w:tc>
          <w:tcPr>
            <w:tcW w:w="732"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При съхранение на продукция с биологичен произход, продукти, произведени при преход към биологично производство или небиологични продукти е установено неспазване на изискванията, посочени в Приложение III, т. 7., подточка 7.4. от Регламент (ЕС) 2018/848.</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Приложение III, т. 7., подточка 7.4.</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една или повече дейности) на сертификата, ограничаване на биологичния статус на продукция и/или култура за не по-малко от 3 месеца от установяване на нарушението.</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Преди включване на следваща продукция от засегнатата/ите партида/и в сертификата, се вземат проби от контролиращото лице и се предоставят за анализ в официална лаборатория по чл. 2, ал. 6 от Наредба № 5 от 2018 г.</w:t>
            </w:r>
          </w:p>
        </w:tc>
      </w:tr>
      <w:tr w:rsidR="00EB027C" w:rsidRPr="00EB027C" w:rsidTr="00E756C5">
        <w:trPr>
          <w:trHeight w:val="397"/>
          <w:jc w:val="center"/>
        </w:trPr>
        <w:tc>
          <w:tcPr>
            <w:tcW w:w="5000" w:type="pct"/>
            <w:gridSpan w:val="7"/>
            <w:tcBorders>
              <w:top w:val="single" w:sz="4" w:space="0" w:color="auto"/>
              <w:left w:val="single" w:sz="4" w:space="0" w:color="auto"/>
              <w:bottom w:val="single" w:sz="4" w:space="0" w:color="auto"/>
              <w:right w:val="single" w:sz="4" w:space="0" w:color="000000"/>
            </w:tcBorders>
            <w:shd w:val="clear" w:color="000000" w:fill="B4C6E7"/>
            <w:vAlign w:val="center"/>
            <w:hideMark/>
          </w:tcPr>
          <w:p w:rsidR="00EB027C" w:rsidRPr="00EB027C" w:rsidRDefault="00EB027C" w:rsidP="00EB027C">
            <w:pPr>
              <w:widowControl/>
              <w:autoSpaceDE/>
              <w:autoSpaceDN/>
              <w:adjustRightInd/>
              <w:jc w:val="center"/>
              <w:rPr>
                <w:rFonts w:ascii="Verdana" w:hAnsi="Verdana" w:cs="Arial"/>
                <w:b/>
                <w:bCs/>
                <w:sz w:val="16"/>
                <w:szCs w:val="16"/>
              </w:rPr>
            </w:pPr>
            <w:r w:rsidRPr="00EB027C">
              <w:rPr>
                <w:rFonts w:ascii="Verdana" w:hAnsi="Verdana" w:cs="Arial"/>
                <w:b/>
                <w:bCs/>
                <w:sz w:val="16"/>
                <w:szCs w:val="16"/>
              </w:rPr>
              <w:t>К. НЕСЪОТВЕТСТВИЯ, СВЪРЗАНИ С ЕТИКЕТИРАНЕТО НА БИОЛОГИЧНИ ПРОДУКТИ</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К.1</w:t>
            </w:r>
          </w:p>
        </w:tc>
        <w:tc>
          <w:tcPr>
            <w:tcW w:w="732"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наличие на продукти, които носят термините, посочени в чл.30, параграф 1 и 2 от Регламент (ЕС) 2018/848, но не отговарят на изискванията на посочения Регламент.</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Регламент (ЕС) 2018/848, чл. 30, параграфи 1 и 2 </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3 Критични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Налагане на забрана за пускане на пазара на продукти с позоваване на биологично производство за определен период в съответствие с чл. 42, </w:t>
            </w:r>
            <w:r w:rsidRPr="00EB027C">
              <w:rPr>
                <w:rFonts w:ascii="Verdana" w:hAnsi="Verdana" w:cs="Arial"/>
                <w:sz w:val="16"/>
                <w:szCs w:val="16"/>
              </w:rPr>
              <w:lastRenderedPageBreak/>
              <w:t>параграф 2 от Регламент (ЕС) 2018/848.</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Отнемане на сертификата за не по-малко от 6 месеца от установяване на нарушението.</w:t>
            </w:r>
          </w:p>
        </w:tc>
        <w:tc>
          <w:tcPr>
            <w:tcW w:w="104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Неприложимо</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Контролиращото лице прилага изискванията на </w:t>
            </w:r>
            <w:r w:rsidRPr="00EB027C">
              <w:rPr>
                <w:rFonts w:ascii="Verdana" w:hAnsi="Verdana" w:cs="Arial"/>
                <w:sz w:val="16"/>
                <w:szCs w:val="16"/>
              </w:rPr>
              <w:lastRenderedPageBreak/>
              <w:t>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К.2</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наличие на продукти, произведени през периода на преход, които се етикетират или рекламират като биологични продукти или като продукти при преход към биологично производство.</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Регламент (ЕС) 2018/848, чл. 30, параграф 3 </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3 Критични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Налагане на забрана за пускане на пазара на продукти с позоваване на биологично производство за определен период в съответствие с чл. 42, параграф 2 от Регламент (ЕС) 2018/848.</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Отнемане на сертификата за засегнатата дейност и/или категория продукти за не по-малко от 3 месеца от установяване на нарушението.</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Неприложимо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К.3</w:t>
            </w:r>
          </w:p>
        </w:tc>
        <w:tc>
          <w:tcPr>
            <w:tcW w:w="732"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наличието на продукт, който се етикетира и/или рекламира като биологичен, който съдържа ГМО, състои се от ГМО или е произведен от ГМО и носи обозначенията, предвидени в параграфи 1 и 3 от Регламент (ЕС) 2018/848.</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Регламент (ЕС) 2018/848, чл. 30, параграф 4 </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3 Критични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Налагане на забрана за пускане на пазара на продукти с позоваване на биологично производство за определен период в съответствие с чл. 42, параграф 2 от Регламент (ЕС) 2018/848.</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Отнемане на сертификата за засегнатата дейност и/или категория продукти за не по-</w:t>
            </w:r>
            <w:r w:rsidRPr="00EB027C">
              <w:rPr>
                <w:rFonts w:ascii="Verdana" w:hAnsi="Verdana" w:cs="Arial"/>
                <w:sz w:val="16"/>
                <w:szCs w:val="16"/>
              </w:rPr>
              <w:lastRenderedPageBreak/>
              <w:t>малко от 3 месеца от установяване на нарушението.</w:t>
            </w:r>
          </w:p>
        </w:tc>
        <w:tc>
          <w:tcPr>
            <w:tcW w:w="104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Неприложимо</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К.4</w:t>
            </w:r>
          </w:p>
        </w:tc>
        <w:tc>
          <w:tcPr>
            <w:tcW w:w="732"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При преработени храни е установена употреба на термини, отнасящи се до биологичното производство, без да са спазени изискванията, посочени в чл. 30, параграф 5 от Регламент (ЕС) 2018/848.</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Регламент (ЕС) 2018/848, чл. 30, параграф 5 </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 определен от КЛ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Налагане на забрана за пускане на пазара на продукти с позоваване на биологично производство за определен период в съответствие с чл. 42, параграф 2 от Регламент (ЕС) 2018/848.</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сертификата за съответния продукт/производствена единица за не по-малко от 3 месеца от установяване на несъответствието.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К.5</w:t>
            </w:r>
          </w:p>
        </w:tc>
        <w:tc>
          <w:tcPr>
            <w:tcW w:w="732"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че в списъка на съставките за биологични продукти, посочен в първа алинея, букви „б“ и „в“ на чл. 30, параграф 5 от Регламент (ЕС) 2018/848, не е отбелязан общият процент биологични съставки спрямо общото количество земеделски съставки.</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Регламент (ЕС) 2018/848, чл. 30, параграф 5, изречение 5 </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от КЛ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1044"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сертификата за съответния продукт/производствена единица за не по-малко от 3 месеца от установяване на несъответствието.</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К.6</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Установено е неизпълнение на изискванията за цвета, големината и вида на шрифта, посочени в чл. 30, параграф 5, изречение 6 от </w:t>
            </w:r>
            <w:r w:rsidRPr="00EB027C">
              <w:rPr>
                <w:rFonts w:ascii="Verdana" w:hAnsi="Verdana" w:cs="Arial"/>
                <w:sz w:val="16"/>
                <w:szCs w:val="16"/>
              </w:rPr>
              <w:lastRenderedPageBreak/>
              <w:t>Регламент (ЕС) 2018/848.</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 xml:space="preserve">Регламент (ЕС) 2018/848, чл. 30, парагарф 5, изречение 6 </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от КЛ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Подобряване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4B6FB7">
            <w:pPr>
              <w:widowControl/>
              <w:autoSpaceDE/>
              <w:autoSpaceDN/>
              <w:adjustRightInd/>
              <w:spacing w:after="60"/>
              <w:rPr>
                <w:rFonts w:ascii="Verdana" w:hAnsi="Verdana" w:cs="Arial"/>
                <w:sz w:val="16"/>
                <w:szCs w:val="16"/>
              </w:rPr>
            </w:pPr>
            <w:r w:rsidRPr="00EB027C">
              <w:rPr>
                <w:rFonts w:ascii="Verdana" w:hAnsi="Verdana" w:cs="Arial"/>
                <w:sz w:val="16"/>
                <w:szCs w:val="16"/>
              </w:rPr>
              <w:t>Забранява се продажбата на засегнатата партида до от</w:t>
            </w:r>
            <w:r w:rsidR="004B6FB7">
              <w:rPr>
                <w:rFonts w:ascii="Verdana" w:hAnsi="Verdana" w:cs="Arial"/>
                <w:sz w:val="16"/>
                <w:szCs w:val="16"/>
              </w:rPr>
              <w:t>страняване на несъответствието.</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Ограничаване на обхвата на сертификата за съответния продукт/ производствена единица за не по-малко от 3 месеца от установяване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Премахване на позоваването на биологично производство при </w:t>
            </w:r>
            <w:r w:rsidRPr="00EB027C">
              <w:rPr>
                <w:rFonts w:ascii="Verdana" w:hAnsi="Verdana" w:cs="Arial"/>
                <w:sz w:val="16"/>
                <w:szCs w:val="16"/>
              </w:rPr>
              <w:lastRenderedPageBreak/>
              <w:t>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 xml:space="preserve">Осъществяване на засилен контрол чрез допълнителни </w:t>
            </w:r>
            <w:r w:rsidR="004B6FB7">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К.7</w:t>
            </w:r>
          </w:p>
        </w:tc>
        <w:tc>
          <w:tcPr>
            <w:tcW w:w="732"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Не е спазено едно или повече от посочените изисквания в чл. 30, параграф 6 от Регламент (ЕС) 2018/848 по отношение на етикетирането на преработените фуражи. </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Регламент (ЕС) 2018/848, чл. 30, параграф 6 </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от КЛ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сертификата за съответния продукт/производствена единица за не по-малко от 3 месеца от установяване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К.8</w:t>
            </w:r>
          </w:p>
        </w:tc>
        <w:tc>
          <w:tcPr>
            <w:tcW w:w="732"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Не е спазено едно или повече от посочените изисквания в чл. 32, параграф 1 от Регламент (ЕС) 2018/848 по отношение на етикетирането на биологични продукти и продукти, произведени при преход към биологично производство в съответствие чл. 30, параграф 3 от същия Регламент.</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Регламент (ЕС) 2018/848, чл. 32, параграф 1 </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от КЛ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 xml:space="preserve">Премахване на позоваването на биологично производство при етикетирането и рекламирането на цялата засегната партида или продукция [засегната(-ите) </w:t>
            </w:r>
            <w:r w:rsidRPr="00EB027C">
              <w:rPr>
                <w:rFonts w:ascii="Verdana" w:hAnsi="Verdana" w:cs="Arial"/>
                <w:sz w:val="16"/>
                <w:szCs w:val="16"/>
              </w:rPr>
              <w:lastRenderedPageBreak/>
              <w:t>култура(-и) или животно(-и)] в съответствие с чл. 42, параграф 1 от Регламент (ЕС) 2018/848.</w:t>
            </w:r>
          </w:p>
        </w:tc>
        <w:tc>
          <w:tcPr>
            <w:tcW w:w="1044"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Ограничаване на обхвата на сертификата за съответния продукт/производствена единица за не по-малко от 3 месеца от установяване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К.9</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липса на обозначение за мястото, където са отгледани земеделските суровини в състава на продукта.</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Регламент (ЕС) 2018/848, чл. 32, парагарф 2 </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от КЛ за отстраняване на несъответствието.</w:t>
            </w:r>
          </w:p>
          <w:p w:rsidR="00EB027C" w:rsidRPr="00EB027C" w:rsidRDefault="00EB027C" w:rsidP="00EB027C">
            <w:pPr>
              <w:widowControl/>
              <w:autoSpaceDE/>
              <w:autoSpaceDN/>
              <w:adjustRightInd/>
              <w:spacing w:after="60"/>
              <w:jc w:val="both"/>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Засегната партида се възбранява до отстраняване на несъответствието.</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сертификата за съответния продукт/производствена единица за не по-малко от 3 месеца от установяване на несъответствието.</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К.10</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Обозначенията, посочени в параграфи 1 и 2 от от чл. 32 и чл. 33, параграф 3 от Регламент (ЕС) 2018/848, не са поставени, така че да бъдат лесно забележими, ясно четливи и незаличими.</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чл. 32, параграф 3</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от КЛ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jc w:val="both"/>
              <w:rPr>
                <w:rFonts w:ascii="Verdana" w:hAnsi="Verdana" w:cs="Arial"/>
                <w:sz w:val="16"/>
                <w:szCs w:val="16"/>
              </w:rPr>
            </w:pPr>
            <w:r w:rsidRPr="00EB027C">
              <w:rPr>
                <w:rFonts w:ascii="Verdana" w:hAnsi="Verdana" w:cs="Arial"/>
                <w:sz w:val="16"/>
                <w:szCs w:val="16"/>
              </w:rPr>
              <w:t>Забранява се продажба на засегнатата партида до отстраняване на несъответствието.</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сертификата за съответния продукт/производствена единица за не по-малко от 3 месеца от установяване на несъответствието.</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К.11</w:t>
            </w:r>
          </w:p>
        </w:tc>
        <w:tc>
          <w:tcPr>
            <w:tcW w:w="732"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Установено е, че логото на Европейския съюз за биологично производство се използва за преработени храни, посочени в чл. 30, параграф 5, букви „б“ и „в“ от Регламент (ЕС) 2018/848, и за </w:t>
            </w:r>
            <w:r w:rsidRPr="00EB027C">
              <w:rPr>
                <w:rFonts w:ascii="Verdana" w:hAnsi="Verdana" w:cs="Arial"/>
                <w:sz w:val="16"/>
                <w:szCs w:val="16"/>
              </w:rPr>
              <w:lastRenderedPageBreak/>
              <w:t>продукти, произведени при преход към биологично производство, посочени в чл. 30, параграф 3 от същия Регламент.</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 xml:space="preserve">Регламент (ЕС) 2018/848, чл. 33, парагараф 2 </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3 Критични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both"/>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jc w:val="both"/>
              <w:rPr>
                <w:rFonts w:ascii="Verdana" w:hAnsi="Verdana" w:cs="Arial"/>
                <w:sz w:val="16"/>
                <w:szCs w:val="16"/>
              </w:rPr>
            </w:pPr>
            <w:r w:rsidRPr="00EB027C">
              <w:rPr>
                <w:rFonts w:ascii="Verdana" w:hAnsi="Verdana" w:cs="Arial"/>
                <w:sz w:val="16"/>
                <w:szCs w:val="16"/>
              </w:rPr>
              <w:lastRenderedPageBreak/>
              <w:t>Налагане на забрана за пускане на пазара на продукти с позоваване на биологично производство за определен период в съответствие с чл. 42, параграф 2 от Регламент (ЕС) 2018/848.</w:t>
            </w:r>
          </w:p>
          <w:p w:rsidR="00EB027C" w:rsidRPr="00EB027C" w:rsidRDefault="00EB027C" w:rsidP="00EB027C">
            <w:pPr>
              <w:widowControl/>
              <w:autoSpaceDE/>
              <w:autoSpaceDN/>
              <w:adjustRightInd/>
              <w:spacing w:after="60"/>
              <w:jc w:val="both"/>
              <w:rPr>
                <w:rFonts w:ascii="Verdana" w:hAnsi="Verdana" w:cs="Arial"/>
                <w:sz w:val="16"/>
                <w:szCs w:val="16"/>
              </w:rPr>
            </w:pPr>
            <w:r w:rsidRPr="00EB027C">
              <w:rPr>
                <w:rFonts w:ascii="Verdana" w:hAnsi="Verdana" w:cs="Arial"/>
                <w:sz w:val="16"/>
                <w:szCs w:val="16"/>
              </w:rPr>
              <w:t>Отнемане на сертификата за не по-малко от 6 месеца от установяване на нарушението.</w:t>
            </w:r>
          </w:p>
        </w:tc>
        <w:tc>
          <w:tcPr>
            <w:tcW w:w="104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Неприложимо</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Осъществяване на засилен контрол чрез допълнителни 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Преди включване на следваща продукция от засегнатата/ите партида/и в сертификата, се вземат проби от контролиращото лице и се предоставят за анализ в официална лаборатория по чл. 2, ал. 6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К.12</w:t>
            </w:r>
          </w:p>
        </w:tc>
        <w:tc>
          <w:tcPr>
            <w:tcW w:w="732" w:type="pct"/>
            <w:tcBorders>
              <w:top w:val="single" w:sz="4" w:space="0" w:color="auto"/>
              <w:left w:val="nil"/>
              <w:bottom w:val="single" w:sz="4" w:space="0" w:color="auto"/>
              <w:right w:val="nil"/>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че логото на Европейския съюз за биологично производство не следва модела, определен в Приложение V от Регламент (ЕС) 2018/848, и/или съответства на правилата, определени в същото приложение.</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Регламент (ЕС) 2018/848, чл. 33, параграф 4 </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both"/>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от КЛ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Засегната партида се възбранява до отстраняване на несъответствието.</w:t>
            </w:r>
          </w:p>
        </w:tc>
        <w:tc>
          <w:tcPr>
            <w:tcW w:w="1044"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обхвата на сертификата по отношение на дейността.</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К.13</w:t>
            </w:r>
          </w:p>
        </w:tc>
        <w:tc>
          <w:tcPr>
            <w:tcW w:w="732" w:type="pct"/>
            <w:tcBorders>
              <w:top w:val="single" w:sz="4" w:space="0" w:color="auto"/>
              <w:left w:val="nil"/>
              <w:bottom w:val="single" w:sz="4" w:space="0" w:color="auto"/>
              <w:right w:val="single" w:sz="4" w:space="0" w:color="auto"/>
            </w:tcBorders>
            <w:shd w:val="clear" w:color="000000" w:fill="FFFFFF"/>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че е извършена покупка на продукти с позоваване на методите на биологично производство от доставчик без валиден сертификат</w:t>
            </w:r>
          </w:p>
        </w:tc>
        <w:tc>
          <w:tcPr>
            <w:tcW w:w="643" w:type="pct"/>
            <w:tcBorders>
              <w:top w:val="single" w:sz="4" w:space="0" w:color="auto"/>
              <w:left w:val="nil"/>
              <w:bottom w:val="single" w:sz="4" w:space="0" w:color="auto"/>
              <w:right w:val="single" w:sz="4" w:space="0" w:color="auto"/>
            </w:tcBorders>
            <w:shd w:val="clear" w:color="000000" w:fill="FFFFFF"/>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чл. 35, параграф 2</w:t>
            </w:r>
          </w:p>
        </w:tc>
        <w:tc>
          <w:tcPr>
            <w:tcW w:w="597" w:type="pct"/>
            <w:tcBorders>
              <w:top w:val="single" w:sz="4" w:space="0" w:color="auto"/>
              <w:left w:val="nil"/>
              <w:bottom w:val="single" w:sz="4" w:space="0" w:color="auto"/>
              <w:right w:val="single" w:sz="4" w:space="0" w:color="auto"/>
            </w:tcBorders>
            <w:shd w:val="clear" w:color="000000" w:fill="FFFFFF"/>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2. Сериозни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от КЛ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p>
          <w:p w:rsidR="00EB027C" w:rsidRPr="00EB027C" w:rsidRDefault="00EB027C" w:rsidP="00EB027C">
            <w:pPr>
              <w:widowControl/>
              <w:autoSpaceDE/>
              <w:autoSpaceDN/>
              <w:adjustRightInd/>
              <w:spacing w:after="60"/>
              <w:jc w:val="both"/>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tc>
        <w:tc>
          <w:tcPr>
            <w:tcW w:w="1044" w:type="pct"/>
            <w:tcBorders>
              <w:top w:val="single" w:sz="4" w:space="0" w:color="auto"/>
              <w:left w:val="single" w:sz="4" w:space="0" w:color="auto"/>
              <w:bottom w:val="single" w:sz="4" w:space="0" w:color="auto"/>
              <w:right w:val="single" w:sz="4" w:space="0" w:color="auto"/>
            </w:tcBorders>
            <w:shd w:val="clear" w:color="000000" w:fill="FFFFFF"/>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Ограничаване на засегната дейност в сертификата за не по-малко от 6 </w:t>
            </w:r>
            <w:r w:rsidRPr="00EB027C">
              <w:rPr>
                <w:rFonts w:ascii="Verdana" w:hAnsi="Verdana" w:cs="Arial"/>
                <w:sz w:val="16"/>
                <w:szCs w:val="16"/>
              </w:rPr>
              <w:lastRenderedPageBreak/>
              <w:t>месеца от установяване на нарушението.</w:t>
            </w:r>
          </w:p>
        </w:tc>
        <w:tc>
          <w:tcPr>
            <w:tcW w:w="824" w:type="pct"/>
            <w:tcBorders>
              <w:top w:val="single" w:sz="4" w:space="0" w:color="auto"/>
              <w:left w:val="nil"/>
              <w:bottom w:val="single" w:sz="4" w:space="0" w:color="auto"/>
              <w:right w:val="single" w:sz="4" w:space="0" w:color="auto"/>
            </w:tcBorders>
            <w:shd w:val="clear" w:color="000000" w:fill="FFFFFF"/>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К.14</w:t>
            </w:r>
          </w:p>
        </w:tc>
        <w:tc>
          <w:tcPr>
            <w:tcW w:w="732" w:type="pct"/>
            <w:tcBorders>
              <w:top w:val="single" w:sz="4" w:space="0" w:color="auto"/>
              <w:left w:val="nil"/>
              <w:bottom w:val="single" w:sz="4" w:space="0" w:color="auto"/>
              <w:right w:val="single" w:sz="4" w:space="0" w:color="auto"/>
            </w:tcBorders>
            <w:shd w:val="clear" w:color="000000" w:fill="FFFFFF"/>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че са извършени покупки и употреба на продукти с позоваване на методите на биологично производство от доставчик без валиден сертификат</w:t>
            </w:r>
          </w:p>
        </w:tc>
        <w:tc>
          <w:tcPr>
            <w:tcW w:w="643" w:type="pct"/>
            <w:tcBorders>
              <w:top w:val="single" w:sz="4" w:space="0" w:color="auto"/>
              <w:left w:val="nil"/>
              <w:bottom w:val="single" w:sz="4" w:space="0" w:color="auto"/>
              <w:right w:val="single" w:sz="4" w:space="0" w:color="auto"/>
            </w:tcBorders>
            <w:shd w:val="clear" w:color="000000" w:fill="FFFFFF"/>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чл. 35, параграф 2</w:t>
            </w:r>
          </w:p>
        </w:tc>
        <w:tc>
          <w:tcPr>
            <w:tcW w:w="597" w:type="pct"/>
            <w:tcBorders>
              <w:top w:val="single" w:sz="4" w:space="0" w:color="auto"/>
              <w:left w:val="nil"/>
              <w:bottom w:val="single" w:sz="4" w:space="0" w:color="auto"/>
              <w:right w:val="single" w:sz="4" w:space="0" w:color="auto"/>
            </w:tcBorders>
            <w:shd w:val="clear" w:color="000000" w:fill="FFFFFF"/>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3. Критични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tcPr>
          <w:p w:rsidR="00EB027C" w:rsidRPr="00EB027C" w:rsidRDefault="00EB027C" w:rsidP="00EB027C">
            <w:pPr>
              <w:widowControl/>
              <w:autoSpaceDE/>
              <w:autoSpaceDN/>
              <w:adjustRightInd/>
              <w:spacing w:after="60"/>
              <w:jc w:val="both"/>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от КЛ за отстраняване на несъответствието.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засегната дейност в сертификата за не по-малко от 3 месеца от установяване на нарушението.</w:t>
            </w:r>
          </w:p>
        </w:tc>
        <w:tc>
          <w:tcPr>
            <w:tcW w:w="1044" w:type="pct"/>
            <w:tcBorders>
              <w:top w:val="single" w:sz="4" w:space="0" w:color="auto"/>
              <w:left w:val="single" w:sz="4" w:space="0" w:color="auto"/>
              <w:bottom w:val="single" w:sz="4" w:space="0" w:color="auto"/>
              <w:right w:val="single" w:sz="4" w:space="0" w:color="auto"/>
            </w:tcBorders>
            <w:shd w:val="clear" w:color="000000" w:fill="FFFFFF"/>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Отнемане на сертификата за не по-малко от 6 месеца от установяване на нарушението.</w:t>
            </w:r>
          </w:p>
        </w:tc>
        <w:tc>
          <w:tcPr>
            <w:tcW w:w="824" w:type="pct"/>
            <w:tcBorders>
              <w:top w:val="single" w:sz="4" w:space="0" w:color="auto"/>
              <w:left w:val="nil"/>
              <w:bottom w:val="single" w:sz="4" w:space="0" w:color="auto"/>
              <w:right w:val="single" w:sz="4" w:space="0" w:color="auto"/>
            </w:tcBorders>
            <w:shd w:val="clear" w:color="000000" w:fill="FFFFFF"/>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съответна</w:t>
            </w:r>
            <w:r w:rsidR="00C4407B">
              <w:rPr>
                <w:rFonts w:ascii="Verdana" w:hAnsi="Verdana" w:cs="Arial"/>
                <w:sz w:val="16"/>
                <w:szCs w:val="16"/>
              </w:rPr>
              <w:t>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000000" w:fill="FFFFFF"/>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К.15</w:t>
            </w:r>
          </w:p>
        </w:tc>
        <w:tc>
          <w:tcPr>
            <w:tcW w:w="732" w:type="pct"/>
            <w:tcBorders>
              <w:top w:val="single" w:sz="4" w:space="0" w:color="auto"/>
              <w:left w:val="nil"/>
              <w:bottom w:val="single" w:sz="4" w:space="0" w:color="auto"/>
              <w:right w:val="single" w:sz="4" w:space="0" w:color="auto"/>
            </w:tcBorders>
            <w:shd w:val="clear" w:color="000000" w:fill="FFFFFF"/>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че са пуснати на пазара продукти с позоваване на методите на биологично производство при ограничен/отнет сертификат, изтекъл или без да е издаден такъв.</w:t>
            </w:r>
          </w:p>
        </w:tc>
        <w:tc>
          <w:tcPr>
            <w:tcW w:w="643" w:type="pct"/>
            <w:tcBorders>
              <w:top w:val="single" w:sz="4" w:space="0" w:color="auto"/>
              <w:left w:val="nil"/>
              <w:bottom w:val="single" w:sz="4" w:space="0" w:color="auto"/>
              <w:right w:val="single" w:sz="4" w:space="0" w:color="auto"/>
            </w:tcBorders>
            <w:shd w:val="clear" w:color="000000" w:fill="FFFFFF"/>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Регламент (ЕС) 2018/848, чл. 35, параграф 2</w:t>
            </w:r>
          </w:p>
        </w:tc>
        <w:tc>
          <w:tcPr>
            <w:tcW w:w="597" w:type="pct"/>
            <w:tcBorders>
              <w:top w:val="single" w:sz="4" w:space="0" w:color="auto"/>
              <w:left w:val="nil"/>
              <w:bottom w:val="single" w:sz="4" w:space="0" w:color="auto"/>
              <w:right w:val="single" w:sz="4" w:space="0" w:color="auto"/>
            </w:tcBorders>
            <w:shd w:val="clear" w:color="000000" w:fill="FFFFFF"/>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3. Критични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w:t>
            </w:r>
            <w:r w:rsidR="00C4407B">
              <w:rPr>
                <w:rFonts w:ascii="Verdana" w:hAnsi="Verdana" w:cs="Arial"/>
                <w:sz w:val="16"/>
                <w:szCs w:val="16"/>
              </w:rPr>
              <w:t>ф 1 от Регламент (ЕС) 2018/848.</w:t>
            </w:r>
          </w:p>
        </w:tc>
        <w:tc>
          <w:tcPr>
            <w:tcW w:w="1044" w:type="pct"/>
            <w:tcBorders>
              <w:top w:val="single" w:sz="4" w:space="0" w:color="auto"/>
              <w:left w:val="single" w:sz="4" w:space="0" w:color="auto"/>
              <w:bottom w:val="single" w:sz="4" w:space="0" w:color="auto"/>
              <w:right w:val="single" w:sz="4" w:space="0" w:color="auto"/>
            </w:tcBorders>
            <w:shd w:val="clear" w:color="000000" w:fill="FFFFFF"/>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Отнемане на сертификата за не по-малко от 6 месеца от установяване на нарушението.</w:t>
            </w:r>
          </w:p>
        </w:tc>
        <w:tc>
          <w:tcPr>
            <w:tcW w:w="824" w:type="pct"/>
            <w:tcBorders>
              <w:top w:val="single" w:sz="4" w:space="0" w:color="auto"/>
              <w:left w:val="nil"/>
              <w:bottom w:val="single" w:sz="4" w:space="0" w:color="auto"/>
              <w:right w:val="single" w:sz="4" w:space="0" w:color="auto"/>
            </w:tcBorders>
            <w:shd w:val="clear" w:color="000000" w:fill="FFFFFF"/>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C4407B">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Контролиращото лице прилага изискванията на чл. 57 от Наредба № 5 от 2018 г.</w:t>
            </w:r>
          </w:p>
        </w:tc>
      </w:tr>
      <w:tr w:rsidR="00EB027C" w:rsidRPr="00EB027C" w:rsidTr="00E756C5">
        <w:trPr>
          <w:trHeight w:val="397"/>
          <w:jc w:val="center"/>
        </w:trPr>
        <w:tc>
          <w:tcPr>
            <w:tcW w:w="5000" w:type="pct"/>
            <w:gridSpan w:val="7"/>
            <w:tcBorders>
              <w:top w:val="single" w:sz="4" w:space="0" w:color="auto"/>
              <w:left w:val="single" w:sz="4" w:space="0" w:color="auto"/>
              <w:bottom w:val="single" w:sz="4" w:space="0" w:color="auto"/>
              <w:right w:val="single" w:sz="4" w:space="0" w:color="000000"/>
            </w:tcBorders>
            <w:shd w:val="clear" w:color="000000" w:fill="B4C6E7"/>
            <w:vAlign w:val="center"/>
            <w:hideMark/>
          </w:tcPr>
          <w:p w:rsidR="00EB027C" w:rsidRPr="00EB027C" w:rsidRDefault="00EB027C" w:rsidP="00EB027C">
            <w:pPr>
              <w:widowControl/>
              <w:autoSpaceDE/>
              <w:autoSpaceDN/>
              <w:adjustRightInd/>
              <w:jc w:val="center"/>
              <w:rPr>
                <w:rFonts w:ascii="Verdana" w:hAnsi="Verdana" w:cs="Arial"/>
                <w:b/>
                <w:bCs/>
                <w:sz w:val="16"/>
                <w:szCs w:val="16"/>
              </w:rPr>
            </w:pPr>
            <w:r w:rsidRPr="00EB027C">
              <w:rPr>
                <w:rFonts w:ascii="Verdana" w:hAnsi="Verdana" w:cs="Arial"/>
                <w:b/>
                <w:bCs/>
                <w:sz w:val="16"/>
                <w:szCs w:val="16"/>
              </w:rPr>
              <w:lastRenderedPageBreak/>
              <w:t>Л. НЕСЪОТВЕТСТВИЯ, СВЪРЗАНИ С ИЗДАВАНЕТО НА ДЕРОГАЦИИ</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Л.1</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Въвеждане в единица за биологично производство на отгледани по небиологичен начин животни без издадено разрешение или над допустимия % при издадено разрешение.</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Наредба № 5 от 2018 г.</w:t>
            </w:r>
            <w:r w:rsidRPr="00EB027C">
              <w:rPr>
                <w:rFonts w:ascii="Verdana" w:hAnsi="Verdana" w:cs="Arial"/>
                <w:sz w:val="16"/>
                <w:szCs w:val="16"/>
                <w:vertAlign w:val="superscript"/>
              </w:rPr>
              <w:footnoteReference w:id="1"/>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Регламент 2018/848, част </w:t>
            </w:r>
            <w:r w:rsidRPr="00EB027C">
              <w:rPr>
                <w:rFonts w:ascii="Verdana" w:hAnsi="Verdana" w:cs="Arial"/>
                <w:sz w:val="16"/>
                <w:szCs w:val="16"/>
                <w:lang w:val="en-US"/>
              </w:rPr>
              <w:t>II</w:t>
            </w:r>
            <w:r w:rsidRPr="00EB027C">
              <w:rPr>
                <w:rFonts w:ascii="Verdana" w:hAnsi="Verdana" w:cs="Arial"/>
                <w:sz w:val="16"/>
                <w:szCs w:val="16"/>
                <w:lang w:val="ru-RU"/>
              </w:rPr>
              <w:t xml:space="preserve">, </w:t>
            </w:r>
            <w:r w:rsidRPr="00EB027C">
              <w:rPr>
                <w:rFonts w:ascii="Verdana" w:hAnsi="Verdana" w:cs="Arial"/>
                <w:sz w:val="16"/>
                <w:szCs w:val="16"/>
              </w:rPr>
              <w:t xml:space="preserve">приложение </w:t>
            </w:r>
            <w:r w:rsidRPr="00EB027C">
              <w:rPr>
                <w:rFonts w:ascii="Verdana" w:hAnsi="Verdana" w:cs="Arial"/>
                <w:sz w:val="16"/>
                <w:szCs w:val="16"/>
                <w:lang w:val="en-US"/>
              </w:rPr>
              <w:t>II</w:t>
            </w:r>
            <w:r w:rsidRPr="00EB027C">
              <w:rPr>
                <w:rFonts w:ascii="Verdana" w:hAnsi="Verdana" w:cs="Arial"/>
                <w:sz w:val="16"/>
                <w:szCs w:val="16"/>
                <w:lang w:val="ru-RU"/>
              </w:rPr>
              <w:t xml:space="preserve">, </w:t>
            </w:r>
            <w:r w:rsidRPr="00EB027C">
              <w:rPr>
                <w:rFonts w:ascii="Verdana" w:hAnsi="Verdana" w:cs="Arial"/>
                <w:sz w:val="16"/>
                <w:szCs w:val="16"/>
              </w:rPr>
              <w:t>т. 1.3.4.4.2, т. 1.3.4.4.3</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3 Критични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Начало на нов преходен период на засегнатите видове животни.</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Отнемане на сертификата за не по-малко от 6 месеца от установяване на нарушението.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Л.2</w:t>
            </w:r>
          </w:p>
        </w:tc>
        <w:tc>
          <w:tcPr>
            <w:tcW w:w="732"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Въвеждане в единица за биологично производство на отгледани по небиологичен начин домашни птици, съгласно Приложение II, Част II, т. 1.3.4.3. от Регламент (ЕС) 2018/848 без издадено разрешение.</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Наредба № 5 от 2018 г.</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3 Критични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Начало на нов преходен период на засегнатите видове животни.</w:t>
            </w:r>
          </w:p>
        </w:tc>
        <w:tc>
          <w:tcPr>
            <w:tcW w:w="104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Отнемане на сертификата за цялата дейност за не по-малко от 6 месеца от установяване на нарушението.</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C4407B">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Л.3</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Установено е увеличаване до 40% на въведените отгледани по небиологичен начин </w:t>
            </w:r>
            <w:r w:rsidRPr="00EB027C">
              <w:rPr>
                <w:rFonts w:ascii="Verdana" w:hAnsi="Verdana" w:cs="Arial"/>
                <w:sz w:val="16"/>
                <w:szCs w:val="16"/>
              </w:rPr>
              <w:lastRenderedPageBreak/>
              <w:t>нераждали женски екземпляри, съгласно Приложение II, Част II, т. 1.3.4.4.3. от Регламент (EС) 2018/848 без издадено разрешение.</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Наредба № 5 от 2018 г.</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3 Критични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Премахване на позоваването на биологично производство при етикетирането и рекламирането на цялата засегната партида </w:t>
            </w:r>
            <w:r w:rsidRPr="00EB027C">
              <w:rPr>
                <w:rFonts w:ascii="Verdana" w:hAnsi="Verdana" w:cs="Arial"/>
                <w:sz w:val="16"/>
                <w:szCs w:val="16"/>
              </w:rPr>
              <w:lastRenderedPageBreak/>
              <w:t>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Начало на нов преходен период на засегнатите видове животни.</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 xml:space="preserve">Премахване на позоваването на биологично производство при етикетирането и рекламирането на цялата засегната партида или </w:t>
            </w:r>
            <w:r w:rsidRPr="00EB027C">
              <w:rPr>
                <w:rFonts w:ascii="Verdana" w:hAnsi="Verdana" w:cs="Arial"/>
                <w:sz w:val="16"/>
                <w:szCs w:val="16"/>
              </w:rPr>
              <w:lastRenderedPageBreak/>
              <w:t>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Отнемане на сертификата за цялата дейност за не по-малко от 6 месеца от установяване на нарушението.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 xml:space="preserve">Одобряване на изпълнението на предпазните мерки и контрола, въведени от </w:t>
            </w:r>
            <w:r w:rsidRPr="00EB027C">
              <w:rPr>
                <w:rFonts w:ascii="Verdana" w:hAnsi="Verdana" w:cs="Arial"/>
                <w:sz w:val="16"/>
                <w:szCs w:val="16"/>
              </w:rPr>
              <w:lastRenderedPageBreak/>
              <w:t>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C4407B">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Л.4</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both"/>
              <w:rPr>
                <w:rFonts w:ascii="Verdana" w:hAnsi="Verdana" w:cs="Arial"/>
                <w:sz w:val="16"/>
                <w:szCs w:val="16"/>
              </w:rPr>
            </w:pPr>
            <w:r w:rsidRPr="00EB027C">
              <w:rPr>
                <w:rFonts w:ascii="Verdana" w:hAnsi="Verdana" w:cs="Arial"/>
                <w:sz w:val="16"/>
                <w:szCs w:val="16"/>
              </w:rPr>
              <w:t>Установено е връзване на животни съгласно Приложение II, Част II, т. 1.7.5. от Регламент (EС) 2018/848 без издадено разрешение.</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Наредба № 5 от 2018 г.</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3 Критични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Начало на нов преходен период на засегнатите видове животни.</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Отнемане на сертификата за цялата дейност за не по-малко от 6 месеца от установяване на нарушението.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C4407B">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Л.5</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подрязването на опашката при овцете, подрязване на човката, обезроговяване, съгласно Приложение II, Част II, т. 1.7.8. от Регламент (EС) 2018/848 без издадено разрешение.</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Наредба № 5 от 2018 г.</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3. Критични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Налагане на забрана за пускане на пазара на продукти с позоваване на биологично производство за определен период в съответствие с чл. 42, параграф 2 от Регламент (ЕС) 2018/848.</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Начало на нов преходен период на засегнатите видове животни.</w:t>
            </w:r>
          </w:p>
        </w:tc>
        <w:tc>
          <w:tcPr>
            <w:tcW w:w="104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Отнемане на сертификата за не по-малко от 6 месеца от установяване на нарушението.</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C4407B">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Л.6</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въвеждането на уловени диви животни или отгледани по небиологичен начин аквакултурни животни съгласно изискванията, посочени в Приложение II, Част III, т. 3.1.2.1., буква „г“ от Регламент (EС) 2018/848 без издадено разрешение.</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Наредба № 5 от 2018 г.</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3 Критични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Налагане на забрана за пускане на пазара на продукти с позоваване на биологично производство за определен период в съответствие с чл. 42, параграф 2 от Регламент (ЕС) 2018/848.</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Начало на нов преходен период на засегнатите видове животни.</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Отнемане на сертификата за не по-малко от 6 месеца от установяване на нарушението.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Осъществяване на засилен контрол чрез допълнителни инспекции в съотве</w:t>
            </w:r>
            <w:r w:rsidR="00C4407B">
              <w:rPr>
                <w:rFonts w:ascii="Verdana" w:hAnsi="Verdana" w:cs="Arial"/>
                <w:sz w:val="16"/>
                <w:szCs w:val="16"/>
              </w:rPr>
              <w:t>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Л.7</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Установено е използването на небиологични земеделски съставки за преработени биологични храни, съгласно чл. 25 от Регламент (EС) 2018/848 без издадено разрешение. </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Наредба № 5 от 2018 г.</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3 Критични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сертификата по отношение на засегнатите видове животни за не по-малко от 3 месеца от установяване на нарушението.</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Начало на нов преходен период на засегнатите видове животни.</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Отнемане на сертификата за не по-малко от 6 месеца от установяване на нарушението.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C4407B">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Л.8</w:t>
            </w:r>
          </w:p>
        </w:tc>
        <w:tc>
          <w:tcPr>
            <w:tcW w:w="732"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използването на небиологични земеделски съставки за преработени биологични храни, съгласно чл. 25 от Регламент (EС) 2018/848 извън срока на издаденото разрешение.</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Наредба № 5 от 2018 г.</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3 Критични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Начало на нов преходен период на засегнатите видове животни.</w:t>
            </w:r>
          </w:p>
        </w:tc>
        <w:tc>
          <w:tcPr>
            <w:tcW w:w="104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Отнемане на сертификата за не по-малко от 6 месеца от установяване на нарушението.</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C4407B">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Контролиращото лице прилага изискванията на </w:t>
            </w:r>
            <w:r w:rsidRPr="00EB027C">
              <w:rPr>
                <w:rFonts w:ascii="Verdana" w:hAnsi="Verdana" w:cs="Arial"/>
                <w:sz w:val="16"/>
                <w:szCs w:val="16"/>
              </w:rPr>
              <w:lastRenderedPageBreak/>
              <w:t>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Л.9</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djustRightInd/>
              <w:spacing w:after="60"/>
              <w:rPr>
                <w:rFonts w:ascii="Verdana" w:hAnsi="Verdana" w:cs="Arial"/>
                <w:sz w:val="16"/>
                <w:szCs w:val="16"/>
              </w:rPr>
            </w:pPr>
            <w:r w:rsidRPr="00EB027C">
              <w:rPr>
                <w:rFonts w:ascii="Verdana" w:hAnsi="Verdana" w:cs="Arial"/>
                <w:sz w:val="16"/>
                <w:szCs w:val="16"/>
              </w:rPr>
              <w:t>Установено е използването на небиологичен растителен репродуктивен материал за индивидуални оператори съгласно т. 1.8.5.1. от Част I от Приложение II към Регламент (ЕС) 2018/848. без издадено разрешение.</w:t>
            </w:r>
          </w:p>
          <w:p w:rsidR="00EB027C" w:rsidRPr="00EB027C" w:rsidRDefault="00EB027C" w:rsidP="00EB027C">
            <w:pPr>
              <w:widowControl/>
              <w:autoSpaceDE/>
              <w:autoSpaceDN/>
              <w:adjustRightInd/>
              <w:spacing w:after="60"/>
              <w:rPr>
                <w:rFonts w:ascii="Verdana" w:hAnsi="Verdana" w:cs="Arial"/>
                <w:sz w:val="16"/>
                <w:szCs w:val="16"/>
              </w:rPr>
            </w:pP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Наредба № 5 от 2018 г.</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3 Критични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Начало на нов преходен период на засегнатите площи.</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Отнемане на сертификата за цялата дейност за не по-малко от 6 месеца от установяване на нарушението.</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Начало на нов преходен период за цялото стопанство.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инспекции в </w:t>
            </w:r>
            <w:r w:rsidR="00C4407B">
              <w:rPr>
                <w:rFonts w:ascii="Verdana" w:hAnsi="Verdana" w:cs="Arial"/>
                <w:sz w:val="16"/>
                <w:szCs w:val="16"/>
              </w:rPr>
              <w:t>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Л.10</w:t>
            </w:r>
          </w:p>
        </w:tc>
        <w:tc>
          <w:tcPr>
            <w:tcW w:w="732" w:type="pct"/>
            <w:tcBorders>
              <w:top w:val="single" w:sz="4" w:space="0" w:color="auto"/>
              <w:left w:val="single" w:sz="4" w:space="0" w:color="auto"/>
              <w:bottom w:val="single" w:sz="4" w:space="0" w:color="auto"/>
              <w:right w:val="single" w:sz="4" w:space="0" w:color="auto"/>
            </w:tcBorders>
            <w:shd w:val="clear" w:color="auto" w:fill="auto"/>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Установено е използването на третиран небиологичен растителен репродуктивен материал</w:t>
            </w:r>
          </w:p>
        </w:tc>
        <w:tc>
          <w:tcPr>
            <w:tcW w:w="643" w:type="pct"/>
            <w:tcBorders>
              <w:top w:val="single" w:sz="4" w:space="0" w:color="auto"/>
              <w:left w:val="single" w:sz="4" w:space="0" w:color="auto"/>
              <w:bottom w:val="single" w:sz="4" w:space="0" w:color="auto"/>
              <w:right w:val="single" w:sz="4" w:space="0" w:color="auto"/>
            </w:tcBorders>
            <w:shd w:val="clear" w:color="auto" w:fill="auto"/>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т. 1.8.5.3. от Част I от Приложение II към Регламент (ЕС) 2018/848.</w:t>
            </w:r>
          </w:p>
        </w:tc>
        <w:tc>
          <w:tcPr>
            <w:tcW w:w="597" w:type="pct"/>
            <w:tcBorders>
              <w:top w:val="single" w:sz="4" w:space="0" w:color="auto"/>
              <w:left w:val="single" w:sz="4" w:space="0" w:color="auto"/>
              <w:bottom w:val="single" w:sz="4" w:space="0" w:color="auto"/>
              <w:right w:val="single" w:sz="4" w:space="0" w:color="auto"/>
            </w:tcBorders>
            <w:shd w:val="clear" w:color="000000" w:fill="FFFFFF"/>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3 Критични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Начало на нов преходен период на засегнатите площи.</w:t>
            </w:r>
          </w:p>
        </w:tc>
        <w:tc>
          <w:tcPr>
            <w:tcW w:w="1044" w:type="pct"/>
            <w:tcBorders>
              <w:top w:val="single" w:sz="4" w:space="0" w:color="auto"/>
              <w:left w:val="single" w:sz="4" w:space="0" w:color="auto"/>
              <w:bottom w:val="single" w:sz="4" w:space="0" w:color="auto"/>
              <w:right w:val="single" w:sz="4" w:space="0" w:color="auto"/>
            </w:tcBorders>
            <w:shd w:val="clear" w:color="000000" w:fill="FFFFFF"/>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Отнемане на сертификата за цялата дейност за не по-малко от 6 месеца от установяване на нарушението.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Начало на нов преходен период за цялото стопанство.</w:t>
            </w:r>
          </w:p>
        </w:tc>
        <w:tc>
          <w:tcPr>
            <w:tcW w:w="824" w:type="pct"/>
            <w:tcBorders>
              <w:top w:val="single" w:sz="4" w:space="0" w:color="auto"/>
              <w:left w:val="single" w:sz="4" w:space="0" w:color="auto"/>
              <w:bottom w:val="single" w:sz="4" w:space="0" w:color="auto"/>
              <w:right w:val="single" w:sz="4" w:space="0" w:color="auto"/>
            </w:tcBorders>
            <w:shd w:val="clear" w:color="000000" w:fill="FFFFFF"/>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C4407B">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Л.11</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Установено използването на небиологични протеинови фуражи за домашни птици и свине в нарушение на изискванията на т. 1.9.3.1., буква „в“ и т. 1.9.4.2., буква „в“ от Част II на Приложение II от Регламент (ЕС) </w:t>
            </w:r>
            <w:r w:rsidRPr="00EB027C">
              <w:rPr>
                <w:rFonts w:ascii="Verdana" w:hAnsi="Verdana" w:cs="Arial"/>
                <w:sz w:val="16"/>
                <w:szCs w:val="16"/>
              </w:rPr>
              <w:lastRenderedPageBreak/>
              <w:t>2018/848 без издадено разрешение.</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Наредба № 5 от 2018 г.</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3 Критични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Ограничаване на засегнатите видове животни в сертификата за не по-малко от 6 месеца от установяване на нарушението.</w:t>
            </w:r>
          </w:p>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lastRenderedPageBreak/>
              <w:t>Начало на нов преходен период на засегнатите видове животни.</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Отнемане на сертификата за не по-малко от 6 месеца от установяване на нарушението.</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Начало на нов преходен период за цялото стопанство.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C4407B">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Контролиращото лице прилага изискванията на чл. 57 от Наредба № 5 от 2018 г.</w:t>
            </w:r>
          </w:p>
        </w:tc>
      </w:tr>
      <w:tr w:rsidR="00E756C5" w:rsidRPr="00EB027C" w:rsidTr="0008305C">
        <w:trPr>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Л.12</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Операторът не съхранява документацията за издадените разрешения от компетентния орган и контролиращите лица в нормативно определения срок от 5 години.</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Чл. 2, ал. 5 от Наредба № 5 от 2018 г.</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1 Незначителни нарушения</w:t>
            </w:r>
          </w:p>
        </w:tc>
        <w:tc>
          <w:tcPr>
            <w:tcW w:w="930"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120"/>
              <w:rPr>
                <w:rFonts w:ascii="Verdana" w:hAnsi="Verdana" w:cs="Arial"/>
                <w:sz w:val="16"/>
                <w:szCs w:val="16"/>
              </w:rPr>
            </w:pPr>
            <w:r w:rsidRPr="00EB027C">
              <w:rPr>
                <w:rFonts w:ascii="Verdana" w:hAnsi="Verdana" w:cs="Arial"/>
                <w:sz w:val="16"/>
                <w:szCs w:val="16"/>
              </w:rPr>
              <w:t>Представяне от оператора на необходимата информация и/или план за действие в срока, определен за отстраняване на несъответствието.</w:t>
            </w:r>
          </w:p>
        </w:tc>
        <w:tc>
          <w:tcPr>
            <w:tcW w:w="104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Подобряване на изпълнението на предпазните мерки и контрола, въведени от оператора с цел гарантиране на съответствие.</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Неприложимо</w:t>
            </w:r>
          </w:p>
        </w:tc>
      </w:tr>
      <w:tr w:rsidR="00EB027C" w:rsidRPr="00EB027C" w:rsidTr="00E756C5">
        <w:trPr>
          <w:trHeight w:val="397"/>
          <w:jc w:val="center"/>
        </w:trPr>
        <w:tc>
          <w:tcPr>
            <w:tcW w:w="5000" w:type="pct"/>
            <w:gridSpan w:val="7"/>
            <w:tcBorders>
              <w:top w:val="single" w:sz="4" w:space="0" w:color="auto"/>
              <w:left w:val="single" w:sz="4" w:space="0" w:color="auto"/>
              <w:bottom w:val="single" w:sz="4" w:space="0" w:color="auto"/>
              <w:right w:val="single" w:sz="4" w:space="0" w:color="000000"/>
            </w:tcBorders>
            <w:shd w:val="clear" w:color="000000" w:fill="B4C6E7"/>
            <w:vAlign w:val="center"/>
            <w:hideMark/>
          </w:tcPr>
          <w:p w:rsidR="00EB027C" w:rsidRPr="00EB027C" w:rsidRDefault="00EB027C" w:rsidP="00EB027C">
            <w:pPr>
              <w:widowControl/>
              <w:autoSpaceDE/>
              <w:autoSpaceDN/>
              <w:adjustRightInd/>
              <w:jc w:val="center"/>
              <w:rPr>
                <w:rFonts w:ascii="Verdana" w:hAnsi="Verdana" w:cs="Arial"/>
                <w:b/>
                <w:bCs/>
                <w:sz w:val="16"/>
                <w:szCs w:val="16"/>
              </w:rPr>
            </w:pPr>
            <w:r w:rsidRPr="00EB027C">
              <w:rPr>
                <w:rFonts w:ascii="Verdana" w:hAnsi="Verdana" w:cs="Arial"/>
                <w:b/>
                <w:bCs/>
                <w:sz w:val="16"/>
                <w:szCs w:val="16"/>
              </w:rPr>
              <w:t>М. НЕСЪОТВЕТСТВИЯ, СВЪРЗАНИ С ВЪЗПРЕПЯТСТВАНЕ НА КОНТРОЛНАТА ДЕЙНОСТ</w:t>
            </w:r>
          </w:p>
        </w:tc>
      </w:tr>
      <w:tr w:rsidR="00E756C5" w:rsidRPr="00EB027C" w:rsidTr="0008305C">
        <w:trPr>
          <w:trHeight w:val="20"/>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М.1</w:t>
            </w:r>
          </w:p>
        </w:tc>
        <w:tc>
          <w:tcPr>
            <w:tcW w:w="732"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Операторът отказва да предостави достъп до всички части на производствената единица.</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Чл. 15, параграфи 1 и 2 от Регламент (ЕС) 2017/625</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3 Критични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Налагане на забрана за пускане на пазара на продукти с позоваване на биологично производство за определен период в съответствие с чл. 42, параграф 2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Отнемане на сертификата за не по-малко от 6 месеца от установяване на нарушението.</w:t>
            </w:r>
          </w:p>
        </w:tc>
        <w:tc>
          <w:tcPr>
            <w:tcW w:w="104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Неприложимо</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C4407B">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r w:rsidR="00E756C5" w:rsidRPr="00EB027C" w:rsidTr="0008305C">
        <w:trPr>
          <w:trHeight w:val="20"/>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t>М.2</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Операторът отказва да предостави достъп до счетоводната документация.</w:t>
            </w:r>
          </w:p>
        </w:tc>
        <w:tc>
          <w:tcPr>
            <w:tcW w:w="643"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Чл. 15, параграф 1 букви „б“ и „г“ от Регламент (ЕС) 2017/625</w:t>
            </w:r>
          </w:p>
        </w:tc>
        <w:tc>
          <w:tcPr>
            <w:tcW w:w="597"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3 Критични нарушения</w:t>
            </w:r>
          </w:p>
        </w:tc>
        <w:tc>
          <w:tcPr>
            <w:tcW w:w="9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Налагане на забрана за пускане на пазара на продукти с позоваване на биологично производство за определен </w:t>
            </w:r>
            <w:r w:rsidRPr="00EB027C">
              <w:rPr>
                <w:rFonts w:ascii="Verdana" w:hAnsi="Verdana" w:cs="Arial"/>
                <w:sz w:val="16"/>
                <w:szCs w:val="16"/>
              </w:rPr>
              <w:lastRenderedPageBreak/>
              <w:t>период в съответствие с чл. 42, параграф 2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Отнемане на сертификата за не по-малко от 6 месеца от установяване на нарушението.</w:t>
            </w:r>
          </w:p>
        </w:tc>
        <w:tc>
          <w:tcPr>
            <w:tcW w:w="104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Неприложимо</w:t>
            </w:r>
          </w:p>
        </w:tc>
        <w:tc>
          <w:tcPr>
            <w:tcW w:w="824" w:type="pct"/>
            <w:tcBorders>
              <w:top w:val="single" w:sz="4" w:space="0" w:color="auto"/>
              <w:left w:val="single" w:sz="4" w:space="0" w:color="auto"/>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C4407B">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lastRenderedPageBreak/>
              <w:t>Контролиращото лице прилага изискванията на чл. 57 от Наредба № 5 от 2018 г.</w:t>
            </w:r>
          </w:p>
        </w:tc>
      </w:tr>
      <w:tr w:rsidR="00E756C5" w:rsidRPr="00EB027C" w:rsidTr="0008305C">
        <w:trPr>
          <w:trHeight w:val="20"/>
          <w:jc w:val="center"/>
        </w:trPr>
        <w:tc>
          <w:tcPr>
            <w:tcW w:w="230" w:type="pct"/>
            <w:tcBorders>
              <w:top w:val="single" w:sz="4" w:space="0" w:color="auto"/>
              <w:left w:val="single" w:sz="4" w:space="0" w:color="auto"/>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jc w:val="center"/>
              <w:rPr>
                <w:rFonts w:ascii="Verdana" w:hAnsi="Verdana" w:cs="Arial"/>
                <w:sz w:val="16"/>
                <w:szCs w:val="16"/>
              </w:rPr>
            </w:pPr>
            <w:r w:rsidRPr="00EB027C">
              <w:rPr>
                <w:rFonts w:ascii="Verdana" w:hAnsi="Verdana" w:cs="Arial"/>
                <w:sz w:val="16"/>
                <w:szCs w:val="16"/>
              </w:rPr>
              <w:lastRenderedPageBreak/>
              <w:t>М.3</w:t>
            </w:r>
          </w:p>
        </w:tc>
        <w:tc>
          <w:tcPr>
            <w:tcW w:w="732"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Операторът отказва да му бъде взета проба от контролиращото лице.</w:t>
            </w:r>
          </w:p>
        </w:tc>
        <w:tc>
          <w:tcPr>
            <w:tcW w:w="643"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Чл. 15, параграф 2 от Регламент (ЕС) 2017/625, чл. 7 от Регламент (ЕС) 2021/279</w:t>
            </w:r>
          </w:p>
        </w:tc>
        <w:tc>
          <w:tcPr>
            <w:tcW w:w="597"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3 Критични нарушения</w:t>
            </w:r>
          </w:p>
        </w:tc>
        <w:tc>
          <w:tcPr>
            <w:tcW w:w="930" w:type="pct"/>
            <w:tcBorders>
              <w:top w:val="single" w:sz="4" w:space="0" w:color="auto"/>
              <w:left w:val="nil"/>
              <w:bottom w:val="single" w:sz="4" w:space="0" w:color="auto"/>
              <w:right w:val="single" w:sz="4" w:space="0" w:color="auto"/>
            </w:tcBorders>
            <w:shd w:val="clear" w:color="auto" w:fill="auto"/>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Премахване на позоваването на биологично производство при етикетирането и рекламирането на цялата засегната партида или продукция [засегната(-ите) култура(-и) или животно(-и)] в съответствие с чл. 42, параграф 1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Налагане на забрана за пускане на пазара на продукти с позоваване на биологично производство за определен период в съответствие с чл. 42, параграф 2 от Регламент (ЕС) 2018/848.</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Отнемане на сертификата за не по-малко от 6 месеца от установяване на нарушението.</w:t>
            </w:r>
          </w:p>
        </w:tc>
        <w:tc>
          <w:tcPr>
            <w:tcW w:w="104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Неприложимо</w:t>
            </w:r>
          </w:p>
        </w:tc>
        <w:tc>
          <w:tcPr>
            <w:tcW w:w="824" w:type="pct"/>
            <w:tcBorders>
              <w:top w:val="single" w:sz="4" w:space="0" w:color="auto"/>
              <w:left w:val="nil"/>
              <w:bottom w:val="single" w:sz="4" w:space="0" w:color="auto"/>
              <w:right w:val="single" w:sz="4" w:space="0" w:color="auto"/>
            </w:tcBorders>
            <w:shd w:val="clear" w:color="000000" w:fill="FFFFFF"/>
            <w:hideMark/>
          </w:tcPr>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Одобряване на изпълнението на предпазните мерки и контрола, въведени от оператора с цел гарантиране на съответствие.</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 xml:space="preserve">Осъществяване на засилен контрол чрез допълнителни </w:t>
            </w:r>
            <w:r w:rsidR="00C4407B">
              <w:rPr>
                <w:rFonts w:ascii="Verdana" w:hAnsi="Verdana" w:cs="Arial"/>
                <w:sz w:val="16"/>
                <w:szCs w:val="16"/>
              </w:rPr>
              <w:t>инспекции в съответната година.</w:t>
            </w:r>
          </w:p>
          <w:p w:rsidR="00EB027C" w:rsidRPr="00EB027C" w:rsidRDefault="00EB027C" w:rsidP="00EB027C">
            <w:pPr>
              <w:widowControl/>
              <w:autoSpaceDE/>
              <w:autoSpaceDN/>
              <w:adjustRightInd/>
              <w:spacing w:after="60"/>
              <w:rPr>
                <w:rFonts w:ascii="Verdana" w:hAnsi="Verdana" w:cs="Arial"/>
                <w:sz w:val="16"/>
                <w:szCs w:val="16"/>
              </w:rPr>
            </w:pPr>
            <w:r w:rsidRPr="00EB027C">
              <w:rPr>
                <w:rFonts w:ascii="Verdana" w:hAnsi="Verdana" w:cs="Arial"/>
                <w:sz w:val="16"/>
                <w:szCs w:val="16"/>
              </w:rPr>
              <w:t>Контролиращото лице прилага изискванията на чл. 57 от Наредба № 5 от 2018 г.</w:t>
            </w:r>
          </w:p>
        </w:tc>
      </w:tr>
    </w:tbl>
    <w:p w:rsidR="00CC41D3" w:rsidRDefault="00CC41D3" w:rsidP="00A857FE">
      <w:pPr>
        <w:tabs>
          <w:tab w:val="left" w:pos="1134"/>
        </w:tabs>
        <w:spacing w:line="360" w:lineRule="auto"/>
        <w:jc w:val="both"/>
        <w:rPr>
          <w:rFonts w:ascii="Verdana" w:hAnsi="Verdana" w:cs="TimokCYR"/>
        </w:rPr>
      </w:pPr>
    </w:p>
    <w:p w:rsidR="00CC41D3" w:rsidRDefault="00CC41D3" w:rsidP="003263FF">
      <w:pPr>
        <w:tabs>
          <w:tab w:val="left" w:pos="1134"/>
        </w:tabs>
        <w:spacing w:line="360" w:lineRule="auto"/>
        <w:ind w:firstLine="709"/>
        <w:jc w:val="both"/>
        <w:rPr>
          <w:rFonts w:ascii="Verdana" w:hAnsi="Verdana" w:cs="TimokCYR"/>
        </w:rPr>
      </w:pPr>
    </w:p>
    <w:p w:rsidR="00CC41D3" w:rsidRDefault="00CC41D3" w:rsidP="003263FF">
      <w:pPr>
        <w:tabs>
          <w:tab w:val="left" w:pos="1134"/>
        </w:tabs>
        <w:spacing w:line="360" w:lineRule="auto"/>
        <w:ind w:firstLine="709"/>
        <w:jc w:val="both"/>
        <w:rPr>
          <w:rFonts w:ascii="Verdana" w:hAnsi="Verdana" w:cs="TimokCYR"/>
        </w:rPr>
        <w:sectPr w:rsidR="00CC41D3" w:rsidSect="00343031">
          <w:pgSz w:w="16840" w:h="11907" w:orient="landscape" w:code="9"/>
          <w:pgMar w:top="1418" w:right="1021" w:bottom="567" w:left="1134" w:header="709" w:footer="709" w:gutter="0"/>
          <w:cols w:space="708"/>
          <w:docGrid w:linePitch="360"/>
        </w:sectPr>
      </w:pPr>
    </w:p>
    <w:p w:rsidR="00CC41D3" w:rsidRPr="00854A2B" w:rsidRDefault="00CC41D3" w:rsidP="00CC41D3">
      <w:pPr>
        <w:tabs>
          <w:tab w:val="left" w:pos="1134"/>
        </w:tabs>
        <w:spacing w:line="360" w:lineRule="auto"/>
        <w:ind w:firstLine="709"/>
        <w:rPr>
          <w:rFonts w:ascii="Verdana" w:hAnsi="Verdana" w:cs="TimokCYR"/>
        </w:rPr>
      </w:pPr>
    </w:p>
    <w:p w:rsidR="00CC41D3" w:rsidRDefault="00CC41D3" w:rsidP="00CC41D3">
      <w:pPr>
        <w:tabs>
          <w:tab w:val="left" w:pos="1134"/>
        </w:tabs>
        <w:spacing w:line="360" w:lineRule="auto"/>
        <w:ind w:firstLine="720"/>
        <w:jc w:val="both"/>
        <w:rPr>
          <w:rFonts w:ascii="Verdana" w:hAnsi="Verdana" w:cs="TimokCYR"/>
        </w:rPr>
      </w:pPr>
      <w:r w:rsidRPr="00BF1AC1">
        <w:rPr>
          <w:rFonts w:ascii="Verdana" w:hAnsi="Verdana" w:cs="TimokCYR"/>
          <w:b/>
        </w:rPr>
        <w:t>§ 2</w:t>
      </w:r>
      <w:r w:rsidR="00BC2611">
        <w:rPr>
          <w:rFonts w:ascii="Verdana" w:hAnsi="Verdana" w:cs="TimokCYR"/>
          <w:b/>
        </w:rPr>
        <w:t>5</w:t>
      </w:r>
      <w:r w:rsidRPr="00BF1AC1">
        <w:rPr>
          <w:rFonts w:ascii="Verdana" w:hAnsi="Verdana" w:cs="TimokCYR"/>
          <w:b/>
        </w:rPr>
        <w:t>.</w:t>
      </w:r>
      <w:r w:rsidRPr="00BF1AC1">
        <w:rPr>
          <w:rFonts w:ascii="Verdana" w:hAnsi="Verdana" w:cs="TimokCYR"/>
        </w:rPr>
        <w:t xml:space="preserve"> </w:t>
      </w:r>
      <w:r w:rsidRPr="004F352F">
        <w:rPr>
          <w:rFonts w:ascii="Verdana" w:hAnsi="Verdana" w:cs="TimokCYR"/>
        </w:rPr>
        <w:t>В останалите текстове на наредбата думите „Министерството на земеделието“, „министърът на земеделието“ и „министъра на земеделието“ се заменят съответно с „Министерството на земеделието и храните“, „министърът на земеделието и храните“ и „министъра на земеделието и храните“, а абревиатурата „МЗм“ се заменя с „МЗХ“.</w:t>
      </w:r>
    </w:p>
    <w:p w:rsidR="00CC41D3" w:rsidRDefault="00CC41D3" w:rsidP="00CC41D3">
      <w:pPr>
        <w:tabs>
          <w:tab w:val="left" w:pos="1134"/>
        </w:tabs>
        <w:spacing w:line="360" w:lineRule="auto"/>
        <w:ind w:firstLine="720"/>
        <w:jc w:val="both"/>
        <w:rPr>
          <w:rFonts w:ascii="Verdana" w:hAnsi="Verdana" w:cs="TimokCYR"/>
          <w:highlight w:val="yellow"/>
        </w:rPr>
      </w:pPr>
    </w:p>
    <w:p w:rsidR="00BC2611" w:rsidRPr="00BC2611" w:rsidRDefault="00BC2611" w:rsidP="008C5484">
      <w:pPr>
        <w:tabs>
          <w:tab w:val="left" w:pos="1134"/>
        </w:tabs>
        <w:spacing w:line="360" w:lineRule="auto"/>
        <w:ind w:firstLine="720"/>
        <w:jc w:val="center"/>
        <w:rPr>
          <w:rFonts w:ascii="Verdana" w:hAnsi="Verdana" w:cs="TimokCYR"/>
          <w:b/>
          <w:highlight w:val="yellow"/>
        </w:rPr>
      </w:pPr>
      <w:r>
        <w:rPr>
          <w:rFonts w:ascii="Verdana" w:hAnsi="Verdana" w:cs="TimokCYR"/>
          <w:b/>
        </w:rPr>
        <w:t>Заключителна разпоредба</w:t>
      </w:r>
    </w:p>
    <w:p w:rsidR="00BC2611" w:rsidRPr="00401DBA" w:rsidRDefault="00BC2611" w:rsidP="00CC41D3">
      <w:pPr>
        <w:tabs>
          <w:tab w:val="left" w:pos="1134"/>
        </w:tabs>
        <w:spacing w:line="360" w:lineRule="auto"/>
        <w:ind w:firstLine="720"/>
        <w:jc w:val="both"/>
        <w:rPr>
          <w:rFonts w:ascii="Verdana" w:hAnsi="Verdana" w:cs="TimokCYR"/>
          <w:highlight w:val="yellow"/>
        </w:rPr>
      </w:pPr>
    </w:p>
    <w:p w:rsidR="00CC41D3" w:rsidRPr="00B757CC" w:rsidRDefault="00CC41D3" w:rsidP="00CC41D3">
      <w:pPr>
        <w:tabs>
          <w:tab w:val="left" w:pos="1134"/>
        </w:tabs>
        <w:spacing w:line="360" w:lineRule="auto"/>
        <w:ind w:firstLine="720"/>
        <w:jc w:val="both"/>
        <w:rPr>
          <w:rFonts w:ascii="Verdana" w:hAnsi="Verdana"/>
        </w:rPr>
      </w:pPr>
      <w:r w:rsidRPr="00BF1AC1">
        <w:rPr>
          <w:rFonts w:ascii="Verdana" w:hAnsi="Verdana" w:cs="TimokCYR"/>
          <w:b/>
        </w:rPr>
        <w:t>§ 2</w:t>
      </w:r>
      <w:r w:rsidR="00C409A3">
        <w:rPr>
          <w:rFonts w:ascii="Verdana" w:hAnsi="Verdana" w:cs="TimokCYR"/>
          <w:b/>
          <w:lang w:val="en-US"/>
        </w:rPr>
        <w:t>6</w:t>
      </w:r>
      <w:r w:rsidRPr="00BF1AC1">
        <w:rPr>
          <w:rFonts w:ascii="Verdana" w:hAnsi="Verdana" w:cs="TimokCYR"/>
          <w:b/>
        </w:rPr>
        <w:t xml:space="preserve">. </w:t>
      </w:r>
      <w:r w:rsidRPr="003F0BAC">
        <w:rPr>
          <w:rFonts w:ascii="Verdana" w:hAnsi="Verdana" w:cs="TimokCYR"/>
        </w:rPr>
        <w:t>Наредбата влиза в сила 2 месеца след обнародването ѝ в „Държаве</w:t>
      </w:r>
      <w:r w:rsidR="00B16C41">
        <w:rPr>
          <w:rFonts w:ascii="Verdana" w:hAnsi="Verdana" w:cs="TimokCYR"/>
        </w:rPr>
        <w:t>н вестник“, с изключение на § 24</w:t>
      </w:r>
      <w:r w:rsidRPr="003F0BAC">
        <w:rPr>
          <w:rFonts w:ascii="Verdana" w:hAnsi="Verdana" w:cs="TimokCYR"/>
        </w:rPr>
        <w:t>, който влиза в сила от 01.01.2025 г.</w:t>
      </w:r>
    </w:p>
    <w:p w:rsidR="00CC41D3" w:rsidRPr="00B757CC" w:rsidRDefault="00CC41D3" w:rsidP="00CC41D3">
      <w:pPr>
        <w:spacing w:line="360" w:lineRule="auto"/>
        <w:rPr>
          <w:rFonts w:ascii="Verdana" w:hAnsi="Verdana"/>
        </w:rPr>
      </w:pPr>
    </w:p>
    <w:p w:rsidR="00CC41D3" w:rsidRDefault="00CC41D3" w:rsidP="00CC41D3">
      <w:pPr>
        <w:spacing w:line="360" w:lineRule="auto"/>
        <w:jc w:val="both"/>
        <w:rPr>
          <w:rFonts w:ascii="Verdana" w:eastAsiaTheme="minorEastAsia" w:hAnsi="Verdana"/>
          <w:bCs/>
          <w:caps/>
          <w:lang w:eastAsia="en-US"/>
        </w:rPr>
      </w:pPr>
    </w:p>
    <w:p w:rsidR="00CC41D3" w:rsidRPr="00B757CC" w:rsidRDefault="00CC41D3" w:rsidP="00CC41D3">
      <w:pPr>
        <w:spacing w:line="360" w:lineRule="auto"/>
        <w:jc w:val="both"/>
        <w:rPr>
          <w:rFonts w:ascii="Verdana" w:eastAsiaTheme="minorEastAsia" w:hAnsi="Verdana"/>
          <w:bCs/>
          <w:caps/>
          <w:lang w:eastAsia="en-US"/>
        </w:rPr>
      </w:pPr>
    </w:p>
    <w:p w:rsidR="00CC41D3" w:rsidRPr="00CA35D5" w:rsidRDefault="00CC41D3" w:rsidP="00CC41D3">
      <w:pPr>
        <w:spacing w:line="360" w:lineRule="auto"/>
        <w:jc w:val="both"/>
        <w:rPr>
          <w:rFonts w:ascii="Verdana" w:eastAsiaTheme="minorEastAsia" w:hAnsi="Verdana"/>
          <w:b/>
          <w:bCs/>
          <w:caps/>
          <w:lang w:eastAsia="en-US"/>
        </w:rPr>
      </w:pPr>
      <w:r>
        <w:rPr>
          <w:rFonts w:ascii="Verdana" w:eastAsiaTheme="minorEastAsia" w:hAnsi="Verdana"/>
          <w:b/>
          <w:bCs/>
          <w:caps/>
          <w:lang w:eastAsia="en-US"/>
        </w:rPr>
        <w:t>Д-Р ГЕОРГИ ТАХОВ</w:t>
      </w:r>
    </w:p>
    <w:p w:rsidR="00CC41D3" w:rsidRDefault="00CC41D3" w:rsidP="00CC41D3">
      <w:pPr>
        <w:shd w:val="clear" w:color="auto" w:fill="FFFFFF"/>
        <w:spacing w:line="360" w:lineRule="auto"/>
        <w:jc w:val="both"/>
        <w:rPr>
          <w:rFonts w:ascii="Verdana" w:eastAsiaTheme="minorEastAsia" w:hAnsi="Verdana"/>
          <w:i/>
          <w:shd w:val="clear" w:color="auto" w:fill="FEFEFE"/>
          <w:lang w:eastAsia="en-US"/>
        </w:rPr>
      </w:pPr>
      <w:r w:rsidRPr="00CA35D5">
        <w:rPr>
          <w:rFonts w:ascii="Verdana" w:eastAsiaTheme="minorEastAsia" w:hAnsi="Verdana"/>
          <w:i/>
          <w:shd w:val="clear" w:color="auto" w:fill="FEFEFE"/>
          <w:lang w:eastAsia="en-US"/>
        </w:rPr>
        <w:t>Министър на земеделието</w:t>
      </w:r>
      <w:r>
        <w:rPr>
          <w:rFonts w:ascii="Verdana" w:eastAsiaTheme="minorEastAsia" w:hAnsi="Verdana"/>
          <w:i/>
          <w:shd w:val="clear" w:color="auto" w:fill="FEFEFE"/>
          <w:lang w:eastAsia="en-US"/>
        </w:rPr>
        <w:t xml:space="preserve"> и храните</w:t>
      </w:r>
    </w:p>
    <w:p w:rsidR="00CC41D3" w:rsidRDefault="00CC41D3" w:rsidP="00CC41D3">
      <w:pPr>
        <w:shd w:val="clear" w:color="auto" w:fill="FFFFFF"/>
        <w:spacing w:line="360" w:lineRule="auto"/>
        <w:jc w:val="both"/>
        <w:rPr>
          <w:rFonts w:ascii="Verdana" w:eastAsiaTheme="minorEastAsia" w:hAnsi="Verdana"/>
          <w:shd w:val="clear" w:color="auto" w:fill="FEFEFE"/>
          <w:lang w:eastAsia="en-US"/>
        </w:rPr>
      </w:pPr>
      <w:bookmarkStart w:id="1" w:name="_GoBack"/>
      <w:bookmarkEnd w:id="1"/>
    </w:p>
    <w:sectPr w:rsidR="00CC41D3" w:rsidSect="0081328F">
      <w:pgSz w:w="11907" w:h="16840" w:code="9"/>
      <w:pgMar w:top="1134" w:right="1134"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E08" w:rsidRDefault="00E70E08" w:rsidP="00A75A54">
      <w:r>
        <w:separator/>
      </w:r>
    </w:p>
  </w:endnote>
  <w:endnote w:type="continuationSeparator" w:id="0">
    <w:p w:rsidR="00E70E08" w:rsidRDefault="00E70E08" w:rsidP="00A75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okCYR">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4543633"/>
      <w:docPartObj>
        <w:docPartGallery w:val="Page Numbers (Bottom of Page)"/>
        <w:docPartUnique/>
      </w:docPartObj>
    </w:sdtPr>
    <w:sdtEndPr>
      <w:rPr>
        <w:rFonts w:ascii="Verdana" w:hAnsi="Verdana"/>
        <w:noProof/>
        <w:sz w:val="16"/>
        <w:szCs w:val="16"/>
      </w:rPr>
    </w:sdtEndPr>
    <w:sdtContent>
      <w:p w:rsidR="008C5484" w:rsidRPr="00483878" w:rsidRDefault="008C5484" w:rsidP="00CC41D3">
        <w:pPr>
          <w:pStyle w:val="Footer"/>
          <w:jc w:val="right"/>
          <w:rPr>
            <w:rFonts w:ascii="Verdana" w:hAnsi="Verdana"/>
            <w:noProof/>
            <w:sz w:val="16"/>
            <w:szCs w:val="16"/>
          </w:rPr>
        </w:pPr>
        <w:r w:rsidRPr="00CC41D3">
          <w:rPr>
            <w:rFonts w:ascii="Verdana" w:hAnsi="Verdana"/>
            <w:noProof/>
            <w:sz w:val="16"/>
            <w:szCs w:val="16"/>
          </w:rPr>
          <w:fldChar w:fldCharType="begin"/>
        </w:r>
        <w:r w:rsidRPr="00CC41D3">
          <w:rPr>
            <w:rFonts w:ascii="Verdana" w:hAnsi="Verdana"/>
            <w:noProof/>
            <w:sz w:val="16"/>
            <w:szCs w:val="16"/>
          </w:rPr>
          <w:instrText xml:space="preserve"> PAGE   \* MERGEFORMAT </w:instrText>
        </w:r>
        <w:r w:rsidRPr="00CC41D3">
          <w:rPr>
            <w:rFonts w:ascii="Verdana" w:hAnsi="Verdana"/>
            <w:noProof/>
            <w:sz w:val="16"/>
            <w:szCs w:val="16"/>
          </w:rPr>
          <w:fldChar w:fldCharType="separate"/>
        </w:r>
        <w:r w:rsidR="00315A38">
          <w:rPr>
            <w:rFonts w:ascii="Verdana" w:hAnsi="Verdana"/>
            <w:noProof/>
            <w:sz w:val="16"/>
            <w:szCs w:val="16"/>
          </w:rPr>
          <w:t>107</w:t>
        </w:r>
        <w:r w:rsidRPr="00CC41D3">
          <w:rPr>
            <w:rFonts w:ascii="Verdana" w:hAnsi="Verdana"/>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E08" w:rsidRDefault="00E70E08" w:rsidP="00A75A54">
      <w:r>
        <w:separator/>
      </w:r>
    </w:p>
  </w:footnote>
  <w:footnote w:type="continuationSeparator" w:id="0">
    <w:p w:rsidR="00E70E08" w:rsidRDefault="00E70E08" w:rsidP="00A75A54">
      <w:r>
        <w:continuationSeparator/>
      </w:r>
    </w:p>
  </w:footnote>
  <w:footnote w:id="1">
    <w:p w:rsidR="008C5484" w:rsidRDefault="008C5484" w:rsidP="00EB027C">
      <w:pPr>
        <w:pStyle w:val="FootnoteText"/>
      </w:pPr>
      <w:r w:rsidRPr="00506525">
        <w:rPr>
          <w:rStyle w:val="FootnoteReference"/>
        </w:rPr>
        <w:footnoteRef/>
      </w:r>
      <w:r w:rsidRPr="00506525">
        <w:t xml:space="preserve"> </w:t>
      </w:r>
      <w:r w:rsidRPr="00506525">
        <w:rPr>
          <w:rFonts w:ascii="Verdana" w:hAnsi="Verdana"/>
          <w:sz w:val="16"/>
          <w:szCs w:val="16"/>
        </w:rPr>
        <w:t>Наредба № 5 от 2018 г. за прилагане на правилата на биологично производство, етикетиране и контрол, и за издаване на разрешение за контролна дейност за спазване на правилата на биологичното производство, както и за последващ официален надзор върху контролиращите лица.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484" w:rsidRPr="003B576F" w:rsidRDefault="008C5484" w:rsidP="003B576F">
    <w:pPr>
      <w:tabs>
        <w:tab w:val="center" w:pos="4320"/>
        <w:tab w:val="right" w:pos="8640"/>
      </w:tabs>
      <w:overflowPunct w:val="0"/>
      <w:jc w:val="right"/>
      <w:textAlignment w:val="baseline"/>
      <w:rPr>
        <w:rFonts w:ascii="Verdana" w:hAnsi="Verdana"/>
        <w:sz w:val="16"/>
        <w:szCs w:val="16"/>
        <w:lang w:eastAsia="en-US"/>
      </w:rPr>
    </w:pPr>
    <w:r w:rsidRPr="003B576F">
      <w:rPr>
        <w:rFonts w:ascii="Verdana" w:hAnsi="Verdana"/>
        <w:sz w:val="16"/>
        <w:szCs w:val="16"/>
        <w:lang w:eastAsia="en-US"/>
      </w:rPr>
      <w:t>Класификация на информацията:</w:t>
    </w:r>
  </w:p>
  <w:p w:rsidR="008C5484" w:rsidRPr="003B576F" w:rsidRDefault="008C5484" w:rsidP="003B576F">
    <w:pPr>
      <w:tabs>
        <w:tab w:val="center" w:pos="4320"/>
        <w:tab w:val="right" w:pos="8640"/>
      </w:tabs>
      <w:overflowPunct w:val="0"/>
      <w:jc w:val="right"/>
      <w:textAlignment w:val="baseline"/>
      <w:rPr>
        <w:rFonts w:ascii="Verdana" w:hAnsi="Verdana"/>
        <w:sz w:val="16"/>
        <w:szCs w:val="16"/>
        <w:lang w:val="en-US" w:eastAsia="en-US"/>
      </w:rPr>
    </w:pPr>
    <w:r w:rsidRPr="003B576F">
      <w:rPr>
        <w:rFonts w:ascii="Verdana" w:hAnsi="Verdana"/>
        <w:sz w:val="16"/>
        <w:szCs w:val="16"/>
        <w:lang w:eastAsia="en-US"/>
      </w:rPr>
      <w:t>Ниво 0, TLP-WHITE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0DCD"/>
    <w:multiLevelType w:val="hybridMultilevel"/>
    <w:tmpl w:val="B21678F6"/>
    <w:lvl w:ilvl="0" w:tplc="8504862C">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02081EA8"/>
    <w:multiLevelType w:val="hybridMultilevel"/>
    <w:tmpl w:val="C3A8AF44"/>
    <w:lvl w:ilvl="0" w:tplc="2ED629BC">
      <w:start w:val="1"/>
      <w:numFmt w:val="decimal"/>
      <w:lvlText w:val="%1."/>
      <w:lvlJc w:val="left"/>
      <w:pPr>
        <w:ind w:left="1210" w:hanging="360"/>
      </w:pPr>
      <w:rPr>
        <w:rFonts w:hint="default"/>
        <w:b w:val="0"/>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 w15:restartNumberingAfterBreak="0">
    <w:nsid w:val="026D4910"/>
    <w:multiLevelType w:val="hybridMultilevel"/>
    <w:tmpl w:val="F546287E"/>
    <w:lvl w:ilvl="0" w:tplc="4B149E6A">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3" w15:restartNumberingAfterBreak="0">
    <w:nsid w:val="05DA2627"/>
    <w:multiLevelType w:val="hybridMultilevel"/>
    <w:tmpl w:val="D1844606"/>
    <w:lvl w:ilvl="0" w:tplc="AA42216E">
      <w:start w:val="1"/>
      <w:numFmt w:val="decimal"/>
      <w:lvlText w:val="%1."/>
      <w:lvlJc w:val="left"/>
      <w:pPr>
        <w:ind w:left="1495" w:hanging="360"/>
      </w:pPr>
      <w:rPr>
        <w:rFonts w:cs="Times New Roman" w:hint="default"/>
      </w:rPr>
    </w:lvl>
    <w:lvl w:ilvl="1" w:tplc="E3246142" w:tentative="1">
      <w:start w:val="1"/>
      <w:numFmt w:val="lowerLetter"/>
      <w:lvlText w:val="%2."/>
      <w:lvlJc w:val="left"/>
      <w:pPr>
        <w:ind w:left="1980" w:hanging="360"/>
      </w:pPr>
      <w:rPr>
        <w:rFonts w:cs="Times New Roman"/>
      </w:rPr>
    </w:lvl>
    <w:lvl w:ilvl="2" w:tplc="B4FCA886" w:tentative="1">
      <w:start w:val="1"/>
      <w:numFmt w:val="lowerRoman"/>
      <w:lvlText w:val="%3."/>
      <w:lvlJc w:val="right"/>
      <w:pPr>
        <w:ind w:left="2700" w:hanging="180"/>
      </w:pPr>
      <w:rPr>
        <w:rFonts w:cs="Times New Roman"/>
      </w:rPr>
    </w:lvl>
    <w:lvl w:ilvl="3" w:tplc="9CCA7E78" w:tentative="1">
      <w:start w:val="1"/>
      <w:numFmt w:val="decimal"/>
      <w:lvlText w:val="%4."/>
      <w:lvlJc w:val="left"/>
      <w:pPr>
        <w:ind w:left="3420" w:hanging="360"/>
      </w:pPr>
      <w:rPr>
        <w:rFonts w:cs="Times New Roman"/>
      </w:rPr>
    </w:lvl>
    <w:lvl w:ilvl="4" w:tplc="2214A692" w:tentative="1">
      <w:start w:val="1"/>
      <w:numFmt w:val="lowerLetter"/>
      <w:lvlText w:val="%5."/>
      <w:lvlJc w:val="left"/>
      <w:pPr>
        <w:ind w:left="4140" w:hanging="360"/>
      </w:pPr>
      <w:rPr>
        <w:rFonts w:cs="Times New Roman"/>
      </w:rPr>
    </w:lvl>
    <w:lvl w:ilvl="5" w:tplc="DD4AFBEE" w:tentative="1">
      <w:start w:val="1"/>
      <w:numFmt w:val="lowerRoman"/>
      <w:lvlText w:val="%6."/>
      <w:lvlJc w:val="right"/>
      <w:pPr>
        <w:ind w:left="4860" w:hanging="180"/>
      </w:pPr>
      <w:rPr>
        <w:rFonts w:cs="Times New Roman"/>
      </w:rPr>
    </w:lvl>
    <w:lvl w:ilvl="6" w:tplc="5B52CA04" w:tentative="1">
      <w:start w:val="1"/>
      <w:numFmt w:val="decimal"/>
      <w:lvlText w:val="%7."/>
      <w:lvlJc w:val="left"/>
      <w:pPr>
        <w:ind w:left="5580" w:hanging="360"/>
      </w:pPr>
      <w:rPr>
        <w:rFonts w:cs="Times New Roman"/>
      </w:rPr>
    </w:lvl>
    <w:lvl w:ilvl="7" w:tplc="6F6CFC7E" w:tentative="1">
      <w:start w:val="1"/>
      <w:numFmt w:val="lowerLetter"/>
      <w:lvlText w:val="%8."/>
      <w:lvlJc w:val="left"/>
      <w:pPr>
        <w:ind w:left="6300" w:hanging="360"/>
      </w:pPr>
      <w:rPr>
        <w:rFonts w:cs="Times New Roman"/>
      </w:rPr>
    </w:lvl>
    <w:lvl w:ilvl="8" w:tplc="1A9C111E" w:tentative="1">
      <w:start w:val="1"/>
      <w:numFmt w:val="lowerRoman"/>
      <w:lvlText w:val="%9."/>
      <w:lvlJc w:val="right"/>
      <w:pPr>
        <w:ind w:left="7020" w:hanging="180"/>
      </w:pPr>
      <w:rPr>
        <w:rFonts w:cs="Times New Roman"/>
      </w:rPr>
    </w:lvl>
  </w:abstractNum>
  <w:abstractNum w:abstractNumId="4" w15:restartNumberingAfterBreak="0">
    <w:nsid w:val="0606561F"/>
    <w:multiLevelType w:val="hybridMultilevel"/>
    <w:tmpl w:val="12245EEC"/>
    <w:lvl w:ilvl="0" w:tplc="AC5602F6">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06C44EFC"/>
    <w:multiLevelType w:val="hybridMultilevel"/>
    <w:tmpl w:val="7CE01746"/>
    <w:lvl w:ilvl="0" w:tplc="9DE861D4">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6" w15:restartNumberingAfterBreak="0">
    <w:nsid w:val="09C02C77"/>
    <w:multiLevelType w:val="hybridMultilevel"/>
    <w:tmpl w:val="4EBA87AA"/>
    <w:lvl w:ilvl="0" w:tplc="61767426">
      <w:start w:val="3"/>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7" w15:restartNumberingAfterBreak="0">
    <w:nsid w:val="17915DD7"/>
    <w:multiLevelType w:val="hybridMultilevel"/>
    <w:tmpl w:val="DB32D086"/>
    <w:lvl w:ilvl="0" w:tplc="4B6A7EA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8" w15:restartNumberingAfterBreak="0">
    <w:nsid w:val="1C1517BD"/>
    <w:multiLevelType w:val="hybridMultilevel"/>
    <w:tmpl w:val="4A5068A4"/>
    <w:lvl w:ilvl="0" w:tplc="1D000C7C">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9" w15:restartNumberingAfterBreak="0">
    <w:nsid w:val="20C719ED"/>
    <w:multiLevelType w:val="hybridMultilevel"/>
    <w:tmpl w:val="F78E9F40"/>
    <w:lvl w:ilvl="0" w:tplc="79D692E6">
      <w:start w:val="1"/>
      <w:numFmt w:val="decimal"/>
      <w:lvlText w:val="%1."/>
      <w:lvlJc w:val="left"/>
      <w:pPr>
        <w:ind w:left="720" w:hanging="360"/>
      </w:pPr>
      <w:rPr>
        <w:rFonts w:hint="default"/>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43A0BAC"/>
    <w:multiLevelType w:val="hybridMultilevel"/>
    <w:tmpl w:val="01100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A703F3"/>
    <w:multiLevelType w:val="hybridMultilevel"/>
    <w:tmpl w:val="CE402BC2"/>
    <w:lvl w:ilvl="0" w:tplc="1D000C7C">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2" w15:restartNumberingAfterBreak="0">
    <w:nsid w:val="328F5C08"/>
    <w:multiLevelType w:val="hybridMultilevel"/>
    <w:tmpl w:val="E47AAC6A"/>
    <w:lvl w:ilvl="0" w:tplc="8D102A30">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3" w15:restartNumberingAfterBreak="0">
    <w:nsid w:val="3F530E08"/>
    <w:multiLevelType w:val="hybridMultilevel"/>
    <w:tmpl w:val="4A5068A4"/>
    <w:lvl w:ilvl="0" w:tplc="1D000C7C">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4" w15:restartNumberingAfterBreak="0">
    <w:nsid w:val="40007645"/>
    <w:multiLevelType w:val="multilevel"/>
    <w:tmpl w:val="B4DAC476"/>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5" w15:restartNumberingAfterBreak="0">
    <w:nsid w:val="45854146"/>
    <w:multiLevelType w:val="hybridMultilevel"/>
    <w:tmpl w:val="1EC02F66"/>
    <w:lvl w:ilvl="0" w:tplc="77B83B16">
      <w:start w:val="1"/>
      <w:numFmt w:val="decimal"/>
      <w:lvlText w:val="%1)"/>
      <w:lvlJc w:val="left"/>
      <w:pPr>
        <w:ind w:left="3904" w:hanging="360"/>
      </w:pPr>
      <w:rPr>
        <w:rFonts w:hint="default"/>
      </w:rPr>
    </w:lvl>
    <w:lvl w:ilvl="1" w:tplc="04090019" w:tentative="1">
      <w:start w:val="1"/>
      <w:numFmt w:val="lowerLetter"/>
      <w:lvlText w:val="%2."/>
      <w:lvlJc w:val="left"/>
      <w:pPr>
        <w:ind w:left="4624" w:hanging="360"/>
      </w:pPr>
    </w:lvl>
    <w:lvl w:ilvl="2" w:tplc="0409001B" w:tentative="1">
      <w:start w:val="1"/>
      <w:numFmt w:val="lowerRoman"/>
      <w:lvlText w:val="%3."/>
      <w:lvlJc w:val="right"/>
      <w:pPr>
        <w:ind w:left="5344" w:hanging="180"/>
      </w:pPr>
    </w:lvl>
    <w:lvl w:ilvl="3" w:tplc="0409000F" w:tentative="1">
      <w:start w:val="1"/>
      <w:numFmt w:val="decimal"/>
      <w:lvlText w:val="%4."/>
      <w:lvlJc w:val="left"/>
      <w:pPr>
        <w:ind w:left="6064" w:hanging="360"/>
      </w:pPr>
    </w:lvl>
    <w:lvl w:ilvl="4" w:tplc="04090019" w:tentative="1">
      <w:start w:val="1"/>
      <w:numFmt w:val="lowerLetter"/>
      <w:lvlText w:val="%5."/>
      <w:lvlJc w:val="left"/>
      <w:pPr>
        <w:ind w:left="6784" w:hanging="360"/>
      </w:pPr>
    </w:lvl>
    <w:lvl w:ilvl="5" w:tplc="0409001B" w:tentative="1">
      <w:start w:val="1"/>
      <w:numFmt w:val="lowerRoman"/>
      <w:lvlText w:val="%6."/>
      <w:lvlJc w:val="right"/>
      <w:pPr>
        <w:ind w:left="7504" w:hanging="180"/>
      </w:pPr>
    </w:lvl>
    <w:lvl w:ilvl="6" w:tplc="0409000F" w:tentative="1">
      <w:start w:val="1"/>
      <w:numFmt w:val="decimal"/>
      <w:lvlText w:val="%7."/>
      <w:lvlJc w:val="left"/>
      <w:pPr>
        <w:ind w:left="8224" w:hanging="360"/>
      </w:pPr>
    </w:lvl>
    <w:lvl w:ilvl="7" w:tplc="04090019" w:tentative="1">
      <w:start w:val="1"/>
      <w:numFmt w:val="lowerLetter"/>
      <w:lvlText w:val="%8."/>
      <w:lvlJc w:val="left"/>
      <w:pPr>
        <w:ind w:left="8944" w:hanging="360"/>
      </w:pPr>
    </w:lvl>
    <w:lvl w:ilvl="8" w:tplc="0409001B" w:tentative="1">
      <w:start w:val="1"/>
      <w:numFmt w:val="lowerRoman"/>
      <w:lvlText w:val="%9."/>
      <w:lvlJc w:val="right"/>
      <w:pPr>
        <w:ind w:left="9664" w:hanging="180"/>
      </w:pPr>
    </w:lvl>
  </w:abstractNum>
  <w:abstractNum w:abstractNumId="16" w15:restartNumberingAfterBreak="0">
    <w:nsid w:val="542E387A"/>
    <w:multiLevelType w:val="hybridMultilevel"/>
    <w:tmpl w:val="8D1AC938"/>
    <w:lvl w:ilvl="0" w:tplc="DA2681B6">
      <w:start w:val="2"/>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7" w15:restartNumberingAfterBreak="0">
    <w:nsid w:val="5735625A"/>
    <w:multiLevelType w:val="hybridMultilevel"/>
    <w:tmpl w:val="ECA4CCE0"/>
    <w:lvl w:ilvl="0" w:tplc="1310A08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5D9F6BFD"/>
    <w:multiLevelType w:val="hybridMultilevel"/>
    <w:tmpl w:val="B4E89BC4"/>
    <w:lvl w:ilvl="0" w:tplc="94D428D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15:restartNumberingAfterBreak="0">
    <w:nsid w:val="64E45776"/>
    <w:multiLevelType w:val="hybridMultilevel"/>
    <w:tmpl w:val="BB8C8590"/>
    <w:lvl w:ilvl="0" w:tplc="33AA686E">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15:restartNumberingAfterBreak="0">
    <w:nsid w:val="652340F4"/>
    <w:multiLevelType w:val="hybridMultilevel"/>
    <w:tmpl w:val="6AA6DEBC"/>
    <w:lvl w:ilvl="0" w:tplc="807EFB0A">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655B2269"/>
    <w:multiLevelType w:val="hybridMultilevel"/>
    <w:tmpl w:val="C81A1130"/>
    <w:lvl w:ilvl="0" w:tplc="763ECD84">
      <w:start w:val="1"/>
      <w:numFmt w:val="decimal"/>
      <w:lvlText w:val="%1."/>
      <w:lvlJc w:val="left"/>
      <w:pPr>
        <w:ind w:left="1210" w:hanging="360"/>
      </w:pPr>
      <w:rPr>
        <w:rFonts w:hint="default"/>
      </w:rPr>
    </w:lvl>
    <w:lvl w:ilvl="1" w:tplc="04020019" w:tentative="1">
      <w:start w:val="1"/>
      <w:numFmt w:val="lowerLetter"/>
      <w:lvlText w:val="%2."/>
      <w:lvlJc w:val="left"/>
      <w:pPr>
        <w:ind w:left="1930" w:hanging="360"/>
      </w:pPr>
    </w:lvl>
    <w:lvl w:ilvl="2" w:tplc="0402001B" w:tentative="1">
      <w:start w:val="1"/>
      <w:numFmt w:val="lowerRoman"/>
      <w:lvlText w:val="%3."/>
      <w:lvlJc w:val="right"/>
      <w:pPr>
        <w:ind w:left="2650" w:hanging="180"/>
      </w:pPr>
    </w:lvl>
    <w:lvl w:ilvl="3" w:tplc="0402000F" w:tentative="1">
      <w:start w:val="1"/>
      <w:numFmt w:val="decimal"/>
      <w:lvlText w:val="%4."/>
      <w:lvlJc w:val="left"/>
      <w:pPr>
        <w:ind w:left="3370" w:hanging="360"/>
      </w:pPr>
    </w:lvl>
    <w:lvl w:ilvl="4" w:tplc="04020019" w:tentative="1">
      <w:start w:val="1"/>
      <w:numFmt w:val="lowerLetter"/>
      <w:lvlText w:val="%5."/>
      <w:lvlJc w:val="left"/>
      <w:pPr>
        <w:ind w:left="4090" w:hanging="360"/>
      </w:pPr>
    </w:lvl>
    <w:lvl w:ilvl="5" w:tplc="0402001B" w:tentative="1">
      <w:start w:val="1"/>
      <w:numFmt w:val="lowerRoman"/>
      <w:lvlText w:val="%6."/>
      <w:lvlJc w:val="right"/>
      <w:pPr>
        <w:ind w:left="4810" w:hanging="180"/>
      </w:pPr>
    </w:lvl>
    <w:lvl w:ilvl="6" w:tplc="0402000F" w:tentative="1">
      <w:start w:val="1"/>
      <w:numFmt w:val="decimal"/>
      <w:lvlText w:val="%7."/>
      <w:lvlJc w:val="left"/>
      <w:pPr>
        <w:ind w:left="5530" w:hanging="360"/>
      </w:pPr>
    </w:lvl>
    <w:lvl w:ilvl="7" w:tplc="04020019" w:tentative="1">
      <w:start w:val="1"/>
      <w:numFmt w:val="lowerLetter"/>
      <w:lvlText w:val="%8."/>
      <w:lvlJc w:val="left"/>
      <w:pPr>
        <w:ind w:left="6250" w:hanging="360"/>
      </w:pPr>
    </w:lvl>
    <w:lvl w:ilvl="8" w:tplc="0402001B" w:tentative="1">
      <w:start w:val="1"/>
      <w:numFmt w:val="lowerRoman"/>
      <w:lvlText w:val="%9."/>
      <w:lvlJc w:val="right"/>
      <w:pPr>
        <w:ind w:left="6970" w:hanging="180"/>
      </w:pPr>
    </w:lvl>
  </w:abstractNum>
  <w:abstractNum w:abstractNumId="22" w15:restartNumberingAfterBreak="0">
    <w:nsid w:val="65E312FA"/>
    <w:multiLevelType w:val="hybridMultilevel"/>
    <w:tmpl w:val="7BEEB4D0"/>
    <w:lvl w:ilvl="0" w:tplc="0409000F">
      <w:start w:val="1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665D399C"/>
    <w:multiLevelType w:val="hybridMultilevel"/>
    <w:tmpl w:val="59CEB344"/>
    <w:lvl w:ilvl="0" w:tplc="C82A70AE">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24" w15:restartNumberingAfterBreak="0">
    <w:nsid w:val="6876390A"/>
    <w:multiLevelType w:val="hybridMultilevel"/>
    <w:tmpl w:val="3544D14A"/>
    <w:lvl w:ilvl="0" w:tplc="51FA3D1E">
      <w:start w:val="1"/>
      <w:numFmt w:val="decimal"/>
      <w:lvlText w:val="%1."/>
      <w:lvlJc w:val="left"/>
      <w:pPr>
        <w:ind w:left="2345"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68FA118D"/>
    <w:multiLevelType w:val="hybridMultilevel"/>
    <w:tmpl w:val="148A3C6A"/>
    <w:lvl w:ilvl="0" w:tplc="FCA0352E">
      <w:start w:val="1"/>
      <w:numFmt w:val="decimal"/>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15:restartNumberingAfterBreak="0">
    <w:nsid w:val="705076C3"/>
    <w:multiLevelType w:val="hybridMultilevel"/>
    <w:tmpl w:val="81C04892"/>
    <w:lvl w:ilvl="0" w:tplc="970A027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15:restartNumberingAfterBreak="0">
    <w:nsid w:val="70664D2E"/>
    <w:multiLevelType w:val="hybridMultilevel"/>
    <w:tmpl w:val="6388EC02"/>
    <w:lvl w:ilvl="0" w:tplc="9E1E8EA0">
      <w:start w:val="1"/>
      <w:numFmt w:val="decimal"/>
      <w:lvlText w:val="%1."/>
      <w:lvlJc w:val="left"/>
      <w:pPr>
        <w:ind w:left="1210" w:hanging="360"/>
      </w:pPr>
      <w:rPr>
        <w:rFonts w:hint="default"/>
        <w:b w:val="0"/>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8" w15:restartNumberingAfterBreak="0">
    <w:nsid w:val="70DD13F8"/>
    <w:multiLevelType w:val="hybridMultilevel"/>
    <w:tmpl w:val="16DE85EA"/>
    <w:lvl w:ilvl="0" w:tplc="AB28B1BC">
      <w:start w:val="1"/>
      <w:numFmt w:val="decimal"/>
      <w:lvlText w:val="%1."/>
      <w:lvlJc w:val="left"/>
      <w:pPr>
        <w:ind w:left="36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9" w15:restartNumberingAfterBreak="0">
    <w:nsid w:val="73A7254A"/>
    <w:multiLevelType w:val="hybridMultilevel"/>
    <w:tmpl w:val="A7A634D8"/>
    <w:lvl w:ilvl="0" w:tplc="C21C1DDC">
      <w:start w:val="1"/>
      <w:numFmt w:val="bullet"/>
      <w:lvlText w:val="•"/>
      <w:lvlJc w:val="left"/>
      <w:pPr>
        <w:tabs>
          <w:tab w:val="num" w:pos="720"/>
        </w:tabs>
        <w:ind w:left="720" w:hanging="360"/>
      </w:pPr>
      <w:rPr>
        <w:rFonts w:ascii="Times New Roman" w:hAnsi="Times New Roman" w:hint="default"/>
      </w:rPr>
    </w:lvl>
    <w:lvl w:ilvl="1" w:tplc="EEE8C208" w:tentative="1">
      <w:start w:val="1"/>
      <w:numFmt w:val="bullet"/>
      <w:lvlText w:val="•"/>
      <w:lvlJc w:val="left"/>
      <w:pPr>
        <w:tabs>
          <w:tab w:val="num" w:pos="1440"/>
        </w:tabs>
        <w:ind w:left="1440" w:hanging="360"/>
      </w:pPr>
      <w:rPr>
        <w:rFonts w:ascii="Times New Roman" w:hAnsi="Times New Roman" w:hint="default"/>
      </w:rPr>
    </w:lvl>
    <w:lvl w:ilvl="2" w:tplc="67D8428E" w:tentative="1">
      <w:start w:val="1"/>
      <w:numFmt w:val="bullet"/>
      <w:lvlText w:val="•"/>
      <w:lvlJc w:val="left"/>
      <w:pPr>
        <w:tabs>
          <w:tab w:val="num" w:pos="2160"/>
        </w:tabs>
        <w:ind w:left="2160" w:hanging="360"/>
      </w:pPr>
      <w:rPr>
        <w:rFonts w:ascii="Times New Roman" w:hAnsi="Times New Roman" w:hint="default"/>
      </w:rPr>
    </w:lvl>
    <w:lvl w:ilvl="3" w:tplc="9EA0F098" w:tentative="1">
      <w:start w:val="1"/>
      <w:numFmt w:val="bullet"/>
      <w:lvlText w:val="•"/>
      <w:lvlJc w:val="left"/>
      <w:pPr>
        <w:tabs>
          <w:tab w:val="num" w:pos="2880"/>
        </w:tabs>
        <w:ind w:left="2880" w:hanging="360"/>
      </w:pPr>
      <w:rPr>
        <w:rFonts w:ascii="Times New Roman" w:hAnsi="Times New Roman" w:hint="default"/>
      </w:rPr>
    </w:lvl>
    <w:lvl w:ilvl="4" w:tplc="9E0837B0" w:tentative="1">
      <w:start w:val="1"/>
      <w:numFmt w:val="bullet"/>
      <w:lvlText w:val="•"/>
      <w:lvlJc w:val="left"/>
      <w:pPr>
        <w:tabs>
          <w:tab w:val="num" w:pos="3600"/>
        </w:tabs>
        <w:ind w:left="3600" w:hanging="360"/>
      </w:pPr>
      <w:rPr>
        <w:rFonts w:ascii="Times New Roman" w:hAnsi="Times New Roman" w:hint="default"/>
      </w:rPr>
    </w:lvl>
    <w:lvl w:ilvl="5" w:tplc="A9E2C184" w:tentative="1">
      <w:start w:val="1"/>
      <w:numFmt w:val="bullet"/>
      <w:lvlText w:val="•"/>
      <w:lvlJc w:val="left"/>
      <w:pPr>
        <w:tabs>
          <w:tab w:val="num" w:pos="4320"/>
        </w:tabs>
        <w:ind w:left="4320" w:hanging="360"/>
      </w:pPr>
      <w:rPr>
        <w:rFonts w:ascii="Times New Roman" w:hAnsi="Times New Roman" w:hint="default"/>
      </w:rPr>
    </w:lvl>
    <w:lvl w:ilvl="6" w:tplc="89FCE934" w:tentative="1">
      <w:start w:val="1"/>
      <w:numFmt w:val="bullet"/>
      <w:lvlText w:val="•"/>
      <w:lvlJc w:val="left"/>
      <w:pPr>
        <w:tabs>
          <w:tab w:val="num" w:pos="5040"/>
        </w:tabs>
        <w:ind w:left="5040" w:hanging="360"/>
      </w:pPr>
      <w:rPr>
        <w:rFonts w:ascii="Times New Roman" w:hAnsi="Times New Roman" w:hint="default"/>
      </w:rPr>
    </w:lvl>
    <w:lvl w:ilvl="7" w:tplc="FC248194" w:tentative="1">
      <w:start w:val="1"/>
      <w:numFmt w:val="bullet"/>
      <w:lvlText w:val="•"/>
      <w:lvlJc w:val="left"/>
      <w:pPr>
        <w:tabs>
          <w:tab w:val="num" w:pos="5760"/>
        </w:tabs>
        <w:ind w:left="5760" w:hanging="360"/>
      </w:pPr>
      <w:rPr>
        <w:rFonts w:ascii="Times New Roman" w:hAnsi="Times New Roman" w:hint="default"/>
      </w:rPr>
    </w:lvl>
    <w:lvl w:ilvl="8" w:tplc="73142218"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62C4FBF"/>
    <w:multiLevelType w:val="hybridMultilevel"/>
    <w:tmpl w:val="25AA44DE"/>
    <w:lvl w:ilvl="0" w:tplc="885C960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1" w15:restartNumberingAfterBreak="0">
    <w:nsid w:val="7AC1129C"/>
    <w:multiLevelType w:val="hybridMultilevel"/>
    <w:tmpl w:val="FAB804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8"/>
  </w:num>
  <w:num w:numId="2">
    <w:abstractNumId w:val="1"/>
  </w:num>
  <w:num w:numId="3">
    <w:abstractNumId w:val="6"/>
  </w:num>
  <w:num w:numId="4">
    <w:abstractNumId w:val="16"/>
  </w:num>
  <w:num w:numId="5">
    <w:abstractNumId w:val="24"/>
  </w:num>
  <w:num w:numId="6">
    <w:abstractNumId w:val="25"/>
  </w:num>
  <w:num w:numId="7">
    <w:abstractNumId w:val="0"/>
  </w:num>
  <w:num w:numId="8">
    <w:abstractNumId w:val="19"/>
  </w:num>
  <w:num w:numId="9">
    <w:abstractNumId w:val="30"/>
  </w:num>
  <w:num w:numId="10">
    <w:abstractNumId w:val="27"/>
  </w:num>
  <w:num w:numId="11">
    <w:abstractNumId w:val="23"/>
  </w:num>
  <w:num w:numId="12">
    <w:abstractNumId w:val="2"/>
  </w:num>
  <w:num w:numId="13">
    <w:abstractNumId w:val="12"/>
  </w:num>
  <w:num w:numId="14">
    <w:abstractNumId w:val="5"/>
  </w:num>
  <w:num w:numId="15">
    <w:abstractNumId w:val="18"/>
  </w:num>
  <w:num w:numId="16">
    <w:abstractNumId w:val="21"/>
  </w:num>
  <w:num w:numId="17">
    <w:abstractNumId w:val="15"/>
  </w:num>
  <w:num w:numId="18">
    <w:abstractNumId w:val="7"/>
  </w:num>
  <w:num w:numId="19">
    <w:abstractNumId w:val="14"/>
  </w:num>
  <w:num w:numId="20">
    <w:abstractNumId w:val="29"/>
  </w:num>
  <w:num w:numId="21">
    <w:abstractNumId w:val="3"/>
  </w:num>
  <w:num w:numId="22">
    <w:abstractNumId w:val="17"/>
  </w:num>
  <w:num w:numId="23">
    <w:abstractNumId w:val="22"/>
  </w:num>
  <w:num w:numId="24">
    <w:abstractNumId w:val="31"/>
  </w:num>
  <w:num w:numId="25">
    <w:abstractNumId w:val="13"/>
  </w:num>
  <w:num w:numId="26">
    <w:abstractNumId w:val="8"/>
  </w:num>
  <w:num w:numId="27">
    <w:abstractNumId w:val="11"/>
  </w:num>
  <w:num w:numId="28">
    <w:abstractNumId w:val="10"/>
  </w:num>
  <w:num w:numId="29">
    <w:abstractNumId w:val="9"/>
  </w:num>
  <w:num w:numId="30">
    <w:abstractNumId w:val="20"/>
  </w:num>
  <w:num w:numId="31">
    <w:abstractNumId w:val="4"/>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502"/>
    <w:rsid w:val="00003B04"/>
    <w:rsid w:val="00003C1A"/>
    <w:rsid w:val="00016531"/>
    <w:rsid w:val="000238E7"/>
    <w:rsid w:val="00030AFC"/>
    <w:rsid w:val="00043A4D"/>
    <w:rsid w:val="0004545D"/>
    <w:rsid w:val="0004671F"/>
    <w:rsid w:val="00051A9F"/>
    <w:rsid w:val="00053AF6"/>
    <w:rsid w:val="00062299"/>
    <w:rsid w:val="00063AA6"/>
    <w:rsid w:val="000664BA"/>
    <w:rsid w:val="00067B02"/>
    <w:rsid w:val="00080666"/>
    <w:rsid w:val="00080CE6"/>
    <w:rsid w:val="0008305C"/>
    <w:rsid w:val="0008383F"/>
    <w:rsid w:val="000866D1"/>
    <w:rsid w:val="00086986"/>
    <w:rsid w:val="0008739A"/>
    <w:rsid w:val="000877AC"/>
    <w:rsid w:val="0009222B"/>
    <w:rsid w:val="000948B0"/>
    <w:rsid w:val="000972B6"/>
    <w:rsid w:val="000A238D"/>
    <w:rsid w:val="000A2D91"/>
    <w:rsid w:val="000A36B5"/>
    <w:rsid w:val="000A5232"/>
    <w:rsid w:val="000A557D"/>
    <w:rsid w:val="000B1C75"/>
    <w:rsid w:val="000B1ECB"/>
    <w:rsid w:val="000B37D3"/>
    <w:rsid w:val="000C4E5E"/>
    <w:rsid w:val="000C4F2E"/>
    <w:rsid w:val="000C534D"/>
    <w:rsid w:val="000D2812"/>
    <w:rsid w:val="000D36C6"/>
    <w:rsid w:val="000E1AF8"/>
    <w:rsid w:val="000E283A"/>
    <w:rsid w:val="000E67AA"/>
    <w:rsid w:val="000E6906"/>
    <w:rsid w:val="000E6C03"/>
    <w:rsid w:val="000E7B13"/>
    <w:rsid w:val="000F059D"/>
    <w:rsid w:val="000F5E98"/>
    <w:rsid w:val="00102C48"/>
    <w:rsid w:val="00104664"/>
    <w:rsid w:val="00107CCC"/>
    <w:rsid w:val="00110EFA"/>
    <w:rsid w:val="001241CA"/>
    <w:rsid w:val="001253A5"/>
    <w:rsid w:val="00130F9E"/>
    <w:rsid w:val="00132E86"/>
    <w:rsid w:val="00135019"/>
    <w:rsid w:val="00136312"/>
    <w:rsid w:val="00137FB3"/>
    <w:rsid w:val="00140171"/>
    <w:rsid w:val="00145398"/>
    <w:rsid w:val="0015687A"/>
    <w:rsid w:val="00156FFD"/>
    <w:rsid w:val="00161943"/>
    <w:rsid w:val="00163E67"/>
    <w:rsid w:val="001642FF"/>
    <w:rsid w:val="00164CE7"/>
    <w:rsid w:val="001745DF"/>
    <w:rsid w:val="001752C6"/>
    <w:rsid w:val="0017595D"/>
    <w:rsid w:val="00182DCA"/>
    <w:rsid w:val="00183E7F"/>
    <w:rsid w:val="00192641"/>
    <w:rsid w:val="00196A76"/>
    <w:rsid w:val="00197509"/>
    <w:rsid w:val="001A1888"/>
    <w:rsid w:val="001A1C64"/>
    <w:rsid w:val="001A3A89"/>
    <w:rsid w:val="001A50CF"/>
    <w:rsid w:val="001A5F1F"/>
    <w:rsid w:val="001A697F"/>
    <w:rsid w:val="001A6E8E"/>
    <w:rsid w:val="001B0311"/>
    <w:rsid w:val="001B1708"/>
    <w:rsid w:val="001B59DA"/>
    <w:rsid w:val="001B5EC7"/>
    <w:rsid w:val="001C256E"/>
    <w:rsid w:val="001C29F8"/>
    <w:rsid w:val="001C533A"/>
    <w:rsid w:val="001C5484"/>
    <w:rsid w:val="001C67DB"/>
    <w:rsid w:val="001D5BF1"/>
    <w:rsid w:val="001D768D"/>
    <w:rsid w:val="001E7567"/>
    <w:rsid w:val="001F1D8F"/>
    <w:rsid w:val="001F21BC"/>
    <w:rsid w:val="001F309C"/>
    <w:rsid w:val="001F5FB1"/>
    <w:rsid w:val="00200514"/>
    <w:rsid w:val="00202725"/>
    <w:rsid w:val="00211C80"/>
    <w:rsid w:val="00212580"/>
    <w:rsid w:val="00222027"/>
    <w:rsid w:val="00222DA9"/>
    <w:rsid w:val="00224656"/>
    <w:rsid w:val="00225989"/>
    <w:rsid w:val="00230F36"/>
    <w:rsid w:val="00233224"/>
    <w:rsid w:val="00236543"/>
    <w:rsid w:val="00243BD3"/>
    <w:rsid w:val="00243E2E"/>
    <w:rsid w:val="00254078"/>
    <w:rsid w:val="00254E33"/>
    <w:rsid w:val="00263769"/>
    <w:rsid w:val="00270C34"/>
    <w:rsid w:val="00270C78"/>
    <w:rsid w:val="00271554"/>
    <w:rsid w:val="002717A6"/>
    <w:rsid w:val="00273A6B"/>
    <w:rsid w:val="00275F34"/>
    <w:rsid w:val="0028048A"/>
    <w:rsid w:val="002858D2"/>
    <w:rsid w:val="002A0654"/>
    <w:rsid w:val="002A0663"/>
    <w:rsid w:val="002A5F78"/>
    <w:rsid w:val="002B11EC"/>
    <w:rsid w:val="002C390A"/>
    <w:rsid w:val="002C3C97"/>
    <w:rsid w:val="002C5AC3"/>
    <w:rsid w:val="002D35CF"/>
    <w:rsid w:val="002D36C9"/>
    <w:rsid w:val="002D5F81"/>
    <w:rsid w:val="002D69B2"/>
    <w:rsid w:val="002E1215"/>
    <w:rsid w:val="002E2646"/>
    <w:rsid w:val="002E3191"/>
    <w:rsid w:val="002E496A"/>
    <w:rsid w:val="002E6EB8"/>
    <w:rsid w:val="002F315B"/>
    <w:rsid w:val="002F3FAA"/>
    <w:rsid w:val="002F49AB"/>
    <w:rsid w:val="002F7FF0"/>
    <w:rsid w:val="0030253F"/>
    <w:rsid w:val="00302AFD"/>
    <w:rsid w:val="00304F70"/>
    <w:rsid w:val="0030569E"/>
    <w:rsid w:val="003135D6"/>
    <w:rsid w:val="00315A38"/>
    <w:rsid w:val="003171BE"/>
    <w:rsid w:val="00322632"/>
    <w:rsid w:val="00324405"/>
    <w:rsid w:val="003263FF"/>
    <w:rsid w:val="003352E3"/>
    <w:rsid w:val="00343031"/>
    <w:rsid w:val="00343C33"/>
    <w:rsid w:val="00350389"/>
    <w:rsid w:val="003515DF"/>
    <w:rsid w:val="00356084"/>
    <w:rsid w:val="0035613F"/>
    <w:rsid w:val="00363617"/>
    <w:rsid w:val="0036415E"/>
    <w:rsid w:val="00366C7E"/>
    <w:rsid w:val="00374410"/>
    <w:rsid w:val="00374EF3"/>
    <w:rsid w:val="0037546C"/>
    <w:rsid w:val="0037761F"/>
    <w:rsid w:val="00380D72"/>
    <w:rsid w:val="003846E0"/>
    <w:rsid w:val="00385496"/>
    <w:rsid w:val="003864C9"/>
    <w:rsid w:val="00387B4F"/>
    <w:rsid w:val="003A39D4"/>
    <w:rsid w:val="003A457C"/>
    <w:rsid w:val="003B3785"/>
    <w:rsid w:val="003B44B7"/>
    <w:rsid w:val="003B48A5"/>
    <w:rsid w:val="003B576F"/>
    <w:rsid w:val="003B62FD"/>
    <w:rsid w:val="003C3426"/>
    <w:rsid w:val="003C476A"/>
    <w:rsid w:val="003C691E"/>
    <w:rsid w:val="003D35BA"/>
    <w:rsid w:val="003D3A7A"/>
    <w:rsid w:val="003D6024"/>
    <w:rsid w:val="003D743D"/>
    <w:rsid w:val="003E49FA"/>
    <w:rsid w:val="003E577C"/>
    <w:rsid w:val="003F0BAC"/>
    <w:rsid w:val="003F7502"/>
    <w:rsid w:val="00401DBA"/>
    <w:rsid w:val="00403C69"/>
    <w:rsid w:val="0041131C"/>
    <w:rsid w:val="00420743"/>
    <w:rsid w:val="004242C0"/>
    <w:rsid w:val="00427509"/>
    <w:rsid w:val="00427AAC"/>
    <w:rsid w:val="0043505B"/>
    <w:rsid w:val="00436FFE"/>
    <w:rsid w:val="004450BE"/>
    <w:rsid w:val="004563FC"/>
    <w:rsid w:val="00456878"/>
    <w:rsid w:val="00462D9B"/>
    <w:rsid w:val="00462DCB"/>
    <w:rsid w:val="0046446C"/>
    <w:rsid w:val="00467601"/>
    <w:rsid w:val="0047040C"/>
    <w:rsid w:val="004705F9"/>
    <w:rsid w:val="0047204E"/>
    <w:rsid w:val="00472C04"/>
    <w:rsid w:val="00472DDF"/>
    <w:rsid w:val="00473CC3"/>
    <w:rsid w:val="0047577C"/>
    <w:rsid w:val="00484BE0"/>
    <w:rsid w:val="00492092"/>
    <w:rsid w:val="004939AC"/>
    <w:rsid w:val="0049456A"/>
    <w:rsid w:val="00495534"/>
    <w:rsid w:val="0049594E"/>
    <w:rsid w:val="004A30FA"/>
    <w:rsid w:val="004A6EA4"/>
    <w:rsid w:val="004B0AB5"/>
    <w:rsid w:val="004B1B94"/>
    <w:rsid w:val="004B4F04"/>
    <w:rsid w:val="004B6FB7"/>
    <w:rsid w:val="004C1DEC"/>
    <w:rsid w:val="004C770B"/>
    <w:rsid w:val="004D0E94"/>
    <w:rsid w:val="004D244E"/>
    <w:rsid w:val="004D2B1A"/>
    <w:rsid w:val="004D3BC9"/>
    <w:rsid w:val="004D6944"/>
    <w:rsid w:val="004E05B9"/>
    <w:rsid w:val="004E1D78"/>
    <w:rsid w:val="004E3A5E"/>
    <w:rsid w:val="004E417E"/>
    <w:rsid w:val="004E452D"/>
    <w:rsid w:val="004E5F3E"/>
    <w:rsid w:val="004F2C8A"/>
    <w:rsid w:val="004F352F"/>
    <w:rsid w:val="004F445E"/>
    <w:rsid w:val="00503630"/>
    <w:rsid w:val="00504568"/>
    <w:rsid w:val="00507D9D"/>
    <w:rsid w:val="00510FC9"/>
    <w:rsid w:val="005121F5"/>
    <w:rsid w:val="0051507C"/>
    <w:rsid w:val="005152BA"/>
    <w:rsid w:val="0051598B"/>
    <w:rsid w:val="00520601"/>
    <w:rsid w:val="00521104"/>
    <w:rsid w:val="00521702"/>
    <w:rsid w:val="00526BEC"/>
    <w:rsid w:val="0053402E"/>
    <w:rsid w:val="005372CB"/>
    <w:rsid w:val="005432BF"/>
    <w:rsid w:val="00546C5F"/>
    <w:rsid w:val="005568D6"/>
    <w:rsid w:val="00557F44"/>
    <w:rsid w:val="005619A9"/>
    <w:rsid w:val="005625C5"/>
    <w:rsid w:val="00570D5A"/>
    <w:rsid w:val="00572F7A"/>
    <w:rsid w:val="005736A3"/>
    <w:rsid w:val="00581AFC"/>
    <w:rsid w:val="00581FC1"/>
    <w:rsid w:val="00583D37"/>
    <w:rsid w:val="0059707B"/>
    <w:rsid w:val="005A2AD3"/>
    <w:rsid w:val="005A2E46"/>
    <w:rsid w:val="005A4A62"/>
    <w:rsid w:val="005A5179"/>
    <w:rsid w:val="005A51F4"/>
    <w:rsid w:val="005B068F"/>
    <w:rsid w:val="005B1115"/>
    <w:rsid w:val="005B47BB"/>
    <w:rsid w:val="005B706C"/>
    <w:rsid w:val="005C1281"/>
    <w:rsid w:val="005C33B8"/>
    <w:rsid w:val="005C3F7E"/>
    <w:rsid w:val="005C7A65"/>
    <w:rsid w:val="005D2C7D"/>
    <w:rsid w:val="005E0840"/>
    <w:rsid w:val="005E1603"/>
    <w:rsid w:val="005E1AC8"/>
    <w:rsid w:val="005E252F"/>
    <w:rsid w:val="005F04A7"/>
    <w:rsid w:val="005F075B"/>
    <w:rsid w:val="005F1506"/>
    <w:rsid w:val="005F2D79"/>
    <w:rsid w:val="005F5A46"/>
    <w:rsid w:val="00605193"/>
    <w:rsid w:val="00607D62"/>
    <w:rsid w:val="0062396C"/>
    <w:rsid w:val="00631B5D"/>
    <w:rsid w:val="0063633E"/>
    <w:rsid w:val="006366DD"/>
    <w:rsid w:val="00641B13"/>
    <w:rsid w:val="00646F9F"/>
    <w:rsid w:val="00652D14"/>
    <w:rsid w:val="00655F37"/>
    <w:rsid w:val="00662CD5"/>
    <w:rsid w:val="00665A19"/>
    <w:rsid w:val="006720B4"/>
    <w:rsid w:val="006726D5"/>
    <w:rsid w:val="00683DDD"/>
    <w:rsid w:val="00685EC3"/>
    <w:rsid w:val="0069523D"/>
    <w:rsid w:val="006B1798"/>
    <w:rsid w:val="006B2B84"/>
    <w:rsid w:val="006B3F0E"/>
    <w:rsid w:val="006B5644"/>
    <w:rsid w:val="006C69B7"/>
    <w:rsid w:val="006D5308"/>
    <w:rsid w:val="006D76D6"/>
    <w:rsid w:val="006D7DAC"/>
    <w:rsid w:val="006E0BD8"/>
    <w:rsid w:val="006E1A3D"/>
    <w:rsid w:val="006E45B8"/>
    <w:rsid w:val="006E4927"/>
    <w:rsid w:val="006F1D70"/>
    <w:rsid w:val="006F27C0"/>
    <w:rsid w:val="006F55F0"/>
    <w:rsid w:val="00703486"/>
    <w:rsid w:val="0070545B"/>
    <w:rsid w:val="00705B32"/>
    <w:rsid w:val="0070628F"/>
    <w:rsid w:val="0070667B"/>
    <w:rsid w:val="00710891"/>
    <w:rsid w:val="007142E1"/>
    <w:rsid w:val="00720BC0"/>
    <w:rsid w:val="00733168"/>
    <w:rsid w:val="00736CC6"/>
    <w:rsid w:val="00743D7E"/>
    <w:rsid w:val="007507B5"/>
    <w:rsid w:val="00750AE7"/>
    <w:rsid w:val="00753CC4"/>
    <w:rsid w:val="00765525"/>
    <w:rsid w:val="00765AEF"/>
    <w:rsid w:val="00767C58"/>
    <w:rsid w:val="0077363C"/>
    <w:rsid w:val="00773784"/>
    <w:rsid w:val="0079209C"/>
    <w:rsid w:val="00792E95"/>
    <w:rsid w:val="007938E7"/>
    <w:rsid w:val="007971E3"/>
    <w:rsid w:val="007B196D"/>
    <w:rsid w:val="007B1AF8"/>
    <w:rsid w:val="007B2542"/>
    <w:rsid w:val="007B2858"/>
    <w:rsid w:val="007B68D9"/>
    <w:rsid w:val="007C7B18"/>
    <w:rsid w:val="007D0780"/>
    <w:rsid w:val="007D0E80"/>
    <w:rsid w:val="007D2E03"/>
    <w:rsid w:val="007D595A"/>
    <w:rsid w:val="007E7854"/>
    <w:rsid w:val="007F037E"/>
    <w:rsid w:val="007F3E53"/>
    <w:rsid w:val="0081328F"/>
    <w:rsid w:val="00813F49"/>
    <w:rsid w:val="008176C4"/>
    <w:rsid w:val="00826B00"/>
    <w:rsid w:val="00835701"/>
    <w:rsid w:val="00836ED9"/>
    <w:rsid w:val="00840CF0"/>
    <w:rsid w:val="008449C0"/>
    <w:rsid w:val="00854A2B"/>
    <w:rsid w:val="00855400"/>
    <w:rsid w:val="00855897"/>
    <w:rsid w:val="00865BC5"/>
    <w:rsid w:val="00866633"/>
    <w:rsid w:val="0086699F"/>
    <w:rsid w:val="00870417"/>
    <w:rsid w:val="0087304E"/>
    <w:rsid w:val="00882211"/>
    <w:rsid w:val="00884C49"/>
    <w:rsid w:val="008865D9"/>
    <w:rsid w:val="00891D4C"/>
    <w:rsid w:val="00892C54"/>
    <w:rsid w:val="00895274"/>
    <w:rsid w:val="00896714"/>
    <w:rsid w:val="008A6840"/>
    <w:rsid w:val="008B22F6"/>
    <w:rsid w:val="008B573B"/>
    <w:rsid w:val="008C3D85"/>
    <w:rsid w:val="008C5484"/>
    <w:rsid w:val="008D6648"/>
    <w:rsid w:val="008E2132"/>
    <w:rsid w:val="008E4BD9"/>
    <w:rsid w:val="008E6383"/>
    <w:rsid w:val="008E7307"/>
    <w:rsid w:val="008E795D"/>
    <w:rsid w:val="008F04FD"/>
    <w:rsid w:val="008F08AF"/>
    <w:rsid w:val="008F0F3F"/>
    <w:rsid w:val="008F19B6"/>
    <w:rsid w:val="008F2302"/>
    <w:rsid w:val="008F64F0"/>
    <w:rsid w:val="009007E8"/>
    <w:rsid w:val="00903AEB"/>
    <w:rsid w:val="009101A2"/>
    <w:rsid w:val="009115FC"/>
    <w:rsid w:val="009153D0"/>
    <w:rsid w:val="009162C8"/>
    <w:rsid w:val="00931B96"/>
    <w:rsid w:val="00933FBD"/>
    <w:rsid w:val="00937CBE"/>
    <w:rsid w:val="00954A4C"/>
    <w:rsid w:val="00954B5B"/>
    <w:rsid w:val="00954EF9"/>
    <w:rsid w:val="009550A3"/>
    <w:rsid w:val="00955DB4"/>
    <w:rsid w:val="0096307D"/>
    <w:rsid w:val="009634F5"/>
    <w:rsid w:val="00964426"/>
    <w:rsid w:val="00972ADD"/>
    <w:rsid w:val="00974145"/>
    <w:rsid w:val="00990F55"/>
    <w:rsid w:val="009917E3"/>
    <w:rsid w:val="009A03EF"/>
    <w:rsid w:val="009A5D84"/>
    <w:rsid w:val="009A6741"/>
    <w:rsid w:val="009A6C5D"/>
    <w:rsid w:val="009A7398"/>
    <w:rsid w:val="009B0163"/>
    <w:rsid w:val="009B4264"/>
    <w:rsid w:val="009C50B5"/>
    <w:rsid w:val="009C7406"/>
    <w:rsid w:val="009D03DE"/>
    <w:rsid w:val="009D2CD4"/>
    <w:rsid w:val="009E05BA"/>
    <w:rsid w:val="009E2BEE"/>
    <w:rsid w:val="009E701D"/>
    <w:rsid w:val="009F34A6"/>
    <w:rsid w:val="00A0188A"/>
    <w:rsid w:val="00A0798B"/>
    <w:rsid w:val="00A15A4E"/>
    <w:rsid w:val="00A16E7A"/>
    <w:rsid w:val="00A37456"/>
    <w:rsid w:val="00A41353"/>
    <w:rsid w:val="00A43FBD"/>
    <w:rsid w:val="00A45C49"/>
    <w:rsid w:val="00A46221"/>
    <w:rsid w:val="00A55BE9"/>
    <w:rsid w:val="00A57459"/>
    <w:rsid w:val="00A649BF"/>
    <w:rsid w:val="00A65E4B"/>
    <w:rsid w:val="00A72999"/>
    <w:rsid w:val="00A74051"/>
    <w:rsid w:val="00A75A54"/>
    <w:rsid w:val="00A76512"/>
    <w:rsid w:val="00A81C1F"/>
    <w:rsid w:val="00A82B79"/>
    <w:rsid w:val="00A84EFB"/>
    <w:rsid w:val="00A857FE"/>
    <w:rsid w:val="00A85E2F"/>
    <w:rsid w:val="00A92912"/>
    <w:rsid w:val="00A92C81"/>
    <w:rsid w:val="00A9403C"/>
    <w:rsid w:val="00A940D1"/>
    <w:rsid w:val="00A960EE"/>
    <w:rsid w:val="00A97300"/>
    <w:rsid w:val="00AA2D85"/>
    <w:rsid w:val="00AA3260"/>
    <w:rsid w:val="00AA73A1"/>
    <w:rsid w:val="00AA7A9C"/>
    <w:rsid w:val="00AB16AF"/>
    <w:rsid w:val="00AC10C7"/>
    <w:rsid w:val="00AC4378"/>
    <w:rsid w:val="00AC4977"/>
    <w:rsid w:val="00AC5D92"/>
    <w:rsid w:val="00AC680E"/>
    <w:rsid w:val="00AD1D36"/>
    <w:rsid w:val="00AD1FA5"/>
    <w:rsid w:val="00AD5E3A"/>
    <w:rsid w:val="00AE1449"/>
    <w:rsid w:val="00AE172E"/>
    <w:rsid w:val="00AE5861"/>
    <w:rsid w:val="00AF0F83"/>
    <w:rsid w:val="00AF2AF5"/>
    <w:rsid w:val="00AF43BF"/>
    <w:rsid w:val="00AF5BE1"/>
    <w:rsid w:val="00AF60E2"/>
    <w:rsid w:val="00AF7FBE"/>
    <w:rsid w:val="00B007CD"/>
    <w:rsid w:val="00B05AEF"/>
    <w:rsid w:val="00B07883"/>
    <w:rsid w:val="00B10A70"/>
    <w:rsid w:val="00B14053"/>
    <w:rsid w:val="00B151DF"/>
    <w:rsid w:val="00B16C41"/>
    <w:rsid w:val="00B21DAC"/>
    <w:rsid w:val="00B346BC"/>
    <w:rsid w:val="00B34AFD"/>
    <w:rsid w:val="00B37C0C"/>
    <w:rsid w:val="00B37E71"/>
    <w:rsid w:val="00B4516F"/>
    <w:rsid w:val="00B5147F"/>
    <w:rsid w:val="00B52513"/>
    <w:rsid w:val="00B531D2"/>
    <w:rsid w:val="00B55CB0"/>
    <w:rsid w:val="00B639D8"/>
    <w:rsid w:val="00B66516"/>
    <w:rsid w:val="00B6786E"/>
    <w:rsid w:val="00B67E74"/>
    <w:rsid w:val="00B7034C"/>
    <w:rsid w:val="00B757CC"/>
    <w:rsid w:val="00B75BF0"/>
    <w:rsid w:val="00B8736F"/>
    <w:rsid w:val="00B91455"/>
    <w:rsid w:val="00B92765"/>
    <w:rsid w:val="00BC0BD4"/>
    <w:rsid w:val="00BC2611"/>
    <w:rsid w:val="00BD2BD4"/>
    <w:rsid w:val="00BD3251"/>
    <w:rsid w:val="00BE453A"/>
    <w:rsid w:val="00BF0CA7"/>
    <w:rsid w:val="00BF1AC1"/>
    <w:rsid w:val="00BF21F4"/>
    <w:rsid w:val="00C00D35"/>
    <w:rsid w:val="00C01698"/>
    <w:rsid w:val="00C02BB1"/>
    <w:rsid w:val="00C05BB0"/>
    <w:rsid w:val="00C10402"/>
    <w:rsid w:val="00C15341"/>
    <w:rsid w:val="00C153DC"/>
    <w:rsid w:val="00C17E92"/>
    <w:rsid w:val="00C207BC"/>
    <w:rsid w:val="00C21B66"/>
    <w:rsid w:val="00C23D81"/>
    <w:rsid w:val="00C25CE1"/>
    <w:rsid w:val="00C31A56"/>
    <w:rsid w:val="00C31E71"/>
    <w:rsid w:val="00C3344E"/>
    <w:rsid w:val="00C35779"/>
    <w:rsid w:val="00C409A3"/>
    <w:rsid w:val="00C41008"/>
    <w:rsid w:val="00C427D0"/>
    <w:rsid w:val="00C4375D"/>
    <w:rsid w:val="00C4407B"/>
    <w:rsid w:val="00C46396"/>
    <w:rsid w:val="00C51C67"/>
    <w:rsid w:val="00C51EA1"/>
    <w:rsid w:val="00C5653C"/>
    <w:rsid w:val="00C60822"/>
    <w:rsid w:val="00C609A4"/>
    <w:rsid w:val="00C61149"/>
    <w:rsid w:val="00C61CA1"/>
    <w:rsid w:val="00C864EE"/>
    <w:rsid w:val="00C8711D"/>
    <w:rsid w:val="00C93F7E"/>
    <w:rsid w:val="00C9761E"/>
    <w:rsid w:val="00CA35D5"/>
    <w:rsid w:val="00CA7BE9"/>
    <w:rsid w:val="00CB3079"/>
    <w:rsid w:val="00CB6C1B"/>
    <w:rsid w:val="00CC063C"/>
    <w:rsid w:val="00CC3696"/>
    <w:rsid w:val="00CC41D3"/>
    <w:rsid w:val="00CD448B"/>
    <w:rsid w:val="00CD7063"/>
    <w:rsid w:val="00CE123E"/>
    <w:rsid w:val="00CE472B"/>
    <w:rsid w:val="00CE5D44"/>
    <w:rsid w:val="00CF60F7"/>
    <w:rsid w:val="00CF6C8A"/>
    <w:rsid w:val="00D05EBA"/>
    <w:rsid w:val="00D0663F"/>
    <w:rsid w:val="00D171B1"/>
    <w:rsid w:val="00D203DB"/>
    <w:rsid w:val="00D24564"/>
    <w:rsid w:val="00D25A4C"/>
    <w:rsid w:val="00D3515A"/>
    <w:rsid w:val="00D42D30"/>
    <w:rsid w:val="00D434EC"/>
    <w:rsid w:val="00D503E9"/>
    <w:rsid w:val="00D53305"/>
    <w:rsid w:val="00D623B4"/>
    <w:rsid w:val="00D72859"/>
    <w:rsid w:val="00D8078B"/>
    <w:rsid w:val="00D835D6"/>
    <w:rsid w:val="00D84C72"/>
    <w:rsid w:val="00D877C0"/>
    <w:rsid w:val="00D939D8"/>
    <w:rsid w:val="00D96FB4"/>
    <w:rsid w:val="00DB41CB"/>
    <w:rsid w:val="00DC2C3C"/>
    <w:rsid w:val="00DD3753"/>
    <w:rsid w:val="00DD4FD2"/>
    <w:rsid w:val="00DD59BF"/>
    <w:rsid w:val="00DD6A10"/>
    <w:rsid w:val="00DD6DA8"/>
    <w:rsid w:val="00DE7734"/>
    <w:rsid w:val="00DE7A95"/>
    <w:rsid w:val="00DE7ACB"/>
    <w:rsid w:val="00DF69BB"/>
    <w:rsid w:val="00E035A1"/>
    <w:rsid w:val="00E04933"/>
    <w:rsid w:val="00E050A9"/>
    <w:rsid w:val="00E07738"/>
    <w:rsid w:val="00E11DAE"/>
    <w:rsid w:val="00E14C48"/>
    <w:rsid w:val="00E23C5A"/>
    <w:rsid w:val="00E3412A"/>
    <w:rsid w:val="00E34480"/>
    <w:rsid w:val="00E43E20"/>
    <w:rsid w:val="00E4436E"/>
    <w:rsid w:val="00E57E8C"/>
    <w:rsid w:val="00E64229"/>
    <w:rsid w:val="00E647EB"/>
    <w:rsid w:val="00E655CC"/>
    <w:rsid w:val="00E70E08"/>
    <w:rsid w:val="00E72D3E"/>
    <w:rsid w:val="00E72DBB"/>
    <w:rsid w:val="00E756C5"/>
    <w:rsid w:val="00E90144"/>
    <w:rsid w:val="00E90B38"/>
    <w:rsid w:val="00E91AC1"/>
    <w:rsid w:val="00E95B1D"/>
    <w:rsid w:val="00EA1A70"/>
    <w:rsid w:val="00EA1BA1"/>
    <w:rsid w:val="00EA3B8F"/>
    <w:rsid w:val="00EA4CCF"/>
    <w:rsid w:val="00EA5E51"/>
    <w:rsid w:val="00EA7226"/>
    <w:rsid w:val="00EB027C"/>
    <w:rsid w:val="00EB4275"/>
    <w:rsid w:val="00EC0273"/>
    <w:rsid w:val="00EC484E"/>
    <w:rsid w:val="00EC546D"/>
    <w:rsid w:val="00EC5E8E"/>
    <w:rsid w:val="00EC734A"/>
    <w:rsid w:val="00ED1893"/>
    <w:rsid w:val="00ED54AF"/>
    <w:rsid w:val="00ED597C"/>
    <w:rsid w:val="00ED60AC"/>
    <w:rsid w:val="00ED6F73"/>
    <w:rsid w:val="00ED7DC5"/>
    <w:rsid w:val="00EE23E1"/>
    <w:rsid w:val="00EE75D8"/>
    <w:rsid w:val="00EF0B1B"/>
    <w:rsid w:val="00EF653A"/>
    <w:rsid w:val="00EF7BF7"/>
    <w:rsid w:val="00F04D51"/>
    <w:rsid w:val="00F115E3"/>
    <w:rsid w:val="00F11D75"/>
    <w:rsid w:val="00F13BED"/>
    <w:rsid w:val="00F1433A"/>
    <w:rsid w:val="00F14D09"/>
    <w:rsid w:val="00F17BFB"/>
    <w:rsid w:val="00F20A1E"/>
    <w:rsid w:val="00F4180B"/>
    <w:rsid w:val="00F42F1B"/>
    <w:rsid w:val="00F43885"/>
    <w:rsid w:val="00F4433E"/>
    <w:rsid w:val="00F45F8C"/>
    <w:rsid w:val="00F47B7D"/>
    <w:rsid w:val="00F47F3C"/>
    <w:rsid w:val="00F54E50"/>
    <w:rsid w:val="00F567A6"/>
    <w:rsid w:val="00F60386"/>
    <w:rsid w:val="00F660B5"/>
    <w:rsid w:val="00F67AA3"/>
    <w:rsid w:val="00F70E52"/>
    <w:rsid w:val="00F753C2"/>
    <w:rsid w:val="00F9002C"/>
    <w:rsid w:val="00F92482"/>
    <w:rsid w:val="00F94D64"/>
    <w:rsid w:val="00F957F0"/>
    <w:rsid w:val="00F96F59"/>
    <w:rsid w:val="00FA1E5B"/>
    <w:rsid w:val="00FA2DF3"/>
    <w:rsid w:val="00FA78CF"/>
    <w:rsid w:val="00FB3DE6"/>
    <w:rsid w:val="00FC267B"/>
    <w:rsid w:val="00FC53AC"/>
    <w:rsid w:val="00FD7D52"/>
    <w:rsid w:val="00FE2E1B"/>
    <w:rsid w:val="00FE6504"/>
    <w:rsid w:val="00FE7996"/>
    <w:rsid w:val="00FF2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D876CE-0546-4299-959C-298A1146D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CA7"/>
    <w:pPr>
      <w:widowControl w:val="0"/>
      <w:autoSpaceDE w:val="0"/>
      <w:autoSpaceDN w:val="0"/>
      <w:adjustRightInd w:val="0"/>
      <w:spacing w:after="0" w:line="240" w:lineRule="auto"/>
    </w:pPr>
    <w:rPr>
      <w:rFonts w:ascii="Times New Roman" w:eastAsia="Times New Roman" w:hAnsi="Times New Roman" w:cs="Times New Roman"/>
      <w:sz w:val="20"/>
      <w:szCs w:val="20"/>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CA7"/>
    <w:pPr>
      <w:ind w:left="720"/>
      <w:contextualSpacing/>
    </w:pPr>
  </w:style>
  <w:style w:type="paragraph" w:styleId="Header">
    <w:name w:val="header"/>
    <w:basedOn w:val="Normal"/>
    <w:link w:val="HeaderChar"/>
    <w:uiPriority w:val="99"/>
    <w:unhideWhenUsed/>
    <w:rsid w:val="00A75A54"/>
    <w:pPr>
      <w:tabs>
        <w:tab w:val="center" w:pos="4703"/>
        <w:tab w:val="right" w:pos="9406"/>
      </w:tabs>
    </w:pPr>
  </w:style>
  <w:style w:type="character" w:customStyle="1" w:styleId="HeaderChar">
    <w:name w:val="Header Char"/>
    <w:basedOn w:val="DefaultParagraphFont"/>
    <w:link w:val="Header"/>
    <w:uiPriority w:val="99"/>
    <w:rsid w:val="00A75A54"/>
    <w:rPr>
      <w:rFonts w:ascii="Times New Roman" w:eastAsia="Times New Roman" w:hAnsi="Times New Roman" w:cs="Times New Roman"/>
      <w:sz w:val="20"/>
      <w:szCs w:val="20"/>
      <w:lang w:val="bg-BG" w:eastAsia="bg-BG"/>
    </w:rPr>
  </w:style>
  <w:style w:type="paragraph" w:styleId="Footer">
    <w:name w:val="footer"/>
    <w:basedOn w:val="Normal"/>
    <w:link w:val="FooterChar"/>
    <w:uiPriority w:val="99"/>
    <w:unhideWhenUsed/>
    <w:rsid w:val="00A75A54"/>
    <w:pPr>
      <w:tabs>
        <w:tab w:val="center" w:pos="4703"/>
        <w:tab w:val="right" w:pos="9406"/>
      </w:tabs>
    </w:pPr>
  </w:style>
  <w:style w:type="character" w:customStyle="1" w:styleId="FooterChar">
    <w:name w:val="Footer Char"/>
    <w:basedOn w:val="DefaultParagraphFont"/>
    <w:link w:val="Footer"/>
    <w:uiPriority w:val="99"/>
    <w:rsid w:val="00A75A54"/>
    <w:rPr>
      <w:rFonts w:ascii="Times New Roman" w:eastAsia="Times New Roman" w:hAnsi="Times New Roman" w:cs="Times New Roman"/>
      <w:sz w:val="20"/>
      <w:szCs w:val="20"/>
      <w:lang w:val="bg-BG" w:eastAsia="bg-BG"/>
    </w:rPr>
  </w:style>
  <w:style w:type="paragraph" w:styleId="BalloonText">
    <w:name w:val="Balloon Text"/>
    <w:basedOn w:val="Normal"/>
    <w:link w:val="BalloonTextChar"/>
    <w:uiPriority w:val="99"/>
    <w:semiHidden/>
    <w:unhideWhenUsed/>
    <w:rsid w:val="00C10402"/>
    <w:rPr>
      <w:rFonts w:ascii="Tahoma" w:hAnsi="Tahoma" w:cs="Tahoma"/>
      <w:sz w:val="16"/>
      <w:szCs w:val="16"/>
    </w:rPr>
  </w:style>
  <w:style w:type="character" w:customStyle="1" w:styleId="BalloonTextChar">
    <w:name w:val="Balloon Text Char"/>
    <w:basedOn w:val="DefaultParagraphFont"/>
    <w:link w:val="BalloonText"/>
    <w:uiPriority w:val="99"/>
    <w:semiHidden/>
    <w:rsid w:val="00C10402"/>
    <w:rPr>
      <w:rFonts w:ascii="Tahoma" w:eastAsia="Times New Roman" w:hAnsi="Tahoma" w:cs="Tahoma"/>
      <w:sz w:val="16"/>
      <w:szCs w:val="16"/>
      <w:lang w:val="bg-BG" w:eastAsia="bg-BG"/>
    </w:rPr>
  </w:style>
  <w:style w:type="character" w:styleId="Hyperlink">
    <w:name w:val="Hyperlink"/>
    <w:basedOn w:val="DefaultParagraphFont"/>
    <w:uiPriority w:val="99"/>
    <w:unhideWhenUsed/>
    <w:rsid w:val="00882211"/>
    <w:rPr>
      <w:strike w:val="0"/>
      <w:dstrike w:val="0"/>
      <w:color w:val="000000"/>
      <w:u w:val="none"/>
      <w:effect w:val="none"/>
    </w:rPr>
  </w:style>
  <w:style w:type="numbering" w:customStyle="1" w:styleId="NoList1">
    <w:name w:val="No List1"/>
    <w:next w:val="NoList"/>
    <w:uiPriority w:val="99"/>
    <w:semiHidden/>
    <w:unhideWhenUsed/>
    <w:rsid w:val="00EB027C"/>
  </w:style>
  <w:style w:type="paragraph" w:customStyle="1" w:styleId="CM1">
    <w:name w:val="CM1"/>
    <w:basedOn w:val="Normal"/>
    <w:next w:val="Normal"/>
    <w:uiPriority w:val="99"/>
    <w:rsid w:val="00EB027C"/>
    <w:pPr>
      <w:widowControl/>
    </w:pPr>
    <w:rPr>
      <w:rFonts w:eastAsiaTheme="minorEastAsia"/>
      <w:sz w:val="24"/>
      <w:szCs w:val="24"/>
      <w:lang w:eastAsia="en-US"/>
    </w:rPr>
  </w:style>
  <w:style w:type="character" w:customStyle="1" w:styleId="legaldocreference1">
    <w:name w:val="legaldocreference1"/>
    <w:basedOn w:val="DefaultParagraphFont"/>
    <w:rsid w:val="00EB027C"/>
    <w:rPr>
      <w:i w:val="0"/>
      <w:iCs w:val="0"/>
      <w:color w:val="840084"/>
      <w:u w:val="single"/>
    </w:rPr>
  </w:style>
  <w:style w:type="character" w:customStyle="1" w:styleId="newdocreference1">
    <w:name w:val="newdocreference1"/>
    <w:basedOn w:val="DefaultParagraphFont"/>
    <w:rsid w:val="00EB027C"/>
    <w:rPr>
      <w:i w:val="0"/>
      <w:iCs w:val="0"/>
      <w:color w:val="0000FF"/>
      <w:u w:val="single"/>
    </w:rPr>
  </w:style>
  <w:style w:type="character" w:customStyle="1" w:styleId="historyitemselected1">
    <w:name w:val="historyitemselected1"/>
    <w:basedOn w:val="DefaultParagraphFont"/>
    <w:rsid w:val="00EB027C"/>
    <w:rPr>
      <w:b/>
      <w:bCs/>
      <w:color w:val="0086C6"/>
    </w:rPr>
  </w:style>
  <w:style w:type="character" w:styleId="CommentReference">
    <w:name w:val="annotation reference"/>
    <w:uiPriority w:val="99"/>
    <w:semiHidden/>
    <w:unhideWhenUsed/>
    <w:rsid w:val="00EB027C"/>
    <w:rPr>
      <w:rFonts w:cs="Times New Roman"/>
      <w:sz w:val="16"/>
      <w:szCs w:val="16"/>
    </w:rPr>
  </w:style>
  <w:style w:type="paragraph" w:styleId="CommentText">
    <w:name w:val="annotation text"/>
    <w:basedOn w:val="Normal"/>
    <w:link w:val="CommentTextChar"/>
    <w:uiPriority w:val="99"/>
    <w:unhideWhenUsed/>
    <w:rsid w:val="00EB027C"/>
  </w:style>
  <w:style w:type="character" w:customStyle="1" w:styleId="CommentTextChar">
    <w:name w:val="Comment Text Char"/>
    <w:basedOn w:val="DefaultParagraphFont"/>
    <w:link w:val="CommentText"/>
    <w:uiPriority w:val="99"/>
    <w:rsid w:val="00EB027C"/>
    <w:rPr>
      <w:rFonts w:ascii="Times New Roman" w:eastAsia="Times New Roman" w:hAnsi="Times New Roman" w:cs="Times New Roman"/>
      <w:sz w:val="20"/>
      <w:szCs w:val="20"/>
      <w:lang w:val="bg-BG" w:eastAsia="bg-BG"/>
    </w:rPr>
  </w:style>
  <w:style w:type="character" w:customStyle="1" w:styleId="search01">
    <w:name w:val="search01"/>
    <w:basedOn w:val="DefaultParagraphFont"/>
    <w:rsid w:val="00EB027C"/>
    <w:rPr>
      <w:shd w:val="clear" w:color="auto" w:fill="FFFF66"/>
    </w:rPr>
  </w:style>
  <w:style w:type="table" w:styleId="TableGrid">
    <w:name w:val="Table Grid"/>
    <w:basedOn w:val="TableNormal"/>
    <w:uiPriority w:val="39"/>
    <w:rsid w:val="00EB027C"/>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B027C"/>
    <w:rPr>
      <w:rFonts w:eastAsiaTheme="minorEastAsia"/>
      <w:lang w:eastAsia="en-US"/>
    </w:rPr>
  </w:style>
  <w:style w:type="character" w:customStyle="1" w:styleId="FootnoteTextChar">
    <w:name w:val="Footnote Text Char"/>
    <w:basedOn w:val="DefaultParagraphFont"/>
    <w:link w:val="FootnoteText"/>
    <w:uiPriority w:val="99"/>
    <w:semiHidden/>
    <w:rsid w:val="00EB027C"/>
    <w:rPr>
      <w:rFonts w:ascii="Times New Roman" w:eastAsiaTheme="minorEastAsia" w:hAnsi="Times New Roman" w:cs="Times New Roman"/>
      <w:sz w:val="20"/>
      <w:szCs w:val="20"/>
      <w:lang w:val="bg-BG"/>
    </w:rPr>
  </w:style>
  <w:style w:type="character" w:styleId="FootnoteReference">
    <w:name w:val="footnote reference"/>
    <w:basedOn w:val="DefaultParagraphFont"/>
    <w:uiPriority w:val="99"/>
    <w:semiHidden/>
    <w:unhideWhenUsed/>
    <w:rsid w:val="00EB027C"/>
    <w:rPr>
      <w:vertAlign w:val="superscript"/>
    </w:rPr>
  </w:style>
  <w:style w:type="paragraph" w:styleId="CommentSubject">
    <w:name w:val="annotation subject"/>
    <w:basedOn w:val="CommentText"/>
    <w:next w:val="CommentText"/>
    <w:link w:val="CommentSubjectChar"/>
    <w:uiPriority w:val="99"/>
    <w:semiHidden/>
    <w:unhideWhenUsed/>
    <w:rsid w:val="00EB027C"/>
    <w:rPr>
      <w:rFonts w:eastAsiaTheme="minorEastAsia"/>
      <w:b/>
      <w:bCs/>
      <w:lang w:eastAsia="en-US"/>
    </w:rPr>
  </w:style>
  <w:style w:type="character" w:customStyle="1" w:styleId="CommentSubjectChar">
    <w:name w:val="Comment Subject Char"/>
    <w:basedOn w:val="CommentTextChar"/>
    <w:link w:val="CommentSubject"/>
    <w:uiPriority w:val="99"/>
    <w:semiHidden/>
    <w:rsid w:val="00EB027C"/>
    <w:rPr>
      <w:rFonts w:ascii="Times New Roman" w:eastAsiaTheme="minorEastAsia" w:hAnsi="Times New Roman" w:cs="Times New Roman"/>
      <w:b/>
      <w:bCs/>
      <w:sz w:val="20"/>
      <w:szCs w:val="20"/>
      <w:lang w:val="bg-BG" w:eastAsia="bg-BG"/>
    </w:rPr>
  </w:style>
  <w:style w:type="paragraph" w:styleId="Revision">
    <w:name w:val="Revision"/>
    <w:hidden/>
    <w:uiPriority w:val="99"/>
    <w:semiHidden/>
    <w:rsid w:val="00EB027C"/>
    <w:pPr>
      <w:spacing w:after="0" w:line="240" w:lineRule="auto"/>
    </w:pPr>
    <w:rPr>
      <w:rFonts w:ascii="Times New Roman" w:eastAsiaTheme="minorEastAsia" w:hAnsi="Times New Roman" w:cs="Times New Roman"/>
      <w:sz w:val="20"/>
      <w:szCs w:val="20"/>
      <w:lang w:val="bg-BG"/>
    </w:rPr>
  </w:style>
  <w:style w:type="character" w:styleId="SubtleEmphasis">
    <w:name w:val="Subtle Emphasis"/>
    <w:basedOn w:val="DefaultParagraphFont"/>
    <w:uiPriority w:val="19"/>
    <w:qFormat/>
    <w:rsid w:val="00EB027C"/>
    <w:rPr>
      <w:i/>
      <w:iCs/>
      <w:color w:val="404040" w:themeColor="text1" w:themeTint="BF"/>
    </w:rPr>
  </w:style>
  <w:style w:type="character" w:styleId="Emphasis">
    <w:name w:val="Emphasis"/>
    <w:basedOn w:val="DefaultParagraphFont"/>
    <w:uiPriority w:val="20"/>
    <w:qFormat/>
    <w:rsid w:val="00EB027C"/>
    <w:rPr>
      <w:i/>
      <w:iCs/>
    </w:rPr>
  </w:style>
  <w:style w:type="paragraph" w:customStyle="1" w:styleId="CM3">
    <w:name w:val="CM3"/>
    <w:basedOn w:val="Normal"/>
    <w:next w:val="Normal"/>
    <w:uiPriority w:val="99"/>
    <w:rsid w:val="00EB027C"/>
    <w:pPr>
      <w:widowControl/>
    </w:pPr>
    <w:rPr>
      <w:rFonts w:eastAsiaTheme="minorHAns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89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apis://Base=APEV&amp;CELEX=32008R0889&amp;ToPar=Art92&#1075;&amp;Type=201/"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640BA-8BBF-462A-89F4-9C01DE7D4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109</Pages>
  <Words>42996</Words>
  <Characters>245080</Characters>
  <Application>Microsoft Office Word</Application>
  <DocSecurity>0</DocSecurity>
  <Lines>2042</Lines>
  <Paragraphs>575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Lora Pastuhova</dc:creator>
  <cp:lastModifiedBy>Aleksandar Angelov</cp:lastModifiedBy>
  <cp:revision>197</cp:revision>
  <dcterms:created xsi:type="dcterms:W3CDTF">2024-06-24T08:34:00Z</dcterms:created>
  <dcterms:modified xsi:type="dcterms:W3CDTF">2024-07-31T06:25:00Z</dcterms:modified>
</cp:coreProperties>
</file>