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0656"/>
      </w:tblGrid>
      <w:tr w:rsidR="00012A46">
        <w:tc>
          <w:tcPr>
            <w:tcW w:w="0" w:type="auto"/>
          </w:tcPr>
          <w:p w:rsidR="00012A46" w:rsidRDefault="00836FCA">
            <w:r>
              <w:rPr>
                <w:noProof/>
                <w:lang w:val="en-US"/>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2723810" cy="1038095"/>
                  <wp:effectExtent l="0" t="0" r="0" b="0"/>
                  <wp:wrapTopAndBottom/>
                  <wp:docPr id="100002" name="Picture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9"/>
                          <a:stretch>
                            <a:fillRect/>
                          </a:stretch>
                        </pic:blipFill>
                        <pic:spPr>
                          <a:xfrm>
                            <a:off x="0" y="0"/>
                            <a:ext cx="2723810" cy="1038095"/>
                          </a:xfrm>
                          <a:prstGeom prst="rect">
                            <a:avLst/>
                          </a:prstGeom>
                        </pic:spPr>
                      </pic:pic>
                    </a:graphicData>
                  </a:graphic>
                </wp:anchor>
              </w:drawing>
            </w:r>
            <w:r>
              <w:rPr>
                <w:noProof/>
                <w:lang w:val="en-US"/>
              </w:rPr>
              <w:drawing>
                <wp:anchor distT="0" distB="0" distL="114300" distR="114300" simplePos="0" relativeHeight="251659264" behindDoc="0" locked="0" layoutInCell="1" allowOverlap="1">
                  <wp:simplePos x="0" y="0"/>
                  <wp:positionH relativeFrom="column">
                    <wp:align>right</wp:align>
                  </wp:positionH>
                  <wp:positionV relativeFrom="paragraph">
                    <wp:align>top</wp:align>
                  </wp:positionV>
                  <wp:extent cx="2857899" cy="962159"/>
                  <wp:effectExtent l="0" t="0" r="0" b="0"/>
                  <wp:wrapTopAndBottom/>
                  <wp:docPr id="100004" name="Picture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10"/>
                          <a:stretch>
                            <a:fillRect/>
                          </a:stretch>
                        </pic:blipFill>
                        <pic:spPr>
                          <a:xfrm>
                            <a:off x="0" y="0"/>
                            <a:ext cx="2857899" cy="962159"/>
                          </a:xfrm>
                          <a:prstGeom prst="rect">
                            <a:avLst/>
                          </a:prstGeom>
                        </pic:spPr>
                      </pic:pic>
                    </a:graphicData>
                  </a:graphic>
                </wp:anchor>
              </w:drawing>
            </w:r>
          </w:p>
        </w:tc>
      </w:tr>
      <w:tr w:rsidR="00012A46">
        <w:tc>
          <w:tcPr>
            <w:tcW w:w="0" w:type="auto"/>
          </w:tcPr>
          <w:p w:rsidR="00012A46" w:rsidRDefault="00836FCA">
            <w:pPr>
              <w:pStyle w:val="Title"/>
            </w:pPr>
            <w:r>
              <w:t>Годишен доклад за изпълнението</w:t>
            </w:r>
          </w:p>
          <w:p w:rsidR="00012A46" w:rsidRDefault="00836FCA">
            <w:pPr>
              <w:pStyle w:val="Title"/>
            </w:pPr>
            <w:r>
              <w:t>Bulgaria - Rural Development Programme (National)</w:t>
            </w:r>
          </w:p>
          <w:p w:rsidR="00012A46" w:rsidRDefault="00012A46"/>
        </w:tc>
      </w:tr>
      <w:tr w:rsidR="00012A46">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012A46">
              <w:tc>
                <w:tcPr>
                  <w:tcW w:w="0" w:type="auto"/>
                  <w:gridSpan w:val="2"/>
                  <w:shd w:val="clear" w:color="auto" w:fill="C0C0C0"/>
                </w:tcPr>
                <w:p w:rsidR="00012A46" w:rsidRDefault="00836FCA">
                  <w:pPr>
                    <w:jc w:val="center"/>
                    <w:rPr>
                      <w:b/>
                    </w:rPr>
                  </w:pPr>
                  <w:r>
                    <w:rPr>
                      <w:b/>
                    </w:rPr>
                    <w:t>Годишен доклад за изпълнението</w:t>
                  </w:r>
                </w:p>
              </w:tc>
            </w:tr>
            <w:tr w:rsidR="00012A46">
              <w:tc>
                <w:tcPr>
                  <w:tcW w:w="0" w:type="auto"/>
                  <w:shd w:val="clear" w:color="auto" w:fill="FFFFFF"/>
                  <w:vAlign w:val="center"/>
                </w:tcPr>
                <w:p w:rsidR="00012A46" w:rsidRDefault="00836FCA">
                  <w:pPr>
                    <w:pStyle w:val="Caption"/>
                    <w:spacing w:before="40" w:after="40"/>
                    <w:jc w:val="center"/>
                  </w:pPr>
                  <w:r>
                    <w:t>Период</w:t>
                  </w:r>
                </w:p>
              </w:tc>
              <w:tc>
                <w:tcPr>
                  <w:tcW w:w="0" w:type="auto"/>
                  <w:shd w:val="clear" w:color="auto" w:fill="FFFFFF"/>
                  <w:vAlign w:val="center"/>
                </w:tcPr>
                <w:p w:rsidR="00012A46" w:rsidRDefault="00836FCA">
                  <w:pPr>
                    <w:spacing w:before="40" w:after="40"/>
                    <w:jc w:val="center"/>
                  </w:pPr>
                  <w:r>
                    <w:t>01/01/2023 - 31/12/2023</w:t>
                  </w:r>
                </w:p>
              </w:tc>
            </w:tr>
            <w:tr w:rsidR="00012A46">
              <w:tc>
                <w:tcPr>
                  <w:tcW w:w="2500" w:type="pct"/>
                  <w:shd w:val="clear" w:color="auto" w:fill="FFFFFF"/>
                  <w:vAlign w:val="center"/>
                </w:tcPr>
                <w:p w:rsidR="00012A46" w:rsidRDefault="00836FCA">
                  <w:pPr>
                    <w:pStyle w:val="Caption"/>
                    <w:spacing w:before="40" w:after="40"/>
                    <w:jc w:val="center"/>
                  </w:pPr>
                  <w:r>
                    <w:t>Версия</w:t>
                  </w:r>
                </w:p>
              </w:tc>
              <w:tc>
                <w:tcPr>
                  <w:tcW w:w="2500" w:type="pct"/>
                  <w:shd w:val="clear" w:color="auto" w:fill="FFFFFF"/>
                  <w:vAlign w:val="center"/>
                </w:tcPr>
                <w:p w:rsidR="00012A46" w:rsidRDefault="00836FCA">
                  <w:pPr>
                    <w:spacing w:before="40" w:after="40"/>
                    <w:jc w:val="center"/>
                  </w:pPr>
                  <w:r>
                    <w:t>2023.0</w:t>
                  </w:r>
                </w:p>
              </w:tc>
            </w:tr>
            <w:tr w:rsidR="00012A46">
              <w:tc>
                <w:tcPr>
                  <w:tcW w:w="2500" w:type="pct"/>
                  <w:shd w:val="clear" w:color="auto" w:fill="FFFFFF"/>
                  <w:vAlign w:val="center"/>
                </w:tcPr>
                <w:p w:rsidR="00012A46" w:rsidRDefault="00836FCA">
                  <w:pPr>
                    <w:pStyle w:val="Caption"/>
                    <w:spacing w:before="40" w:after="40"/>
                    <w:jc w:val="center"/>
                  </w:pPr>
                  <w:r>
                    <w:t>Статус — настоящ възел</w:t>
                  </w:r>
                </w:p>
              </w:tc>
              <w:tc>
                <w:tcPr>
                  <w:tcW w:w="2500" w:type="pct"/>
                  <w:shd w:val="clear" w:color="auto" w:fill="FFFFFF"/>
                  <w:vAlign w:val="center"/>
                </w:tcPr>
                <w:p w:rsidR="00012A46" w:rsidRDefault="00836FCA">
                  <w:pPr>
                    <w:spacing w:before="40" w:after="40"/>
                    <w:jc w:val="center"/>
                  </w:pPr>
                  <w:r>
                    <w:t>Готово за изпращане - Balgarija</w:t>
                  </w:r>
                </w:p>
              </w:tc>
            </w:tr>
            <w:tr w:rsidR="00012A46">
              <w:tc>
                <w:tcPr>
                  <w:tcW w:w="2500" w:type="pct"/>
                  <w:shd w:val="clear" w:color="auto" w:fill="FFFFFF"/>
                  <w:vAlign w:val="center"/>
                </w:tcPr>
                <w:p w:rsidR="00012A46" w:rsidRDefault="00836FCA">
                  <w:pPr>
                    <w:pStyle w:val="Caption"/>
                    <w:spacing w:before="40" w:after="40"/>
                    <w:jc w:val="center"/>
                  </w:pPr>
                  <w:r>
                    <w:t>Национален референтен номер</w:t>
                  </w:r>
                </w:p>
              </w:tc>
              <w:tc>
                <w:tcPr>
                  <w:tcW w:w="2500" w:type="pct"/>
                  <w:shd w:val="clear" w:color="auto" w:fill="FFFFFF"/>
                  <w:vAlign w:val="center"/>
                </w:tcPr>
                <w:p w:rsidR="00012A46" w:rsidRDefault="00012A46">
                  <w:pPr>
                    <w:spacing w:before="40" w:after="40"/>
                    <w:jc w:val="center"/>
                  </w:pPr>
                </w:p>
              </w:tc>
            </w:tr>
            <w:tr w:rsidR="00012A46">
              <w:tc>
                <w:tcPr>
                  <w:tcW w:w="2500" w:type="pct"/>
                  <w:shd w:val="clear" w:color="auto" w:fill="FFFFFF"/>
                  <w:vAlign w:val="center"/>
                </w:tcPr>
                <w:p w:rsidR="00012A46" w:rsidRDefault="00836FCA">
                  <w:pPr>
                    <w:pStyle w:val="Caption"/>
                    <w:spacing w:before="40" w:after="40"/>
                    <w:jc w:val="center"/>
                  </w:pPr>
                  <w:r>
                    <w:t>Дата на одобряване на комитет за наблюдение</w:t>
                  </w:r>
                </w:p>
              </w:tc>
              <w:tc>
                <w:tcPr>
                  <w:tcW w:w="2500" w:type="pct"/>
                  <w:shd w:val="clear" w:color="auto" w:fill="FFFFFF"/>
                  <w:vAlign w:val="center"/>
                </w:tcPr>
                <w:p w:rsidR="00012A46" w:rsidRDefault="00012A46">
                  <w:pPr>
                    <w:spacing w:before="40" w:after="40"/>
                    <w:jc w:val="center"/>
                  </w:pPr>
                </w:p>
              </w:tc>
            </w:tr>
          </w:tbl>
          <w:p w:rsidR="00012A46" w:rsidRDefault="00012A46"/>
        </w:tc>
      </w:tr>
      <w:tr w:rsidR="00012A46">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012A46">
              <w:tc>
                <w:tcPr>
                  <w:tcW w:w="0" w:type="auto"/>
                  <w:gridSpan w:val="2"/>
                  <w:shd w:val="clear" w:color="auto" w:fill="C0C0C0"/>
                </w:tcPr>
                <w:p w:rsidR="00012A46" w:rsidRDefault="00836FCA">
                  <w:pPr>
                    <w:jc w:val="center"/>
                    <w:rPr>
                      <w:b/>
                    </w:rPr>
                  </w:pPr>
                  <w:r>
                    <w:rPr>
                      <w:b/>
                    </w:rPr>
                    <w:t>Версия на програмата в сила</w:t>
                  </w:r>
                </w:p>
              </w:tc>
            </w:tr>
            <w:tr w:rsidR="00012A46">
              <w:tc>
                <w:tcPr>
                  <w:tcW w:w="2500" w:type="pct"/>
                  <w:shd w:val="clear" w:color="auto" w:fill="FFFFFF"/>
                  <w:vAlign w:val="center"/>
                </w:tcPr>
                <w:p w:rsidR="00012A46" w:rsidRDefault="00836FCA">
                  <w:pPr>
                    <w:pStyle w:val="Caption"/>
                    <w:spacing w:before="40" w:after="40"/>
                    <w:jc w:val="center"/>
                  </w:pPr>
                  <w:r>
                    <w:t>CCI</w:t>
                  </w:r>
                </w:p>
              </w:tc>
              <w:tc>
                <w:tcPr>
                  <w:tcW w:w="2500" w:type="pct"/>
                  <w:shd w:val="clear" w:color="auto" w:fill="FFFFFF"/>
                  <w:vAlign w:val="center"/>
                </w:tcPr>
                <w:p w:rsidR="00012A46" w:rsidRDefault="00836FCA">
                  <w:pPr>
                    <w:spacing w:before="40" w:after="40"/>
                    <w:jc w:val="center"/>
                  </w:pPr>
                  <w:r>
                    <w:t>2014BG06RDNP001</w:t>
                  </w:r>
                </w:p>
              </w:tc>
            </w:tr>
            <w:tr w:rsidR="00012A46">
              <w:tc>
                <w:tcPr>
                  <w:tcW w:w="2500" w:type="pct"/>
                  <w:shd w:val="clear" w:color="auto" w:fill="FFFFFF"/>
                  <w:vAlign w:val="center"/>
                </w:tcPr>
                <w:p w:rsidR="00012A46" w:rsidRDefault="00836FCA">
                  <w:pPr>
                    <w:pStyle w:val="Caption"/>
                    <w:spacing w:before="40" w:after="40"/>
                    <w:jc w:val="center"/>
                  </w:pPr>
                  <w:r>
                    <w:t>Вид на програмата</w:t>
                  </w:r>
                </w:p>
              </w:tc>
              <w:tc>
                <w:tcPr>
                  <w:tcW w:w="2500" w:type="pct"/>
                  <w:shd w:val="clear" w:color="auto" w:fill="FFFFFF"/>
                  <w:vAlign w:val="center"/>
                </w:tcPr>
                <w:p w:rsidR="00012A46" w:rsidRDefault="00836FCA">
                  <w:pPr>
                    <w:spacing w:before="40" w:after="40"/>
                    <w:jc w:val="center"/>
                  </w:pPr>
                  <w:r>
                    <w:t>Програма за развитие на селските райони</w:t>
                  </w:r>
                </w:p>
              </w:tc>
            </w:tr>
            <w:tr w:rsidR="00012A46">
              <w:tc>
                <w:tcPr>
                  <w:tcW w:w="2500" w:type="pct"/>
                  <w:shd w:val="clear" w:color="auto" w:fill="FFFFFF"/>
                  <w:vAlign w:val="center"/>
                </w:tcPr>
                <w:p w:rsidR="00012A46" w:rsidRDefault="00836FCA">
                  <w:pPr>
                    <w:pStyle w:val="Caption"/>
                    <w:spacing w:before="40" w:after="40"/>
                    <w:jc w:val="center"/>
                  </w:pPr>
                  <w:r>
                    <w:t>Държава</w:t>
                  </w:r>
                </w:p>
              </w:tc>
              <w:tc>
                <w:tcPr>
                  <w:tcW w:w="2500" w:type="pct"/>
                  <w:shd w:val="clear" w:color="auto" w:fill="FFFFFF"/>
                  <w:vAlign w:val="center"/>
                </w:tcPr>
                <w:p w:rsidR="00012A46" w:rsidRDefault="00836FCA">
                  <w:pPr>
                    <w:spacing w:before="40" w:after="40"/>
                    <w:jc w:val="center"/>
                  </w:pPr>
                  <w:r>
                    <w:t>България</w:t>
                  </w:r>
                </w:p>
              </w:tc>
            </w:tr>
            <w:tr w:rsidR="00012A46">
              <w:tc>
                <w:tcPr>
                  <w:tcW w:w="2500" w:type="pct"/>
                  <w:shd w:val="clear" w:color="auto" w:fill="FFFFFF"/>
                  <w:vAlign w:val="center"/>
                </w:tcPr>
                <w:p w:rsidR="00012A46" w:rsidRDefault="00836FCA">
                  <w:pPr>
                    <w:pStyle w:val="Caption"/>
                    <w:spacing w:before="40" w:after="40"/>
                    <w:jc w:val="center"/>
                  </w:pPr>
                  <w:r>
                    <w:t>Регион</w:t>
                  </w:r>
                </w:p>
              </w:tc>
              <w:tc>
                <w:tcPr>
                  <w:tcW w:w="2500" w:type="pct"/>
                  <w:shd w:val="clear" w:color="auto" w:fill="FFFFFF"/>
                  <w:vAlign w:val="center"/>
                </w:tcPr>
                <w:p w:rsidR="00012A46" w:rsidRDefault="00836FCA">
                  <w:pPr>
                    <w:spacing w:before="40" w:after="40"/>
                    <w:jc w:val="center"/>
                  </w:pPr>
                  <w:r>
                    <w:t>BG - National</w:t>
                  </w:r>
                </w:p>
              </w:tc>
            </w:tr>
            <w:tr w:rsidR="00012A46">
              <w:tc>
                <w:tcPr>
                  <w:tcW w:w="2500" w:type="pct"/>
                  <w:shd w:val="clear" w:color="auto" w:fill="FFFFFF"/>
                  <w:vAlign w:val="center"/>
                </w:tcPr>
                <w:p w:rsidR="00012A46" w:rsidRDefault="00836FCA">
                  <w:pPr>
                    <w:pStyle w:val="Caption"/>
                    <w:spacing w:before="40" w:after="40"/>
                    <w:jc w:val="center"/>
                  </w:pPr>
                  <w:r>
                    <w:t>Програмен период</w:t>
                  </w:r>
                </w:p>
              </w:tc>
              <w:tc>
                <w:tcPr>
                  <w:tcW w:w="2500" w:type="pct"/>
                  <w:shd w:val="clear" w:color="auto" w:fill="FFFFFF"/>
                  <w:vAlign w:val="center"/>
                </w:tcPr>
                <w:p w:rsidR="00012A46" w:rsidRDefault="00836FCA">
                  <w:pPr>
                    <w:spacing w:before="40" w:after="40"/>
                    <w:jc w:val="center"/>
                  </w:pPr>
                  <w:r>
                    <w:t>2014 - 2022</w:t>
                  </w:r>
                </w:p>
              </w:tc>
            </w:tr>
            <w:tr w:rsidR="00012A46">
              <w:tc>
                <w:tcPr>
                  <w:tcW w:w="2500" w:type="pct"/>
                  <w:shd w:val="clear" w:color="auto" w:fill="FFFFFF"/>
                  <w:vAlign w:val="center"/>
                </w:tcPr>
                <w:p w:rsidR="00012A46" w:rsidRDefault="00836FCA">
                  <w:pPr>
                    <w:pStyle w:val="Caption"/>
                    <w:spacing w:before="40" w:after="40"/>
                    <w:jc w:val="center"/>
                  </w:pPr>
                  <w:r>
                    <w:t>Версия</w:t>
                  </w:r>
                </w:p>
              </w:tc>
              <w:tc>
                <w:tcPr>
                  <w:tcW w:w="2500" w:type="pct"/>
                  <w:shd w:val="clear" w:color="auto" w:fill="FFFFFF"/>
                  <w:vAlign w:val="center"/>
                </w:tcPr>
                <w:p w:rsidR="00012A46" w:rsidRDefault="00836FCA">
                  <w:pPr>
                    <w:spacing w:before="40" w:after="40"/>
                    <w:jc w:val="center"/>
                  </w:pPr>
                  <w:r>
                    <w:t>17.2</w:t>
                  </w:r>
                </w:p>
              </w:tc>
            </w:tr>
            <w:tr w:rsidR="00012A46">
              <w:tc>
                <w:tcPr>
                  <w:tcW w:w="2500" w:type="pct"/>
                  <w:shd w:val="clear" w:color="auto" w:fill="FFFFFF"/>
                  <w:vAlign w:val="center"/>
                </w:tcPr>
                <w:p w:rsidR="00012A46" w:rsidRDefault="00836FCA">
                  <w:pPr>
                    <w:pStyle w:val="Caption"/>
                    <w:spacing w:before="40" w:after="40"/>
                    <w:jc w:val="center"/>
                  </w:pPr>
                  <w:r>
                    <w:t>Номер на решението</w:t>
                  </w:r>
                </w:p>
              </w:tc>
              <w:tc>
                <w:tcPr>
                  <w:tcW w:w="2500" w:type="pct"/>
                  <w:shd w:val="clear" w:color="auto" w:fill="FFFFFF"/>
                  <w:vAlign w:val="center"/>
                </w:tcPr>
                <w:p w:rsidR="00012A46" w:rsidRDefault="00836FCA">
                  <w:pPr>
                    <w:spacing w:before="40" w:after="40"/>
                    <w:jc w:val="center"/>
                  </w:pPr>
                  <w:r>
                    <w:t>C(2023)8650</w:t>
                  </w:r>
                </w:p>
              </w:tc>
            </w:tr>
            <w:tr w:rsidR="00012A46">
              <w:tc>
                <w:tcPr>
                  <w:tcW w:w="2500" w:type="pct"/>
                  <w:shd w:val="clear" w:color="auto" w:fill="FFFFFF"/>
                  <w:vAlign w:val="center"/>
                </w:tcPr>
                <w:p w:rsidR="00012A46" w:rsidRDefault="00836FCA">
                  <w:pPr>
                    <w:pStyle w:val="Caption"/>
                    <w:spacing w:before="40" w:after="40"/>
                    <w:jc w:val="center"/>
                  </w:pPr>
                  <w:r>
                    <w:t>Дата на решението</w:t>
                  </w:r>
                </w:p>
              </w:tc>
              <w:tc>
                <w:tcPr>
                  <w:tcW w:w="2500" w:type="pct"/>
                  <w:shd w:val="clear" w:color="auto" w:fill="FFFFFF"/>
                  <w:vAlign w:val="center"/>
                </w:tcPr>
                <w:p w:rsidR="00012A46" w:rsidRDefault="00836FCA">
                  <w:pPr>
                    <w:spacing w:before="40" w:after="40"/>
                    <w:jc w:val="center"/>
                  </w:pPr>
                  <w:r>
                    <w:t>06/12/2023</w:t>
                  </w:r>
                </w:p>
              </w:tc>
            </w:tr>
            <w:tr w:rsidR="00012A46">
              <w:tc>
                <w:tcPr>
                  <w:tcW w:w="2500" w:type="pct"/>
                  <w:shd w:val="clear" w:color="auto" w:fill="FFFFFF"/>
                  <w:vAlign w:val="center"/>
                </w:tcPr>
                <w:p w:rsidR="00012A46" w:rsidRDefault="00836FCA">
                  <w:pPr>
                    <w:pStyle w:val="Caption"/>
                    <w:spacing w:before="40" w:after="40"/>
                    <w:jc w:val="center"/>
                  </w:pPr>
                  <w:r>
                    <w:t>Управляващ орган</w:t>
                  </w:r>
                </w:p>
              </w:tc>
              <w:tc>
                <w:tcPr>
                  <w:tcW w:w="2500" w:type="pct"/>
                  <w:shd w:val="clear" w:color="auto" w:fill="FFFFFF"/>
                  <w:vAlign w:val="center"/>
                </w:tcPr>
                <w:p w:rsidR="00012A46" w:rsidRDefault="00836FCA">
                  <w:pPr>
                    <w:spacing w:before="40" w:after="40"/>
                    <w:jc w:val="center"/>
                  </w:pPr>
                  <w:r>
                    <w:t>Дирекция "Развитие на селските райони" (РСР) в Министерство на земеделието</w:t>
                  </w:r>
                </w:p>
              </w:tc>
            </w:tr>
          </w:tbl>
          <w:p w:rsidR="00012A46" w:rsidRDefault="00012A46"/>
        </w:tc>
      </w:tr>
    </w:tbl>
    <w:p w:rsidR="00012A46" w:rsidRDefault="00012A46">
      <w:pPr>
        <w:sectPr w:rsidR="00012A46">
          <w:footerReference w:type="default" r:id="rId11"/>
          <w:headerReference w:type="first" r:id="rId12"/>
          <w:footerReference w:type="first" r:id="rId13"/>
          <w:pgSz w:w="12240" w:h="15840"/>
          <w:pgMar w:top="900" w:right="900" w:bottom="900" w:left="900" w:header="720" w:footer="720" w:gutter="0"/>
          <w:pgNumType w:start="1"/>
          <w:cols w:space="720"/>
          <w:vAlign w:val="both"/>
        </w:sectPr>
      </w:pPr>
    </w:p>
    <w:p w:rsidR="00012A46" w:rsidRDefault="00836FCA">
      <w:pPr>
        <w:jc w:val="center"/>
        <w:rPr>
          <w:b/>
          <w:sz w:val="32"/>
        </w:rPr>
      </w:pPr>
      <w:r>
        <w:rPr>
          <w:b/>
          <w:sz w:val="32"/>
        </w:rPr>
        <w:lastRenderedPageBreak/>
        <w:t>Съдържание</w:t>
      </w:r>
    </w:p>
    <w:p w:rsidR="00012A46" w:rsidRDefault="00012A46">
      <w:pPr>
        <w:jc w:val="center"/>
        <w:rPr>
          <w:b/>
          <w:sz w:val="32"/>
        </w:rPr>
      </w:pPr>
    </w:p>
    <w:p w:rsidR="00BD4D88" w:rsidRDefault="00836FCA">
      <w:pPr>
        <w:pStyle w:val="TOC1"/>
        <w:rPr>
          <w:rFonts w:asciiTheme="minorHAnsi" w:eastAsiaTheme="minorEastAsia" w:hAnsiTheme="minorHAnsi" w:cstheme="minorBidi"/>
          <w:caps w:val="0"/>
          <w:noProof/>
          <w:sz w:val="22"/>
          <w:szCs w:val="22"/>
          <w:lang w:val="en-US"/>
        </w:rPr>
      </w:pPr>
      <w:r>
        <w:fldChar w:fldCharType="begin"/>
      </w:r>
      <w:r>
        <w:instrText>TOC \o "1-3" \h \z \u</w:instrText>
      </w:r>
      <w:r>
        <w:fldChar w:fldCharType="separate"/>
      </w:r>
      <w:hyperlink w:anchor="_Toc169016408" w:history="1">
        <w:r w:rsidR="00BD4D88" w:rsidRPr="00805CAE">
          <w:rPr>
            <w:rStyle w:val="Hyperlink"/>
            <w:noProof/>
          </w:rPr>
          <w:t>1. Ключова информация относно изпълнението на програмата и нейните приоритети</w:t>
        </w:r>
        <w:r w:rsidR="00BD4D88">
          <w:rPr>
            <w:noProof/>
            <w:webHidden/>
          </w:rPr>
          <w:tab/>
        </w:r>
        <w:r w:rsidR="00BD4D88">
          <w:rPr>
            <w:noProof/>
            <w:webHidden/>
          </w:rPr>
          <w:fldChar w:fldCharType="begin"/>
        </w:r>
        <w:r w:rsidR="00BD4D88">
          <w:rPr>
            <w:noProof/>
            <w:webHidden/>
          </w:rPr>
          <w:instrText xml:space="preserve"> PAGEREF _Toc169016408 \h </w:instrText>
        </w:r>
        <w:r w:rsidR="00BD4D88">
          <w:rPr>
            <w:noProof/>
            <w:webHidden/>
          </w:rPr>
        </w:r>
        <w:r w:rsidR="00BD4D88">
          <w:rPr>
            <w:noProof/>
            <w:webHidden/>
          </w:rPr>
          <w:fldChar w:fldCharType="separate"/>
        </w:r>
        <w:r w:rsidR="00BD4D88">
          <w:rPr>
            <w:noProof/>
            <w:webHidden/>
          </w:rPr>
          <w:t>4</w:t>
        </w:r>
        <w:r w:rsidR="00BD4D88">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09" w:history="1">
        <w:r w:rsidRPr="00805CAE">
          <w:rPr>
            <w:rStyle w:val="Hyperlink"/>
            <w:noProof/>
          </w:rPr>
          <w:t>1.a) Финансови данни</w:t>
        </w:r>
        <w:r>
          <w:rPr>
            <w:noProof/>
            <w:webHidden/>
          </w:rPr>
          <w:tab/>
        </w:r>
        <w:r>
          <w:rPr>
            <w:noProof/>
            <w:webHidden/>
          </w:rPr>
          <w:fldChar w:fldCharType="begin"/>
        </w:r>
        <w:r>
          <w:rPr>
            <w:noProof/>
            <w:webHidden/>
          </w:rPr>
          <w:instrText xml:space="preserve"> PAGEREF _Toc169016409 \h </w:instrText>
        </w:r>
        <w:r>
          <w:rPr>
            <w:noProof/>
            <w:webHidden/>
          </w:rPr>
        </w:r>
        <w:r>
          <w:rPr>
            <w:noProof/>
            <w:webHidden/>
          </w:rPr>
          <w:fldChar w:fldCharType="separate"/>
        </w:r>
        <w:r>
          <w:rPr>
            <w:noProof/>
            <w:webHidden/>
          </w:rPr>
          <w:t>4</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0" w:history="1">
        <w:r w:rsidRPr="00805CAE">
          <w:rPr>
            <w:rStyle w:val="Hyperlink"/>
            <w:noProof/>
          </w:rPr>
          <w:t>1.b) Общи и специфични за програмата показатели и количествени целеви стойности</w:t>
        </w:r>
        <w:r>
          <w:rPr>
            <w:noProof/>
            <w:webHidden/>
          </w:rPr>
          <w:tab/>
        </w:r>
        <w:r>
          <w:rPr>
            <w:noProof/>
            <w:webHidden/>
          </w:rPr>
          <w:fldChar w:fldCharType="begin"/>
        </w:r>
        <w:r>
          <w:rPr>
            <w:noProof/>
            <w:webHidden/>
          </w:rPr>
          <w:instrText xml:space="preserve"> PAGEREF _Toc169016410 \h </w:instrText>
        </w:r>
        <w:r>
          <w:rPr>
            <w:noProof/>
            <w:webHidden/>
          </w:rPr>
        </w:r>
        <w:r>
          <w:rPr>
            <w:noProof/>
            <w:webHidden/>
          </w:rPr>
          <w:fldChar w:fldCharType="separate"/>
        </w:r>
        <w:r>
          <w:rPr>
            <w:noProof/>
            <w:webHidden/>
          </w:rPr>
          <w:t>4</w:t>
        </w:r>
        <w:r>
          <w:rPr>
            <w:noProof/>
            <w:webHidden/>
          </w:rPr>
          <w:fldChar w:fldCharType="end"/>
        </w:r>
      </w:hyperlink>
    </w:p>
    <w:p w:rsidR="00BD4D88" w:rsidRDefault="00BD4D88">
      <w:pPr>
        <w:pStyle w:val="TOC3"/>
        <w:rPr>
          <w:rFonts w:asciiTheme="minorHAnsi" w:eastAsiaTheme="minorEastAsia" w:hAnsiTheme="minorHAnsi" w:cstheme="minorBidi"/>
          <w:noProof/>
          <w:sz w:val="22"/>
          <w:szCs w:val="22"/>
          <w:lang w:val="en-US"/>
        </w:rPr>
      </w:pPr>
      <w:hyperlink w:anchor="_Toc169016411" w:history="1">
        <w:r w:rsidRPr="00805CAE">
          <w:rPr>
            <w:rStyle w:val="Hyperlink"/>
            <w:noProof/>
          </w:rPr>
          <w:t>1.b1) Таблица с общ преглед</w:t>
        </w:r>
        <w:r>
          <w:rPr>
            <w:noProof/>
            <w:webHidden/>
          </w:rPr>
          <w:tab/>
        </w:r>
        <w:r>
          <w:rPr>
            <w:noProof/>
            <w:webHidden/>
          </w:rPr>
          <w:fldChar w:fldCharType="begin"/>
        </w:r>
        <w:r>
          <w:rPr>
            <w:noProof/>
            <w:webHidden/>
          </w:rPr>
          <w:instrText xml:space="preserve"> PAGEREF _Toc169016411 \h </w:instrText>
        </w:r>
        <w:r>
          <w:rPr>
            <w:noProof/>
            <w:webHidden/>
          </w:rPr>
        </w:r>
        <w:r>
          <w:rPr>
            <w:noProof/>
            <w:webHidden/>
          </w:rPr>
          <w:fldChar w:fldCharType="separate"/>
        </w:r>
        <w:r>
          <w:rPr>
            <w:noProof/>
            <w:webHidden/>
          </w:rPr>
          <w:t>4</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2" w:history="1">
        <w:r w:rsidRPr="00805CAE">
          <w:rPr>
            <w:rStyle w:val="Hyperlink"/>
            <w:noProof/>
          </w:rPr>
          <w:t>1.c) Ключова информация относно изпълнението на ПРСР въз основа на данни от a) и б) по акцентирани области</w:t>
        </w:r>
        <w:r>
          <w:rPr>
            <w:noProof/>
            <w:webHidden/>
          </w:rPr>
          <w:tab/>
        </w:r>
        <w:r>
          <w:rPr>
            <w:noProof/>
            <w:webHidden/>
          </w:rPr>
          <w:fldChar w:fldCharType="begin"/>
        </w:r>
        <w:r>
          <w:rPr>
            <w:noProof/>
            <w:webHidden/>
          </w:rPr>
          <w:instrText xml:space="preserve"> PAGEREF _Toc169016412 \h </w:instrText>
        </w:r>
        <w:r>
          <w:rPr>
            <w:noProof/>
            <w:webHidden/>
          </w:rPr>
        </w:r>
        <w:r>
          <w:rPr>
            <w:noProof/>
            <w:webHidden/>
          </w:rPr>
          <w:fldChar w:fldCharType="separate"/>
        </w:r>
        <w:r>
          <w:rPr>
            <w:noProof/>
            <w:webHidden/>
          </w:rPr>
          <w:t>21</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3" w:history="1">
        <w:r w:rsidRPr="00805CAE">
          <w:rPr>
            <w:rStyle w:val="Hyperlink"/>
            <w:noProof/>
          </w:rPr>
          <w:t>1.d) Ключова информация относно постиженията във връзка с етапните цели, определени в рамката на изпълнението въз основа на таблица Е</w:t>
        </w:r>
        <w:r>
          <w:rPr>
            <w:noProof/>
            <w:webHidden/>
          </w:rPr>
          <w:tab/>
        </w:r>
        <w:r>
          <w:rPr>
            <w:noProof/>
            <w:webHidden/>
          </w:rPr>
          <w:fldChar w:fldCharType="begin"/>
        </w:r>
        <w:r>
          <w:rPr>
            <w:noProof/>
            <w:webHidden/>
          </w:rPr>
          <w:instrText xml:space="preserve"> PAGEREF _Toc169016413 \h </w:instrText>
        </w:r>
        <w:r>
          <w:rPr>
            <w:noProof/>
            <w:webHidden/>
          </w:rPr>
        </w:r>
        <w:r>
          <w:rPr>
            <w:noProof/>
            <w:webHidden/>
          </w:rPr>
          <w:fldChar w:fldCharType="separate"/>
        </w:r>
        <w:r>
          <w:rPr>
            <w:noProof/>
            <w:webHidden/>
          </w:rPr>
          <w:t>52</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4" w:history="1">
        <w:r w:rsidRPr="00805CAE">
          <w:rPr>
            <w:rStyle w:val="Hyperlink"/>
            <w:noProof/>
          </w:rPr>
          <w:t>1.e) Друг конкретен елемент по ПРСР [незадължително]</w:t>
        </w:r>
        <w:r>
          <w:rPr>
            <w:noProof/>
            <w:webHidden/>
          </w:rPr>
          <w:tab/>
        </w:r>
        <w:r>
          <w:rPr>
            <w:noProof/>
            <w:webHidden/>
          </w:rPr>
          <w:fldChar w:fldCharType="begin"/>
        </w:r>
        <w:r>
          <w:rPr>
            <w:noProof/>
            <w:webHidden/>
          </w:rPr>
          <w:instrText xml:space="preserve"> PAGEREF _Toc169016414 \h </w:instrText>
        </w:r>
        <w:r>
          <w:rPr>
            <w:noProof/>
            <w:webHidden/>
          </w:rPr>
        </w:r>
        <w:r>
          <w:rPr>
            <w:noProof/>
            <w:webHidden/>
          </w:rPr>
          <w:fldChar w:fldCharType="separate"/>
        </w:r>
        <w:r>
          <w:rPr>
            <w:noProof/>
            <w:webHidden/>
          </w:rPr>
          <w:t>53</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5" w:history="1">
        <w:r w:rsidRPr="00805CAE">
          <w:rPr>
            <w:rStyle w:val="Hyperlink"/>
            <w:noProof/>
          </w:rPr>
          <w:t>1.f) По целесъобразност, приноса към макрорегионалните стратегии и стратегиите за морските басейни</w:t>
        </w:r>
        <w:r>
          <w:rPr>
            <w:noProof/>
            <w:webHidden/>
          </w:rPr>
          <w:tab/>
        </w:r>
        <w:r>
          <w:rPr>
            <w:noProof/>
            <w:webHidden/>
          </w:rPr>
          <w:fldChar w:fldCharType="begin"/>
        </w:r>
        <w:r>
          <w:rPr>
            <w:noProof/>
            <w:webHidden/>
          </w:rPr>
          <w:instrText xml:space="preserve"> PAGEREF _Toc169016415 \h </w:instrText>
        </w:r>
        <w:r>
          <w:rPr>
            <w:noProof/>
            <w:webHidden/>
          </w:rPr>
        </w:r>
        <w:r>
          <w:rPr>
            <w:noProof/>
            <w:webHidden/>
          </w:rPr>
          <w:fldChar w:fldCharType="separate"/>
        </w:r>
        <w:r>
          <w:rPr>
            <w:noProof/>
            <w:webHidden/>
          </w:rPr>
          <w:t>55</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16" w:history="1">
        <w:r w:rsidRPr="00805CAE">
          <w:rPr>
            <w:rStyle w:val="Hyperlink"/>
            <w:noProof/>
          </w:rPr>
          <w:t>2. Напредъкът в изпълнението на плана за оценка</w:t>
        </w:r>
        <w:r>
          <w:rPr>
            <w:noProof/>
            <w:webHidden/>
          </w:rPr>
          <w:tab/>
        </w:r>
        <w:r>
          <w:rPr>
            <w:noProof/>
            <w:webHidden/>
          </w:rPr>
          <w:fldChar w:fldCharType="begin"/>
        </w:r>
        <w:r>
          <w:rPr>
            <w:noProof/>
            <w:webHidden/>
          </w:rPr>
          <w:instrText xml:space="preserve"> PAGEREF _Toc169016416 \h </w:instrText>
        </w:r>
        <w:r>
          <w:rPr>
            <w:noProof/>
            <w:webHidden/>
          </w:rPr>
        </w:r>
        <w:r>
          <w:rPr>
            <w:noProof/>
            <w:webHidden/>
          </w:rPr>
          <w:fldChar w:fldCharType="separate"/>
        </w:r>
        <w:r>
          <w:rPr>
            <w:noProof/>
            <w:webHidden/>
          </w:rPr>
          <w:t>58</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7" w:history="1">
        <w:r w:rsidRPr="00805CAE">
          <w:rPr>
            <w:rStyle w:val="Hyperlink"/>
            <w:noProof/>
          </w:rPr>
          <w:t>2.a) Описание на евентуални изменения, направени в плана за оценка на ПРСР през годината, със съответната обосновка</w:t>
        </w:r>
        <w:r>
          <w:rPr>
            <w:noProof/>
            <w:webHidden/>
          </w:rPr>
          <w:tab/>
        </w:r>
        <w:r>
          <w:rPr>
            <w:noProof/>
            <w:webHidden/>
          </w:rPr>
          <w:fldChar w:fldCharType="begin"/>
        </w:r>
        <w:r>
          <w:rPr>
            <w:noProof/>
            <w:webHidden/>
          </w:rPr>
          <w:instrText xml:space="preserve"> PAGEREF _Toc169016417 \h </w:instrText>
        </w:r>
        <w:r>
          <w:rPr>
            <w:noProof/>
            <w:webHidden/>
          </w:rPr>
        </w:r>
        <w:r>
          <w:rPr>
            <w:noProof/>
            <w:webHidden/>
          </w:rPr>
          <w:fldChar w:fldCharType="separate"/>
        </w:r>
        <w:r>
          <w:rPr>
            <w:noProof/>
            <w:webHidden/>
          </w:rPr>
          <w:t>58</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8" w:history="1">
        <w:r w:rsidRPr="00805CAE">
          <w:rPr>
            <w:rStyle w:val="Hyperlink"/>
            <w:noProof/>
          </w:rPr>
          <w:t>2.b) Описание на предприетите дейности за оценка през годината (във връзка с раздел 3 на плана за оценка)</w:t>
        </w:r>
        <w:r>
          <w:rPr>
            <w:noProof/>
            <w:webHidden/>
          </w:rPr>
          <w:tab/>
        </w:r>
        <w:r>
          <w:rPr>
            <w:noProof/>
            <w:webHidden/>
          </w:rPr>
          <w:fldChar w:fldCharType="begin"/>
        </w:r>
        <w:r>
          <w:rPr>
            <w:noProof/>
            <w:webHidden/>
          </w:rPr>
          <w:instrText xml:space="preserve"> PAGEREF _Toc169016418 \h </w:instrText>
        </w:r>
        <w:r>
          <w:rPr>
            <w:noProof/>
            <w:webHidden/>
          </w:rPr>
        </w:r>
        <w:r>
          <w:rPr>
            <w:noProof/>
            <w:webHidden/>
          </w:rPr>
          <w:fldChar w:fldCharType="separate"/>
        </w:r>
        <w:r>
          <w:rPr>
            <w:noProof/>
            <w:webHidden/>
          </w:rPr>
          <w:t>58</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19" w:history="1">
        <w:r w:rsidRPr="00805CAE">
          <w:rPr>
            <w:rStyle w:val="Hyperlink"/>
            <w:noProof/>
          </w:rPr>
          <w:t>2.c) Описание на дейностите, предприети по отношение на предоставянето и управлението на данни (във връзка с раздел 4 на плана за оценка)</w:t>
        </w:r>
        <w:r>
          <w:rPr>
            <w:noProof/>
            <w:webHidden/>
          </w:rPr>
          <w:tab/>
        </w:r>
        <w:r>
          <w:rPr>
            <w:noProof/>
            <w:webHidden/>
          </w:rPr>
          <w:fldChar w:fldCharType="begin"/>
        </w:r>
        <w:r>
          <w:rPr>
            <w:noProof/>
            <w:webHidden/>
          </w:rPr>
          <w:instrText xml:space="preserve"> PAGEREF _Toc169016419 \h </w:instrText>
        </w:r>
        <w:r>
          <w:rPr>
            <w:noProof/>
            <w:webHidden/>
          </w:rPr>
        </w:r>
        <w:r>
          <w:rPr>
            <w:noProof/>
            <w:webHidden/>
          </w:rPr>
          <w:fldChar w:fldCharType="separate"/>
        </w:r>
        <w:r>
          <w:rPr>
            <w:noProof/>
            <w:webHidden/>
          </w:rPr>
          <w:t>58</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20" w:history="1">
        <w:r w:rsidRPr="00805CAE">
          <w:rPr>
            <w:rStyle w:val="Hyperlink"/>
            <w:noProof/>
          </w:rPr>
          <w:t>2.d) Списък на завършените оценки, включително посочване на местата, където те са публикувани в интернет</w:t>
        </w:r>
        <w:r>
          <w:rPr>
            <w:noProof/>
            <w:webHidden/>
          </w:rPr>
          <w:tab/>
        </w:r>
        <w:r>
          <w:rPr>
            <w:noProof/>
            <w:webHidden/>
          </w:rPr>
          <w:fldChar w:fldCharType="begin"/>
        </w:r>
        <w:r>
          <w:rPr>
            <w:noProof/>
            <w:webHidden/>
          </w:rPr>
          <w:instrText xml:space="preserve"> PAGEREF _Toc169016420 \h </w:instrText>
        </w:r>
        <w:r>
          <w:rPr>
            <w:noProof/>
            <w:webHidden/>
          </w:rPr>
        </w:r>
        <w:r>
          <w:rPr>
            <w:noProof/>
            <w:webHidden/>
          </w:rPr>
          <w:fldChar w:fldCharType="separate"/>
        </w:r>
        <w:r>
          <w:rPr>
            <w:noProof/>
            <w:webHidden/>
          </w:rPr>
          <w:t>60</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21" w:history="1">
        <w:r w:rsidRPr="00805CAE">
          <w:rPr>
            <w:rStyle w:val="Hyperlink"/>
            <w:noProof/>
          </w:rPr>
          <w:t>2.e) Резюме на приключени оценки, което се съсредоточава върху заключенията от тях</w:t>
        </w:r>
        <w:r>
          <w:rPr>
            <w:noProof/>
            <w:webHidden/>
          </w:rPr>
          <w:tab/>
        </w:r>
        <w:r>
          <w:rPr>
            <w:noProof/>
            <w:webHidden/>
          </w:rPr>
          <w:fldChar w:fldCharType="begin"/>
        </w:r>
        <w:r>
          <w:rPr>
            <w:noProof/>
            <w:webHidden/>
          </w:rPr>
          <w:instrText xml:space="preserve"> PAGEREF _Toc169016421 \h </w:instrText>
        </w:r>
        <w:r>
          <w:rPr>
            <w:noProof/>
            <w:webHidden/>
          </w:rPr>
        </w:r>
        <w:r>
          <w:rPr>
            <w:noProof/>
            <w:webHidden/>
          </w:rPr>
          <w:fldChar w:fldCharType="separate"/>
        </w:r>
        <w:r>
          <w:rPr>
            <w:noProof/>
            <w:webHidden/>
          </w:rPr>
          <w:t>61</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22" w:history="1">
        <w:r w:rsidRPr="00805CAE">
          <w:rPr>
            <w:rStyle w:val="Hyperlink"/>
            <w:noProof/>
          </w:rPr>
          <w:t>2.f) Описание на дейностите, предприети по отношение на публикуването на констатациите от оценката (във връзка с раздел 6 на плана за оценка)</w:t>
        </w:r>
        <w:r>
          <w:rPr>
            <w:noProof/>
            <w:webHidden/>
          </w:rPr>
          <w:tab/>
        </w:r>
        <w:r>
          <w:rPr>
            <w:noProof/>
            <w:webHidden/>
          </w:rPr>
          <w:fldChar w:fldCharType="begin"/>
        </w:r>
        <w:r>
          <w:rPr>
            <w:noProof/>
            <w:webHidden/>
          </w:rPr>
          <w:instrText xml:space="preserve"> PAGEREF _Toc169016422 \h </w:instrText>
        </w:r>
        <w:r>
          <w:rPr>
            <w:noProof/>
            <w:webHidden/>
          </w:rPr>
        </w:r>
        <w:r>
          <w:rPr>
            <w:noProof/>
            <w:webHidden/>
          </w:rPr>
          <w:fldChar w:fldCharType="separate"/>
        </w:r>
        <w:r>
          <w:rPr>
            <w:noProof/>
            <w:webHidden/>
          </w:rPr>
          <w:t>61</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23" w:history="1">
        <w:r w:rsidRPr="00805CAE">
          <w:rPr>
            <w:rStyle w:val="Hyperlink"/>
            <w:noProof/>
          </w:rPr>
          <w:t>2.g) Описание на предприетите последващи действия във връзка с резултатите от оценката (във връзка с раздел 6 на плана за оценка)</w:t>
        </w:r>
        <w:r>
          <w:rPr>
            <w:noProof/>
            <w:webHidden/>
          </w:rPr>
          <w:tab/>
        </w:r>
        <w:r>
          <w:rPr>
            <w:noProof/>
            <w:webHidden/>
          </w:rPr>
          <w:fldChar w:fldCharType="begin"/>
        </w:r>
        <w:r>
          <w:rPr>
            <w:noProof/>
            <w:webHidden/>
          </w:rPr>
          <w:instrText xml:space="preserve"> PAGEREF _Toc169016423 \h </w:instrText>
        </w:r>
        <w:r>
          <w:rPr>
            <w:noProof/>
            <w:webHidden/>
          </w:rPr>
        </w:r>
        <w:r>
          <w:rPr>
            <w:noProof/>
            <w:webHidden/>
          </w:rPr>
          <w:fldChar w:fldCharType="separate"/>
        </w:r>
        <w:r>
          <w:rPr>
            <w:noProof/>
            <w:webHidden/>
          </w:rPr>
          <w:t>62</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24" w:history="1">
        <w:r w:rsidRPr="00805CAE">
          <w:rPr>
            <w:rStyle w:val="Hyperlink"/>
            <w:noProof/>
          </w:rPr>
          <w:t>3. Проблеми, свързани с изпълнението на програмата и приетите мерки</w:t>
        </w:r>
        <w:r>
          <w:rPr>
            <w:noProof/>
            <w:webHidden/>
          </w:rPr>
          <w:tab/>
        </w:r>
        <w:r>
          <w:rPr>
            <w:noProof/>
            <w:webHidden/>
          </w:rPr>
          <w:fldChar w:fldCharType="begin"/>
        </w:r>
        <w:r>
          <w:rPr>
            <w:noProof/>
            <w:webHidden/>
          </w:rPr>
          <w:instrText xml:space="preserve"> PAGEREF _Toc169016424 \h </w:instrText>
        </w:r>
        <w:r>
          <w:rPr>
            <w:noProof/>
            <w:webHidden/>
          </w:rPr>
        </w:r>
        <w:r>
          <w:rPr>
            <w:noProof/>
            <w:webHidden/>
          </w:rPr>
          <w:fldChar w:fldCharType="separate"/>
        </w:r>
        <w:r>
          <w:rPr>
            <w:noProof/>
            <w:webHidden/>
          </w:rPr>
          <w:t>63</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25" w:history="1">
        <w:r w:rsidRPr="00805CAE">
          <w:rPr>
            <w:rStyle w:val="Hyperlink"/>
            <w:noProof/>
          </w:rPr>
          <w:t>3.a) Описание на предприетите стъпки за осигуряване на качеството и ефективността на изпълнението на програмата</w:t>
        </w:r>
        <w:r>
          <w:rPr>
            <w:noProof/>
            <w:webHidden/>
          </w:rPr>
          <w:tab/>
        </w:r>
        <w:r>
          <w:rPr>
            <w:noProof/>
            <w:webHidden/>
          </w:rPr>
          <w:fldChar w:fldCharType="begin"/>
        </w:r>
        <w:r>
          <w:rPr>
            <w:noProof/>
            <w:webHidden/>
          </w:rPr>
          <w:instrText xml:space="preserve"> PAGEREF _Toc169016425 \h </w:instrText>
        </w:r>
        <w:r>
          <w:rPr>
            <w:noProof/>
            <w:webHidden/>
          </w:rPr>
        </w:r>
        <w:r>
          <w:rPr>
            <w:noProof/>
            <w:webHidden/>
          </w:rPr>
          <w:fldChar w:fldCharType="separate"/>
        </w:r>
        <w:r>
          <w:rPr>
            <w:noProof/>
            <w:webHidden/>
          </w:rPr>
          <w:t>63</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26" w:history="1">
        <w:r w:rsidRPr="00805CAE">
          <w:rPr>
            <w:rStyle w:val="Hyperlink"/>
            <w:noProof/>
          </w:rPr>
          <w:t>3.b) Качество и ефикасност на механизмите за изпълнение</w:t>
        </w:r>
        <w:r>
          <w:rPr>
            <w:noProof/>
            <w:webHidden/>
          </w:rPr>
          <w:tab/>
        </w:r>
        <w:r>
          <w:rPr>
            <w:noProof/>
            <w:webHidden/>
          </w:rPr>
          <w:fldChar w:fldCharType="begin"/>
        </w:r>
        <w:r>
          <w:rPr>
            <w:noProof/>
            <w:webHidden/>
          </w:rPr>
          <w:instrText xml:space="preserve"> PAGEREF _Toc169016426 \h </w:instrText>
        </w:r>
        <w:r>
          <w:rPr>
            <w:noProof/>
            <w:webHidden/>
          </w:rPr>
        </w:r>
        <w:r>
          <w:rPr>
            <w:noProof/>
            <w:webHidden/>
          </w:rPr>
          <w:fldChar w:fldCharType="separate"/>
        </w:r>
        <w:r>
          <w:rPr>
            <w:noProof/>
            <w:webHidden/>
          </w:rPr>
          <w:t>72</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27" w:history="1">
        <w:r w:rsidRPr="00805CAE">
          <w:rPr>
            <w:rStyle w:val="Hyperlink"/>
            <w:noProof/>
          </w:rPr>
          <w:t>4. Стъпки, предприети за прилагане на техническата помощ и изискванията за публичност на програмите</w:t>
        </w:r>
        <w:r>
          <w:rPr>
            <w:noProof/>
            <w:webHidden/>
          </w:rPr>
          <w:tab/>
        </w:r>
        <w:r>
          <w:rPr>
            <w:noProof/>
            <w:webHidden/>
          </w:rPr>
          <w:fldChar w:fldCharType="begin"/>
        </w:r>
        <w:r>
          <w:rPr>
            <w:noProof/>
            <w:webHidden/>
          </w:rPr>
          <w:instrText xml:space="preserve"> PAGEREF _Toc169016427 \h </w:instrText>
        </w:r>
        <w:r>
          <w:rPr>
            <w:noProof/>
            <w:webHidden/>
          </w:rPr>
        </w:r>
        <w:r>
          <w:rPr>
            <w:noProof/>
            <w:webHidden/>
          </w:rPr>
          <w:fldChar w:fldCharType="separate"/>
        </w:r>
        <w:r>
          <w:rPr>
            <w:noProof/>
            <w:webHidden/>
          </w:rPr>
          <w:t>73</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28" w:history="1">
        <w:r w:rsidRPr="00805CAE">
          <w:rPr>
            <w:rStyle w:val="Hyperlink"/>
            <w:noProof/>
          </w:rPr>
          <w:t>4.a) Предприети действия и актуално състояние по отношение на създаването на НМСР и изпълнението на нейния план за действие</w:t>
        </w:r>
        <w:r>
          <w:rPr>
            <w:noProof/>
            <w:webHidden/>
          </w:rPr>
          <w:tab/>
        </w:r>
        <w:r>
          <w:rPr>
            <w:noProof/>
            <w:webHidden/>
          </w:rPr>
          <w:fldChar w:fldCharType="begin"/>
        </w:r>
        <w:r>
          <w:rPr>
            <w:noProof/>
            <w:webHidden/>
          </w:rPr>
          <w:instrText xml:space="preserve"> PAGEREF _Toc169016428 \h </w:instrText>
        </w:r>
        <w:r>
          <w:rPr>
            <w:noProof/>
            <w:webHidden/>
          </w:rPr>
        </w:r>
        <w:r>
          <w:rPr>
            <w:noProof/>
            <w:webHidden/>
          </w:rPr>
          <w:fldChar w:fldCharType="separate"/>
        </w:r>
        <w:r>
          <w:rPr>
            <w:noProof/>
            <w:webHidden/>
          </w:rPr>
          <w:t>73</w:t>
        </w:r>
        <w:r>
          <w:rPr>
            <w:noProof/>
            <w:webHidden/>
          </w:rPr>
          <w:fldChar w:fldCharType="end"/>
        </w:r>
      </w:hyperlink>
    </w:p>
    <w:p w:rsidR="00BD4D88" w:rsidRDefault="00BD4D88">
      <w:pPr>
        <w:pStyle w:val="TOC3"/>
        <w:rPr>
          <w:rFonts w:asciiTheme="minorHAnsi" w:eastAsiaTheme="minorEastAsia" w:hAnsiTheme="minorHAnsi" w:cstheme="minorBidi"/>
          <w:noProof/>
          <w:sz w:val="22"/>
          <w:szCs w:val="22"/>
          <w:lang w:val="en-US"/>
        </w:rPr>
      </w:pPr>
      <w:hyperlink w:anchor="_Toc169016429" w:history="1">
        <w:r w:rsidRPr="00805CAE">
          <w:rPr>
            <w:rStyle w:val="Hyperlink"/>
            <w:noProof/>
          </w:rPr>
          <w:t>4.a1) Предприети действия и актуално състояние по отношение на създаването на НМСР (структура на управление и звено за подкрепа на мрежата)</w:t>
        </w:r>
        <w:r>
          <w:rPr>
            <w:noProof/>
            <w:webHidden/>
          </w:rPr>
          <w:tab/>
        </w:r>
        <w:r>
          <w:rPr>
            <w:noProof/>
            <w:webHidden/>
          </w:rPr>
          <w:fldChar w:fldCharType="begin"/>
        </w:r>
        <w:r>
          <w:rPr>
            <w:noProof/>
            <w:webHidden/>
          </w:rPr>
          <w:instrText xml:space="preserve"> PAGEREF _Toc169016429 \h </w:instrText>
        </w:r>
        <w:r>
          <w:rPr>
            <w:noProof/>
            <w:webHidden/>
          </w:rPr>
        </w:r>
        <w:r>
          <w:rPr>
            <w:noProof/>
            <w:webHidden/>
          </w:rPr>
          <w:fldChar w:fldCharType="separate"/>
        </w:r>
        <w:r>
          <w:rPr>
            <w:noProof/>
            <w:webHidden/>
          </w:rPr>
          <w:t>73</w:t>
        </w:r>
        <w:r>
          <w:rPr>
            <w:noProof/>
            <w:webHidden/>
          </w:rPr>
          <w:fldChar w:fldCharType="end"/>
        </w:r>
      </w:hyperlink>
    </w:p>
    <w:p w:rsidR="00BD4D88" w:rsidRDefault="00BD4D88">
      <w:pPr>
        <w:pStyle w:val="TOC3"/>
        <w:rPr>
          <w:rFonts w:asciiTheme="minorHAnsi" w:eastAsiaTheme="minorEastAsia" w:hAnsiTheme="minorHAnsi" w:cstheme="minorBidi"/>
          <w:noProof/>
          <w:sz w:val="22"/>
          <w:szCs w:val="22"/>
          <w:lang w:val="en-US"/>
        </w:rPr>
      </w:pPr>
      <w:hyperlink w:anchor="_Toc169016430" w:history="1">
        <w:r w:rsidRPr="00805CAE">
          <w:rPr>
            <w:rStyle w:val="Hyperlink"/>
            <w:noProof/>
          </w:rPr>
          <w:t>4.a2) Предприетите действия и актуалното състояние по отношение на изпълнението на плана за действие</w:t>
        </w:r>
        <w:r>
          <w:rPr>
            <w:noProof/>
            <w:webHidden/>
          </w:rPr>
          <w:tab/>
        </w:r>
        <w:r>
          <w:rPr>
            <w:noProof/>
            <w:webHidden/>
          </w:rPr>
          <w:fldChar w:fldCharType="begin"/>
        </w:r>
        <w:r>
          <w:rPr>
            <w:noProof/>
            <w:webHidden/>
          </w:rPr>
          <w:instrText xml:space="preserve"> PAGEREF _Toc169016430 \h </w:instrText>
        </w:r>
        <w:r>
          <w:rPr>
            <w:noProof/>
            <w:webHidden/>
          </w:rPr>
        </w:r>
        <w:r>
          <w:rPr>
            <w:noProof/>
            <w:webHidden/>
          </w:rPr>
          <w:fldChar w:fldCharType="separate"/>
        </w:r>
        <w:r>
          <w:rPr>
            <w:noProof/>
            <w:webHidden/>
          </w:rPr>
          <w:t>73</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31" w:history="1">
        <w:r w:rsidRPr="00805CAE">
          <w:rPr>
            <w:rStyle w:val="Hyperlink"/>
            <w:noProof/>
          </w:rPr>
          <w:t>4.b) Стъпки, предприети за осигуряване на публичност на програмата (член 13 от Регламент за изпълнение (ЕС) № 808/2014 на Комисията)</w:t>
        </w:r>
        <w:r>
          <w:rPr>
            <w:noProof/>
            <w:webHidden/>
          </w:rPr>
          <w:tab/>
        </w:r>
        <w:r>
          <w:rPr>
            <w:noProof/>
            <w:webHidden/>
          </w:rPr>
          <w:fldChar w:fldCharType="begin"/>
        </w:r>
        <w:r>
          <w:rPr>
            <w:noProof/>
            <w:webHidden/>
          </w:rPr>
          <w:instrText xml:space="preserve"> PAGEREF _Toc169016431 \h </w:instrText>
        </w:r>
        <w:r>
          <w:rPr>
            <w:noProof/>
            <w:webHidden/>
          </w:rPr>
        </w:r>
        <w:r>
          <w:rPr>
            <w:noProof/>
            <w:webHidden/>
          </w:rPr>
          <w:fldChar w:fldCharType="separate"/>
        </w:r>
        <w:r>
          <w:rPr>
            <w:noProof/>
            <w:webHidden/>
          </w:rPr>
          <w:t>74</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32" w:history="1">
        <w:r w:rsidRPr="00805CAE">
          <w:rPr>
            <w:rStyle w:val="Hyperlink"/>
            <w:noProof/>
          </w:rPr>
          <w:t>5. Действия, предприети за изпълнение на предварителните условия</w:t>
        </w:r>
        <w:r>
          <w:rPr>
            <w:noProof/>
            <w:webHidden/>
          </w:rPr>
          <w:tab/>
        </w:r>
        <w:r>
          <w:rPr>
            <w:noProof/>
            <w:webHidden/>
          </w:rPr>
          <w:fldChar w:fldCharType="begin"/>
        </w:r>
        <w:r>
          <w:rPr>
            <w:noProof/>
            <w:webHidden/>
          </w:rPr>
          <w:instrText xml:space="preserve"> PAGEREF _Toc169016432 \h </w:instrText>
        </w:r>
        <w:r>
          <w:rPr>
            <w:noProof/>
            <w:webHidden/>
          </w:rPr>
        </w:r>
        <w:r>
          <w:rPr>
            <w:noProof/>
            <w:webHidden/>
          </w:rPr>
          <w:fldChar w:fldCharType="separate"/>
        </w:r>
        <w:r>
          <w:rPr>
            <w:noProof/>
            <w:webHidden/>
          </w:rPr>
          <w:t>75</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33" w:history="1">
        <w:r w:rsidRPr="00805CAE">
          <w:rPr>
            <w:rStyle w:val="Hyperlink"/>
            <w:noProof/>
          </w:rPr>
          <w:t>6. Описание на изпълнението на подпрограмите</w:t>
        </w:r>
        <w:r>
          <w:rPr>
            <w:noProof/>
            <w:webHidden/>
          </w:rPr>
          <w:tab/>
        </w:r>
        <w:r>
          <w:rPr>
            <w:noProof/>
            <w:webHidden/>
          </w:rPr>
          <w:fldChar w:fldCharType="begin"/>
        </w:r>
        <w:r>
          <w:rPr>
            <w:noProof/>
            <w:webHidden/>
          </w:rPr>
          <w:instrText xml:space="preserve"> PAGEREF _Toc169016433 \h </w:instrText>
        </w:r>
        <w:r>
          <w:rPr>
            <w:noProof/>
            <w:webHidden/>
          </w:rPr>
        </w:r>
        <w:r>
          <w:rPr>
            <w:noProof/>
            <w:webHidden/>
          </w:rPr>
          <w:fldChar w:fldCharType="separate"/>
        </w:r>
        <w:r>
          <w:rPr>
            <w:noProof/>
            <w:webHidden/>
          </w:rPr>
          <w:t>76</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34" w:history="1">
        <w:r w:rsidRPr="00805CAE">
          <w:rPr>
            <w:rStyle w:val="Hyperlink"/>
            <w:noProof/>
          </w:rPr>
          <w:t>7. Оценка на информацията и напредъка в постигането на целите на програмата</w:t>
        </w:r>
        <w:r>
          <w:rPr>
            <w:noProof/>
            <w:webHidden/>
          </w:rPr>
          <w:tab/>
        </w:r>
        <w:r>
          <w:rPr>
            <w:noProof/>
            <w:webHidden/>
          </w:rPr>
          <w:fldChar w:fldCharType="begin"/>
        </w:r>
        <w:r>
          <w:rPr>
            <w:noProof/>
            <w:webHidden/>
          </w:rPr>
          <w:instrText xml:space="preserve"> PAGEREF _Toc169016434 \h </w:instrText>
        </w:r>
        <w:r>
          <w:rPr>
            <w:noProof/>
            <w:webHidden/>
          </w:rPr>
        </w:r>
        <w:r>
          <w:rPr>
            <w:noProof/>
            <w:webHidden/>
          </w:rPr>
          <w:fldChar w:fldCharType="separate"/>
        </w:r>
        <w:r>
          <w:rPr>
            <w:noProof/>
            <w:webHidden/>
          </w:rPr>
          <w:t>77</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35" w:history="1">
        <w:r w:rsidRPr="00805CAE">
          <w:rPr>
            <w:rStyle w:val="Hyperlink"/>
            <w:noProof/>
          </w:rPr>
          <w:t>8. Изпълнение на дейности с цел отчитане на принципите, определени в членове 5, 7 и 8 от Регламент (ЕС) № 1303/2013</w:t>
        </w:r>
        <w:r>
          <w:rPr>
            <w:noProof/>
            <w:webHidden/>
          </w:rPr>
          <w:tab/>
        </w:r>
        <w:r>
          <w:rPr>
            <w:noProof/>
            <w:webHidden/>
          </w:rPr>
          <w:fldChar w:fldCharType="begin"/>
        </w:r>
        <w:r>
          <w:rPr>
            <w:noProof/>
            <w:webHidden/>
          </w:rPr>
          <w:instrText xml:space="preserve"> PAGEREF _Toc169016435 \h </w:instrText>
        </w:r>
        <w:r>
          <w:rPr>
            <w:noProof/>
            <w:webHidden/>
          </w:rPr>
        </w:r>
        <w:r>
          <w:rPr>
            <w:noProof/>
            <w:webHidden/>
          </w:rPr>
          <w:fldChar w:fldCharType="separate"/>
        </w:r>
        <w:r>
          <w:rPr>
            <w:noProof/>
            <w:webHidden/>
          </w:rPr>
          <w:t>78</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36" w:history="1">
        <w:r w:rsidRPr="00805CAE">
          <w:rPr>
            <w:rStyle w:val="Hyperlink"/>
            <w:noProof/>
          </w:rPr>
          <w:t>9. Напредък в осигуряването на интегриран подход при използването на ЕЗФРСР и на други финансови инструменти на ЕС</w:t>
        </w:r>
        <w:r>
          <w:rPr>
            <w:noProof/>
            <w:webHidden/>
          </w:rPr>
          <w:tab/>
        </w:r>
        <w:r>
          <w:rPr>
            <w:noProof/>
            <w:webHidden/>
          </w:rPr>
          <w:fldChar w:fldCharType="begin"/>
        </w:r>
        <w:r>
          <w:rPr>
            <w:noProof/>
            <w:webHidden/>
          </w:rPr>
          <w:instrText xml:space="preserve"> PAGEREF _Toc169016436 \h </w:instrText>
        </w:r>
        <w:r>
          <w:rPr>
            <w:noProof/>
            <w:webHidden/>
          </w:rPr>
        </w:r>
        <w:r>
          <w:rPr>
            <w:noProof/>
            <w:webHidden/>
          </w:rPr>
          <w:fldChar w:fldCharType="separate"/>
        </w:r>
        <w:r>
          <w:rPr>
            <w:noProof/>
            <w:webHidden/>
          </w:rPr>
          <w:t>80</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37" w:history="1">
        <w:r w:rsidRPr="00805CAE">
          <w:rPr>
            <w:rStyle w:val="Hyperlink"/>
            <w:noProof/>
          </w:rPr>
          <w:t>10. Доклад за изпълнението на финансовите инструменти (член 46 от Регламент (ЕС) № 1303/2013)</w:t>
        </w:r>
        <w:r>
          <w:rPr>
            <w:noProof/>
            <w:webHidden/>
          </w:rPr>
          <w:tab/>
        </w:r>
        <w:r>
          <w:rPr>
            <w:noProof/>
            <w:webHidden/>
          </w:rPr>
          <w:fldChar w:fldCharType="begin"/>
        </w:r>
        <w:r>
          <w:rPr>
            <w:noProof/>
            <w:webHidden/>
          </w:rPr>
          <w:instrText xml:space="preserve"> PAGEREF _Toc169016437 \h </w:instrText>
        </w:r>
        <w:r>
          <w:rPr>
            <w:noProof/>
            <w:webHidden/>
          </w:rPr>
        </w:r>
        <w:r>
          <w:rPr>
            <w:noProof/>
            <w:webHidden/>
          </w:rPr>
          <w:fldChar w:fldCharType="separate"/>
        </w:r>
        <w:r>
          <w:rPr>
            <w:noProof/>
            <w:webHidden/>
          </w:rPr>
          <w:t>81</w:t>
        </w:r>
        <w:r>
          <w:rPr>
            <w:noProof/>
            <w:webHidden/>
          </w:rPr>
          <w:fldChar w:fldCharType="end"/>
        </w:r>
      </w:hyperlink>
    </w:p>
    <w:p w:rsidR="00BD4D88" w:rsidRDefault="00BD4D88">
      <w:pPr>
        <w:pStyle w:val="TOC1"/>
        <w:rPr>
          <w:rFonts w:asciiTheme="minorHAnsi" w:eastAsiaTheme="minorEastAsia" w:hAnsiTheme="minorHAnsi" w:cstheme="minorBidi"/>
          <w:caps w:val="0"/>
          <w:noProof/>
          <w:sz w:val="22"/>
          <w:szCs w:val="22"/>
          <w:lang w:val="en-US"/>
        </w:rPr>
      </w:pPr>
      <w:hyperlink w:anchor="_Toc169016438" w:history="1">
        <w:r w:rsidRPr="00805CAE">
          <w:rPr>
            <w:rStyle w:val="Hyperlink"/>
            <w:noProof/>
          </w:rPr>
          <w:t>11. Кодиращи таблици за общи и специфични за програмата показатели и количествени целеви стойности</w:t>
        </w:r>
        <w:r>
          <w:rPr>
            <w:noProof/>
            <w:webHidden/>
          </w:rPr>
          <w:tab/>
        </w:r>
        <w:r>
          <w:rPr>
            <w:noProof/>
            <w:webHidden/>
          </w:rPr>
          <w:fldChar w:fldCharType="begin"/>
        </w:r>
        <w:r>
          <w:rPr>
            <w:noProof/>
            <w:webHidden/>
          </w:rPr>
          <w:instrText xml:space="preserve"> PAGEREF _Toc169016438 \h </w:instrText>
        </w:r>
        <w:r>
          <w:rPr>
            <w:noProof/>
            <w:webHidden/>
          </w:rPr>
        </w:r>
        <w:r>
          <w:rPr>
            <w:noProof/>
            <w:webHidden/>
          </w:rPr>
          <w:fldChar w:fldCharType="separate"/>
        </w:r>
        <w:r>
          <w:rPr>
            <w:noProof/>
            <w:webHidden/>
          </w:rPr>
          <w:t>95</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39" w:history="1">
        <w:r w:rsidRPr="00805CAE">
          <w:rPr>
            <w:rStyle w:val="Hyperlink"/>
            <w:noProof/>
          </w:rPr>
          <w:t>Приложение II</w:t>
        </w:r>
        <w:r>
          <w:rPr>
            <w:noProof/>
            <w:webHidden/>
          </w:rPr>
          <w:tab/>
        </w:r>
        <w:r>
          <w:rPr>
            <w:noProof/>
            <w:webHidden/>
          </w:rPr>
          <w:fldChar w:fldCharType="begin"/>
        </w:r>
        <w:r>
          <w:rPr>
            <w:noProof/>
            <w:webHidden/>
          </w:rPr>
          <w:instrText xml:space="preserve"> PAGEREF _Toc169016439 \h </w:instrText>
        </w:r>
        <w:r>
          <w:rPr>
            <w:noProof/>
            <w:webHidden/>
          </w:rPr>
        </w:r>
        <w:r>
          <w:rPr>
            <w:noProof/>
            <w:webHidden/>
          </w:rPr>
          <w:fldChar w:fldCharType="separate"/>
        </w:r>
        <w:r>
          <w:rPr>
            <w:noProof/>
            <w:webHidden/>
          </w:rPr>
          <w:t>96</w:t>
        </w:r>
        <w:r>
          <w:rPr>
            <w:noProof/>
            <w:webHidden/>
          </w:rPr>
          <w:fldChar w:fldCharType="end"/>
        </w:r>
      </w:hyperlink>
    </w:p>
    <w:p w:rsidR="00BD4D88" w:rsidRDefault="00BD4D88">
      <w:pPr>
        <w:pStyle w:val="TOC2"/>
        <w:rPr>
          <w:rFonts w:asciiTheme="minorHAnsi" w:eastAsiaTheme="minorEastAsia" w:hAnsiTheme="minorHAnsi" w:cstheme="minorBidi"/>
          <w:noProof/>
          <w:sz w:val="22"/>
          <w:szCs w:val="22"/>
          <w:lang w:val="en-US"/>
        </w:rPr>
      </w:pPr>
      <w:hyperlink w:anchor="_Toc169016440" w:history="1">
        <w:r w:rsidRPr="00805CAE">
          <w:rPr>
            <w:rStyle w:val="Hyperlink"/>
            <w:noProof/>
          </w:rPr>
          <w:t>Документи</w:t>
        </w:r>
        <w:r>
          <w:rPr>
            <w:noProof/>
            <w:webHidden/>
          </w:rPr>
          <w:tab/>
        </w:r>
        <w:r>
          <w:rPr>
            <w:noProof/>
            <w:webHidden/>
          </w:rPr>
          <w:fldChar w:fldCharType="begin"/>
        </w:r>
        <w:r>
          <w:rPr>
            <w:noProof/>
            <w:webHidden/>
          </w:rPr>
          <w:instrText xml:space="preserve"> PAGEREF _Toc169016440 \h </w:instrText>
        </w:r>
        <w:r>
          <w:rPr>
            <w:noProof/>
            <w:webHidden/>
          </w:rPr>
        </w:r>
        <w:r>
          <w:rPr>
            <w:noProof/>
            <w:webHidden/>
          </w:rPr>
          <w:fldChar w:fldCharType="separate"/>
        </w:r>
        <w:r>
          <w:rPr>
            <w:noProof/>
            <w:webHidden/>
          </w:rPr>
          <w:t>113</w:t>
        </w:r>
        <w:r>
          <w:rPr>
            <w:noProof/>
            <w:webHidden/>
          </w:rPr>
          <w:fldChar w:fldCharType="end"/>
        </w:r>
      </w:hyperlink>
    </w:p>
    <w:p w:rsidR="00012A46" w:rsidRDefault="00836FCA">
      <w:pPr>
        <w:sectPr w:rsidR="00012A46">
          <w:pgSz w:w="12240" w:h="15840"/>
          <w:pgMar w:top="900" w:right="900" w:bottom="900" w:left="900" w:header="720" w:footer="720" w:gutter="0"/>
          <w:cols w:space="720"/>
        </w:sectPr>
      </w:pPr>
      <w:r>
        <w:fldChar w:fldCharType="end"/>
      </w:r>
      <w:bookmarkStart w:id="0" w:name="_GoBack"/>
      <w:bookmarkEnd w:id="0"/>
    </w:p>
    <w:p w:rsidR="00012A46" w:rsidRDefault="00836FCA">
      <w:pPr>
        <w:pStyle w:val="Heading1"/>
      </w:pPr>
      <w:bookmarkStart w:id="1" w:name="_Toc169016408"/>
      <w:r>
        <w:lastRenderedPageBreak/>
        <w:t>Ключова информация относно изпълнението на програмата и нейните приоритети</w:t>
      </w:r>
      <w:bookmarkEnd w:id="1"/>
    </w:p>
    <w:p w:rsidR="00012A46" w:rsidRDefault="00836FCA">
      <w:pPr>
        <w:pStyle w:val="Heading2"/>
      </w:pPr>
      <w:bookmarkStart w:id="2" w:name="_Toc169016409"/>
      <w:r>
        <w:t>Финансови данни</w:t>
      </w:r>
      <w:bookmarkEnd w:id="2"/>
    </w:p>
    <w:p w:rsidR="00012A46" w:rsidRDefault="00836FCA">
      <w:r>
        <w:t>Вж. приложените документи</w:t>
      </w:r>
    </w:p>
    <w:p w:rsidR="00012A46" w:rsidRDefault="00836FCA">
      <w:pPr>
        <w:pStyle w:val="Heading2"/>
      </w:pPr>
      <w:bookmarkStart w:id="3" w:name="_Toc169016410"/>
      <w:r>
        <w:t>Общи и специфични за програмата показатели и количествени целеви стойности</w:t>
      </w:r>
      <w:bookmarkEnd w:id="3"/>
    </w:p>
    <w:p w:rsidR="00012A46" w:rsidRDefault="00836FCA">
      <w:pPr>
        <w:pStyle w:val="Heading3"/>
        <w:jc w:val="left"/>
      </w:pPr>
      <w:bookmarkStart w:id="4" w:name="_Toc169016411"/>
      <w:r>
        <w:t>Таблица с общ преглед</w:t>
      </w:r>
      <w:bookmarkEnd w:id="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012A46">
        <w:tc>
          <w:tcPr>
            <w:tcW w:w="0" w:type="auto"/>
            <w:gridSpan w:val="7"/>
            <w:shd w:val="clear" w:color="auto" w:fill="808080"/>
          </w:tcPr>
          <w:p w:rsidR="00012A46" w:rsidRDefault="00836FCA">
            <w:pPr>
              <w:keepNext/>
              <w:spacing w:before="60" w:after="60"/>
              <w:jc w:val="center"/>
              <w:rPr>
                <w:b/>
                <w:sz w:val="20"/>
              </w:rPr>
            </w:pPr>
            <w:r>
              <w:rPr>
                <w:b/>
                <w:sz w:val="20"/>
              </w:rPr>
              <w:t>Акцентирана област 1A</w:t>
            </w:r>
          </w:p>
        </w:tc>
      </w:tr>
      <w:tr w:rsidR="00012A46">
        <w:tc>
          <w:tcPr>
            <w:tcW w:w="500" w:type="pct"/>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shd w:val="clear" w:color="auto" w:fill="C0C0C0"/>
            <w:vAlign w:val="center"/>
          </w:tcPr>
          <w:p w:rsidR="00012A46" w:rsidRDefault="00836FCA">
            <w:pPr>
              <w:keepNext/>
              <w:spacing w:before="60" w:after="60"/>
              <w:jc w:val="center"/>
              <w:rPr>
                <w:sz w:val="16"/>
              </w:rPr>
            </w:pPr>
            <w:r>
              <w:rPr>
                <w:sz w:val="16"/>
              </w:rPr>
              <w:t>Период</w:t>
            </w:r>
          </w:p>
        </w:tc>
        <w:tc>
          <w:tcPr>
            <w:tcW w:w="500" w:type="pct"/>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shd w:val="clear" w:color="auto" w:fill="C0C0C0"/>
            <w:vAlign w:val="center"/>
          </w:tcPr>
          <w:p w:rsidR="00012A46" w:rsidRDefault="00836FCA">
            <w:pPr>
              <w:keepNext/>
              <w:spacing w:before="60" w:after="60"/>
              <w:jc w:val="center"/>
              <w:rPr>
                <w:sz w:val="16"/>
              </w:rPr>
            </w:pPr>
            <w:r>
              <w:rPr>
                <w:sz w:val="16"/>
              </w:rPr>
              <w:t>Усвояване (%)</w:t>
            </w:r>
          </w:p>
        </w:tc>
        <w:tc>
          <w:tcPr>
            <w:tcW w:w="500" w:type="pct"/>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shd w:val="clear" w:color="auto" w:fill="C0C0C0"/>
            <w:vAlign w:val="center"/>
          </w:tcPr>
          <w:p w:rsidR="00012A46" w:rsidRDefault="00836FCA">
            <w:pPr>
              <w:keepNext/>
              <w:spacing w:before="60" w:after="60"/>
              <w:jc w:val="center"/>
              <w:rPr>
                <w:sz w:val="16"/>
              </w:rPr>
            </w:pPr>
            <w:r>
              <w:rPr>
                <w:sz w:val="16"/>
              </w:rPr>
              <w:t>Усвояване (%)</w:t>
            </w:r>
          </w:p>
        </w:tc>
        <w:tc>
          <w:tcPr>
            <w:tcW w:w="500" w:type="pct"/>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vMerge w:val="restart"/>
            <w:shd w:val="clear" w:color="auto" w:fill="FFFFFF"/>
            <w:vAlign w:val="center"/>
          </w:tcPr>
          <w:p w:rsidR="00012A46" w:rsidRDefault="00836FCA">
            <w:pPr>
              <w:keepNext/>
              <w:spacing w:before="60" w:after="60"/>
              <w:jc w:val="left"/>
              <w:rPr>
                <w:sz w:val="16"/>
              </w:rPr>
            </w:pPr>
            <w:r>
              <w:rPr>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0,43</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33,92</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1,27</w:t>
            </w: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0,41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32,34</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26,03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22,88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18,14</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14,20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8,68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spacing w:before="60" w:after="60"/>
              <w:jc w:val="left"/>
              <w:rPr>
                <w:sz w:val="16"/>
              </w:rPr>
            </w:pP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spacing w:before="60" w:after="60"/>
              <w:jc w:val="right"/>
              <w:rPr>
                <w:sz w:val="16"/>
              </w:rPr>
            </w:pP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012A46">
        <w:tc>
          <w:tcPr>
            <w:tcW w:w="750" w:type="pct"/>
            <w:gridSpan w:val="7"/>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1B</w:t>
            </w:r>
          </w:p>
        </w:tc>
      </w:tr>
      <w:tr w:rsidR="00012A46">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14,00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2,98</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470,00</w:t>
            </w: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spacing w:before="60" w:after="60"/>
              <w:jc w:val="left"/>
              <w:rPr>
                <w:sz w:val="16"/>
              </w:rPr>
            </w:pP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spacing w:before="60" w:after="60"/>
              <w:jc w:val="right"/>
              <w:rPr>
                <w:sz w:val="16"/>
              </w:rPr>
            </w:pP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012A46">
        <w:tc>
          <w:tcPr>
            <w:tcW w:w="750" w:type="pct"/>
            <w:gridSpan w:val="7"/>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t>Акцентирана област 1C</w:t>
            </w:r>
          </w:p>
        </w:tc>
      </w:tr>
      <w:tr w:rsidR="00012A46">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2 280,00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52,17</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4 370,00</w:t>
            </w: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2 030,00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46,45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spacing w:before="60" w:after="60"/>
              <w:jc w:val="left"/>
              <w:rPr>
                <w:sz w:val="16"/>
              </w:rPr>
            </w:pP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spacing w:before="60" w:after="60"/>
              <w:jc w:val="right"/>
              <w:rPr>
                <w:sz w:val="16"/>
              </w:rPr>
            </w:pP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2A</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0,66</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122,26</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0,37</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68,54</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0,54</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0,26</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48,16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46,31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46,31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46,31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53,72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40,75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53,72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70,39</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57,43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57,43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55,57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20,38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0,16</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29,64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7,41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2 556 630,00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42,53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6 011 111,10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9 421 915,00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110,85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4 164 172,00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48,99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8 500 000,00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848 776 841,00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203,04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230 193 486,00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55,07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418 038 192,80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88 685 508,00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109,96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74 200 722,00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92,00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80 651 176,50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5 547 611,00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145,56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989 505,92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25,96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3 811 111,10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M21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81 371 995,00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212,81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38 235 323,00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99,99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38 237 487,40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M22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29 881 725,00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101,42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29 463 500,00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1 066 242 225,00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182,35</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347 797 166,25</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59,48</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584 712 578,90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1056"/>
        <w:gridCol w:w="1338"/>
        <w:gridCol w:w="933"/>
        <w:gridCol w:w="121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2B</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100,13</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100,13</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0,98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98,13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0,97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97,13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0,97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97,13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0,97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97,13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101,13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0,99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99,13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18 864,81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1 888 979,31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0,94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94,12</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0,73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73,10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0,73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73,10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0,74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74,10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0,74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74,10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0,42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42,06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1 651 824,00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221,89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744 444,40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3 349 888,00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127,61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1 656 127,00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63,09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2 624 999,80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205 267 369,00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252,27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58 213 950,00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71,54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81 367 533,50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120 957 000,00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124,78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73 083 775,00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75,39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96 935 243,20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331 226 081,00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182,32</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132 967 809,33</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73,19</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181 672 220,90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2C+</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Фирми, получили подпомагане  (брой)</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20,00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20,00</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6,00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23 233 666,00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134,57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3 757 178,20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21,76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17 264 706,00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23 233 666,00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134,57</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3 757 178,20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21,76</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17 264 706,00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3A</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0,13</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332,16</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0,12</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306,61</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0,04</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306,61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306,61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332,16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306,61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306,61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306,61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127,76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127,76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76,65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76,65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381 840,00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245,47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3,16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155 555,60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643 833,60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107,31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463 314,00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77,22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600 000,30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651 441 620,00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174,56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137 501 042,00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36,84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373 194 274,90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M09</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16 771 469,00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256,49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10 228 246,70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156,43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6 538 724,20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40 255 163,00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180,26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22 376 067,73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100,20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22 331 536,50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1 547 641,00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60,82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271 575,98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10,67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2 544 444,40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711 041 566,60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175,41</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170 845 166,21</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42,15</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405 364 535,90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3B</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T7: процент на стопанствата, които участват в схеми за управление на риска (област с поставен акцент 3Б)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0,02</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Брой на 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228,00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114,00</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200,00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203,00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101,50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E6E6E6"/>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2 538 128,00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207,67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0,40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1 222 222,20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647 882,80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107,98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463 314,00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77,22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600 000,30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M05</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10 655 358,00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68,35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4 907 061,62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31,48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15 589 335,00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13 841 368,80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79,50</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5 375 295,42</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30,87</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17 411 557,50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02"/>
        <w:gridCol w:w="1437"/>
        <w:gridCol w:w="1438"/>
        <w:gridCol w:w="933"/>
        <w:gridCol w:w="1416"/>
        <w:gridCol w:w="933"/>
        <w:gridCol w:w="133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Приоритет P4</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4,00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303,43</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1,32</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160,06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172,95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188,12</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2,46</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186,61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102,41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4,00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303,43</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1,32</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160,06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172,95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188,12</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2,46</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186,61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102,41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17,97</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148,11</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12,13</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13,03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107,40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14,19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116,96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13,82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113,91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13,94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114,90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13,60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112,09</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16,47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135,75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14,79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121,90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1 563 482,00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52,90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13 856,69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0,47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2 955 556,00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4 080 503,50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111,79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2 656 150,00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72,77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3 650 000,00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66 731 049,00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118,74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14 050 132,00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25,00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56 200 240,00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36 022 347,00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214,52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14 153 680,81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84,29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16 791 949,40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M10</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572 001 672,00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245,44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219 088 852,95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94,01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233 051 283,00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425 387 577,00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198,83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201 631 619,34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94,25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213 943 439,00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419 660 772,00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211,65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198 169 179,79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99,95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198 276 037,00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M13</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738 044 891,00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192,29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383 889 275,15</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100,02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383 814 675,00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3 214 637,00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97,09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797 346,48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24,08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3 311 111,00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2 266 706 930,50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203,84</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1 034 450 093,21</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93,03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1 111 994 290,40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t>Акцентирана област 5A</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38,72</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6,82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17,62</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1 772 974,00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111,59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0,88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1 588 888,90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467 089,20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108,63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295 743,00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68,78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429 999,90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33 419 225,00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31,06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7 810 610,00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7,26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107 579 312,00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854 075,00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75,36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133 164,61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11,75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1 133 333,30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36 513 363,20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32,97</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8 253 474,94</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7,45</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110 731 534,10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5B</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T15: общи инвестиции за енергийна ефективност (в евро) (област с поставен акцент 5Б)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394 456 616,00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134,00</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228 186 819,00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77,52</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294 373 873,60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269 485 411,00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91,55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183 167 962,00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62,22</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233 163 689,00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79,21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157 799 514,37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53,61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156 313 715,13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53,10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100 171 594,00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34,03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86 645 751,01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29,43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18 659 464,00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6,34</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55 240 936,00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18,77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7 750 600,00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2,63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13 557 418,00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8 612 674,23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3 442 239,96</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442 716,77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234 478,00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70,34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333 333,30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156,02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99,93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1 000 000,00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218 417 093,00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134,84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107 426 120,00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66,32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161 982 217,70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490 351,00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116,14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71 315,28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16,89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422 222,20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220 702 074,00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134,79</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108 501 661,08</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66,27</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163 737 773,20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5C</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11 723 342,00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10,12</w:t>
            </w: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12 309 767,00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10,62</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115 887 288,00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6 015 773,22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5,19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2 658 229,00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2,29</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10 207 875,38</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8,81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10 207 875,00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8,81</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13 126 087,93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11,33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8 971 153,00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7,74</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430 701,00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430 701,00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4 445 644,00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298 382,00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0,26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3 679 321,00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3,17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2 616 176,94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435 866,93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435 866,93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0,38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300 596,00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245,94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4,03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122 222,20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136,71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87,57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1 141 202,90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44 839 105,00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90,11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5 772 628,00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11,60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49 760 307,00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1 508 549,00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4,59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451 560,00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32 894 361,60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1 003 394,00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132,80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268 807,01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35,58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755 555,60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49 211 796,00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58,12</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7 497 220,81</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8,85</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84 673 649,30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5D</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0,70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447,55</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0,16</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0,70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447,55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0,70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447,55</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0,62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396,40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0,64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409,19</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0,67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428,37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0,63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402,80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0,54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345,26</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0,09</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51,73</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0,17</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419 488,00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104,87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400 000,00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136,71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87,57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1 141 202,90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3 574 152,00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273,53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685 071,00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52,43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1 306 660,00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M10</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68 942 657,00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172,36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34 997 550,59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87,49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40 000 000,00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523 571,00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66,37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145 139,60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18,40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788 888,90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75 020 020,00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171,92</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36 831 986,99</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84,41</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43 636 751,80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55"/>
        <w:gridCol w:w="1489"/>
        <w:gridCol w:w="1489"/>
        <w:gridCol w:w="958"/>
        <w:gridCol w:w="1490"/>
        <w:gridCol w:w="958"/>
        <w:gridCol w:w="105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5E</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1 011 664,00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154,32</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0,75</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655 555,60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136,71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87,57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1 141 202,90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M08</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3 619 671,00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114,01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1 675 303,37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52,77</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3 174 837,50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43 054,00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17,45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246 666,70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6 234 541,00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119,48</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2 679 529,17</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51,35</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5 218 262,70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6A</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T20: работни места, разкрити в подпомогнатите проекти (област с поставен акцент 6А)</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3 296,00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94,17</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3 500,00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2 094,00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59,83</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1 882,00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53,77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1 224,00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34,97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972,00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27,77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706,00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20,17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234,00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6,69</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74 098 097,00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120,48</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14 264 956,87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23,19</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61 504 537,60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M21</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3 890 357,00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100,26</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3 880 358,00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100,00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3 880 357,50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M22</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1 999 040,00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57,12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3 500 000,00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79 987 494,00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116,12</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18 145 314,87</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26,34</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68 884 895,10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2527"/>
        <w:gridCol w:w="1461"/>
        <w:gridCol w:w="1463"/>
        <w:gridCol w:w="933"/>
        <w:gridCol w:w="1461"/>
        <w:gridCol w:w="933"/>
        <w:gridCol w:w="1216"/>
      </w:tblGrid>
      <w:tr w:rsidR="00012A46">
        <w:tc>
          <w:tcPr>
            <w:tcW w:w="750" w:type="pct"/>
            <w:gridSpan w:val="8"/>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lastRenderedPageBreak/>
              <w:t>Акцентирана област 6B</w:t>
            </w:r>
          </w:p>
        </w:tc>
      </w:tr>
      <w:tr w:rsidR="00012A46">
        <w:tc>
          <w:tcPr>
            <w:tcW w:w="500" w:type="pct"/>
            <w:gridSpan w:val="2"/>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143,00</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23,83</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600,00</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216,00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36,00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76,79</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230,20</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33,36</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70,34</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210,87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46,09</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138,17</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38,06</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114,10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16,21</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48,59</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4,57</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13,70</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T21: процент от населението в селските райони, обхванато от стратегии за местно развитие (област с поставен акцент 6Б)</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27,53</w:t>
            </w:r>
          </w:p>
        </w:tc>
        <w:tc>
          <w:tcPr>
            <w:tcW w:w="500" w:type="pct"/>
            <w:tcBorders>
              <w:bottom w:val="dashSmallGap" w:sz="4" w:space="0" w:color="auto"/>
            </w:tcBorders>
            <w:shd w:val="clear" w:color="auto" w:fill="FFFFFF"/>
            <w:vAlign w:val="center"/>
          </w:tcPr>
          <w:p w:rsidR="00012A46" w:rsidRDefault="00836FCA">
            <w:pPr>
              <w:keepNext/>
              <w:spacing w:before="60" w:after="60"/>
              <w:jc w:val="right"/>
              <w:rPr>
                <w:sz w:val="16"/>
              </w:rPr>
            </w:pPr>
            <w:r>
              <w:rPr>
                <w:sz w:val="16"/>
              </w:rPr>
              <w:t>120,18</w:t>
            </w: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22,91</w:t>
            </w: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16,42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71,68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16,42</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71,68</w:t>
            </w: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gridSpan w:val="2"/>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Мярка</w:t>
            </w:r>
          </w:p>
        </w:tc>
        <w:tc>
          <w:tcPr>
            <w:tcW w:w="12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Показател за изпълнението</w:t>
            </w:r>
          </w:p>
        </w:tc>
        <w:tc>
          <w:tcPr>
            <w:tcW w:w="75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M07</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1 294 352 655,00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170,54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540 342 425,00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71,20</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758 953 788,20</w:t>
            </w:r>
          </w:p>
        </w:tc>
      </w:tr>
      <w:tr w:rsidR="00012A46">
        <w:tc>
          <w:tcPr>
            <w:tcW w:w="20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M19</w:t>
            </w:r>
          </w:p>
        </w:tc>
        <w:tc>
          <w:tcPr>
            <w:tcW w:w="1050" w:type="pct"/>
            <w:tcBorders>
              <w:bottom w:val="single" w:sz="4" w:space="0" w:color="auto"/>
            </w:tcBorders>
            <w:shd w:val="clear" w:color="auto" w:fill="FFFFFF"/>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324 212 001,10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191,44</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71 316 313,00</w:t>
            </w:r>
          </w:p>
        </w:tc>
        <w:tc>
          <w:tcPr>
            <w:tcW w:w="50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42,11</w:t>
            </w:r>
          </w:p>
        </w:tc>
        <w:tc>
          <w:tcPr>
            <w:tcW w:w="750" w:type="pct"/>
            <w:tcBorders>
              <w:bottom w:val="single" w:sz="4" w:space="0" w:color="auto"/>
            </w:tcBorders>
            <w:shd w:val="clear" w:color="auto" w:fill="FFFFFF"/>
            <w:vAlign w:val="center"/>
          </w:tcPr>
          <w:p w:rsidR="00012A46" w:rsidRDefault="00836FCA">
            <w:pPr>
              <w:keepNext/>
              <w:spacing w:before="60" w:after="60"/>
              <w:jc w:val="right"/>
              <w:rPr>
                <w:sz w:val="16"/>
              </w:rPr>
            </w:pPr>
            <w:r>
              <w:rPr>
                <w:sz w:val="16"/>
              </w:rPr>
              <w:t>169 356 172,40</w:t>
            </w:r>
          </w:p>
        </w:tc>
      </w:tr>
      <w:tr w:rsidR="00012A46">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Общо</w:t>
            </w:r>
          </w:p>
        </w:tc>
        <w:tc>
          <w:tcPr>
            <w:tcW w:w="200" w:type="pct"/>
            <w:tcBorders>
              <w:bottom w:val="single" w:sz="4" w:space="0" w:color="auto"/>
            </w:tcBorders>
            <w:shd w:val="clear" w:color="auto" w:fill="FFFFFF"/>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1 618 564 656,10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174,36</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611 658 738,00</w:t>
            </w:r>
          </w:p>
        </w:tc>
        <w:tc>
          <w:tcPr>
            <w:tcW w:w="500" w:type="pct"/>
            <w:tcBorders>
              <w:bottom w:val="single" w:sz="4" w:space="0" w:color="auto"/>
            </w:tcBorders>
            <w:shd w:val="clear" w:color="auto" w:fill="FFFFFF"/>
            <w:vAlign w:val="center"/>
          </w:tcPr>
          <w:p w:rsidR="00012A46" w:rsidRDefault="00836FCA">
            <w:pPr>
              <w:spacing w:before="60" w:after="60"/>
              <w:jc w:val="right"/>
              <w:rPr>
                <w:sz w:val="16"/>
              </w:rPr>
            </w:pPr>
            <w:r>
              <w:rPr>
                <w:sz w:val="16"/>
              </w:rPr>
              <w:t>65,89</w:t>
            </w:r>
          </w:p>
        </w:tc>
        <w:tc>
          <w:tcPr>
            <w:tcW w:w="750" w:type="pct"/>
            <w:tcBorders>
              <w:bottom w:val="single" w:sz="4" w:space="0" w:color="auto"/>
            </w:tcBorders>
            <w:shd w:val="clear" w:color="auto" w:fill="FFFFFF"/>
            <w:vAlign w:val="center"/>
          </w:tcPr>
          <w:p w:rsidR="00012A46" w:rsidRDefault="00836FCA">
            <w:pPr>
              <w:spacing w:before="60" w:after="60"/>
              <w:jc w:val="right"/>
              <w:rPr>
                <w:sz w:val="16"/>
              </w:rPr>
            </w:pPr>
            <w:r>
              <w:rPr>
                <w:sz w:val="16"/>
              </w:rPr>
              <w:t>928 309 960,60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012A46">
        <w:tc>
          <w:tcPr>
            <w:tcW w:w="750" w:type="pct"/>
            <w:gridSpan w:val="7"/>
            <w:tcBorders>
              <w:bottom w:val="single" w:sz="4" w:space="0" w:color="auto"/>
            </w:tcBorders>
            <w:shd w:val="clear" w:color="auto" w:fill="808080"/>
            <w:vAlign w:val="center"/>
          </w:tcPr>
          <w:p w:rsidR="00012A46" w:rsidRDefault="00836FCA">
            <w:pPr>
              <w:keepNext/>
              <w:spacing w:before="60" w:after="60"/>
              <w:jc w:val="center"/>
              <w:rPr>
                <w:b/>
                <w:sz w:val="20"/>
              </w:rPr>
            </w:pPr>
            <w:r>
              <w:rPr>
                <w:b/>
                <w:sz w:val="20"/>
              </w:rPr>
              <w:t>Акцентирана област 6C</w:t>
            </w:r>
          </w:p>
        </w:tc>
      </w:tr>
      <w:tr w:rsidR="00012A46">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vAlign w:val="center"/>
          </w:tcPr>
          <w:p w:rsidR="00012A46" w:rsidRDefault="00836FCA">
            <w:pPr>
              <w:keepNext/>
              <w:spacing w:before="60" w:after="60"/>
              <w:jc w:val="center"/>
              <w:rPr>
                <w:sz w:val="16"/>
              </w:rPr>
            </w:pPr>
            <w:r>
              <w:rPr>
                <w:sz w:val="16"/>
              </w:rPr>
              <w:t>Цел за 2025 г.</w:t>
            </w:r>
          </w:p>
        </w:tc>
      </w:tr>
      <w:tr w:rsidR="00012A46">
        <w:trPr>
          <w:trHeight w:val="500"/>
        </w:trPr>
        <w:tc>
          <w:tcPr>
            <w:tcW w:w="1250" w:type="pct"/>
            <w:vMerge w:val="restart"/>
            <w:tcBorders>
              <w:bottom w:val="single" w:sz="4" w:space="0" w:color="auto"/>
            </w:tcBorders>
            <w:shd w:val="clear" w:color="auto" w:fill="FFFFFF"/>
            <w:vAlign w:val="center"/>
          </w:tcPr>
          <w:p w:rsidR="00012A46" w:rsidRDefault="00836FCA">
            <w:pPr>
              <w:keepNext/>
              <w:spacing w:before="60" w:after="60"/>
              <w:jc w:val="left"/>
              <w:rPr>
                <w:sz w:val="16"/>
              </w:rPr>
            </w:pPr>
            <w:r>
              <w:rPr>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4" w:space="0" w:color="auto"/>
            </w:tcBorders>
            <w:shd w:val="clear" w:color="auto" w:fill="FFFFFF"/>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vAlign w:val="center"/>
          </w:tcPr>
          <w:p w:rsidR="00012A46" w:rsidRDefault="00836FCA">
            <w:pPr>
              <w:keepNext/>
              <w:spacing w:before="60" w:after="60"/>
              <w:jc w:val="right"/>
              <w:rPr>
                <w:sz w:val="16"/>
              </w:rPr>
            </w:pPr>
            <w:r>
              <w:rPr>
                <w:sz w:val="16"/>
              </w:rPr>
              <w:t>0,00</w:t>
            </w: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keepNext/>
              <w:spacing w:before="60" w:after="60"/>
              <w:jc w:val="right"/>
              <w:rPr>
                <w:sz w:val="16"/>
              </w:rPr>
            </w:pPr>
          </w:p>
        </w:tc>
      </w:tr>
      <w:tr w:rsidR="00012A46">
        <w:trPr>
          <w:trHeight w:val="500"/>
        </w:trPr>
        <w:tc>
          <w:tcPr>
            <w:tcW w:w="1250" w:type="pct"/>
            <w:vMerge/>
            <w:tcBorders>
              <w:bottom w:val="single" w:sz="4" w:space="0" w:color="auto"/>
            </w:tcBorders>
            <w:shd w:val="clear" w:color="auto" w:fill="FFFFFF"/>
            <w:vAlign w:val="center"/>
          </w:tcPr>
          <w:p w:rsidR="00012A46" w:rsidRDefault="00012A46">
            <w:pPr>
              <w:spacing w:before="60" w:after="60"/>
              <w:jc w:val="left"/>
              <w:rPr>
                <w:sz w:val="16"/>
              </w:rPr>
            </w:pPr>
          </w:p>
        </w:tc>
        <w:tc>
          <w:tcPr>
            <w:tcW w:w="500" w:type="pct"/>
            <w:tcBorders>
              <w:bottom w:val="single" w:sz="4" w:space="0" w:color="auto"/>
            </w:tcBorders>
            <w:shd w:val="clear" w:color="auto" w:fill="FFFFFF"/>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vAlign w:val="center"/>
          </w:tcPr>
          <w:p w:rsidR="00012A46" w:rsidRDefault="00012A46">
            <w:pPr>
              <w:spacing w:before="60" w:after="60"/>
              <w:jc w:val="right"/>
              <w:rPr>
                <w:sz w:val="16"/>
              </w:rPr>
            </w:pPr>
          </w:p>
        </w:tc>
      </w:tr>
    </w:tbl>
    <w:p w:rsidR="00012A46" w:rsidRDefault="00012A46">
      <w:pPr>
        <w:spacing w:before="60" w:after="60"/>
        <w:jc w:val="center"/>
        <w:rPr>
          <w:b/>
          <w:sz w:val="20"/>
        </w:rPr>
      </w:pPr>
    </w:p>
    <w:p w:rsidR="00012A46" w:rsidRDefault="00012A46"/>
    <w:p w:rsidR="00012A46" w:rsidRDefault="00012A46">
      <w:pPr>
        <w:sectPr w:rsidR="00012A46">
          <w:pgSz w:w="12240" w:h="15840"/>
          <w:pgMar w:top="900" w:right="900" w:bottom="900" w:left="900" w:header="720" w:footer="720" w:gutter="0"/>
          <w:cols w:space="720"/>
        </w:sectPr>
      </w:pPr>
    </w:p>
    <w:p w:rsidR="00012A46" w:rsidRDefault="00836FCA">
      <w:pPr>
        <w:pStyle w:val="Heading2"/>
      </w:pPr>
      <w:bookmarkStart w:id="5" w:name="_Toc169016412"/>
      <w:r>
        <w:lastRenderedPageBreak/>
        <w:t>Ключова информация относно изпълнението на ПРСР въз основа на данни от a) и б) по акцентирани области</w:t>
      </w:r>
      <w:bookmarkEnd w:id="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012A46">
        <w:tc>
          <w:tcPr>
            <w:tcW w:w="12000" w:type="dxa"/>
            <w:shd w:val="clear" w:color="auto" w:fill="auto"/>
            <w:vAlign w:val="center"/>
          </w:tcPr>
          <w:p w:rsidR="00012A46" w:rsidRDefault="00836FCA">
            <w:pPr>
              <w:spacing w:before="0" w:after="240"/>
              <w:jc w:val="left"/>
              <w:rPr>
                <w:szCs w:val="24"/>
              </w:rPr>
            </w:pPr>
            <w:r>
              <w:rPr>
                <w:szCs w:val="24"/>
              </w:rPr>
              <w:t>Програмата за развитие на селските райони на България за програмния период 2014-2020 г. (наричана тук ПРСР 2014-2020 и/или Програмата) е одобрена с Решение за изпълнение на Комисията C (2015) 3480 от 26.05.2015 г.</w:t>
            </w:r>
          </w:p>
          <w:p w:rsidR="00012A46" w:rsidRDefault="00836FCA">
            <w:pPr>
              <w:spacing w:before="240" w:after="240"/>
              <w:jc w:val="left"/>
              <w:rPr>
                <w:szCs w:val="24"/>
              </w:rPr>
            </w:pPr>
            <w:r>
              <w:rPr>
                <w:szCs w:val="24"/>
              </w:rPr>
              <w:t>Общият бюджет на ПРСР 2014-2020 г. е в размер на 3 789 090 449 евро (към момента е в сила 16-то изменение на ПРСР), в т.ч. принос от Европейския земеделски фонд за развитие на селските райони в размер на 3 129 044 775 евро и национално съфинансиране – 660 045 674 евро.</w:t>
            </w:r>
          </w:p>
          <w:p w:rsidR="00012A46" w:rsidRDefault="00836FCA">
            <w:pPr>
              <w:spacing w:before="240" w:after="240"/>
              <w:jc w:val="left"/>
              <w:rPr>
                <w:szCs w:val="24"/>
              </w:rPr>
            </w:pPr>
            <w:r>
              <w:rPr>
                <w:b/>
                <w:bCs/>
                <w:szCs w:val="24"/>
              </w:rPr>
              <w:t>Прием по мерки и подмерки от ПРСР 2014-2020 през 2023 г.</w:t>
            </w:r>
          </w:p>
          <w:p w:rsidR="00012A46" w:rsidRDefault="00836FCA">
            <w:pPr>
              <w:spacing w:before="240" w:after="240"/>
              <w:jc w:val="left"/>
              <w:rPr>
                <w:szCs w:val="24"/>
              </w:rPr>
            </w:pPr>
            <w:r>
              <w:rPr>
                <w:szCs w:val="24"/>
              </w:rPr>
              <w:t>През 2023 г. са реализирани нови приеми по следните мерки и подмерки от ПРСР 2014-2020:</w:t>
            </w:r>
          </w:p>
          <w:p w:rsidR="00012A46" w:rsidRDefault="00836FCA">
            <w:pPr>
              <w:spacing w:before="240" w:after="240"/>
              <w:jc w:val="left"/>
              <w:rPr>
                <w:szCs w:val="24"/>
              </w:rPr>
            </w:pPr>
            <w:r>
              <w:rPr>
                <w:szCs w:val="24"/>
              </w:rPr>
              <w:t>- Подмярка 22.1. „Извънредно временно подпомагане за земеделски стопани, които са особено засегнати от последиците от руското нашествие в Украйна“;</w:t>
            </w:r>
          </w:p>
          <w:p w:rsidR="00012A46" w:rsidRDefault="00836FCA">
            <w:pPr>
              <w:spacing w:before="240" w:after="240"/>
              <w:jc w:val="left"/>
              <w:rPr>
                <w:szCs w:val="24"/>
              </w:rPr>
            </w:pPr>
            <w:r>
              <w:rPr>
                <w:szCs w:val="24"/>
              </w:rPr>
              <w:t>- Подмярка 22.2. „Извънредно временно подпомагане за МСП, които са особено засегнати от последиците от руското нашествие в Украйна“;</w:t>
            </w:r>
          </w:p>
          <w:p w:rsidR="00012A46" w:rsidRDefault="00836FCA">
            <w:pPr>
              <w:spacing w:before="240" w:after="240"/>
              <w:jc w:val="left"/>
              <w:rPr>
                <w:szCs w:val="24"/>
              </w:rPr>
            </w:pPr>
            <w:r>
              <w:rPr>
                <w:szCs w:val="24"/>
              </w:rPr>
              <w:t>Освен това, са приемани заявления по изтичащи ангажименти за кампания 2023, по следните мерки с компенсаторен характер:</w:t>
            </w:r>
          </w:p>
          <w:p w:rsidR="00012A46" w:rsidRDefault="00836FCA">
            <w:pPr>
              <w:spacing w:before="240" w:after="240"/>
              <w:jc w:val="left"/>
              <w:rPr>
                <w:szCs w:val="24"/>
              </w:rPr>
            </w:pPr>
            <w:r>
              <w:rPr>
                <w:szCs w:val="24"/>
              </w:rPr>
              <w:t>- Мярка 10 „Агроекология и климат“;     </w:t>
            </w:r>
          </w:p>
          <w:p w:rsidR="00012A46" w:rsidRDefault="00836FCA">
            <w:pPr>
              <w:spacing w:before="240" w:after="240"/>
              <w:jc w:val="left"/>
              <w:rPr>
                <w:szCs w:val="24"/>
              </w:rPr>
            </w:pPr>
            <w:r>
              <w:rPr>
                <w:szCs w:val="24"/>
              </w:rPr>
              <w:t>- Мярка 11 „Биологично земеделие“;</w:t>
            </w:r>
          </w:p>
          <w:p w:rsidR="00012A46" w:rsidRDefault="00836FCA">
            <w:pPr>
              <w:spacing w:before="240" w:after="240"/>
              <w:jc w:val="left"/>
              <w:rPr>
                <w:szCs w:val="24"/>
              </w:rPr>
            </w:pPr>
            <w:r>
              <w:rPr>
                <w:szCs w:val="24"/>
              </w:rPr>
              <w:t>Анализът по-долу е представен като цяло следвайки разпоредбите на Регламент за изпълнение (ЕС) 2018/276 на Комисията от 23 февруари 2018 година за изменение на Регламент за изпълнение (ЕС) № 215/2014, на базата на което са представени и таблиците от Приложенията към доклада в системата (част 11 от годишния доклад), а именно - отчитането на прилагането на Програмата се извършва предимно на база сключени договори, с получени междинни и/или окончателни плащания (не се включват договори, или договори с получени авансови плащания).</w:t>
            </w:r>
          </w:p>
          <w:p w:rsidR="00012A46" w:rsidRDefault="00836FCA">
            <w:pPr>
              <w:spacing w:before="240" w:after="240"/>
              <w:jc w:val="left"/>
              <w:rPr>
                <w:szCs w:val="24"/>
              </w:rPr>
            </w:pPr>
            <w:r>
              <w:rPr>
                <w:szCs w:val="24"/>
              </w:rPr>
              <w:t>Въпреки това, за целите на анализа са представяни на места и сравнения на база приети заявления, или договори, или договори с получени плащания, вкл. само изплатени аванси и др.</w:t>
            </w:r>
          </w:p>
          <w:p w:rsidR="00012A46" w:rsidRDefault="00836FCA">
            <w:pPr>
              <w:spacing w:before="240" w:after="240"/>
              <w:jc w:val="left"/>
              <w:rPr>
                <w:szCs w:val="24"/>
              </w:rPr>
            </w:pPr>
            <w:r>
              <w:rPr>
                <w:szCs w:val="24"/>
              </w:rPr>
              <w:t>В тази връзка, изрично е упоменато навсякъде каква база е използвана за конкретния представен анализ, във всеки конкретен случай. Също така, конкретно за целите на настоящия анализ, по-долу в използваното понятие „действащи договори“ са включени както изпълняваните, така и успешно приключилите към съответната дата, като анулираните/прекратени/оттеглени проекти са изключени от този брой.</w:t>
            </w:r>
          </w:p>
          <w:p w:rsidR="00012A46" w:rsidRDefault="00836FCA">
            <w:pPr>
              <w:spacing w:before="240" w:after="240"/>
              <w:jc w:val="left"/>
              <w:rPr>
                <w:szCs w:val="24"/>
              </w:rPr>
            </w:pPr>
            <w:r>
              <w:rPr>
                <w:b/>
                <w:bCs/>
                <w:szCs w:val="24"/>
                <w:u w:val="single"/>
              </w:rPr>
              <w:t>Мерки и подмерки в процес на прилагане от стартирането на Програмата до края на 2023 г.</w:t>
            </w:r>
          </w:p>
          <w:p w:rsidR="00012A46" w:rsidRDefault="00836FCA">
            <w:pPr>
              <w:spacing w:before="240" w:after="240"/>
              <w:jc w:val="left"/>
              <w:rPr>
                <w:szCs w:val="24"/>
              </w:rPr>
            </w:pPr>
            <w:r>
              <w:rPr>
                <w:b/>
                <w:bCs/>
                <w:szCs w:val="24"/>
              </w:rPr>
              <w:t>Подмярка 1.1. „Професионално обучение и придобиване на умения“ от мярка 1 „Трансфер на знания и действия за осведомяване“</w:t>
            </w:r>
          </w:p>
          <w:p w:rsidR="00012A46" w:rsidRDefault="00836FCA">
            <w:pPr>
              <w:spacing w:before="240" w:after="240"/>
              <w:jc w:val="left"/>
              <w:rPr>
                <w:szCs w:val="24"/>
              </w:rPr>
            </w:pPr>
            <w:r>
              <w:rPr>
                <w:szCs w:val="24"/>
              </w:rPr>
              <w:t xml:space="preserve">Подпомагането по подмярка 1.1. „Професионално обучение и придобиване на умения“ е насочено </w:t>
            </w:r>
            <w:r>
              <w:rPr>
                <w:szCs w:val="24"/>
              </w:rPr>
              <w:lastRenderedPageBreak/>
              <w:t>към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на знания и информация в областта на селското и горското стопанство.</w:t>
            </w:r>
          </w:p>
          <w:p w:rsidR="00012A46" w:rsidRDefault="00836FCA">
            <w:pPr>
              <w:spacing w:before="240" w:after="240"/>
              <w:jc w:val="left"/>
              <w:rPr>
                <w:szCs w:val="24"/>
              </w:rPr>
            </w:pPr>
            <w:r>
              <w:rPr>
                <w:szCs w:val="24"/>
              </w:rPr>
              <w:t>Подкрепените проекти по подмярката следва да допринесат и за постигане на ефект по отношение изпълнението на пет от приоритетите на Европейския съюз за развитие на селските райони, с изключение на Приоритет № 6 „Насърчаване на социалното приобщаване, намаляването на бедността и икономическото развитие в селските райони“.</w:t>
            </w:r>
          </w:p>
          <w:p w:rsidR="00012A46" w:rsidRDefault="00836FCA">
            <w:pPr>
              <w:spacing w:before="240" w:after="240"/>
              <w:jc w:val="left"/>
              <w:rPr>
                <w:szCs w:val="24"/>
              </w:rPr>
            </w:pPr>
            <w:r>
              <w:rPr>
                <w:szCs w:val="24"/>
              </w:rPr>
              <w:t>Първият прием по подмярката стартира през 2019 календарна година и приключи през 2020 г., като в резултат са постъпили 79 заявления, със стойност на исканата субсидия 19,7 млн. евро публични средства.</w:t>
            </w:r>
          </w:p>
          <w:p w:rsidR="00012A46" w:rsidRDefault="00836FCA">
            <w:pPr>
              <w:spacing w:before="240" w:after="240"/>
              <w:jc w:val="left"/>
              <w:rPr>
                <w:szCs w:val="24"/>
              </w:rPr>
            </w:pPr>
            <w:r>
              <w:rPr>
                <w:szCs w:val="24"/>
              </w:rPr>
              <w:t>Към 31.12.2020 г. са издадени заповеди за одобрение за 41 проектни предложения (ПП) на обща стойност 6.22 млн. евро, а административните договори са сключени в началото на 2021 година, като общия брой на одобрените обучения по подмярката възлиза на 299 броя.  </w:t>
            </w:r>
          </w:p>
          <w:p w:rsidR="00012A46" w:rsidRDefault="00836FCA">
            <w:pPr>
              <w:spacing w:before="240" w:after="240"/>
              <w:jc w:val="left"/>
              <w:rPr>
                <w:szCs w:val="24"/>
                <w:lang w:val="bg-BG"/>
              </w:rPr>
            </w:pPr>
            <w:r>
              <w:rPr>
                <w:szCs w:val="24"/>
              </w:rPr>
              <w:t>През 2021 г. със заповед на ръководителя на УО на ПРСР 2014-2020 г.  е направено изменение в условията за изпълнение на одобрени проекти по подмярка 1.1, с което отпада изискването към бенефициентите да представят фактури към искането за плащане, тъй като подпомагането се извършва въз основа на стандартни разходи, за което не е необходимо да се предоставят разходоопвалдателни документи, а доказателства, че дейностите са извършени и лицата, участващи в дейностите са обучени с оглед облекчаване на административната тежест.</w:t>
            </w:r>
          </w:p>
          <w:p w:rsidR="001A460F" w:rsidRPr="001A460F" w:rsidRDefault="001A460F">
            <w:pPr>
              <w:spacing w:before="240" w:after="240"/>
              <w:jc w:val="left"/>
              <w:rPr>
                <w:szCs w:val="24"/>
                <w:lang w:val="bg-BG"/>
              </w:rPr>
            </w:pPr>
            <w:r w:rsidRPr="001A460F">
              <w:rPr>
                <w:szCs w:val="24"/>
                <w:lang w:val="bg-BG"/>
              </w:rPr>
              <w:t>Със Заповед № РД 09-943 от 28.08.2023 г. на Ръководител на УО на ПРСР 2014-2020 г. по процедурата по подмярка 1.1 „Професионално обучение и придобиване на умения“ са изменени насоките за кандидатстване като е удължен срокът за изпълнение на проектите от 36 месеца на 48 месеца. По този начин се осигурява възможност във връзка с усложнената обстановка с пандемията COVID-19 в първите месеци от изпълнение на одобрените проекти, да се навакса с обученията за земеделските и горските стопани и заетите лица в техните стопанства по сключени договори, които са в процес на изпълнение и не са прекратени.</w:t>
            </w:r>
          </w:p>
          <w:p w:rsidR="00012A46" w:rsidRDefault="00836FCA">
            <w:pPr>
              <w:spacing w:before="240" w:after="240"/>
              <w:jc w:val="left"/>
              <w:rPr>
                <w:szCs w:val="24"/>
              </w:rPr>
            </w:pPr>
            <w:r>
              <w:rPr>
                <w:szCs w:val="24"/>
              </w:rPr>
              <w:t>Общият брой обучени лица по проектите, получили плащане (4 броя проекти) е 228, като в таблиците към доклада същите са нанесени с дублиране по фокус области. На същите обучени лица са предоставени общо 2241 дни обучение.</w:t>
            </w:r>
          </w:p>
          <w:p w:rsidR="00012A46" w:rsidRDefault="00836FCA">
            <w:pPr>
              <w:spacing w:before="240" w:after="240"/>
              <w:jc w:val="left"/>
              <w:rPr>
                <w:szCs w:val="24"/>
              </w:rPr>
            </w:pPr>
            <w:r>
              <w:rPr>
                <w:szCs w:val="24"/>
              </w:rPr>
              <w:t>Към 31.12.2023 г. действащите договори по подмярка 1.1. „Професионално обучение и придобиване на умения“ са 31 бр., а общо изплатените публични средства са в размер на 0,09 млн. евро публични средства.</w:t>
            </w:r>
          </w:p>
          <w:p w:rsidR="00012A46" w:rsidRDefault="00836FCA">
            <w:pPr>
              <w:spacing w:before="240" w:after="240"/>
              <w:jc w:val="left"/>
              <w:rPr>
                <w:szCs w:val="24"/>
              </w:rPr>
            </w:pPr>
            <w:r>
              <w:rPr>
                <w:b/>
                <w:bCs/>
                <w:szCs w:val="24"/>
              </w:rPr>
              <w:t>Подмярка 1.2. „Демонстрационни дейности и действия по осведомяване“</w:t>
            </w:r>
          </w:p>
          <w:p w:rsidR="00012A46" w:rsidRDefault="00836FCA">
            <w:pPr>
              <w:spacing w:before="240" w:after="240"/>
              <w:jc w:val="left"/>
              <w:rPr>
                <w:szCs w:val="24"/>
              </w:rPr>
            </w:pPr>
            <w:r>
              <w:rPr>
                <w:szCs w:val="24"/>
              </w:rPr>
              <w:t>Съгласно ПРСР 2014-2020 г., подмярка 1.2. подпомага дейности по организирането и провеждането на демонстрационни дейности в областта на селското стопанство и горското стопанство с цел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на знания и информация в областта на селското и горското стопанство.</w:t>
            </w:r>
          </w:p>
          <w:p w:rsidR="00012A46" w:rsidRDefault="00836FCA">
            <w:pPr>
              <w:spacing w:before="240" w:after="240"/>
              <w:jc w:val="left"/>
              <w:rPr>
                <w:szCs w:val="24"/>
              </w:rPr>
            </w:pPr>
            <w:r>
              <w:rPr>
                <w:szCs w:val="24"/>
              </w:rPr>
              <w:lastRenderedPageBreak/>
              <w:t>През 2022 г. е проведен прием за подбор на проектни предложения, като са постъпили 14 проектни предложения на обща стойност 3,45 млн. евро.</w:t>
            </w:r>
          </w:p>
          <w:p w:rsidR="00012A46" w:rsidRDefault="00836FCA">
            <w:pPr>
              <w:spacing w:before="240" w:after="240"/>
              <w:jc w:val="left"/>
              <w:rPr>
                <w:szCs w:val="24"/>
              </w:rPr>
            </w:pPr>
            <w:r>
              <w:rPr>
                <w:szCs w:val="24"/>
              </w:rPr>
              <w:t>Към 31.12.2023 г. по подмярката са сключени 13 договора с общ размер на договорената БФП — 2,58 млн. евро публиочни средства. Бенефициентите ще изпълняват дейности в сферите на животновъдството, лозарството, тютюнопроизводството, зърнено житните и бобовите култури, отглеждането на лечебни и ароматни растения, екологичното плодопроизводство, горското стопанство, почвознанието, подобряването на биоразнообразието и адаптирането към климатичните промени за екологосъобразно земеделие.</w:t>
            </w:r>
          </w:p>
          <w:p w:rsidR="00012A46" w:rsidRDefault="00836FCA">
            <w:pPr>
              <w:spacing w:before="240" w:after="240"/>
              <w:jc w:val="left"/>
              <w:rPr>
                <w:szCs w:val="24"/>
                <w:lang w:val="bg-BG"/>
              </w:rPr>
            </w:pPr>
            <w:r>
              <w:rPr>
                <w:szCs w:val="24"/>
              </w:rPr>
              <w:t>Те ще се реализират в градовете София, Плевен, Добрич, Русе, Варна, Стара Загора, Пловдив, Смолян, Кюстендил, село Марково, село Бързия, село Юндола и др. В тях ще се включат над 8 000 участници, от които 1610 са заети в сферата на горското стопанство, а останалите в селското стопанство. Към 31.12.2023 г. все още не са стартирани демонстрационните дейности, предвидени по проектите, като бенефициентите - възложители по ЗОП са в процес на предварително съгласуване на документация, свързана с осигуряване на нощувки и прехрана за участниците (когато е приложимо).</w:t>
            </w:r>
          </w:p>
          <w:p w:rsidR="001A460F" w:rsidRPr="001A460F" w:rsidRDefault="001A460F">
            <w:pPr>
              <w:spacing w:before="240" w:after="240"/>
              <w:jc w:val="left"/>
              <w:rPr>
                <w:szCs w:val="24"/>
                <w:lang w:val="bg-BG"/>
              </w:rPr>
            </w:pPr>
            <w:r w:rsidRPr="001A460F">
              <w:rPr>
                <w:szCs w:val="24"/>
                <w:lang w:val="bg-BG"/>
              </w:rPr>
              <w:t>Със Заповед № РД 09-505 от 15.05.2023 г. на Ръководител на УО на ПРСР 2014-2020 г. по процедурата по подмярка 1.2 „Демонстрационни дейности и действия по осведомяване“ са извършени промени в насоките за кандидатстване, целящи да се регламентират по-добре условията при които се провеждат демонстрациите и по-конкретно се прецизират изискуемите документи, свързани с участието на земеделски стопани и заетите лица в техните стопанства.</w:t>
            </w:r>
          </w:p>
          <w:p w:rsidR="00012A46" w:rsidRDefault="00836FCA">
            <w:pPr>
              <w:spacing w:before="240" w:after="240"/>
              <w:jc w:val="left"/>
              <w:rPr>
                <w:szCs w:val="24"/>
              </w:rPr>
            </w:pPr>
            <w:r>
              <w:rPr>
                <w:b/>
                <w:bCs/>
                <w:szCs w:val="24"/>
              </w:rPr>
              <w:t>Мярка 2 „Консултантски услуги, управление на стопанството и услуги по заместване в стопанството“</w:t>
            </w:r>
          </w:p>
          <w:p w:rsidR="00012A46" w:rsidRDefault="00836FCA">
            <w:pPr>
              <w:spacing w:before="240" w:after="240"/>
              <w:jc w:val="left"/>
              <w:rPr>
                <w:szCs w:val="24"/>
              </w:rPr>
            </w:pPr>
            <w:r>
              <w:rPr>
                <w:b/>
                <w:bCs/>
                <w:szCs w:val="24"/>
              </w:rPr>
              <w:t>Подмярка 2.1. „Помощ за осигуряване на консултантски услуги”</w:t>
            </w:r>
          </w:p>
          <w:p w:rsidR="00012A46" w:rsidRDefault="00836FCA">
            <w:pPr>
              <w:spacing w:before="240" w:after="240"/>
              <w:jc w:val="left"/>
              <w:rPr>
                <w:szCs w:val="24"/>
              </w:rPr>
            </w:pPr>
            <w:r>
              <w:rPr>
                <w:szCs w:val="24"/>
              </w:rPr>
              <w:t>Съгласно ПРСР 2014-2020 г., подмярка 2.1. се прилага с две подмерки (първоначално наричани „операции“): Подмярка 2.1.1 „Консултантски услуги за земеделски и горски стопани“ и Подмярка 2.1.2 „Консултантски услуги за малки земеделски стопани“.</w:t>
            </w:r>
          </w:p>
          <w:p w:rsidR="00012A46" w:rsidRDefault="00836FCA">
            <w:pPr>
              <w:spacing w:before="240" w:after="240"/>
              <w:jc w:val="left"/>
              <w:rPr>
                <w:szCs w:val="24"/>
              </w:rPr>
            </w:pPr>
            <w:r>
              <w:rPr>
                <w:szCs w:val="24"/>
              </w:rPr>
              <w:t>Подмярка 2.1.1. "Консултантски услуги за земеделски и горски стопани" има за цел предоставяне на консултантски услуги на земеделските стопани, младите земеделски стопани и горските стопани за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w:t>
            </w:r>
          </w:p>
          <w:p w:rsidR="00012A46" w:rsidRDefault="00836FCA">
            <w:pPr>
              <w:spacing w:before="240" w:after="240"/>
              <w:jc w:val="left"/>
              <w:rPr>
                <w:szCs w:val="24"/>
              </w:rPr>
            </w:pPr>
            <w:r>
              <w:rPr>
                <w:szCs w:val="24"/>
              </w:rPr>
              <w:t>Подмярка 2.1.2. "Консултантски услуги за малки земеделски стопанства" има за цел предоставяне на бърз и лесен достъп на малките земеделски стопанства до качествени консултантски услуги и удовлетворяване на потребностите им за повишаване на тяхната квалификация и управленски умения, жизнеспособност, осведоменост, знания за опазване на околната среда, адаптиране към климатичните промени и подобряване на управлението на риска.</w:t>
            </w:r>
          </w:p>
          <w:p w:rsidR="00012A46" w:rsidRDefault="00836FCA">
            <w:pPr>
              <w:spacing w:before="240" w:after="240"/>
              <w:jc w:val="left"/>
              <w:rPr>
                <w:szCs w:val="24"/>
              </w:rPr>
            </w:pPr>
            <w:r>
              <w:rPr>
                <w:szCs w:val="24"/>
              </w:rPr>
              <w:t>Към 31.12.2023 г. разплатените средства общо по Подмярка 2.1. „Помощ за осигуряване на консултантски услуги” са в размер на 12,3 млн. евро публични средства.</w:t>
            </w:r>
          </w:p>
          <w:p w:rsidR="00012A46" w:rsidRDefault="00836FCA">
            <w:pPr>
              <w:spacing w:before="240" w:after="240"/>
              <w:jc w:val="left"/>
              <w:rPr>
                <w:szCs w:val="24"/>
              </w:rPr>
            </w:pPr>
            <w:r>
              <w:rPr>
                <w:b/>
                <w:bCs/>
                <w:i/>
                <w:iCs/>
                <w:szCs w:val="24"/>
              </w:rPr>
              <w:t>Подмярка 2.1.1 „Консултантски услуги за земеделски и горски стопани”</w:t>
            </w:r>
          </w:p>
          <w:p w:rsidR="00012A46" w:rsidRDefault="00836FCA">
            <w:pPr>
              <w:spacing w:before="240" w:after="240"/>
              <w:jc w:val="left"/>
              <w:rPr>
                <w:szCs w:val="24"/>
              </w:rPr>
            </w:pPr>
            <w:r>
              <w:rPr>
                <w:szCs w:val="24"/>
              </w:rPr>
              <w:t xml:space="preserve">Прилагането на подмярката стартира през 2015 г., съгласно Наредба № 13 от 19 май 2015 г. за прилагане на подмярка 2.1 „Помощ за осигуряване на консултантски услуги" по мярка 2 </w:t>
            </w:r>
            <w:r>
              <w:rPr>
                <w:szCs w:val="24"/>
              </w:rPr>
              <w:lastRenderedPageBreak/>
              <w:t>„Консултантски услуги, услуги по управление на стопанството и услуги по заместване в стопанството" от Програмата за развитие на селските райони за периода 2014 - 2020 г. В първия период на прием е определена Националната служба за съвети в земеделието (НССЗ) като единствен ползвател на финансовата помощ, който да предоставя на земеделски стопани, кандидати по подмярка 6.1. "Стартова помощ за млади земеделски стопани" от ПРСР 2014 – 2020 г. консултантски услуги по пакет А2Б. Определеният бюджет за проведения избор е в размер на 1 млн. евро.</w:t>
            </w:r>
          </w:p>
          <w:p w:rsidR="00012A46" w:rsidRDefault="00836FCA">
            <w:pPr>
              <w:spacing w:before="240" w:after="240"/>
              <w:jc w:val="left"/>
              <w:rPr>
                <w:szCs w:val="24"/>
              </w:rPr>
            </w:pPr>
            <w:r>
              <w:rPr>
                <w:szCs w:val="24"/>
              </w:rPr>
              <w:t>През 2022 г. е проведен прием на проектни предложения по подмярката с бюджет в размер на 1,59 млн. евро, по който са подадени и одобрени три проектни предложения със стойност на заявената БФП в размер на 0,97 млн. евро.</w:t>
            </w:r>
          </w:p>
          <w:p w:rsidR="00012A46" w:rsidRDefault="00836FCA">
            <w:pPr>
              <w:spacing w:before="240" w:after="240"/>
              <w:jc w:val="left"/>
              <w:rPr>
                <w:szCs w:val="24"/>
              </w:rPr>
            </w:pPr>
            <w:r>
              <w:rPr>
                <w:szCs w:val="24"/>
              </w:rPr>
              <w:t>В рамките на приема по подмярка 6.1 „Стартова помощ за млади земеделски стопани“, проведен в периода 01.11.2022 г. – 31.01.2023 г., бенефициентите по подмярка 2.1.1. са предоставяли консултантски услуги на кандидати - млади фермери.</w:t>
            </w:r>
          </w:p>
          <w:p w:rsidR="00012A46" w:rsidRDefault="00836FCA">
            <w:pPr>
              <w:spacing w:before="240" w:after="240"/>
              <w:jc w:val="left"/>
              <w:rPr>
                <w:szCs w:val="24"/>
              </w:rPr>
            </w:pPr>
            <w:r>
              <w:rPr>
                <w:szCs w:val="24"/>
              </w:rPr>
              <w:t>Общо изплатените публични средства по подмярка 2.1.1 „Помощ за осигуряване на консултантски услуги” към 31.12.2023 г. остават непроменени спряно предхосните периоди на оценка и са в размер на 1,66 млн. евро, които се отнасят към приоритет 2В „Улесняване на навлизането на земеделски стопани с подходяща квалификация в селскостопанския сектор, и по-специално приемствеността между поколенията“. Последните плащания по тази подмярка са извършени през 2019 г, като до края на 2023 г. разплащания по подмярката не са извършвани.</w:t>
            </w:r>
          </w:p>
          <w:p w:rsidR="00012A46" w:rsidRDefault="00836FCA">
            <w:pPr>
              <w:spacing w:before="240" w:after="240"/>
              <w:jc w:val="left"/>
              <w:rPr>
                <w:szCs w:val="24"/>
              </w:rPr>
            </w:pPr>
            <w:r>
              <w:rPr>
                <w:b/>
                <w:bCs/>
                <w:i/>
                <w:iCs/>
                <w:szCs w:val="24"/>
              </w:rPr>
              <w:t>Подмярка 2.1.2 „Консултантски услуги за малки земеделски стопанства”</w:t>
            </w:r>
          </w:p>
          <w:p w:rsidR="00012A46" w:rsidRDefault="00836FCA">
            <w:pPr>
              <w:spacing w:before="240" w:after="240"/>
              <w:jc w:val="left"/>
              <w:rPr>
                <w:szCs w:val="24"/>
              </w:rPr>
            </w:pPr>
            <w:r>
              <w:rPr>
                <w:szCs w:val="24"/>
              </w:rPr>
              <w:t>От 22.06.2016 г. по подмярка 2.1.2 „Консултантски услуги за малки земеделски стопанства”, НССЗ стартира предоставянето на шест (6) основни напълно безплатни консултантски пакета (КП) за малките земеделски стопанства, допринасящи, както за икономическо развитие и укрепване на малките земеделски стопанства, чрез модернизация и технологичното обновление като устойчиви и жизнеспособни единици, така и за подобряване на опазването на околната среда и борба с климатичните промени.</w:t>
            </w:r>
          </w:p>
          <w:p w:rsidR="00012A46" w:rsidRDefault="00836FCA">
            <w:pPr>
              <w:spacing w:before="240" w:after="240"/>
              <w:jc w:val="left"/>
              <w:rPr>
                <w:szCs w:val="24"/>
              </w:rPr>
            </w:pPr>
            <w:r>
              <w:rPr>
                <w:szCs w:val="24"/>
              </w:rPr>
              <w:t>По подмярка 2.1.2, част от мярка 2 от ПРСР 2014 - 2020 г. до края на 2023 г. са разплатени средства на обща стойност 10,6 млн. евро, като разплатените само през 2023 г. са в размер на 1,4 млн. евро.</w:t>
            </w:r>
          </w:p>
          <w:p w:rsidR="00012A46" w:rsidRDefault="00836FCA">
            <w:pPr>
              <w:spacing w:before="240" w:after="240"/>
              <w:jc w:val="left"/>
              <w:rPr>
                <w:szCs w:val="24"/>
              </w:rPr>
            </w:pPr>
            <w:r>
              <w:rPr>
                <w:b/>
                <w:bCs/>
                <w:szCs w:val="24"/>
              </w:rPr>
              <w:t>Подмярка 2.2 „Създаване на консултантски услуги“ (ТПП)</w:t>
            </w:r>
          </w:p>
          <w:p w:rsidR="00012A46" w:rsidRDefault="00836FCA">
            <w:pPr>
              <w:spacing w:before="240" w:after="240"/>
              <w:jc w:val="left"/>
              <w:rPr>
                <w:szCs w:val="24"/>
              </w:rPr>
            </w:pPr>
            <w:r>
              <w:rPr>
                <w:szCs w:val="24"/>
              </w:rPr>
              <w:t>Прилагането на подмярката стартира през 2021 г., като първият период на прием е определен със Заповед РД09-107/08.02.2021 на Заместник-министъра на земеделието, храните и горите. Приемът е проведен в периода 08.02.2021 г до 10.05.2021 г. с определен бюджет от 6 млн. евро.</w:t>
            </w:r>
          </w:p>
          <w:p w:rsidR="00012A46" w:rsidRDefault="00836FCA">
            <w:pPr>
              <w:spacing w:before="240" w:after="240"/>
              <w:jc w:val="left"/>
              <w:rPr>
                <w:szCs w:val="24"/>
              </w:rPr>
            </w:pPr>
            <w:r>
              <w:rPr>
                <w:szCs w:val="24"/>
              </w:rPr>
              <w:t>В рамките на приема е постъпило 1 (едно) заявление за подпомагане с размер на заявените публични средства (финансова помощ) 5,81 млн. евро.</w:t>
            </w:r>
          </w:p>
          <w:p w:rsidR="00012A46" w:rsidRDefault="00836FCA">
            <w:pPr>
              <w:spacing w:before="240" w:after="240"/>
              <w:jc w:val="left"/>
              <w:rPr>
                <w:szCs w:val="24"/>
              </w:rPr>
            </w:pPr>
            <w:r>
              <w:rPr>
                <w:szCs w:val="24"/>
              </w:rPr>
              <w:t>Единствен бенефициент по подмярката е Национална служба за съвети в земеделието, като подпомаганата дейсност е Създаване на мобилни общински центрове (офиси) за консултантски услуги. Договорът за подпомагане е подписан 22.11.2021 г.</w:t>
            </w:r>
          </w:p>
          <w:p w:rsidR="00012A46" w:rsidRDefault="00836FCA">
            <w:pPr>
              <w:spacing w:before="240" w:after="240"/>
              <w:jc w:val="left"/>
              <w:rPr>
                <w:szCs w:val="24"/>
              </w:rPr>
            </w:pPr>
            <w:r>
              <w:rPr>
                <w:szCs w:val="24"/>
              </w:rPr>
              <w:t>През 2023 г. одобреният проект е в процес на изпълнение, като част от извършените дейности са:</w:t>
            </w:r>
          </w:p>
          <w:p w:rsidR="00012A46" w:rsidRDefault="00836FCA">
            <w:pPr>
              <w:spacing w:before="240" w:after="240"/>
              <w:jc w:val="left"/>
              <w:rPr>
                <w:szCs w:val="24"/>
              </w:rPr>
            </w:pPr>
            <w:r>
              <w:rPr>
                <w:szCs w:val="24"/>
              </w:rPr>
              <w:t xml:space="preserve">-           Проведени са съвместни информационни семинари до 70 участника за представяне на </w:t>
            </w:r>
            <w:r>
              <w:rPr>
                <w:szCs w:val="24"/>
              </w:rPr>
              <w:lastRenderedPageBreak/>
              <w:t>дейности по ПРСР -  на регионално ниво - еднодневен – веднъж годишно за регион на планиране – проведени 6 бр. с до 70 бр. участници, в които участие са взели 321 бр. лица;</w:t>
            </w:r>
          </w:p>
          <w:p w:rsidR="00012A46" w:rsidRDefault="00836FCA">
            <w:pPr>
              <w:spacing w:before="240" w:after="240"/>
              <w:jc w:val="left"/>
              <w:rPr>
                <w:szCs w:val="24"/>
              </w:rPr>
            </w:pPr>
            <w:r>
              <w:rPr>
                <w:szCs w:val="24"/>
              </w:rPr>
              <w:t>-           Предоставяни са съвети и консултации на малки земеделски стопанства – за периода от 01.01.2023 г. - 31.12.2023 г. експертите от МОО са предоставили общо 25763 бр. консултации на 6 016 бр. лица;</w:t>
            </w:r>
          </w:p>
          <w:p w:rsidR="00012A46" w:rsidRDefault="00836FCA">
            <w:pPr>
              <w:spacing w:before="240" w:after="240"/>
              <w:jc w:val="left"/>
              <w:rPr>
                <w:szCs w:val="24"/>
              </w:rPr>
            </w:pPr>
            <w:r>
              <w:rPr>
                <w:szCs w:val="24"/>
              </w:rPr>
              <w:t>-           Организирани са информационни събития за малки земеделски стопанства в различни населени места – за периода 01.01.2023 г. - 31.12.2023 г. организираните и проведени от мобилните общински офиси информационни събития са 86 бр. с до 50 бр. участници, в които участие са взели 3 489 бр. лица;</w:t>
            </w:r>
          </w:p>
          <w:p w:rsidR="00012A46" w:rsidRDefault="00836FCA">
            <w:pPr>
              <w:spacing w:before="240" w:after="240"/>
              <w:jc w:val="left"/>
              <w:rPr>
                <w:szCs w:val="24"/>
              </w:rPr>
            </w:pPr>
            <w:r>
              <w:rPr>
                <w:szCs w:val="24"/>
              </w:rPr>
              <w:t>-           Посещения на малки земеделски стопанства за разясняване на условията за кандидатстване по Тематичната подпрограма и други мерки, финансирани чрез ЕЗФРСР и предоставяне на други съвети и консултации, пряко свързани с дейността на земеделските стопанства – за периода 01.01.2023 г. - 31.12.2023 г. са извършени 1 665 бр. посещения на място;</w:t>
            </w:r>
          </w:p>
          <w:p w:rsidR="00012A46" w:rsidRDefault="00836FCA">
            <w:pPr>
              <w:spacing w:before="240" w:after="240"/>
              <w:jc w:val="left"/>
              <w:rPr>
                <w:szCs w:val="24"/>
              </w:rPr>
            </w:pPr>
            <w:r>
              <w:rPr>
                <w:szCs w:val="24"/>
              </w:rPr>
              <w:t>Към 31.12.2023 г. По подмярката са извършени плащания в размер на 1</w:t>
            </w:r>
            <w:proofErr w:type="gramStart"/>
            <w:r>
              <w:rPr>
                <w:szCs w:val="24"/>
              </w:rPr>
              <w:t>,4</w:t>
            </w:r>
            <w:proofErr w:type="gramEnd"/>
            <w:r>
              <w:rPr>
                <w:szCs w:val="24"/>
              </w:rPr>
              <w:t xml:space="preserve"> млн. евро публични средства.</w:t>
            </w:r>
          </w:p>
          <w:p w:rsidR="00012A46" w:rsidRDefault="00836FCA">
            <w:pPr>
              <w:spacing w:before="240" w:after="240"/>
              <w:jc w:val="left"/>
              <w:rPr>
                <w:szCs w:val="24"/>
              </w:rPr>
            </w:pPr>
            <w:r>
              <w:rPr>
                <w:b/>
                <w:bCs/>
                <w:szCs w:val="24"/>
              </w:rPr>
              <w:t>Мярка 4 „Инвестиции в материални активи“</w:t>
            </w:r>
          </w:p>
          <w:p w:rsidR="00012A46" w:rsidRDefault="00836FCA">
            <w:pPr>
              <w:spacing w:before="240" w:after="240"/>
              <w:jc w:val="left"/>
              <w:rPr>
                <w:szCs w:val="24"/>
              </w:rPr>
            </w:pPr>
            <w:r>
              <w:rPr>
                <w:b/>
                <w:bCs/>
                <w:szCs w:val="24"/>
              </w:rPr>
              <w:t>Подмярка 4.1 „Инвестиции в земеделски стопанства”</w:t>
            </w:r>
          </w:p>
          <w:p w:rsidR="00012A46" w:rsidRDefault="00836FCA">
            <w:pPr>
              <w:spacing w:before="240" w:after="240"/>
              <w:jc w:val="left"/>
              <w:rPr>
                <w:szCs w:val="24"/>
              </w:rPr>
            </w:pPr>
            <w:r>
              <w:rPr>
                <w:szCs w:val="24"/>
              </w:rPr>
              <w:t>Прилагането на подмярката стартира през 2015 г., като първият период на прием е определен още преди официалното одобрение на ПРСР 2014-2020.</w:t>
            </w:r>
          </w:p>
          <w:p w:rsidR="00012A46" w:rsidRDefault="00836FCA">
            <w:pPr>
              <w:spacing w:before="240" w:after="240"/>
              <w:jc w:val="left"/>
              <w:rPr>
                <w:szCs w:val="24"/>
              </w:rPr>
            </w:pPr>
            <w:r>
              <w:rPr>
                <w:szCs w:val="24"/>
              </w:rPr>
              <w:t>До 31.12.2023 г. са проведени четири приема на заявления за подпомагане/проекти предложения, по които са постъпили общо 8 802 проекта.</w:t>
            </w:r>
          </w:p>
          <w:p w:rsidR="00012A46" w:rsidRDefault="00836FCA">
            <w:pPr>
              <w:spacing w:before="240" w:after="240"/>
              <w:jc w:val="left"/>
              <w:rPr>
                <w:szCs w:val="24"/>
              </w:rPr>
            </w:pPr>
            <w:r>
              <w:rPr>
                <w:szCs w:val="24"/>
              </w:rPr>
              <w:t>Към 31.12.2023 г. са налични 2 935 действащи договори с размер на одобрените разходи 1 145,76 млн. евро. и договорена субсидия в размер на 624,86 млн. евро общо публични разходи. Само през 2023 г. са сключени 1 241 бр. договори с обща стойност на договорената субсидия в размер на 251,55 млн. евро.</w:t>
            </w:r>
          </w:p>
          <w:p w:rsidR="00012A46" w:rsidRDefault="00836FCA">
            <w:pPr>
              <w:spacing w:before="240" w:after="240"/>
              <w:jc w:val="left"/>
              <w:rPr>
                <w:szCs w:val="24"/>
              </w:rPr>
            </w:pPr>
            <w:r>
              <w:rPr>
                <w:szCs w:val="24"/>
              </w:rPr>
              <w:t>Към 31.12.2023 г. по подмярката са налични общо 1 829 проекта с междинни и/или авансови плащания, от които 1 712 приключени проекта, със стойност на окончателно изплатената субсидия 363 млн. евро публични средства, включително 3,9 млн. евро по линия на Инструмента на Европейския съюз за възстановяване (European Union Recovery Instrument – EURI).</w:t>
            </w:r>
          </w:p>
          <w:p w:rsidR="00012A46" w:rsidRDefault="00836FCA">
            <w:pPr>
              <w:spacing w:before="240" w:after="240"/>
              <w:jc w:val="left"/>
              <w:rPr>
                <w:szCs w:val="24"/>
              </w:rPr>
            </w:pPr>
            <w:r>
              <w:rPr>
                <w:szCs w:val="24"/>
              </w:rPr>
              <w:t>Общо изплатените публични средства, в това число авансови, междинни и/или окончателни плащания, по приемите за подмярка 4.1 „Инвестиции в земеделски стопанства” към 31.12.2023 г. са в размер на 382 млн. евро, от които 77,9 млн. евро публични средства са разплатени през 2023 г. Разплатените средства по фокус-области са както следва:</w:t>
            </w:r>
          </w:p>
          <w:p w:rsidR="00012A46" w:rsidRDefault="00836FCA">
            <w:pPr>
              <w:spacing w:before="240" w:after="240"/>
              <w:jc w:val="left"/>
              <w:rPr>
                <w:szCs w:val="24"/>
              </w:rPr>
            </w:pPr>
            <w:r>
              <w:rPr>
                <w:szCs w:val="24"/>
              </w:rPr>
              <w:t>2A – 230 млн. евро</w:t>
            </w:r>
          </w:p>
          <w:p w:rsidR="00012A46" w:rsidRDefault="00836FCA">
            <w:pPr>
              <w:spacing w:before="240" w:after="240"/>
              <w:jc w:val="left"/>
              <w:rPr>
                <w:szCs w:val="24"/>
              </w:rPr>
            </w:pPr>
            <w:r>
              <w:rPr>
                <w:szCs w:val="24"/>
              </w:rPr>
              <w:t>2В  – 59 млн. евро</w:t>
            </w:r>
          </w:p>
          <w:p w:rsidR="00012A46" w:rsidRDefault="00836FCA">
            <w:pPr>
              <w:spacing w:before="240" w:after="240"/>
              <w:jc w:val="left"/>
              <w:rPr>
                <w:szCs w:val="24"/>
              </w:rPr>
            </w:pPr>
            <w:r>
              <w:rPr>
                <w:szCs w:val="24"/>
              </w:rPr>
              <w:t>5A – 8 млн. евро</w:t>
            </w:r>
          </w:p>
          <w:p w:rsidR="00012A46" w:rsidRDefault="00836FCA">
            <w:pPr>
              <w:spacing w:before="240" w:after="240"/>
              <w:jc w:val="left"/>
              <w:rPr>
                <w:szCs w:val="24"/>
              </w:rPr>
            </w:pPr>
            <w:r>
              <w:rPr>
                <w:szCs w:val="24"/>
              </w:rPr>
              <w:lastRenderedPageBreak/>
              <w:t>5B – 69 млн. евро</w:t>
            </w:r>
          </w:p>
          <w:p w:rsidR="00012A46" w:rsidRDefault="00836FCA">
            <w:pPr>
              <w:spacing w:before="240" w:after="240"/>
              <w:jc w:val="left"/>
              <w:rPr>
                <w:szCs w:val="24"/>
              </w:rPr>
            </w:pPr>
            <w:r>
              <w:rPr>
                <w:szCs w:val="24"/>
              </w:rPr>
              <w:t>5C – 1,5 млн. евро</w:t>
            </w:r>
          </w:p>
          <w:p w:rsidR="00012A46" w:rsidRDefault="00836FCA">
            <w:pPr>
              <w:spacing w:before="240" w:after="240"/>
              <w:jc w:val="left"/>
              <w:rPr>
                <w:szCs w:val="24"/>
              </w:rPr>
            </w:pPr>
            <w:r>
              <w:rPr>
                <w:szCs w:val="24"/>
              </w:rPr>
              <w:t>5D – 0,7 млн. евро</w:t>
            </w:r>
          </w:p>
          <w:p w:rsidR="00012A46" w:rsidRDefault="00836FCA">
            <w:pPr>
              <w:spacing w:before="240" w:after="240"/>
              <w:jc w:val="left"/>
              <w:rPr>
                <w:szCs w:val="24"/>
              </w:rPr>
            </w:pPr>
            <w:r>
              <w:rPr>
                <w:szCs w:val="24"/>
              </w:rPr>
              <w:t>P4 – 15 млн. евро</w:t>
            </w:r>
          </w:p>
          <w:p w:rsidR="00012A46" w:rsidRDefault="00836FCA">
            <w:pPr>
              <w:spacing w:before="240" w:after="240"/>
              <w:jc w:val="left"/>
              <w:rPr>
                <w:szCs w:val="24"/>
              </w:rPr>
            </w:pPr>
            <w:r>
              <w:rPr>
                <w:szCs w:val="24"/>
              </w:rPr>
              <w:t>На база данни от кандидатстването, допълнителната заетост е 5 579 работни места, разкрити вследствие на реализирането на проектите по мярката към края на 2023 г. Важно е да се отбележи, че създадената допълнителна заетост не допринася директно към таргет индикатора за фокус област 6А “T20: работни места, разкрити в подпомогнатите проекти (област с поставен акцент 6А)“, и към момента не е отчетена към него.</w:t>
            </w:r>
          </w:p>
          <w:p w:rsidR="00012A46" w:rsidRDefault="00836FCA">
            <w:pPr>
              <w:spacing w:before="240" w:after="240"/>
              <w:jc w:val="left"/>
              <w:rPr>
                <w:szCs w:val="24"/>
              </w:rPr>
            </w:pPr>
            <w:r>
              <w:rPr>
                <w:szCs w:val="24"/>
              </w:rPr>
              <w:t>От всички 2 935 действащи договора към 31.12.2023 г., тези, получили приоритет за сектор „биологично земеделие“, са 724, с обща стойност на одобрената субсидия 125,3 млн. евро публични средства. Получените междинни и/или окончателни плащания са в размер на 101,9 млн. евро публични средства, разпределени между 622 проекта.</w:t>
            </w:r>
          </w:p>
          <w:p w:rsidR="00012A46" w:rsidRDefault="00836FCA">
            <w:pPr>
              <w:spacing w:before="240" w:after="240"/>
              <w:jc w:val="left"/>
              <w:rPr>
                <w:szCs w:val="24"/>
              </w:rPr>
            </w:pPr>
            <w:r>
              <w:rPr>
                <w:szCs w:val="24"/>
              </w:rPr>
              <w:t>На база договорените 2 935 проекта, към 31.12.2023 г. в 1 455 от тях е заявен като приоритет „повишаване на енергийната ефективност в стопанството“ с одобрена субсидия в размер на 362,2 млн. евро. От всички тях, към края на 2023 г. 925 са получили междинни и/или окончателни плащания на стойност 240,3 млн. евро.</w:t>
            </w:r>
          </w:p>
          <w:p w:rsidR="00012A46" w:rsidRDefault="00836FCA">
            <w:pPr>
              <w:spacing w:before="240" w:after="240"/>
              <w:jc w:val="left"/>
              <w:rPr>
                <w:szCs w:val="24"/>
              </w:rPr>
            </w:pPr>
            <w:r>
              <w:rPr>
                <w:szCs w:val="24"/>
              </w:rPr>
              <w:t>Един от важните приоритети на Програмата е насочване на публичните средства към райони с природни ограничения. От всички 2 935 действащи договора към края на 2023 г., тези, които попадат в планински райони и районите с природни ограничения, различни от планинските са 1 194, с обща стойност на одобрената субсидия 263,3 млн. евро публични средства.</w:t>
            </w:r>
          </w:p>
          <w:p w:rsidR="00012A46" w:rsidRDefault="00836FCA">
            <w:pPr>
              <w:spacing w:before="240" w:after="240"/>
              <w:jc w:val="left"/>
              <w:rPr>
                <w:szCs w:val="24"/>
              </w:rPr>
            </w:pPr>
            <w:r>
              <w:rPr>
                <w:szCs w:val="24"/>
              </w:rPr>
              <w:t>От определените за България средства в размер на 201,9 млн. евро по линия на Инструмента на Европейския съюз за възстановяване (European Union Recovery Instrument – EURI), са прехвърлени общо индикативно 66,7 млн. евро към подмярка 4.1.</w:t>
            </w:r>
          </w:p>
          <w:p w:rsidR="00012A46" w:rsidRDefault="00836FCA">
            <w:pPr>
              <w:spacing w:before="240" w:after="240"/>
              <w:jc w:val="left"/>
              <w:rPr>
                <w:szCs w:val="24"/>
                <w:lang w:val="bg-BG"/>
              </w:rPr>
            </w:pPr>
            <w:r>
              <w:rPr>
                <w:szCs w:val="24"/>
              </w:rPr>
              <w:t>Към 31.12.2023 г. разплатените средства по линия на инструмента за възстановяване EURI по подмярката се равняват на 7,6 млн. евро публични средства.</w:t>
            </w:r>
          </w:p>
          <w:p w:rsidR="005D62EC" w:rsidRDefault="005D62EC" w:rsidP="005D62EC">
            <w:pPr>
              <w:spacing w:before="240" w:after="240"/>
              <w:jc w:val="left"/>
              <w:rPr>
                <w:szCs w:val="24"/>
                <w:lang w:val="bg-BG"/>
              </w:rPr>
            </w:pPr>
            <w:r>
              <w:rPr>
                <w:szCs w:val="24"/>
                <w:lang w:val="bg-BG"/>
              </w:rPr>
              <w:t xml:space="preserve">Вследствие на направеното предложение за 16-то изменение на ПРСР и прехвърлянето на средства между мерки и подмерки от Програмата, със Заповед № РД09-546/29.05.2023 г. на заместник-министъра на земеделието е увеличен бюджета на процедурата от проведения през 2021 г. прием на заявления за подпомагане, </w:t>
            </w:r>
            <w:r w:rsidRPr="005D62EC">
              <w:rPr>
                <w:szCs w:val="24"/>
                <w:lang w:val="bg-BG"/>
              </w:rPr>
              <w:t>преразпределяйки между фокус области голяма част от остатъчните средства, и договаряйки до 243,38 млн. евро публични средства, вместо до 221 млн. евро - ползвайки и остатъците.</w:t>
            </w:r>
            <w:r>
              <w:rPr>
                <w:szCs w:val="24"/>
                <w:lang w:val="bg-BG"/>
              </w:rPr>
              <w:t xml:space="preserve"> Ч</w:t>
            </w:r>
            <w:r w:rsidRPr="005D62EC">
              <w:rPr>
                <w:szCs w:val="24"/>
                <w:lang w:val="bg-BG"/>
              </w:rPr>
              <w:t xml:space="preserve">рез </w:t>
            </w:r>
            <w:r>
              <w:rPr>
                <w:szCs w:val="24"/>
                <w:lang w:val="bg-BG"/>
              </w:rPr>
              <w:t xml:space="preserve">направеното </w:t>
            </w:r>
            <w:r w:rsidRPr="005D62EC">
              <w:rPr>
                <w:szCs w:val="24"/>
                <w:lang w:val="bg-BG"/>
              </w:rPr>
              <w:t xml:space="preserve">увеличение на бюджета на прием 2021 г. </w:t>
            </w:r>
            <w:r>
              <w:rPr>
                <w:szCs w:val="24"/>
                <w:lang w:val="bg-BG"/>
              </w:rPr>
              <w:t>бяха</w:t>
            </w:r>
            <w:r w:rsidRPr="005D62EC">
              <w:rPr>
                <w:szCs w:val="24"/>
                <w:lang w:val="bg-BG"/>
              </w:rPr>
              <w:t xml:space="preserve"> одобрени по-голям брой проектни предложения, които, получавайки равен брой точки при извършеното класиране, са еднакво качествени и всички те допринасят за постигане целите на подмярката.</w:t>
            </w:r>
          </w:p>
          <w:p w:rsidR="00E72017" w:rsidRDefault="00E72017" w:rsidP="00E72017">
            <w:pPr>
              <w:spacing w:before="240" w:after="240"/>
              <w:jc w:val="left"/>
              <w:rPr>
                <w:szCs w:val="24"/>
                <w:lang w:val="bg-BG"/>
              </w:rPr>
            </w:pPr>
            <w:r>
              <w:rPr>
                <w:szCs w:val="24"/>
                <w:lang w:val="bg-BG"/>
              </w:rPr>
              <w:t>С</w:t>
            </w:r>
            <w:r w:rsidRPr="00E72017">
              <w:rPr>
                <w:szCs w:val="24"/>
                <w:lang w:val="bg-BG"/>
              </w:rPr>
              <w:t>ъс Заповед № РД09-</w:t>
            </w:r>
            <w:r>
              <w:rPr>
                <w:szCs w:val="24"/>
                <w:lang w:val="bg-BG"/>
              </w:rPr>
              <w:t>1147</w:t>
            </w:r>
            <w:r w:rsidRPr="00E72017">
              <w:rPr>
                <w:szCs w:val="24"/>
                <w:lang w:val="bg-BG"/>
              </w:rPr>
              <w:t>/</w:t>
            </w:r>
            <w:r>
              <w:rPr>
                <w:szCs w:val="24"/>
                <w:lang w:val="bg-BG"/>
              </w:rPr>
              <w:t>07</w:t>
            </w:r>
            <w:r w:rsidRPr="00E72017">
              <w:rPr>
                <w:szCs w:val="24"/>
                <w:lang w:val="bg-BG"/>
              </w:rPr>
              <w:t>.</w:t>
            </w:r>
            <w:r>
              <w:rPr>
                <w:szCs w:val="24"/>
                <w:lang w:val="bg-BG"/>
              </w:rPr>
              <w:t>11</w:t>
            </w:r>
            <w:r w:rsidRPr="00E72017">
              <w:rPr>
                <w:szCs w:val="24"/>
                <w:lang w:val="bg-BG"/>
              </w:rPr>
              <w:t>.2023 г. на заместник-министъра на земеделието бюджет</w:t>
            </w:r>
            <w:r>
              <w:rPr>
                <w:szCs w:val="24"/>
                <w:lang w:val="bg-BG"/>
              </w:rPr>
              <w:t>ът</w:t>
            </w:r>
            <w:r w:rsidRPr="00E72017">
              <w:rPr>
                <w:szCs w:val="24"/>
                <w:lang w:val="bg-BG"/>
              </w:rPr>
              <w:t xml:space="preserve"> на процедурата от проведения през 2021 г. прием на заявления за подпомагане е увеличен</w:t>
            </w:r>
            <w:r>
              <w:rPr>
                <w:szCs w:val="24"/>
                <w:lang w:val="bg-BG"/>
              </w:rPr>
              <w:t xml:space="preserve"> отново</w:t>
            </w:r>
            <w:r w:rsidRPr="00E72017">
              <w:rPr>
                <w:szCs w:val="24"/>
                <w:lang w:val="bg-BG"/>
              </w:rPr>
              <w:t xml:space="preserve"> с почти 35,8 млн. евро.</w:t>
            </w:r>
            <w:r>
              <w:rPr>
                <w:szCs w:val="24"/>
                <w:lang w:val="bg-BG"/>
              </w:rPr>
              <w:t xml:space="preserve"> </w:t>
            </w:r>
            <w:r w:rsidRPr="00E72017">
              <w:rPr>
                <w:szCs w:val="24"/>
                <w:lang w:val="bg-BG"/>
              </w:rPr>
              <w:t xml:space="preserve">Увеличението на бюджета допринесе за одобрение на по-голям брой проектни предложения, които съответстват на условията за допустимост. Сключените допълнителни договори по тези проектни предложения и тяхното изпълнение до 2025 г. </w:t>
            </w:r>
            <w:r>
              <w:rPr>
                <w:szCs w:val="24"/>
                <w:lang w:val="bg-BG"/>
              </w:rPr>
              <w:t xml:space="preserve">ще </w:t>
            </w:r>
            <w:r w:rsidRPr="00E72017">
              <w:rPr>
                <w:szCs w:val="24"/>
                <w:lang w:val="bg-BG"/>
              </w:rPr>
              <w:t xml:space="preserve">подпомогне постигане на целите </w:t>
            </w:r>
            <w:r w:rsidRPr="00E72017">
              <w:rPr>
                <w:szCs w:val="24"/>
                <w:lang w:val="bg-BG"/>
              </w:rPr>
              <w:lastRenderedPageBreak/>
              <w:t>на ПРСР 2014-2020,</w:t>
            </w:r>
            <w:r>
              <w:rPr>
                <w:szCs w:val="24"/>
                <w:lang w:val="bg-BG"/>
              </w:rPr>
              <w:t xml:space="preserve"> като в</w:t>
            </w:r>
            <w:r w:rsidRPr="00E72017">
              <w:rPr>
                <w:szCs w:val="24"/>
                <w:lang w:val="bg-BG"/>
              </w:rPr>
              <w:t xml:space="preserve"> резултат на осигурената допълнителна подкрепа по процедурата се очаква да се реализират проекти, които да допринесат за повишаване на конкурентоспособността на земеделските стопанства, включително да се осигурят възможности за създаване на заетост, да се създадат по-добри условия за труд в стопанствата, да се насърчи биологичното производство на продукти, получени в резултат от развитието на земеделската дейност, и внедряване на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w:t>
            </w:r>
          </w:p>
          <w:p w:rsidR="005D62EC" w:rsidRPr="005D62EC" w:rsidRDefault="005D62EC" w:rsidP="005D62EC">
            <w:pPr>
              <w:spacing w:before="240" w:after="240"/>
              <w:jc w:val="left"/>
              <w:rPr>
                <w:szCs w:val="24"/>
              </w:rPr>
            </w:pPr>
            <w:r w:rsidRPr="005D62EC">
              <w:rPr>
                <w:szCs w:val="24"/>
              </w:rPr>
              <w:t xml:space="preserve">През 2023 г. </w:t>
            </w:r>
            <w:r w:rsidR="00E72017">
              <w:rPr>
                <w:szCs w:val="24"/>
                <w:lang w:val="bg-BG"/>
              </w:rPr>
              <w:t xml:space="preserve">също така </w:t>
            </w:r>
            <w:r w:rsidRPr="005D62EC">
              <w:rPr>
                <w:szCs w:val="24"/>
              </w:rPr>
              <w:t>са извършени промени в условията за изпълнение по процедур</w:t>
            </w:r>
            <w:r>
              <w:rPr>
                <w:szCs w:val="24"/>
                <w:lang w:val="bg-BG"/>
              </w:rPr>
              <w:t>и по подмярката</w:t>
            </w:r>
            <w:r w:rsidRPr="005D62EC">
              <w:rPr>
                <w:szCs w:val="24"/>
              </w:rPr>
              <w:t xml:space="preserve"> и по</w:t>
            </w:r>
            <w:r>
              <w:rPr>
                <w:szCs w:val="24"/>
                <w:lang w:val="bg-BG"/>
              </w:rPr>
              <w:t>-</w:t>
            </w:r>
            <w:r w:rsidRPr="005D62EC">
              <w:rPr>
                <w:szCs w:val="24"/>
              </w:rPr>
              <w:t xml:space="preserve"> конкретно актуализиране на изискуемите от кандидатите документи</w:t>
            </w:r>
            <w:r>
              <w:rPr>
                <w:szCs w:val="24"/>
                <w:lang w:val="bg-BG"/>
              </w:rPr>
              <w:t>,</w:t>
            </w:r>
            <w:r w:rsidRPr="005D62EC">
              <w:rPr>
                <w:szCs w:val="24"/>
              </w:rPr>
              <w:t xml:space="preserve"> приложими при подаване на искания за плащания. Изменението е извършено с цел намаляване на административната тежест и отпадане или актуализация на част от изискуемите документи към исканията за плащане, включително с цел улесняване подготовката на искания за плащане и оптимизиране на сроковете за изплащане на помощта.</w:t>
            </w:r>
          </w:p>
          <w:p w:rsidR="00012A46" w:rsidRDefault="00836FCA">
            <w:pPr>
              <w:spacing w:before="240" w:after="240"/>
              <w:jc w:val="left"/>
              <w:rPr>
                <w:szCs w:val="24"/>
              </w:rPr>
            </w:pPr>
            <w:r>
              <w:rPr>
                <w:b/>
                <w:bCs/>
                <w:szCs w:val="24"/>
              </w:rPr>
              <w:t xml:space="preserve">Подмярка 4.1.2: „Инвестиции в земеделски стопанства по Тематична подпрограма за развитие на малки стопанства“ </w:t>
            </w:r>
          </w:p>
          <w:p w:rsidR="00012A46" w:rsidRDefault="00836FCA">
            <w:pPr>
              <w:spacing w:before="240" w:after="240"/>
              <w:jc w:val="left"/>
              <w:rPr>
                <w:szCs w:val="24"/>
              </w:rPr>
            </w:pPr>
            <w:r>
              <w:rPr>
                <w:szCs w:val="24"/>
              </w:rPr>
              <w:t>Подпомагането по подмярка 4.1.2: „Инвестиции в земеделски стопанства по Тематична подпрограма за развитие на малки стопанства“ е насочено към подобряване на икономическата устойчивост и резултати на малките стопанства, чрез преструктуриране и развитие на наличните материални мощности в стопанствата, насърчаване въвеждането на нови процеси и технологии за повишаване качеството на произвежданата продукция, опазване на компонентите на околната среда, спазване на стандартите на Европейския съюз и подобряване на условията в земеделските стопанства.</w:t>
            </w:r>
          </w:p>
          <w:p w:rsidR="00012A46" w:rsidRDefault="00836FCA">
            <w:pPr>
              <w:spacing w:before="240" w:after="240"/>
              <w:jc w:val="left"/>
              <w:rPr>
                <w:szCs w:val="24"/>
              </w:rPr>
            </w:pPr>
            <w:r>
              <w:rPr>
                <w:szCs w:val="24"/>
              </w:rPr>
              <w:t>Подкрепените проекти по подмярката следва да допринесат за постигане на ефект по отношение изпълнението на Приоритет 2: „Повишаване на жизнеспособността на стопанствата и конкурентоспособността на всички видове селскостопанска дейност във всички райони, както и насърчаване на новаторските технологии в селското стопанство и устойчивото управление на горите“.</w:t>
            </w:r>
          </w:p>
          <w:p w:rsidR="00012A46" w:rsidRDefault="00836FCA">
            <w:pPr>
              <w:spacing w:before="240" w:after="240"/>
              <w:jc w:val="left"/>
              <w:rPr>
                <w:szCs w:val="24"/>
              </w:rPr>
            </w:pPr>
            <w:r>
              <w:rPr>
                <w:szCs w:val="24"/>
              </w:rPr>
              <w:t>Действащите договори към края на 2023 г. са 206 броя, с размер на договорената субсидия 2.8 млн. евро.</w:t>
            </w:r>
          </w:p>
          <w:p w:rsidR="00012A46" w:rsidRDefault="00836FCA">
            <w:pPr>
              <w:spacing w:before="240" w:after="240"/>
              <w:jc w:val="left"/>
              <w:rPr>
                <w:szCs w:val="24"/>
              </w:rPr>
            </w:pPr>
            <w:r>
              <w:rPr>
                <w:szCs w:val="24"/>
              </w:rPr>
              <w:t>Подпомогнати са 16 проекта с включени инвестиции в сектор „Животновъдство“, 12 проекта са с включени инвестиции, свързани с биологичното производство, 13 проекта са с включени инвестиции и дейности за повишаване на енергийната ефективност в стопанствата и/или иновации, а най-голям дял на подпомогнатите проекти е този в сектор „Плодове и зеленчуци“ – 172 проекта.</w:t>
            </w:r>
          </w:p>
          <w:p w:rsidR="00012A46" w:rsidRDefault="00836FCA">
            <w:pPr>
              <w:spacing w:before="240" w:after="240"/>
              <w:jc w:val="left"/>
              <w:rPr>
                <w:szCs w:val="24"/>
              </w:rPr>
            </w:pPr>
            <w:r>
              <w:rPr>
                <w:szCs w:val="24"/>
              </w:rPr>
              <w:t>Плащанията, извършени през 2023 г. по подмярката са в размер на 1.2 млн. евро. Общо изплатените публични средства по Подмярка 4.1.2 към 31.12.2023 г. са в размер на 2.3 млн. евро, по 171 от всички сключени договори.</w:t>
            </w:r>
          </w:p>
          <w:p w:rsidR="00012A46" w:rsidRDefault="00836FCA">
            <w:pPr>
              <w:spacing w:before="240" w:after="240"/>
              <w:jc w:val="left"/>
              <w:rPr>
                <w:szCs w:val="24"/>
              </w:rPr>
            </w:pPr>
            <w:r>
              <w:rPr>
                <w:b/>
                <w:bCs/>
                <w:szCs w:val="24"/>
              </w:rPr>
              <w:t>Подмярка 4.2 „Инвестиции в преработка/маркетинг на селскостопански продукти“</w:t>
            </w:r>
          </w:p>
          <w:p w:rsidR="00012A46" w:rsidRDefault="00836FCA">
            <w:pPr>
              <w:spacing w:before="240" w:after="240"/>
              <w:jc w:val="left"/>
              <w:rPr>
                <w:szCs w:val="24"/>
              </w:rPr>
            </w:pPr>
            <w:r>
              <w:rPr>
                <w:szCs w:val="24"/>
              </w:rPr>
              <w:t>Подмярка 4.2 „Инвестиции в преработка/маркетинг на селскостопански продукти“ Подмярката има за цел подобряване на цялостната дейност, икономическата ефективност и конкурентоспособността на предприятия от хранително-преработвателната промишленост.</w:t>
            </w:r>
          </w:p>
          <w:p w:rsidR="00012A46" w:rsidRDefault="00836FCA">
            <w:pPr>
              <w:spacing w:before="240" w:after="240"/>
              <w:jc w:val="left"/>
              <w:rPr>
                <w:szCs w:val="24"/>
              </w:rPr>
            </w:pPr>
            <w:r>
              <w:rPr>
                <w:szCs w:val="24"/>
              </w:rPr>
              <w:lastRenderedPageBreak/>
              <w:t>Подкрепените проекти следва да допринесат за постигане на ефект по отношение изпълнението на:</w:t>
            </w:r>
          </w:p>
          <w:p w:rsidR="00012A46" w:rsidRDefault="00836FCA">
            <w:pPr>
              <w:spacing w:before="240" w:after="240"/>
              <w:jc w:val="left"/>
              <w:rPr>
                <w:szCs w:val="24"/>
              </w:rPr>
            </w:pPr>
            <w:r>
              <w:rPr>
                <w:szCs w:val="24"/>
              </w:rPr>
              <w:t>- Приоритет 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p w:rsidR="00012A46" w:rsidRDefault="00836FCA">
            <w:pPr>
              <w:spacing w:before="240" w:after="240"/>
              <w:jc w:val="left"/>
              <w:rPr>
                <w:szCs w:val="24"/>
              </w:rPr>
            </w:pPr>
            <w:r>
              <w:rPr>
                <w:szCs w:val="24"/>
              </w:rPr>
              <w:t>- Област с поставен акцент 3А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sidR="00012A46" w:rsidRDefault="00836FCA">
            <w:pPr>
              <w:spacing w:before="240" w:after="240"/>
              <w:jc w:val="left"/>
              <w:rPr>
                <w:szCs w:val="24"/>
              </w:rPr>
            </w:pPr>
            <w:r>
              <w:rPr>
                <w:szCs w:val="24"/>
              </w:rPr>
              <w:t>-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p>
          <w:p w:rsidR="00012A46" w:rsidRDefault="00836FCA">
            <w:pPr>
              <w:spacing w:before="240" w:after="240"/>
              <w:jc w:val="left"/>
              <w:rPr>
                <w:szCs w:val="24"/>
              </w:rPr>
            </w:pPr>
            <w:r>
              <w:rPr>
                <w:szCs w:val="24"/>
              </w:rPr>
              <w:t>- Област с поставен акцент 5В „Повишаване на ефективността при потреблението на енергия в селското стопанство и хранително-вкусовата промишленост“;</w:t>
            </w:r>
          </w:p>
          <w:p w:rsidR="00012A46" w:rsidRDefault="00836FCA">
            <w:pPr>
              <w:spacing w:before="240" w:after="240"/>
              <w:jc w:val="left"/>
              <w:rPr>
                <w:szCs w:val="24"/>
              </w:rPr>
            </w:pPr>
            <w:r>
              <w:rPr>
                <w:szCs w:val="24"/>
              </w:rPr>
              <w:t>- Област с поставен акцент 5С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sidR="00012A46" w:rsidRDefault="00836FCA">
            <w:pPr>
              <w:spacing w:before="240" w:after="240"/>
              <w:jc w:val="left"/>
              <w:rPr>
                <w:szCs w:val="24"/>
              </w:rPr>
            </w:pPr>
            <w:r>
              <w:rPr>
                <w:szCs w:val="24"/>
              </w:rPr>
              <w:t>Подмярката стартира още през 2015 г. с прием на заявления, вторият е проведен през 2018 г., а за периода 2021 г. – 2022 г. са организирани още два приема за подбор на проектни предложения, в които е включен целият наличен индикативен бюджет на подмярката (495 млн. евро към 31.12.2023 г.).</w:t>
            </w:r>
          </w:p>
          <w:p w:rsidR="00012A46" w:rsidRDefault="00836FCA">
            <w:pPr>
              <w:spacing w:before="240" w:after="240"/>
              <w:jc w:val="left"/>
              <w:rPr>
                <w:szCs w:val="24"/>
              </w:rPr>
            </w:pPr>
            <w:r>
              <w:rPr>
                <w:szCs w:val="24"/>
              </w:rPr>
              <w:t>Към 31.12.2023 г. постъпилите проекти са с обща стойност на исканата субсидия над 1 млрд. евро публични средства, което е индикация за изключително висок интерес от страна на потенциалните бенефициенти.</w:t>
            </w:r>
          </w:p>
          <w:p w:rsidR="00012A46" w:rsidRDefault="00836FCA">
            <w:pPr>
              <w:spacing w:before="240" w:after="240"/>
              <w:jc w:val="left"/>
              <w:rPr>
                <w:szCs w:val="24"/>
              </w:rPr>
            </w:pPr>
            <w:r>
              <w:rPr>
                <w:szCs w:val="24"/>
              </w:rPr>
              <w:t>Към същата дата действащите договори са 865 с общ размер на одобрените разходи 911,2 млн. евро, от които размерът на договорената субсидия общо публични средства възлиза на 458,8 млн. евро.</w:t>
            </w:r>
          </w:p>
          <w:p w:rsidR="00012A46" w:rsidRDefault="00836FCA">
            <w:pPr>
              <w:spacing w:before="240" w:after="240"/>
              <w:jc w:val="left"/>
              <w:rPr>
                <w:szCs w:val="24"/>
              </w:rPr>
            </w:pPr>
            <w:r>
              <w:rPr>
                <w:szCs w:val="24"/>
              </w:rPr>
              <w:t>От тях са налични общо 299 приключени проекта, със стойност на окончателно изплатената субсидия  171,2 млн. евро публични средства.</w:t>
            </w:r>
          </w:p>
          <w:p w:rsidR="00012A46" w:rsidRDefault="00836FCA">
            <w:pPr>
              <w:spacing w:before="240" w:after="240"/>
              <w:jc w:val="left"/>
              <w:rPr>
                <w:szCs w:val="24"/>
              </w:rPr>
            </w:pPr>
            <w:r>
              <w:rPr>
                <w:szCs w:val="24"/>
              </w:rPr>
              <w:t>Дефинираните критерии за подбор по подмярката са в съответствие с нуждите на Програмата и гарантират правилното и навременно насочване на публичните средства. Предвидено е помощта да бъде насочена, чрез прилагане на критерии за подбор, предимно към преработка на суровини от чувствителните сектори („Животновъдство“, „Плодове и зеленчуци“ и „Етерично-маслени култури“), биологично производство, допълнителна заетост, Северозападен район и райони с природни и други ограничения.</w:t>
            </w:r>
          </w:p>
          <w:p w:rsidR="00012A46" w:rsidRDefault="00836FCA">
            <w:pPr>
              <w:spacing w:before="240" w:after="240"/>
              <w:jc w:val="left"/>
              <w:rPr>
                <w:szCs w:val="24"/>
              </w:rPr>
            </w:pPr>
            <w:r>
              <w:rPr>
                <w:szCs w:val="24"/>
              </w:rPr>
              <w:t>Съгласно одобрените от Комитета по наблюдение на Програмата критерии за подбор, най-голяма тежест получават проектите с инвестиции в преработка на суровини от чувствителните сектори.</w:t>
            </w:r>
          </w:p>
          <w:p w:rsidR="00012A46" w:rsidRDefault="00836FCA">
            <w:pPr>
              <w:spacing w:before="240" w:after="240"/>
              <w:jc w:val="left"/>
              <w:rPr>
                <w:szCs w:val="24"/>
              </w:rPr>
            </w:pPr>
            <w:r>
              <w:rPr>
                <w:szCs w:val="24"/>
              </w:rPr>
              <w:t xml:space="preserve">По данни от 330-те проекта, получили междинни/окончателни плащания в размер на 181,2 млн. евро, към края на 2023 г. са създадени 3 296 нови работни места (създадените и съответно докладвани в </w:t>
            </w:r>
            <w:r>
              <w:rPr>
                <w:szCs w:val="24"/>
              </w:rPr>
              <w:lastRenderedPageBreak/>
              <w:t>Глава 11 от доклада работни места по проектите, получили междинно и/или окончателно плащане са по 1 648 мъже и жени). В резултат на 107 приключени проекта в рамките на районите с природни ограничения са създадени 863 работни места. С приключените 35 проекта, изпълнявани в областите в Северозападен район на България са създадени 236 нови работни места.</w:t>
            </w:r>
          </w:p>
          <w:p w:rsidR="00012A46" w:rsidRDefault="00836FCA">
            <w:pPr>
              <w:spacing w:before="240" w:after="240"/>
              <w:jc w:val="left"/>
              <w:rPr>
                <w:szCs w:val="24"/>
              </w:rPr>
            </w:pPr>
            <w:r>
              <w:rPr>
                <w:szCs w:val="24"/>
              </w:rPr>
              <w:t>Към 31.12.2023 г., размерът на договорената субсидия за проекти в рамките на райони с природни и други ограничения възлиза на 150,1 млн. евро, разплатените средства от авансови, междинни и/или окончателни плащания са в размер на 63 млн. евро, а от тях извършените междинни и/или окончателните плащания са в размер на 59,38 млн. евро, общо публични средства.</w:t>
            </w:r>
          </w:p>
          <w:p w:rsidR="00012A46" w:rsidRDefault="00836FCA">
            <w:pPr>
              <w:spacing w:before="240" w:after="240"/>
              <w:jc w:val="left"/>
              <w:rPr>
                <w:szCs w:val="24"/>
              </w:rPr>
            </w:pPr>
            <w:r>
              <w:rPr>
                <w:szCs w:val="24"/>
              </w:rPr>
              <w:t>В сферата на преработка на биологични суровини и производство на биологични продукти по подмярката са договорени 206 проекта с размер на субсидията 126,2 млн. евро, а към края на 2023 г. от тях са разплатени 56,7 млн. евро в резултат на авансови, междини и/или окончателни плащания, като дела на изплатените междинни и/или окончателно плащания е 51,8  млн. евро общо публични средства.</w:t>
            </w:r>
          </w:p>
          <w:p w:rsidR="00012A46" w:rsidRDefault="00836FCA">
            <w:pPr>
              <w:spacing w:before="240" w:after="240"/>
              <w:jc w:val="left"/>
              <w:rPr>
                <w:szCs w:val="24"/>
              </w:rPr>
            </w:pPr>
            <w:r>
              <w:rPr>
                <w:szCs w:val="24"/>
              </w:rPr>
              <w:t>Към края на 2023 насърчаването на кооперирането и интеграцията между земеделските стопани и предприятия от преработвателната промишленост е подпомогнато с 41 действащи договора, субсидията по които е в размер на 21,8 млн. евро, като авансовите, междинните и/или окончателните плащания са в размер на 17,3 млн. евро, от които 16,4 млн. евро е делът на проектите с извършени междинни и/или окончателни плащания.</w:t>
            </w:r>
          </w:p>
          <w:p w:rsidR="00012A46" w:rsidRDefault="00836FCA">
            <w:pPr>
              <w:spacing w:before="240" w:after="240"/>
              <w:jc w:val="left"/>
              <w:rPr>
                <w:szCs w:val="24"/>
              </w:rPr>
            </w:pPr>
            <w:r>
              <w:rPr>
                <w:szCs w:val="24"/>
              </w:rPr>
              <w:t>Прави впечатление, че много малка част от договорените проектите имат заложени инвестиции в иновации и енергоспестяващи технологии, а основната част на договорените проекти са с инвестиции за преработка на суровини от чувствителните сектори.</w:t>
            </w:r>
          </w:p>
          <w:p w:rsidR="00012A46" w:rsidRDefault="00836FCA">
            <w:pPr>
              <w:spacing w:before="240" w:after="240"/>
              <w:jc w:val="left"/>
              <w:rPr>
                <w:szCs w:val="24"/>
              </w:rPr>
            </w:pPr>
            <w:r>
              <w:rPr>
                <w:szCs w:val="24"/>
              </w:rPr>
              <w:t>След направен през 2023 г. анализ от УО на ПРСР 2014-2020, относно остатъчните средства по подмярката е установено, че е генериран свободен финансов ресурс. Целесъобразно е той да бъде използван за сключване на допълнителни договори с преработвателни предприятия.</w:t>
            </w:r>
          </w:p>
          <w:p w:rsidR="00012A46" w:rsidRDefault="006D0037">
            <w:pPr>
              <w:spacing w:before="240" w:after="240"/>
              <w:jc w:val="left"/>
              <w:rPr>
                <w:szCs w:val="24"/>
              </w:rPr>
            </w:pPr>
            <w:r w:rsidRPr="006D0037">
              <w:rPr>
                <w:szCs w:val="24"/>
                <w:lang w:val="bg-BG"/>
              </w:rPr>
              <w:t xml:space="preserve">Със Заповед РД09-966/30.08.2023 г. </w:t>
            </w:r>
            <w:r w:rsidR="00E72017">
              <w:rPr>
                <w:szCs w:val="24"/>
                <w:lang w:val="bg-BG"/>
              </w:rPr>
              <w:t xml:space="preserve">на заместник-министъра на земедлието и храните </w:t>
            </w:r>
            <w:r w:rsidRPr="006D0037">
              <w:rPr>
                <w:szCs w:val="24"/>
                <w:lang w:val="bg-BG"/>
              </w:rPr>
              <w:t>с</w:t>
            </w:r>
            <w:r w:rsidR="00836FCA" w:rsidRPr="006D0037">
              <w:rPr>
                <w:szCs w:val="24"/>
              </w:rPr>
              <w:t xml:space="preserve"> остатъчният размер на финансовите средства е увеличен бюджета по последния прием от 2021 г. </w:t>
            </w:r>
            <w:proofErr w:type="gramStart"/>
            <w:r w:rsidR="00836FCA" w:rsidRPr="006D0037">
              <w:rPr>
                <w:szCs w:val="24"/>
              </w:rPr>
              <w:t>с</w:t>
            </w:r>
            <w:proofErr w:type="gramEnd"/>
            <w:r w:rsidR="00836FCA" w:rsidRPr="006D0037">
              <w:rPr>
                <w:szCs w:val="24"/>
              </w:rPr>
              <w:t xml:space="preserve"> 50 979 648,27 лева публични средства (ЕЗФРСР и национален бюджет), което позволи</w:t>
            </w:r>
            <w:r w:rsidR="00836FCA">
              <w:rPr>
                <w:szCs w:val="24"/>
              </w:rPr>
              <w:t xml:space="preserve"> сключването на допълнителни административни договори по 65 проектни предложения. Това са проекти на преработвателни предприятия, които са преминали през всички етапи на оценка по процедурата и са получили между 43 и 23 точки по критериите за оценка. Същите отговарят на всички критерии за предоставяне на финансова помощ по процедурата.</w:t>
            </w:r>
          </w:p>
          <w:p w:rsidR="00012A46" w:rsidRDefault="00836FCA">
            <w:pPr>
              <w:spacing w:before="240" w:after="240"/>
              <w:jc w:val="left"/>
              <w:rPr>
                <w:szCs w:val="24"/>
              </w:rPr>
            </w:pPr>
            <w:r>
              <w:rPr>
                <w:szCs w:val="24"/>
              </w:rPr>
              <w:t>С ув</w:t>
            </w:r>
            <w:r>
              <w:rPr>
                <w:szCs w:val="24"/>
                <w:lang w:val="bg-BG"/>
              </w:rPr>
              <w:t>е</w:t>
            </w:r>
            <w:r>
              <w:rPr>
                <w:szCs w:val="24"/>
              </w:rPr>
              <w:t>л</w:t>
            </w:r>
            <w:r>
              <w:rPr>
                <w:szCs w:val="24"/>
                <w:lang w:val="bg-BG"/>
              </w:rPr>
              <w:t>и</w:t>
            </w:r>
            <w:r>
              <w:rPr>
                <w:szCs w:val="24"/>
              </w:rPr>
              <w:t>чението, общият бюджет на процедурата се увеличава на 477</w:t>
            </w:r>
            <w:proofErr w:type="gramStart"/>
            <w:r>
              <w:rPr>
                <w:szCs w:val="24"/>
              </w:rPr>
              <w:t>,2</w:t>
            </w:r>
            <w:proofErr w:type="gramEnd"/>
            <w:r>
              <w:rPr>
                <w:szCs w:val="24"/>
              </w:rPr>
              <w:t xml:space="preserve"> млн. </w:t>
            </w:r>
            <w:proofErr w:type="gramStart"/>
            <w:r>
              <w:rPr>
                <w:szCs w:val="24"/>
              </w:rPr>
              <w:t>лв.,</w:t>
            </w:r>
            <w:proofErr w:type="gramEnd"/>
            <w:r>
              <w:rPr>
                <w:szCs w:val="24"/>
              </w:rPr>
              <w:t xml:space="preserve"> осигури възможност за сключване на договори с всички проектни предложения, които отговарят на критериите за допустимост и финансиране по процедурата.</w:t>
            </w:r>
          </w:p>
          <w:p w:rsidR="00012A46" w:rsidRDefault="00836FCA">
            <w:pPr>
              <w:spacing w:before="240" w:after="240"/>
              <w:jc w:val="left"/>
              <w:rPr>
                <w:szCs w:val="24"/>
              </w:rPr>
            </w:pPr>
            <w:r>
              <w:rPr>
                <w:szCs w:val="24"/>
              </w:rPr>
              <w:t>Сключените допълнителни договори по тези проектни предложения и тяхното изпълнение до 2025 г. подпомага постигане на целите на ПРСР 2014-2020, в частност на подмярка 4.2. „Инвестиции в преработка/маркетинг на селскостопански продукти“.</w:t>
            </w:r>
          </w:p>
          <w:p w:rsidR="00012A46" w:rsidRDefault="00836FCA">
            <w:pPr>
              <w:spacing w:before="240" w:after="240"/>
              <w:jc w:val="left"/>
              <w:rPr>
                <w:szCs w:val="24"/>
              </w:rPr>
            </w:pPr>
            <w:r>
              <w:rPr>
                <w:szCs w:val="24"/>
              </w:rPr>
              <w:t xml:space="preserve">Чрез изпълнение на дейностите и инвестициите по тези проекти ще се стимулира процесът по подобряване на цялостната дейност, икономическата ефективност и конкурентоспособността на предприятия от хранително-преработвателната промишленост. Финансирането ще допринесе за модернизиране на производствените процеси чрез въвеждането в експлоатация на нови и </w:t>
            </w:r>
            <w:r>
              <w:rPr>
                <w:szCs w:val="24"/>
              </w:rPr>
              <w:lastRenderedPageBreak/>
              <w:t>съвременни машини и технологии, подпомагащи и дейности по  устойчиво и цифрово икономическо възстановяване на предприятията.</w:t>
            </w:r>
          </w:p>
          <w:p w:rsidR="00012A46" w:rsidRDefault="00836FCA">
            <w:pPr>
              <w:spacing w:before="240" w:after="240"/>
              <w:jc w:val="left"/>
              <w:rPr>
                <w:szCs w:val="24"/>
              </w:rPr>
            </w:pPr>
            <w:r w:rsidRPr="00E72017">
              <w:rPr>
                <w:szCs w:val="24"/>
              </w:rPr>
              <w:t>През 2023 г. са извършени промени в условията за изпълнение по процедурата и по конкретно актуализиране на изискуемите от кандидатите документи приложими при подаване на искания за плащания. Изменението е извършено с цел намаляване на административната тежест и отпадане или актуализация на част от изискуемите документи към исканията за плащане, включително с цел улесняване подготовката на искания за плащане и оптимизиране на сроковете за изплащане на помощта.</w:t>
            </w:r>
          </w:p>
          <w:p w:rsidR="00012A46" w:rsidRDefault="00836FCA">
            <w:pPr>
              <w:spacing w:before="240" w:after="240"/>
              <w:jc w:val="left"/>
              <w:rPr>
                <w:szCs w:val="24"/>
              </w:rPr>
            </w:pPr>
            <w:r>
              <w:rPr>
                <w:szCs w:val="24"/>
              </w:rPr>
              <w:t>От определените за България средства в размер на 201.9 млн. евро по линия на Инструмента на Европейския съюз за възстановяване (European Union Recovery Instrument – EURI), са прехвърлени общо 82,6 млн. евро към подмярка 4.2.</w:t>
            </w:r>
          </w:p>
          <w:p w:rsidR="00012A46" w:rsidRDefault="00836FCA">
            <w:pPr>
              <w:spacing w:before="240" w:after="240"/>
              <w:jc w:val="left"/>
              <w:rPr>
                <w:szCs w:val="24"/>
              </w:rPr>
            </w:pPr>
            <w:r>
              <w:rPr>
                <w:szCs w:val="24"/>
              </w:rPr>
              <w:t>Към 31.12.2023 г. разплатените средства по линия на инструмента за възстановяване EURI по подмярката се равняват на 5,4 млн. евро публични средства.</w:t>
            </w:r>
          </w:p>
          <w:p w:rsidR="00012A46" w:rsidRDefault="00836FCA">
            <w:pPr>
              <w:spacing w:before="240" w:after="240"/>
              <w:jc w:val="left"/>
              <w:rPr>
                <w:szCs w:val="24"/>
              </w:rPr>
            </w:pPr>
            <w:r>
              <w:rPr>
                <w:szCs w:val="24"/>
              </w:rPr>
              <w:t>До 31.12.2023 г. по подмярката са изплатени общо публични средства в размер на 191,4 млн. евро, от които средствата по линия на ЕЗФРСР са в размер на 158,9 млн. евро.</w:t>
            </w:r>
          </w:p>
          <w:p w:rsidR="00012A46" w:rsidRDefault="00836FCA">
            <w:pPr>
              <w:spacing w:before="240" w:after="240"/>
              <w:jc w:val="left"/>
              <w:rPr>
                <w:szCs w:val="24"/>
              </w:rPr>
            </w:pPr>
            <w:r>
              <w:rPr>
                <w:szCs w:val="24"/>
              </w:rPr>
              <w:t>Само за 2023 г. по подмярката са изплатени общо публични средства в размер на 36,7 млн. евро, от които средствата по линия на ЕЗФРСР са в размер на 30,6 млн. евро.</w:t>
            </w:r>
          </w:p>
          <w:p w:rsidR="00012A46" w:rsidRDefault="00836FCA">
            <w:pPr>
              <w:spacing w:before="240" w:after="240"/>
              <w:jc w:val="left"/>
              <w:rPr>
                <w:szCs w:val="24"/>
              </w:rPr>
            </w:pPr>
            <w:r>
              <w:rPr>
                <w:b/>
                <w:bCs/>
                <w:szCs w:val="24"/>
              </w:rPr>
              <w:t xml:space="preserve">Подмярка 4.2.2: „Инвестиции в преработка/маркетинг на селскостопански продукти по Тематичната подпрограма“ </w:t>
            </w:r>
          </w:p>
          <w:p w:rsidR="00012A46" w:rsidRDefault="00836FCA">
            <w:pPr>
              <w:spacing w:before="240" w:after="240"/>
              <w:jc w:val="left"/>
              <w:rPr>
                <w:szCs w:val="24"/>
              </w:rPr>
            </w:pPr>
            <w:r>
              <w:rPr>
                <w:szCs w:val="24"/>
              </w:rPr>
              <w:t>Подпомагането по подмярка 4.2.2 „Инвестиции в преработка/маркетинг на селскостопански продукти по Тематичната подпрограма“ е насочено към повишаване на конкурентоспособността,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на малките стопанства, чрез инвестиции в материални и нематериални активи за добавяне на стойност към произвежданите от тях продукти.</w:t>
            </w:r>
          </w:p>
          <w:p w:rsidR="00012A46" w:rsidRDefault="00836FCA">
            <w:pPr>
              <w:spacing w:before="240" w:after="240"/>
              <w:jc w:val="left"/>
              <w:rPr>
                <w:szCs w:val="24"/>
              </w:rPr>
            </w:pPr>
            <w:r>
              <w:rPr>
                <w:szCs w:val="24"/>
              </w:rPr>
              <w:t>Подкрепените проекти по подмярката следва да допринесат за постигане на ефект по отношение изпълнението на Приоритет 3: „Насърчаване на организацията на хранителната верига, включително преработката и маркетинга на селскостопански продукти, хуманното отношение към животните и управлението на риска в селското стопанство “.</w:t>
            </w:r>
          </w:p>
          <w:p w:rsidR="00012A46" w:rsidRDefault="00836FCA">
            <w:pPr>
              <w:spacing w:before="240" w:after="240"/>
              <w:jc w:val="left"/>
              <w:rPr>
                <w:szCs w:val="24"/>
              </w:rPr>
            </w:pPr>
            <w:r>
              <w:rPr>
                <w:szCs w:val="24"/>
              </w:rPr>
              <w:t>В резултат на прилагане на подмярката, малките стопанства в секторите „Животновъдство“, „Плодове и зеленчуци“  и „Етерично–маслени и лекарствени култури“ ще се преструктурират,  модернизират и ще се осигури възможност за повишаване и стабилизиране на доходите, чрез изграждането на малки по мащаб преработвателни мощности.</w:t>
            </w:r>
          </w:p>
          <w:p w:rsidR="00012A46" w:rsidRDefault="00836FCA">
            <w:pPr>
              <w:spacing w:before="240" w:after="240"/>
              <w:jc w:val="left"/>
              <w:rPr>
                <w:szCs w:val="24"/>
              </w:rPr>
            </w:pPr>
            <w:r>
              <w:rPr>
                <w:szCs w:val="24"/>
              </w:rPr>
              <w:t>Първият прием по подмярката стартира на 22.10.2019 г, извършен е по електронен път, чрез системата „ИСУН 2020“ и е с общ бюджет 1,69 млн. евро.</w:t>
            </w:r>
          </w:p>
          <w:p w:rsidR="00012A46" w:rsidRDefault="00836FCA">
            <w:pPr>
              <w:spacing w:before="240" w:after="240"/>
              <w:jc w:val="left"/>
              <w:rPr>
                <w:szCs w:val="24"/>
              </w:rPr>
            </w:pPr>
            <w:r>
              <w:rPr>
                <w:szCs w:val="24"/>
              </w:rPr>
              <w:t xml:space="preserve">След приключването му на 23.12.2019 г. постъпват едва 5 проектни предложения със стойност на исканата субсидия 0,20 млн. евро публични средства. Всички постъпили 5 проектни предложения са отхвърлени за финансиране. По подмярката не са провеждани други приеми и не са извършвани </w:t>
            </w:r>
            <w:r>
              <w:rPr>
                <w:szCs w:val="24"/>
              </w:rPr>
              <w:lastRenderedPageBreak/>
              <w:t>плащания до края на 2023 г.</w:t>
            </w:r>
          </w:p>
          <w:p w:rsidR="00012A46" w:rsidRDefault="00836FCA">
            <w:pPr>
              <w:spacing w:before="240" w:after="240"/>
              <w:jc w:val="left"/>
              <w:rPr>
                <w:szCs w:val="24"/>
              </w:rPr>
            </w:pPr>
            <w:r>
              <w:rPr>
                <w:szCs w:val="24"/>
              </w:rPr>
              <w:t>По подмярката няма одобрени проекти, като една от причините за липсата на интерес и отхвърлянето и на малкото постъпили проекти, би могла да бъде наличието на завишени изисквания, както и мотивите, посочени в извършен анализ в раздел 3а на настоящия доклад, а именно, че малките стопанства имат нужда по по-голям инвестиционен ресурс за изграждане на преработвателно предприятие.</w:t>
            </w:r>
          </w:p>
          <w:p w:rsidR="00012A46" w:rsidRDefault="00836FCA">
            <w:pPr>
              <w:spacing w:before="240" w:after="240"/>
              <w:jc w:val="left"/>
              <w:rPr>
                <w:szCs w:val="24"/>
              </w:rPr>
            </w:pPr>
            <w:r>
              <w:rPr>
                <w:b/>
                <w:bCs/>
                <w:szCs w:val="24"/>
              </w:rPr>
              <w:t>Подмярка 4.3 „Подкрепа за инвестиции в инфраструктура, свързана с развитието, модернизирането или адаптирането на селското и горското стопанство“</w:t>
            </w:r>
          </w:p>
          <w:p w:rsidR="00012A46" w:rsidRDefault="00836FCA">
            <w:pPr>
              <w:spacing w:before="240" w:after="240"/>
              <w:jc w:val="left"/>
              <w:rPr>
                <w:szCs w:val="24"/>
              </w:rPr>
            </w:pPr>
            <w:r>
              <w:rPr>
                <w:szCs w:val="24"/>
              </w:rPr>
              <w:t>Подпомагането по подмярката е насочено към реконструкция/рехабилитация и модернизация на ХМСН използвана само за селскостопански нужди, извън земеделските стопанства, с цел намаляване на загубите на вода и адаптиране на селското стопанство към последиците от изменението на климата. Чрез подкрепата по подмярката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w:t>
            </w:r>
          </w:p>
          <w:p w:rsidR="00012A46" w:rsidRDefault="00836FCA">
            <w:pPr>
              <w:spacing w:before="240" w:after="240"/>
              <w:jc w:val="left"/>
              <w:rPr>
                <w:szCs w:val="24"/>
              </w:rPr>
            </w:pPr>
            <w:r>
              <w:rPr>
                <w:szCs w:val="24"/>
              </w:rPr>
              <w:t>Средствата по подмярката се разпределят в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 област с поставен акцент 5А „Повишаване на ефективността при потреблението на вода в селското стопанство“.</w:t>
            </w:r>
          </w:p>
          <w:p w:rsidR="00012A46" w:rsidRDefault="00836FCA">
            <w:pPr>
              <w:spacing w:before="240" w:after="240"/>
              <w:jc w:val="left"/>
              <w:rPr>
                <w:szCs w:val="24"/>
              </w:rPr>
            </w:pPr>
            <w:r>
              <w:rPr>
                <w:szCs w:val="24"/>
              </w:rPr>
              <w:t>През 2023 г. са подписани 24 договора по процедура BG06RDNP001-4.016 - Проектни предложения от „Напоителни системи“ ЕАД за възстановяване на съществуващи хидромелиоративни съоръжения за напояване“ с общ размер на договорената субсидия 57,4 млн. евро. Към 31.12.2023 г. са извършени плащания по подмярката на стойност 24,9 млн. евро.</w:t>
            </w:r>
          </w:p>
          <w:p w:rsidR="00012A46" w:rsidRDefault="00836FCA">
            <w:pPr>
              <w:spacing w:before="240" w:after="240"/>
              <w:jc w:val="left"/>
              <w:rPr>
                <w:szCs w:val="24"/>
              </w:rPr>
            </w:pPr>
            <w:r>
              <w:rPr>
                <w:szCs w:val="24"/>
              </w:rPr>
              <w:t>Към 31.12.2023 г. по подмярката има действащи 27 договора с обща стойност на договорената субсидия в размер на 61,5 млн. евро.</w:t>
            </w:r>
          </w:p>
          <w:p w:rsidR="00012A46" w:rsidRDefault="00836FCA">
            <w:pPr>
              <w:spacing w:before="240" w:after="240"/>
              <w:jc w:val="left"/>
              <w:rPr>
                <w:szCs w:val="24"/>
              </w:rPr>
            </w:pPr>
            <w:r>
              <w:rPr>
                <w:b/>
                <w:bCs/>
                <w:szCs w:val="24"/>
              </w:rPr>
              <w:t>Мярка 5 „Възстановяване на селскостопански производствен потенциал и въвеждане на подходящи превантивни мерки”</w:t>
            </w:r>
          </w:p>
          <w:p w:rsidR="00012A46" w:rsidRDefault="00836FCA">
            <w:pPr>
              <w:spacing w:before="240" w:after="240"/>
              <w:jc w:val="left"/>
              <w:rPr>
                <w:szCs w:val="24"/>
              </w:rPr>
            </w:pPr>
            <w:r>
              <w:rPr>
                <w:szCs w:val="24"/>
              </w:rPr>
              <w:t>Съгласно ПРСР 2014-2020 г., мярка 5 се прилага с две подмерки: Подмярка 5.1 „Подкрепа за инвестиции в превантивни мерки“ и Подмярка 5.2 „Инвестиции за възстановяване на потенциала на земеделските земи и на селскостопанския производствен потенциал “.</w:t>
            </w:r>
          </w:p>
          <w:p w:rsidR="00012A46" w:rsidRDefault="00836FCA">
            <w:pPr>
              <w:spacing w:before="240" w:after="240"/>
              <w:jc w:val="left"/>
              <w:rPr>
                <w:szCs w:val="24"/>
              </w:rPr>
            </w:pPr>
            <w:r>
              <w:rPr>
                <w:szCs w:val="24"/>
              </w:rPr>
              <w:t>Подмярка 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 е насичена към:</w:t>
            </w:r>
          </w:p>
          <w:p w:rsidR="00012A46" w:rsidRDefault="00836FCA">
            <w:pPr>
              <w:spacing w:before="240" w:after="240"/>
              <w:jc w:val="left"/>
              <w:rPr>
                <w:szCs w:val="24"/>
              </w:rPr>
            </w:pPr>
            <w:r>
              <w:rPr>
                <w:szCs w:val="24"/>
              </w:rPr>
              <w:t>-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от опасни метеорологични явления - градушки.</w:t>
            </w:r>
          </w:p>
          <w:p w:rsidR="00012A46" w:rsidRDefault="00836FCA">
            <w:pPr>
              <w:spacing w:before="240" w:after="240"/>
              <w:jc w:val="left"/>
              <w:rPr>
                <w:szCs w:val="24"/>
              </w:rPr>
            </w:pPr>
            <w:r>
              <w:rPr>
                <w:szCs w:val="24"/>
              </w:rPr>
              <w:t xml:space="preserve">-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w:t>
            </w:r>
            <w:r>
              <w:rPr>
                <w:szCs w:val="24"/>
              </w:rPr>
              <w:lastRenderedPageBreak/>
              <w:t>реакция от страна на компетентните органи.</w:t>
            </w:r>
          </w:p>
          <w:p w:rsidR="00012A46" w:rsidRDefault="00836FCA">
            <w:pPr>
              <w:spacing w:before="240" w:after="240"/>
              <w:jc w:val="left"/>
              <w:rPr>
                <w:szCs w:val="24"/>
              </w:rPr>
            </w:pPr>
            <w:r>
              <w:rPr>
                <w:szCs w:val="24"/>
              </w:rPr>
              <w:t>- Дейности за животновъдни обекти, специализирани в отглеждането на свине, овце, кози и птици;</w:t>
            </w:r>
          </w:p>
          <w:p w:rsidR="00012A46" w:rsidRDefault="00836FCA">
            <w:pPr>
              <w:spacing w:before="240" w:after="240"/>
              <w:jc w:val="left"/>
              <w:rPr>
                <w:szCs w:val="24"/>
              </w:rPr>
            </w:pPr>
            <w:r>
              <w:rPr>
                <w:szCs w:val="24"/>
              </w:rPr>
              <w:t> -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rsidR="00012A46" w:rsidRDefault="00836FCA">
            <w:pPr>
              <w:spacing w:before="240" w:after="240"/>
              <w:jc w:val="left"/>
              <w:rPr>
                <w:szCs w:val="24"/>
              </w:rPr>
            </w:pPr>
            <w:r>
              <w:rPr>
                <w:szCs w:val="24"/>
              </w:rPr>
              <w:t>Подмярка 5.2 „Инвестиции за възстановяване на потенциала на земеделските земи и на селскостопанския производствен потенциал“ има за цел възстановяване на производствения потенциал, нарушен от остро заразни заболявания по свинете, дребните преживни животни /овце и кози/ и птиците. 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rsidR="00012A46" w:rsidRDefault="00836FCA">
            <w:pPr>
              <w:spacing w:before="240" w:after="240"/>
              <w:jc w:val="left"/>
              <w:rPr>
                <w:szCs w:val="24"/>
              </w:rPr>
            </w:pPr>
            <w:r>
              <w:rPr>
                <w:b/>
                <w:bCs/>
                <w:szCs w:val="24"/>
              </w:rPr>
              <w:t>Подмярка 5.1 „Подкрепа за инвестиции в превантивни мерки“</w:t>
            </w:r>
          </w:p>
          <w:p w:rsidR="00012A46" w:rsidRDefault="00836FCA">
            <w:pPr>
              <w:spacing w:before="240" w:after="240"/>
              <w:jc w:val="left"/>
              <w:rPr>
                <w:szCs w:val="24"/>
              </w:rPr>
            </w:pPr>
            <w:r>
              <w:rPr>
                <w:szCs w:val="24"/>
              </w:rPr>
              <w:t>За периода на прилагане на ПРСР 2014-2020 са отворени 3 приема за подбор на проектни предложения. Съответно 1 (един) през 2020 г. и 2 (два) през 2022 г.</w:t>
            </w:r>
          </w:p>
          <w:p w:rsidR="00012A46" w:rsidRDefault="00836FCA">
            <w:pPr>
              <w:spacing w:before="240" w:after="240"/>
              <w:jc w:val="left"/>
              <w:rPr>
                <w:szCs w:val="24"/>
              </w:rPr>
            </w:pPr>
            <w:r>
              <w:rPr>
                <w:szCs w:val="24"/>
              </w:rPr>
              <w:t>Към края на 2023 г. по трите процедури са сключени 53 договора за финансово подпомагане с общ размер на договорената субсидия 13,8 млн. евро. Към края на оценявания период са изплатени общо публични разходи от авансови и окончателни плащания, възлизащи в размер на 4,8 млн. евро, от които 4,1 млн. евро е делът на проектите с извършени окончателни плащания. Плащанията извършени през 2023 г. са в размер на 2,2 млн. евро. Разпределени са в приоритет 3B „Подпомагане на превенцията и управлението на риска на стопанствата“.</w:t>
            </w:r>
          </w:p>
          <w:p w:rsidR="00012A46" w:rsidRDefault="00836FCA">
            <w:pPr>
              <w:spacing w:before="240" w:after="240"/>
              <w:jc w:val="left"/>
              <w:rPr>
                <w:szCs w:val="24"/>
              </w:rPr>
            </w:pPr>
            <w:r>
              <w:rPr>
                <w:b/>
                <w:bCs/>
                <w:szCs w:val="24"/>
              </w:rPr>
              <w:t>Подмярка 5.2 „Инвестиции за възстановяване на потенциала на земеделските земи и на селскостопанския производствен потенциал “</w:t>
            </w:r>
          </w:p>
          <w:p w:rsidR="00012A46" w:rsidRDefault="00836FCA">
            <w:pPr>
              <w:spacing w:before="240" w:after="240"/>
              <w:jc w:val="left"/>
              <w:rPr>
                <w:szCs w:val="24"/>
              </w:rPr>
            </w:pPr>
            <w:r>
              <w:rPr>
                <w:szCs w:val="24"/>
              </w:rPr>
              <w:t>От стартиране на мярката през 2020 г. е проведен един прием, като постъпилите проектни предложения са три със стойност на БФП в размер на 0,79 млн. евро. През 2023 г. са сключени 2 договора с общ размер на договорената субсидия в размер на 0,61 млн. евро и са извършени окончателни плащания в размер на 0,61 млн. евро.</w:t>
            </w:r>
          </w:p>
          <w:p w:rsidR="00012A46" w:rsidRDefault="00836FCA">
            <w:pPr>
              <w:spacing w:before="240" w:after="240"/>
              <w:jc w:val="left"/>
              <w:rPr>
                <w:szCs w:val="24"/>
              </w:rPr>
            </w:pPr>
            <w:r>
              <w:rPr>
                <w:b/>
                <w:bCs/>
                <w:szCs w:val="24"/>
              </w:rPr>
              <w:t>Мярка 6 „Развитие на стопанства и предприятия”</w:t>
            </w:r>
          </w:p>
          <w:p w:rsidR="00012A46" w:rsidRDefault="00836FCA">
            <w:pPr>
              <w:spacing w:before="240" w:after="240"/>
              <w:jc w:val="left"/>
              <w:rPr>
                <w:szCs w:val="24"/>
              </w:rPr>
            </w:pPr>
            <w:r>
              <w:rPr>
                <w:szCs w:val="24"/>
              </w:rPr>
              <w:t>Мярка 6 „Развитие на стопанства и предприятия”</w:t>
            </w:r>
          </w:p>
          <w:p w:rsidR="00012A46" w:rsidRDefault="00836FCA">
            <w:pPr>
              <w:spacing w:before="240" w:after="240"/>
              <w:jc w:val="left"/>
              <w:rPr>
                <w:szCs w:val="24"/>
              </w:rPr>
            </w:pPr>
            <w:r>
              <w:rPr>
                <w:szCs w:val="24"/>
              </w:rPr>
              <w:t>Съгласно ПРСР 2014-2020 г., мярка 6 се прилага с четири подмерки: Подмярка 6.1 „Стартова помощ за млади земеделски стопани“, Подмярка 6.3 – „Стартова помощ за развитието на малки стопанства“,   Подмярка 6.4.1 „Инвестиции в подкрепа на неземеделски дейности“ и Подмярка “6.4.2 Подмярка Инвестиции в подкрепа на неземеделски дейности по Тематичната подпрограма за развитие на малки стопанства“.</w:t>
            </w:r>
          </w:p>
          <w:p w:rsidR="00012A46" w:rsidRDefault="00836FCA">
            <w:pPr>
              <w:spacing w:before="240" w:after="240"/>
              <w:jc w:val="left"/>
              <w:rPr>
                <w:szCs w:val="24"/>
              </w:rPr>
            </w:pPr>
            <w:r>
              <w:rPr>
                <w:szCs w:val="24"/>
              </w:rPr>
              <w:t xml:space="preserve">Подмярка 6.1 „Стартова помощ за млади земеделски стопани“ е насочена към увеличаване на броя и дела на младите земеделски стопани, което ще допринесе до осигуряване на устойчиво развитие, така и за улесняване на структурните промени в земеделието. Помощта допринася за улесняване и </w:t>
            </w:r>
            <w:r>
              <w:rPr>
                <w:szCs w:val="24"/>
              </w:rPr>
              <w:lastRenderedPageBreak/>
              <w:t>подпомагане процеса на създаването на жизнеспособни и устойчиви земеделски стопанства или поемането от млади хора на вече съществуващи стопанства. По подмярката са подпомогнати и 1 415 фермери под формата на продължаващи плащания от програмен период 2007-2013, като в таблиците от приложенията съответно са добавени и отчетени заедно с текущо изпълняваните договори.</w:t>
            </w:r>
          </w:p>
          <w:p w:rsidR="00012A46" w:rsidRDefault="00836FCA">
            <w:pPr>
              <w:spacing w:before="240" w:after="240"/>
              <w:jc w:val="left"/>
              <w:rPr>
                <w:szCs w:val="24"/>
              </w:rPr>
            </w:pPr>
            <w:r>
              <w:rPr>
                <w:szCs w:val="24"/>
              </w:rPr>
              <w:t>Подмярка 6.3 – „Стартова помощ за развитието на малки стопанства“ е насочена към осигуряване на  устойчиво развитие и растеж на малките стопанства. По подмярката се подпомагат всички дейности, които могат да гарантират устойчиво развитие, чрез инвестиции в стопанството, свързани с неговото развитие и модернизация. С прилагането на подмярката се цели икономическо развитие и укрепване на малките земеделски стопанства в устойчиви и жизнеспособни единици. По подмярката са подпомогнати и 3 571 фермери под формата на продължаващи плащания от програмен период 2007-2013, като в таблиците от приложенията съответно са добавени и отчетени заедно с текущо изпълняваните договори.</w:t>
            </w:r>
          </w:p>
          <w:p w:rsidR="00012A46" w:rsidRDefault="00836FCA">
            <w:pPr>
              <w:spacing w:before="240" w:after="240"/>
              <w:jc w:val="left"/>
              <w:rPr>
                <w:szCs w:val="24"/>
              </w:rPr>
            </w:pPr>
            <w:r>
              <w:rPr>
                <w:szCs w:val="24"/>
              </w:rPr>
              <w:t>Подмярка 6.4.1 „Инвестиции в подкрепа на неземеделски дейности“ е насочена към подпомагане на инвестиции в неземеделски дейности, което е от съществено значение за развитието на конкурентоспособността на селските райони. Насърчаването на този тип инвестиции ще подпомогне създаването на заетост и ще ускори диверсификацията на неземеделските дейности. Подмярката подпомага развитието на технологиите в областта на „зелената икономика“, включително на енергия от ВЕИ за собствено потребление. Щели се подпомогне усвояването на потенциала за развитие на туризъм, съчетаващ природни и културни ценности.</w:t>
            </w:r>
          </w:p>
          <w:p w:rsidR="00012A46" w:rsidRDefault="00836FCA">
            <w:pPr>
              <w:spacing w:before="240" w:after="240"/>
              <w:jc w:val="left"/>
              <w:rPr>
                <w:szCs w:val="24"/>
              </w:rPr>
            </w:pPr>
            <w:r>
              <w:rPr>
                <w:szCs w:val="24"/>
              </w:rPr>
              <w:t>Подмярка 6.4.2 „Подмярка Инвестиции в подкрепа на неземеделски дейности по Тематичната подпрограма за развитие на малки стопанства“. Бюджетът по подмярката е прехвърлен с 16-то изменение на Програмата.</w:t>
            </w:r>
          </w:p>
          <w:p w:rsidR="00012A46" w:rsidRDefault="00836FCA">
            <w:pPr>
              <w:spacing w:before="240" w:after="240"/>
              <w:jc w:val="left"/>
              <w:rPr>
                <w:szCs w:val="24"/>
              </w:rPr>
            </w:pPr>
            <w:r>
              <w:rPr>
                <w:b/>
                <w:bCs/>
                <w:szCs w:val="24"/>
              </w:rPr>
              <w:t>Подмярка 6.1 „Стартова помощ за млади земеделски стопани”</w:t>
            </w:r>
          </w:p>
          <w:p w:rsidR="00012A46" w:rsidRDefault="00836FCA">
            <w:pPr>
              <w:spacing w:before="240" w:after="240"/>
              <w:jc w:val="left"/>
              <w:rPr>
                <w:szCs w:val="24"/>
              </w:rPr>
            </w:pPr>
            <w:r>
              <w:rPr>
                <w:szCs w:val="24"/>
              </w:rPr>
              <w:t>По подмярка 6.1 „Стартова помощ за млади земеделски стопани“ от мярка 6 „Развитие на стопанства и предприятия“ от ПРСР 2014 - 2020 г., е стартирал прием на 01.11.2022 г. и   е приключил на 31.01.2023 г.</w:t>
            </w:r>
          </w:p>
          <w:p w:rsidR="00012A46" w:rsidRDefault="00836FCA">
            <w:pPr>
              <w:spacing w:before="240" w:after="240"/>
              <w:jc w:val="left"/>
              <w:rPr>
                <w:szCs w:val="24"/>
              </w:rPr>
            </w:pPr>
            <w:r>
              <w:rPr>
                <w:szCs w:val="24"/>
              </w:rPr>
              <w:t>Във връзка с публикуваната обява за стартиране на процедура чрез подбор по подмярка 6.1 „Стартова помощ за млади земеделски стопани“, Национална служба за съвети в земеделието (НССЗ) стартира период на прием на заявления за предоставяне на консултантски пакети по подмярка 2.1.1 за изготвяне на проектни предложения по подмярка 6.1 и предоставяне на консултации във връзка с дейността на стопанството, подобряване организацията на работа, прилагане на екологосъобразни практики и иновативни решения и други, които да подобрят ефективността в стопанството. При предходния прием по подмярка 6.1, осъществен в периода 25.11.2021 г. – 28.02.2022 г., са подадени 238 броя проектни предложения, изготвени от кандидатите без консултантски  услуги, предоставяни от страна на НССЗ. В резултат на навременната консултантска подкрепа при приема в периода 01.11.2022 г. - 30.01.2023 г. в ТОО на НССЗ са приети 363 заявления от младите фермерите за получаване на горецитираните консултантски пакети. Общият брой проектни предложения по подмярка 6.1, регистрирани в ИСУН 2020 е 534 бр., като част от тях са подадени повторно. Подадените проекти, изготвени от експертите на НССЗ са 362 бр. или приблизително 68% от всички проектни предложения по процедурата.</w:t>
            </w:r>
          </w:p>
          <w:p w:rsidR="00012A46" w:rsidRDefault="00836FCA">
            <w:pPr>
              <w:spacing w:before="240" w:after="240"/>
              <w:jc w:val="left"/>
              <w:rPr>
                <w:szCs w:val="24"/>
              </w:rPr>
            </w:pPr>
            <w:r>
              <w:rPr>
                <w:szCs w:val="24"/>
              </w:rPr>
              <w:t xml:space="preserve">С оглед на установените ползи и преимущества от наличието на консултантски организации, които безвъзмездно предоставят услуги, свързани с подготовката и изготвянето на проектни предложения за кандидати по ПРСР 2014-2020 г., дейността им ще бъде продължена чрез интервенциите  от </w:t>
            </w:r>
            <w:r>
              <w:rPr>
                <w:szCs w:val="24"/>
              </w:rPr>
              <w:lastRenderedPageBreak/>
              <w:t>СПРЗРС  2023-2027 г.</w:t>
            </w:r>
          </w:p>
          <w:p w:rsidR="00012A46" w:rsidRDefault="00836FCA">
            <w:pPr>
              <w:spacing w:before="240" w:after="240"/>
              <w:jc w:val="left"/>
              <w:rPr>
                <w:szCs w:val="24"/>
              </w:rPr>
            </w:pPr>
            <w:r>
              <w:rPr>
                <w:szCs w:val="24"/>
              </w:rPr>
              <w:t>Към 31.12.2023 г. са налични общо 2281 действащи договора, на обща стойност на договорената субсидия в размер на 57 млн. евро. От тях 2072 проекта са приключени с извършено второ окончателно плащане, като общо изплатените средства възлизат 51,7 млн. евро общо публични средства. Общо изплатените публични средства по проектите са в размер на 54,2 млн. евро.</w:t>
            </w:r>
          </w:p>
          <w:p w:rsidR="00012A46" w:rsidRDefault="00836FCA">
            <w:pPr>
              <w:spacing w:before="240" w:after="240"/>
              <w:jc w:val="left"/>
              <w:rPr>
                <w:szCs w:val="24"/>
              </w:rPr>
            </w:pPr>
            <w:r>
              <w:rPr>
                <w:szCs w:val="24"/>
              </w:rPr>
              <w:t>През този програмен период по подмярката са финансирани като преходно плащане и 1415 проекта от предишния програмен период (стартирали преди 31.12.2015 г. но приключени с плащане след тази дата), с обща стойност на изплатената субсидия 17,2 млн. евро публични средства.</w:t>
            </w:r>
          </w:p>
          <w:p w:rsidR="00012A46" w:rsidRDefault="00836FCA">
            <w:pPr>
              <w:spacing w:before="240" w:after="240"/>
              <w:jc w:val="left"/>
              <w:rPr>
                <w:szCs w:val="24"/>
              </w:rPr>
            </w:pPr>
            <w:r>
              <w:rPr>
                <w:szCs w:val="24"/>
              </w:rPr>
              <w:t>От всички 2 281 действащи договора към 31.12.2023 г., броят на тези, получили приоритет в чувствителните сектори е, както следва:</w:t>
            </w:r>
          </w:p>
          <w:p w:rsidR="00012A46" w:rsidRDefault="00836FCA">
            <w:pPr>
              <w:spacing w:before="240" w:after="240"/>
              <w:jc w:val="left"/>
              <w:rPr>
                <w:szCs w:val="24"/>
              </w:rPr>
            </w:pPr>
            <w:r>
              <w:rPr>
                <w:szCs w:val="24"/>
              </w:rPr>
              <w:t>- 1422 проекта в сектор „Плодове и зеленчуци“ с одобрена субсидия в размер на 35,5 млн. евро, от които извършените първи и втори плащания са в размер на 34,6 млн. евро, а приключените проекти с окончателни плащания са в размер на 33,9 млн. евро;</w:t>
            </w:r>
          </w:p>
          <w:p w:rsidR="00012A46" w:rsidRDefault="00836FCA">
            <w:pPr>
              <w:spacing w:before="240" w:after="240"/>
              <w:jc w:val="left"/>
              <w:rPr>
                <w:szCs w:val="24"/>
              </w:rPr>
            </w:pPr>
            <w:r>
              <w:rPr>
                <w:szCs w:val="24"/>
              </w:rPr>
              <w:t>- 521 проекта в сектор „Животновъдство“ с одобрена субсидия в размер на 13 млн. евро, от които извършените първи и втори плащания са в размер на 12,4 млн. евро, а приключените проекти с окончателни плащания са в размер на 12 млн. евро.</w:t>
            </w:r>
          </w:p>
          <w:p w:rsidR="00012A46" w:rsidRDefault="00836FCA">
            <w:pPr>
              <w:spacing w:before="240" w:after="240"/>
              <w:jc w:val="left"/>
              <w:rPr>
                <w:szCs w:val="24"/>
              </w:rPr>
            </w:pPr>
            <w:r>
              <w:rPr>
                <w:szCs w:val="24"/>
              </w:rPr>
              <w:t>- 233 проекта са стопанствата със смесени инвестиции, включително отглеждащите полски култури, като одобрената субсидия в тези стопанства е в размер 5,8 млн. евро, от които извършените първи и втори плащания са в размер на 5,6 млн. евро, а приключените проекти с окончателни плащания са в размер на 5,4 млн. евро.</w:t>
            </w:r>
          </w:p>
          <w:p w:rsidR="00012A46" w:rsidRDefault="00836FCA">
            <w:pPr>
              <w:spacing w:before="240" w:after="240"/>
              <w:jc w:val="left"/>
              <w:rPr>
                <w:szCs w:val="24"/>
              </w:rPr>
            </w:pPr>
            <w:r>
              <w:rPr>
                <w:szCs w:val="24"/>
              </w:rPr>
              <w:t>По приоритета, свързан с биологично производство по подмярката са договорени 1 530 проекта с размер на субсидията 38,2 млн. евро, а към края на 2023 г. от тях са разплатени първи и втори плащания в размер на 37,4 млн. евро, като дела на приключените проекти с окончателни плащания е 36,7 млн. евро общо публични средства.</w:t>
            </w:r>
          </w:p>
          <w:p w:rsidR="00012A46" w:rsidRDefault="00836FCA">
            <w:pPr>
              <w:spacing w:before="240" w:after="240"/>
              <w:jc w:val="left"/>
              <w:rPr>
                <w:szCs w:val="24"/>
              </w:rPr>
            </w:pPr>
            <w:r>
              <w:rPr>
                <w:szCs w:val="24"/>
              </w:rPr>
              <w:t>Следва да се има предвид, че един проект е възможно да бъде в повече от един приоритетен сектор. В тези случаи, всеки проект, одобрен в даден сектор, е отчетен и като брой, и с целия обем разпределени за него средства.</w:t>
            </w:r>
          </w:p>
          <w:p w:rsidR="00012A46" w:rsidRDefault="00836FCA">
            <w:pPr>
              <w:spacing w:before="240" w:after="240"/>
              <w:jc w:val="left"/>
              <w:rPr>
                <w:szCs w:val="24"/>
              </w:rPr>
            </w:pPr>
            <w:r>
              <w:rPr>
                <w:szCs w:val="24"/>
              </w:rPr>
              <w:t>От всички 2 281 действащи договора, делът на проектите реализирани от жени възлиза на 997, а делът на мъжете е покрит от 1 284 проекта.</w:t>
            </w:r>
          </w:p>
          <w:p w:rsidR="00012A46" w:rsidRDefault="00836FCA">
            <w:pPr>
              <w:spacing w:before="240" w:after="240"/>
              <w:jc w:val="left"/>
              <w:rPr>
                <w:szCs w:val="24"/>
              </w:rPr>
            </w:pPr>
            <w:r>
              <w:rPr>
                <w:szCs w:val="24"/>
              </w:rPr>
              <w:t>От определените за България средства в размер на 201,9 млн. евро по линия на Инструмента на Европейския съюз за възстановяване (European Union Recovery Instrument – EURI), са прехвърлени общо 24,6 млн. евро към подмярка 6.1.</w:t>
            </w:r>
          </w:p>
          <w:p w:rsidR="00012A46" w:rsidRDefault="00836FCA">
            <w:pPr>
              <w:spacing w:before="240" w:after="240"/>
              <w:jc w:val="left"/>
              <w:rPr>
                <w:szCs w:val="24"/>
              </w:rPr>
            </w:pPr>
            <w:r>
              <w:rPr>
                <w:szCs w:val="24"/>
              </w:rPr>
              <w:t>Към 31.12.2023 г. разплатените средства по линия на инструмента за възстановяване EURI по подмярката се равняват на 2,1 млн. евро публични средства.</w:t>
            </w:r>
          </w:p>
          <w:p w:rsidR="00012A46" w:rsidRDefault="00836FCA">
            <w:pPr>
              <w:spacing w:before="240" w:after="240"/>
              <w:jc w:val="left"/>
              <w:rPr>
                <w:szCs w:val="24"/>
              </w:rPr>
            </w:pPr>
            <w:r>
              <w:rPr>
                <w:b/>
                <w:bCs/>
                <w:szCs w:val="24"/>
              </w:rPr>
              <w:t>Подмярка 6.3 „Стартова помощ за развитието на малки стопанства”</w:t>
            </w:r>
          </w:p>
          <w:p w:rsidR="00012A46" w:rsidRDefault="00836FCA">
            <w:pPr>
              <w:spacing w:before="240" w:after="240"/>
              <w:jc w:val="left"/>
              <w:rPr>
                <w:szCs w:val="24"/>
              </w:rPr>
            </w:pPr>
            <w:r>
              <w:rPr>
                <w:szCs w:val="24"/>
              </w:rPr>
              <w:t xml:space="preserve">Процедура чрез подбор на проектни предложения по подмярка 6.3 „Стартова помощ за развитието на малки стопанства“ от мярка 6 „Развитие на стопанства и предприятия“ от ПРСР 2014-2020 г., </w:t>
            </w:r>
            <w:r>
              <w:rPr>
                <w:szCs w:val="24"/>
              </w:rPr>
              <w:lastRenderedPageBreak/>
              <w:t>стартирала през 2021 г. и приключила през 2022 г.</w:t>
            </w:r>
          </w:p>
          <w:p w:rsidR="00012A46" w:rsidRDefault="00836FCA">
            <w:pPr>
              <w:spacing w:before="240" w:after="240"/>
              <w:jc w:val="left"/>
              <w:rPr>
                <w:szCs w:val="24"/>
              </w:rPr>
            </w:pPr>
            <w:r>
              <w:rPr>
                <w:szCs w:val="24"/>
              </w:rPr>
              <w:t>В рамките на 2023 г. не е стартиран прием на проектни предложения по подмярка 6.3 „Стартова помощ за развитието на малки стопанства“ от ПРСР 2014-2020 г.</w:t>
            </w:r>
          </w:p>
          <w:p w:rsidR="00012A46" w:rsidRDefault="00836FCA">
            <w:pPr>
              <w:spacing w:before="240" w:after="240"/>
              <w:jc w:val="left"/>
              <w:rPr>
                <w:szCs w:val="24"/>
              </w:rPr>
            </w:pPr>
            <w:r>
              <w:rPr>
                <w:szCs w:val="24"/>
              </w:rPr>
              <w:t>Към 31.12.2023 г. действащите договори са 4 714 общата договорена субсидия по действащите договори възлиза на 70,7 млн. евро, като 3 366 проекта са успешно приключени, а окончателно платените общо публични разходи по тях възлизат в размер на 51 млн. евро.</w:t>
            </w:r>
          </w:p>
          <w:p w:rsidR="00012A46" w:rsidRDefault="00836FCA">
            <w:pPr>
              <w:spacing w:before="240" w:after="240"/>
              <w:jc w:val="left"/>
              <w:rPr>
                <w:szCs w:val="24"/>
              </w:rPr>
            </w:pPr>
            <w:r>
              <w:rPr>
                <w:szCs w:val="24"/>
              </w:rPr>
              <w:t>През този програмен период по подмярката са финансирани като преходно плащане и 3 571 проекта от предишния програмен период (стартирали преди 31.12.2015 г. но приключени с плащане след тази дата), с обща стойност на изплатената субсидия 7,7 млн. евро публични средства.</w:t>
            </w:r>
          </w:p>
          <w:p w:rsidR="00012A46" w:rsidRDefault="00836FCA">
            <w:pPr>
              <w:spacing w:before="240" w:after="240"/>
              <w:jc w:val="left"/>
              <w:rPr>
                <w:szCs w:val="24"/>
              </w:rPr>
            </w:pPr>
            <w:r>
              <w:rPr>
                <w:szCs w:val="24"/>
              </w:rPr>
              <w:t>Към 31.12.2023 г. изплатената сума по всички договори възлиза на 64,8 млн. евро.</w:t>
            </w:r>
          </w:p>
          <w:p w:rsidR="00012A46" w:rsidRDefault="00836FCA">
            <w:pPr>
              <w:spacing w:before="240" w:after="240"/>
              <w:jc w:val="left"/>
              <w:rPr>
                <w:szCs w:val="24"/>
              </w:rPr>
            </w:pPr>
            <w:r>
              <w:rPr>
                <w:szCs w:val="24"/>
              </w:rPr>
              <w:t>От определените за България средства в размер на 201.9 млн. евро по линия на Инструмента на Европейския съюз за възстановяване (European Union Recovery Instrument – EURI), са прехвърлени общо 20 млн. евро към подмярка 6.3.</w:t>
            </w:r>
          </w:p>
          <w:p w:rsidR="00012A46" w:rsidRDefault="00836FCA">
            <w:pPr>
              <w:spacing w:before="240" w:after="240"/>
              <w:jc w:val="left"/>
              <w:rPr>
                <w:szCs w:val="24"/>
              </w:rPr>
            </w:pPr>
            <w:r>
              <w:rPr>
                <w:szCs w:val="24"/>
              </w:rPr>
              <w:t>Към 31.12.2023 г. разплатените средства по линия на инструмента за възстановяване EURI по подмярката се равняват на 13,4 млн. евро публични средства.</w:t>
            </w:r>
          </w:p>
          <w:p w:rsidR="00012A46" w:rsidRDefault="00836FCA">
            <w:pPr>
              <w:spacing w:before="240" w:after="240"/>
              <w:jc w:val="left"/>
              <w:rPr>
                <w:szCs w:val="24"/>
              </w:rPr>
            </w:pPr>
            <w:r>
              <w:rPr>
                <w:b/>
                <w:bCs/>
                <w:szCs w:val="24"/>
              </w:rPr>
              <w:t>Подмярка 6.4.1 „Инвестиции в подкрепа на неземеделски дейности“</w:t>
            </w:r>
          </w:p>
          <w:p w:rsidR="00012A46" w:rsidRDefault="00836FCA">
            <w:pPr>
              <w:spacing w:before="240" w:after="240"/>
              <w:jc w:val="left"/>
              <w:rPr>
                <w:szCs w:val="24"/>
              </w:rPr>
            </w:pPr>
            <w:r>
              <w:rPr>
                <w:szCs w:val="24"/>
              </w:rPr>
              <w:t>Подкрепените проекти по подмярката следва да допринесат за постигане на ефект по отношение изпълнението на Приоритет 6: „Насърчаване на социалното приобщаване, намаляването на бедността и икономическото развитие в селските райони“, област с поставен акцент „6А“: „Улесняване на разнообразяването, създаването и развитието на малки предприятия, както и разкриването на работни места“.</w:t>
            </w:r>
          </w:p>
          <w:p w:rsidR="00012A46" w:rsidRDefault="00836FCA">
            <w:pPr>
              <w:spacing w:before="240" w:after="240"/>
              <w:jc w:val="left"/>
              <w:rPr>
                <w:szCs w:val="24"/>
              </w:rPr>
            </w:pPr>
            <w:r>
              <w:rPr>
                <w:szCs w:val="24"/>
              </w:rPr>
              <w:t>Към края на 2022 г. са сключени 255 договора за предоставяне на безвъзмездна финансова помощ, с размер на одобрената субсидия 33,04 млн. евро.</w:t>
            </w:r>
          </w:p>
          <w:p w:rsidR="00012A46" w:rsidRDefault="00836FCA">
            <w:pPr>
              <w:spacing w:before="240" w:after="240"/>
              <w:jc w:val="left"/>
              <w:rPr>
                <w:szCs w:val="24"/>
              </w:rPr>
            </w:pPr>
            <w:r>
              <w:rPr>
                <w:szCs w:val="24"/>
              </w:rPr>
              <w:t>Към 31.12.2023 г. действащите договори са 230 с общ размер на одобрените разходи 64,70 млн. евро, от които размерът на договорената субсидия общо публични средства възлиза на 31,9 млн. евро.</w:t>
            </w:r>
          </w:p>
          <w:p w:rsidR="00012A46" w:rsidRDefault="00836FCA">
            <w:pPr>
              <w:spacing w:before="240" w:after="240"/>
              <w:jc w:val="left"/>
              <w:rPr>
                <w:szCs w:val="24"/>
              </w:rPr>
            </w:pPr>
            <w:r>
              <w:rPr>
                <w:szCs w:val="24"/>
              </w:rPr>
              <w:t>Към 31.12.2023 г. платените междинни и окончателни плащания възлизат в размер на 15,7 млн. евро, а 108 проекта са приключени със стойност на окончателно изплатената субсидия  14,3 млн. евро публични средства. Сред приключените 108 проекта 77 са на кандидати, притежаващи опит или образование в сектора, за който кандидатстват, а  в рамките на всички са създадени 569 нови работни места в селските райони.</w:t>
            </w:r>
          </w:p>
          <w:p w:rsidR="00012A46" w:rsidRDefault="00836FCA">
            <w:pPr>
              <w:spacing w:before="240" w:after="240"/>
              <w:jc w:val="left"/>
              <w:rPr>
                <w:szCs w:val="24"/>
              </w:rPr>
            </w:pPr>
            <w:r>
              <w:rPr>
                <w:szCs w:val="24"/>
              </w:rPr>
              <w:t>Приемът по подмярката е проведен през 2018 г., като от сключените в края на 2022 г. 255 договора, в края на 2023 г. са приключени или в процес на изпълнение 230.</w:t>
            </w:r>
          </w:p>
          <w:p w:rsidR="00012A46" w:rsidRDefault="00836FCA">
            <w:pPr>
              <w:spacing w:before="240" w:after="240"/>
              <w:jc w:val="left"/>
              <w:rPr>
                <w:szCs w:val="24"/>
              </w:rPr>
            </w:pPr>
            <w:r>
              <w:rPr>
                <w:szCs w:val="24"/>
              </w:rPr>
              <w:t xml:space="preserve">Посочените данни показват, че изпълнението на мярката е трудно, което може да е както в резултат на завишени изисквания за кандидатстване и изпълнение, които водят до затруднено извършване на предвидените дейности, така и вследствие на затруднение при осигуряване на финансиране. Подмярката е включена за прилагане, чрез финансови инструменти, съгласно споразумение между УО, ДФЗ и ФМФИБ ЕАД. Към 31.12.2023 г. нито един бенефициент не се е възползвал от </w:t>
            </w:r>
            <w:r>
              <w:rPr>
                <w:szCs w:val="24"/>
              </w:rPr>
              <w:lastRenderedPageBreak/>
              <w:t>възможностите, които предлага този инструмент.</w:t>
            </w:r>
          </w:p>
          <w:p w:rsidR="00012A46" w:rsidRDefault="00836FCA">
            <w:pPr>
              <w:spacing w:before="240" w:after="240"/>
              <w:jc w:val="left"/>
              <w:rPr>
                <w:szCs w:val="24"/>
              </w:rPr>
            </w:pPr>
            <w:r>
              <w:rPr>
                <w:szCs w:val="24"/>
              </w:rPr>
              <w:t>Проектите по подмярката включват инвестиционни дейности, предимно насочени към закупуване на машини, съоръжения, оборудване и строително-монтажни дейности в областта на услугите, производството и занаятите на територията на селските райони. Това от своя страна, в комбинация с времето, необходимо на одобрените бенефициенти за стартиране изпълнението на проектите, включително обезпечаване на собственото самоучастие, генерира времеви период, който надхвърля оставащия период до края на 2025 г. Факторът време е от ключово значение за изпълнението на проектите, които са насочени към земеделски стопани и микропредприятия за развитие на неземеделски дейности на територията на селските райони. Съгласно публикуваната Индикативна годишна работна програма за 2023 г. (ИГРП) беше предвиден прием по подмярката.</w:t>
            </w:r>
          </w:p>
          <w:p w:rsidR="00012A46" w:rsidRDefault="00836FCA">
            <w:pPr>
              <w:spacing w:before="240" w:after="240"/>
              <w:jc w:val="left"/>
              <w:rPr>
                <w:szCs w:val="24"/>
              </w:rPr>
            </w:pPr>
            <w:r>
              <w:rPr>
                <w:szCs w:val="24"/>
              </w:rPr>
              <w:t>Управляващият орган отчете високият риск за изпълнение на инвестиции и дейности по посочената подмярка в по-кратки срокове, както и по отношение на качеството на този тип проекти и навременното им изпълнение, като се има предвид оставащият времеви период за прилагане и изпълнение на ПРСР 2014-2020. В този контекст, УО счита за целесъобразно осигуряването на достатъчно време както за подготовка на проектни предложения, така и за адекватно време за тяхното изпълнение, съобразено с характера на подпомаганите дейности и инвестиционни разходи. В същото време, целите, които УО си е поставил с прилагането на подмярка 6.4.1 „Инвестиции в подкрепа на неземеделски дейности“ на национално ниво в много голяма степен са постигнати чрез прилагането на подхода Водено от общностите местно развитие през периода 2024-2020 година.</w:t>
            </w:r>
          </w:p>
          <w:p w:rsidR="00012A46" w:rsidRDefault="00836FCA">
            <w:pPr>
              <w:spacing w:before="240" w:after="240"/>
              <w:jc w:val="left"/>
              <w:rPr>
                <w:szCs w:val="24"/>
              </w:rPr>
            </w:pPr>
            <w:r>
              <w:rPr>
                <w:szCs w:val="24"/>
              </w:rPr>
              <w:t>С оглед на гореизложеното, в предвиденото 17-то изменение на Програмата, е предложено на УО на ПРСР 2014-2020 г. извеждане на неусвоените средства по подмярката с цел оптимално разходване на средствата по Програмата предвид финализирането й в края на 2025 г. Пренасочването на остатъчните средства от подмярка 6.4.1 към други мерки/подмерки ще осигури реална възможност за максимално усвояване на разполагаемия бюджет, като това ще има и цялостен положителен принос при изпълнението на специфичните цели и индикатори на Програмата.</w:t>
            </w:r>
          </w:p>
          <w:p w:rsidR="00012A46" w:rsidRDefault="00836FCA">
            <w:pPr>
              <w:spacing w:before="240" w:after="240"/>
              <w:jc w:val="left"/>
              <w:rPr>
                <w:szCs w:val="24"/>
              </w:rPr>
            </w:pPr>
            <w:r>
              <w:rPr>
                <w:szCs w:val="24"/>
              </w:rPr>
              <w:t>В отговор на големия интерес от страна на кандидати за реализиране на проекти за инвестиции в подкрепа на неземеделски дейности, осигуряването на изпълнението им ще се реализира чрез стартиране прилагането на сходна инвестиционна интервенция, включена в СПРЗСР 2023-2027 г., а именно  II.Г.3 Инвестиции  за  неселскостопански  дейности  в селските райони, която предлага аналогични дейности за подпомагане като подмярка 6.4.1.</w:t>
            </w:r>
          </w:p>
          <w:p w:rsidR="00012A46" w:rsidRDefault="00836FCA">
            <w:pPr>
              <w:spacing w:before="240" w:after="240"/>
              <w:jc w:val="left"/>
              <w:rPr>
                <w:szCs w:val="24"/>
              </w:rPr>
            </w:pPr>
            <w:r>
              <w:rPr>
                <w:szCs w:val="24"/>
              </w:rPr>
              <w:t>УО е заявил своите намерения за стартиране прилагането на интервенция II.Г.3 през календарната 2024 г., като на официалната интернет страница на СПРЗСР 2023-2027 г. е публикувана предварителна информация относно планираните приеми на заявления за подпомагане по интервенциите от Плана за календарната 2024 г. С тази информацията Управляващият орган има за цел да даде насока за земеделските стопани и други заинтересовани страни за намеренията за стартиране на интервенции през 2024 г.</w:t>
            </w:r>
          </w:p>
          <w:p w:rsidR="00012A46" w:rsidRDefault="00836FCA">
            <w:pPr>
              <w:spacing w:before="240" w:after="240"/>
              <w:jc w:val="left"/>
              <w:rPr>
                <w:szCs w:val="24"/>
              </w:rPr>
            </w:pPr>
            <w:r>
              <w:rPr>
                <w:szCs w:val="24"/>
              </w:rPr>
              <w:t>Стартирането на интервенции през 2024 г. и в частност на интервенция II.Г.3 ще бъде съпроводено от широка дискусия със заинтересованите страни при разработване на националното законодателство, включително в рамките на Комитет по наблюдение.</w:t>
            </w:r>
          </w:p>
          <w:p w:rsidR="00012A46" w:rsidRDefault="00836FCA">
            <w:pPr>
              <w:spacing w:before="240" w:after="240"/>
              <w:jc w:val="left"/>
              <w:rPr>
                <w:szCs w:val="24"/>
              </w:rPr>
            </w:pPr>
            <w:r>
              <w:rPr>
                <w:b/>
                <w:bCs/>
                <w:szCs w:val="24"/>
              </w:rPr>
              <w:t>Подмярка 6.4.2 „Инвестиции в подкрепа на неземеделски дейности по Тематичната подпрограма за развитие на малки стопанства“</w:t>
            </w:r>
          </w:p>
          <w:p w:rsidR="00012A46" w:rsidRDefault="00836FCA">
            <w:pPr>
              <w:spacing w:before="240" w:after="240"/>
              <w:jc w:val="left"/>
              <w:rPr>
                <w:szCs w:val="24"/>
              </w:rPr>
            </w:pPr>
            <w:r>
              <w:rPr>
                <w:szCs w:val="24"/>
              </w:rPr>
              <w:t xml:space="preserve">Подмярката е с индикативен бюджет от 5.6 млн. евро публични средства, като в 16-то изменение е </w:t>
            </w:r>
            <w:r>
              <w:rPr>
                <w:szCs w:val="24"/>
              </w:rPr>
              <w:lastRenderedPageBreak/>
              <w:t>изведена от програмата и бюджета е преразпределен към други, стартирали подмерки.</w:t>
            </w:r>
          </w:p>
          <w:p w:rsidR="00012A46" w:rsidRDefault="00836FCA">
            <w:pPr>
              <w:spacing w:before="240" w:after="240"/>
              <w:jc w:val="left"/>
              <w:rPr>
                <w:szCs w:val="24"/>
              </w:rPr>
            </w:pPr>
            <w:r>
              <w:rPr>
                <w:b/>
                <w:bCs/>
                <w:szCs w:val="24"/>
              </w:rPr>
              <w:t>Мярка 7 „Основни услуги и обновяване на селата в селските райони”</w:t>
            </w:r>
          </w:p>
          <w:p w:rsidR="00012A46" w:rsidRDefault="00836FCA">
            <w:pPr>
              <w:spacing w:before="240" w:after="240"/>
              <w:jc w:val="left"/>
              <w:rPr>
                <w:szCs w:val="24"/>
              </w:rPr>
            </w:pPr>
            <w:r>
              <w:rPr>
                <w:b/>
                <w:bCs/>
                <w:szCs w:val="24"/>
              </w:rPr>
              <w:t>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w:t>
            </w:r>
          </w:p>
          <w:p w:rsidR="00012A46" w:rsidRDefault="00836FCA">
            <w:pPr>
              <w:spacing w:before="240" w:after="240"/>
              <w:jc w:val="left"/>
              <w:rPr>
                <w:szCs w:val="24"/>
              </w:rPr>
            </w:pPr>
            <w:r>
              <w:rPr>
                <w:szCs w:val="24"/>
              </w:rPr>
              <w:t>По подмярката са стартирани четири приема на заявления – съответно през 2016, 2017, 2018, и 2022 календарни години.</w:t>
            </w:r>
          </w:p>
          <w:p w:rsidR="00012A46" w:rsidRDefault="00836FCA">
            <w:pPr>
              <w:spacing w:before="240" w:after="240"/>
              <w:jc w:val="left"/>
              <w:rPr>
                <w:szCs w:val="24"/>
              </w:rPr>
            </w:pPr>
            <w:r>
              <w:rPr>
                <w:szCs w:val="24"/>
              </w:rPr>
              <w:t>При последните състояли се приеми за подбор на проектни предложения през 2022 г. по Подмярка 7.2 „Инвестиции в създаването, подобряването или разширяването на всички видове малка по мащаби инфраструктура“, УО на ПРСР обяви бюджет първоначално в размер на 150 000 000 евро общо за четири стартирани процедури. Интересът на кандидатите – общини на територията на селските райони в страната е изключително висок и нуждите значително надвишат определените бюджети, като:</w:t>
            </w:r>
          </w:p>
          <w:p w:rsidR="00012A46" w:rsidRDefault="00836FCA">
            <w:pPr>
              <w:spacing w:before="240" w:after="240"/>
              <w:jc w:val="left"/>
              <w:rPr>
                <w:szCs w:val="24"/>
              </w:rPr>
            </w:pPr>
            <w:r>
              <w:rPr>
                <w:szCs w:val="24"/>
              </w:rPr>
              <w:t>- по процедурата „Пътища“ са подадени 51 проектни предложения с обща стойност на заявените разходи в размер на 71,6 млн евро.</w:t>
            </w:r>
          </w:p>
          <w:p w:rsidR="00012A46" w:rsidRDefault="00836FCA">
            <w:pPr>
              <w:spacing w:before="240" w:after="240"/>
              <w:jc w:val="left"/>
              <w:rPr>
                <w:szCs w:val="24"/>
              </w:rPr>
            </w:pPr>
            <w:r>
              <w:rPr>
                <w:szCs w:val="24"/>
              </w:rPr>
              <w:t>- по процедурата „Улици“ са подадени 108 проектни предложения с обща стойност на заявените разходи в размер на близо 101,2 млн евро.</w:t>
            </w:r>
          </w:p>
          <w:p w:rsidR="00012A46" w:rsidRDefault="00836FCA">
            <w:pPr>
              <w:spacing w:before="240" w:after="240"/>
              <w:jc w:val="left"/>
              <w:rPr>
                <w:szCs w:val="24"/>
              </w:rPr>
            </w:pPr>
            <w:r>
              <w:rPr>
                <w:szCs w:val="24"/>
              </w:rPr>
              <w:t>- по процедурата „Енергийна ефективност“ са подадени 122 проектни предложения с обща стойност на заявените разходи в размер на близо 53,2 млн евро.</w:t>
            </w:r>
          </w:p>
          <w:p w:rsidR="00012A46" w:rsidRDefault="00836FCA">
            <w:pPr>
              <w:spacing w:before="240" w:after="240"/>
              <w:jc w:val="left"/>
              <w:rPr>
                <w:szCs w:val="24"/>
              </w:rPr>
            </w:pPr>
            <w:r>
              <w:rPr>
                <w:szCs w:val="24"/>
              </w:rPr>
              <w:t>- по процедурата „Вода“ са подадени 35 проектни предложения с обща стойност на заявените разходи в размер на близо 46,6 млн евро.</w:t>
            </w:r>
          </w:p>
          <w:p w:rsidR="00012A46" w:rsidRDefault="00836FCA">
            <w:pPr>
              <w:spacing w:before="240" w:after="240"/>
              <w:jc w:val="left"/>
              <w:rPr>
                <w:szCs w:val="24"/>
              </w:rPr>
            </w:pPr>
            <w:r>
              <w:rPr>
                <w:szCs w:val="24"/>
              </w:rPr>
              <w:t>На база оценителните доклади на комисиите за разглеждане на постъпилите проектни предложения по процедури „Пътища“ и „Улици“, е установено, че след сключването на административни договори по предложените за одобрение проектни предложения от страна на комисиите, по двете процедури е наличен остатъчен бюджет. Съгласно разпоредбите на ЗУСЕФСУ при остатъчен финансов ресурс безвъзмездна финансова помощ може да бъде предоставена и за проектни предложения от списъка с резервни проекти по реда на тяхното класиране. Остатъчните бюджети и по двете процедури не са достатъчни за финансиране на всички проектни предложения, получили еднакъв брой точки на окончателна оценка от списъка с резервните проектни предложения. Съгласно националното законодателство всички проектни предложения, получили равен (еднакъв) брой точки по критериите за подбор, трябва да бъдат одобрени или отказани – презумпцията е, че щом са получили еднакъв брой точки, то те са еднакво добри и качествени. В тази връзка са предприети действия за осигуряване на финансов ресурс и поетапно е извършено увеличение по двете процедури „Пътища“ и „Улици“ с общо 2,8 млн. евро публични средства, с цел да бъдат финансирани всички проектни предложения, получили еднакъв брой точки по критериите за оценка.</w:t>
            </w:r>
          </w:p>
          <w:p w:rsidR="00433748" w:rsidRDefault="00836FCA">
            <w:pPr>
              <w:spacing w:before="240" w:after="240"/>
              <w:jc w:val="left"/>
              <w:rPr>
                <w:szCs w:val="24"/>
                <w:lang w:val="bg-BG"/>
              </w:rPr>
            </w:pPr>
            <w:r>
              <w:rPr>
                <w:szCs w:val="24"/>
              </w:rPr>
              <w:t xml:space="preserve">Съгласно оценителния доклад на комисията за разглеждане на постъпилите проектни предложения по процедура „Енергийна ефективност“, е установено, че бюджетът по процедурата не е достатъчен за финансиране на всички проектни предложения, получили еднакъв брой точки по критериите за подбор. В тази връзка са предприети действия за осигуряване на финансов ресурс и е извършено увеличение по процедура „Енергийна ефективност“  с  17.9 млн. евро публични средства, с цел да </w:t>
            </w:r>
            <w:r>
              <w:rPr>
                <w:szCs w:val="24"/>
              </w:rPr>
              <w:lastRenderedPageBreak/>
              <w:t xml:space="preserve">бъдат финансирани всички проектни предложения, получили еднакъв брой точки по критериите за оценка. По този начин, общо разполагаемият бюджет по трите процедури - „Пътища“, „Улици“ и „Енергийна ефективност“, се увеличава на 170,7 млн. </w:t>
            </w:r>
            <w:proofErr w:type="gramStart"/>
            <w:r>
              <w:rPr>
                <w:szCs w:val="24"/>
              </w:rPr>
              <w:t>евро</w:t>
            </w:r>
            <w:proofErr w:type="gramEnd"/>
            <w:r>
              <w:rPr>
                <w:szCs w:val="24"/>
              </w:rPr>
              <w:t xml:space="preserve"> публични средства.</w:t>
            </w:r>
          </w:p>
          <w:p w:rsidR="00012A46" w:rsidRDefault="00836FCA">
            <w:pPr>
              <w:spacing w:before="240" w:after="240"/>
              <w:jc w:val="left"/>
              <w:rPr>
                <w:szCs w:val="24"/>
              </w:rPr>
            </w:pPr>
            <w:r>
              <w:rPr>
                <w:szCs w:val="24"/>
              </w:rPr>
              <w:t>Към 31.12.2023 г. по приемите от подмярката са налични 814 действащи договора, с обща стойност на договорената субсидия в размер на 686</w:t>
            </w:r>
            <w:proofErr w:type="gramStart"/>
            <w:r>
              <w:rPr>
                <w:szCs w:val="24"/>
              </w:rPr>
              <w:t>,9</w:t>
            </w:r>
            <w:proofErr w:type="gramEnd"/>
            <w:r>
              <w:rPr>
                <w:szCs w:val="24"/>
              </w:rPr>
              <w:t xml:space="preserve"> млн. евро общо публични средства. В края на 2023 г. по проектите са разплатени, съответно 545,8 млн. евро авансови, междинни и/или окончателни плащания, като 47,9 млн. евро общо публични средства са разплатени през 2023 г. Към края на оценявания период завършените проекти с изплатени окончателни плащания са 664, като изплатените разходи възлизат в размер на 513,4 млн. евро.</w:t>
            </w:r>
          </w:p>
          <w:p w:rsidR="00012A46" w:rsidRDefault="00836FCA">
            <w:pPr>
              <w:spacing w:before="240" w:after="240"/>
              <w:jc w:val="left"/>
              <w:rPr>
                <w:szCs w:val="24"/>
              </w:rPr>
            </w:pPr>
            <w:r>
              <w:rPr>
                <w:b/>
                <w:bCs/>
                <w:szCs w:val="24"/>
              </w:rPr>
              <w:t>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от мярка 7 “Основни услуги и обновяване на селата в селските райони”</w:t>
            </w:r>
          </w:p>
          <w:p w:rsidR="00012A46" w:rsidRDefault="00836FCA">
            <w:pPr>
              <w:spacing w:before="240" w:after="240"/>
              <w:jc w:val="left"/>
              <w:rPr>
                <w:szCs w:val="24"/>
              </w:rPr>
            </w:pPr>
            <w:r>
              <w:rPr>
                <w:szCs w:val="24"/>
              </w:rPr>
              <w:t>През 2021 г. е прието 1 проектно предложение по подмярката със заявени общо разходи 42,00 млн. евро, което е оттеглено от бенефициента ДАЕУ преди сключването на договор с ДФ „Земеделие“, поради отпадане на нуждата от финансиране във връзка с включване на подпомаганите дейности в Национален план за възстановяване и устойчивост (НПВУ).  Към датата на извършване на оценката, подмярката е изведена от ПРСР 2014-2020 г. с шестнадесетото изменение на ПРСР 2014-2020 г.</w:t>
            </w:r>
          </w:p>
          <w:p w:rsidR="00012A46" w:rsidRDefault="00836FCA">
            <w:pPr>
              <w:spacing w:before="240" w:after="240"/>
              <w:jc w:val="left"/>
              <w:rPr>
                <w:szCs w:val="24"/>
              </w:rPr>
            </w:pPr>
            <w:r>
              <w:rPr>
                <w:b/>
                <w:bCs/>
                <w:szCs w:val="24"/>
              </w:rPr>
              <w:t>Подмярка 7.6. „Проучване и инвестиции, свързани с поддържане, възстановяване и подобряване на културното и природно наследство на селата” от мярка 7 „Основни услуги и обновяване на селата в селските райони“.</w:t>
            </w:r>
          </w:p>
          <w:p w:rsidR="00012A46" w:rsidRDefault="00836FCA">
            <w:pPr>
              <w:spacing w:before="240" w:after="240"/>
              <w:jc w:val="left"/>
              <w:rPr>
                <w:szCs w:val="24"/>
              </w:rPr>
            </w:pPr>
            <w:r>
              <w:rPr>
                <w:szCs w:val="24"/>
              </w:rPr>
              <w:t>По подмярката са стартирани два приема, съответно през календарните 2016 и 2020 г., като с тях е ангажиран целият разполагаем индикативен ресурс, заделен за подмярката.</w:t>
            </w:r>
          </w:p>
          <w:p w:rsidR="00012A46" w:rsidRDefault="00836FCA">
            <w:pPr>
              <w:spacing w:before="240" w:after="240"/>
              <w:jc w:val="left"/>
              <w:rPr>
                <w:szCs w:val="24"/>
              </w:rPr>
            </w:pPr>
            <w:r>
              <w:rPr>
                <w:szCs w:val="24"/>
              </w:rPr>
              <w:t>На база оценка на проектите по критериите за подбор (брой население, което ще се възползва от допустимите дейности) и на база данни за действащите 197 договора към края на 2022 г. от реализираните инвестиции по проектите ще се възползват 2,6 млн. души.</w:t>
            </w:r>
          </w:p>
          <w:p w:rsidR="00012A46" w:rsidRDefault="00836FCA">
            <w:pPr>
              <w:spacing w:before="240" w:after="240"/>
              <w:jc w:val="left"/>
              <w:rPr>
                <w:szCs w:val="24"/>
              </w:rPr>
            </w:pPr>
            <w:r>
              <w:rPr>
                <w:szCs w:val="24"/>
              </w:rPr>
              <w:t>Чрез подмярката до края на 2023 г. са подпомогнати (на база договорени проекти) общо 56 манастира и 141 храма/църкви.</w:t>
            </w:r>
          </w:p>
          <w:p w:rsidR="00012A46" w:rsidRDefault="00836FCA">
            <w:pPr>
              <w:spacing w:before="240" w:after="240"/>
              <w:jc w:val="left"/>
              <w:rPr>
                <w:szCs w:val="24"/>
              </w:rPr>
            </w:pPr>
            <w:r>
              <w:rPr>
                <w:szCs w:val="24"/>
              </w:rPr>
              <w:t>Към края на 2022 г., предвид общо договорената субсидия в размер на 56,8 млн. евро и реално разплатените средства в размер на 27,3 млн. евро може да се заключи, че предвид стартирането на подмярката през 2018 г. се наблюдава сериозно забавяне при изпълнението на приема, организиран през 2020 г. Показателен за това е и размера на извършените през 2022 г. плащания, който възлиза едва на 1,97 млн. евро, като голяма част от тези плащания се дължи на изплатени аванси.</w:t>
            </w:r>
          </w:p>
          <w:p w:rsidR="00012A46" w:rsidRDefault="00836FCA">
            <w:pPr>
              <w:spacing w:before="240" w:after="240"/>
              <w:jc w:val="left"/>
              <w:rPr>
                <w:szCs w:val="24"/>
              </w:rPr>
            </w:pPr>
            <w:r>
              <w:rPr>
                <w:szCs w:val="24"/>
              </w:rPr>
              <w:t>Към края на 2023 г. действащите договори са 197 с обща договорена субсидия в размер на 56,8 млн. евро общо публични разходи. Извършените авансови, междинни и/или окончателни плащания са по 99 от тях, в размер на 27,3 млн. евро публични средства.</w:t>
            </w:r>
          </w:p>
          <w:p w:rsidR="00012A46" w:rsidRDefault="00836FCA">
            <w:pPr>
              <w:spacing w:before="240" w:after="240"/>
              <w:jc w:val="left"/>
              <w:rPr>
                <w:szCs w:val="24"/>
              </w:rPr>
            </w:pPr>
            <w:r>
              <w:rPr>
                <w:b/>
                <w:bCs/>
                <w:szCs w:val="24"/>
              </w:rPr>
              <w:t>Мярка 8 „Инвестиции в развитие на горските райони и подобряване на жизнеспособността на горите“</w:t>
            </w:r>
          </w:p>
          <w:p w:rsidR="00012A46" w:rsidRDefault="00836FCA">
            <w:pPr>
              <w:spacing w:before="240" w:after="240"/>
              <w:jc w:val="left"/>
              <w:rPr>
                <w:szCs w:val="24"/>
              </w:rPr>
            </w:pPr>
            <w:r>
              <w:rPr>
                <w:szCs w:val="24"/>
              </w:rPr>
              <w:t xml:space="preserve">Съгласно ПРСР 2014-2020 г., в рамките на мярка 8 са предвидени за подпомагане 5 подмерки, от </w:t>
            </w:r>
            <w:r>
              <w:rPr>
                <w:szCs w:val="24"/>
              </w:rPr>
              <w:lastRenderedPageBreak/>
              <w:t>които се прилагат 4 : Подмярка 8.1. “Залесяване и поддръжка”, Подмярка 8.3. “Предотвратяване на щети по горите от горски пожари, природни бедствия и катастрофични събития”, Подмярка 8.4. “Възстановяване на щети по горите от горски пожари, природни бедствия и катастрофични събития” и Подмярка 8.6. “Инвестиции в технологии за лесовъдство и в преработката, мобилизирането и търговията на горски продукти”.</w:t>
            </w:r>
          </w:p>
          <w:p w:rsidR="00012A46" w:rsidRDefault="00836FCA">
            <w:pPr>
              <w:spacing w:before="240" w:after="240"/>
              <w:jc w:val="left"/>
              <w:rPr>
                <w:szCs w:val="24"/>
              </w:rPr>
            </w:pPr>
            <w:r>
              <w:rPr>
                <w:szCs w:val="24"/>
              </w:rPr>
              <w:t>Подмярка 8.1. „Залесяване и поддръжка“ - Има за цел чрез залесяването да стимулира поглъщането и съхраняването на въглерода и опазване на почвите от ерозия. С увеличаването на лесистостта нарастват териториите, за които е доказано, че най-добре поглъщат и съхраняват въглерода - горите. Дейностите, които могат да дадат резултат са залесяване на изоставени земеделски земи, на голини в горските територии, ерозирали и застрашени от ерозия територии извън горските територии. Залесяването на земеделски земи също допринася за защита на териториите от природни бедствия,  за подобряване на водния баланс в подкрепените територии, за адаптирането към промените в климата и защита от ерозия.</w:t>
            </w:r>
          </w:p>
          <w:p w:rsidR="00012A46" w:rsidRDefault="00836FCA">
            <w:pPr>
              <w:spacing w:before="240" w:after="240"/>
              <w:jc w:val="left"/>
              <w:rPr>
                <w:szCs w:val="24"/>
              </w:rPr>
            </w:pPr>
            <w:r>
              <w:rPr>
                <w:szCs w:val="24"/>
              </w:rPr>
              <w:t>Подмярка 8.3. “Предотвратяване на щети по горите от горски пожари, природни бедствия и катастрофични събития” – Подпомагането по подмярката има за цел, чрез прилагане на различни превантивни мерки да се повлияе върху възникването на горски пожари и да даде възможност за тяхното навременно ограничаване и потушаване. Дейностите по нея оказват влияние и на други негативни събития, причинени от природни бедствия, болести и вредители. Инвестициите по тази подмярка ще спомогнат за опазване на горите, ще предотврати излъчването на въглероден диоксид в атмосферата, ще се подобри запазването на биологичното разнообразие, управлението на водите и почвите.</w:t>
            </w:r>
          </w:p>
          <w:p w:rsidR="00012A46" w:rsidRDefault="00836FCA">
            <w:pPr>
              <w:spacing w:before="240" w:after="240"/>
              <w:jc w:val="left"/>
              <w:rPr>
                <w:szCs w:val="24"/>
              </w:rPr>
            </w:pPr>
            <w:r>
              <w:rPr>
                <w:szCs w:val="24"/>
              </w:rPr>
              <w:t>Подмярка 8.4. “Възстановяване на щети по горите от горски пожари, природни бедствия и катастрофични събития” цели навременно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rsidR="00012A46" w:rsidRDefault="00836FCA">
            <w:pPr>
              <w:spacing w:before="240" w:after="240"/>
              <w:jc w:val="left"/>
              <w:rPr>
                <w:szCs w:val="24"/>
              </w:rPr>
            </w:pPr>
            <w:r>
              <w:rPr>
                <w:szCs w:val="24"/>
              </w:rPr>
              <w:t>Подмярка 8.6. “Инвестиции в технологии за лесовъдство и в преработката, мобилизирането и търговията на горски продукти” подпомагането има за цел да подобри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Подпомагането по подмярката е насочено към устойчивото управление на горите чрез извършването на сечи, с цел подобряване здравословното състояние на горите, възобновяване, запазване на генетичните ресурси, добив на дървесина, както и запазване и увеличаване на основните функции на горите.</w:t>
            </w:r>
          </w:p>
          <w:p w:rsidR="00012A46" w:rsidRDefault="00836FCA">
            <w:pPr>
              <w:spacing w:before="240" w:after="240"/>
              <w:jc w:val="left"/>
              <w:rPr>
                <w:szCs w:val="24"/>
              </w:rPr>
            </w:pPr>
            <w:r>
              <w:rPr>
                <w:b/>
                <w:bCs/>
                <w:szCs w:val="24"/>
              </w:rPr>
              <w:t>Подмярка 8.1 „Залесяване и поддръжка“</w:t>
            </w:r>
          </w:p>
          <w:p w:rsidR="00012A46" w:rsidRDefault="00836FCA">
            <w:pPr>
              <w:spacing w:before="240" w:after="240"/>
              <w:jc w:val="left"/>
              <w:rPr>
                <w:szCs w:val="24"/>
              </w:rPr>
            </w:pPr>
            <w:r>
              <w:rPr>
                <w:szCs w:val="24"/>
              </w:rPr>
              <w:t>Подпомагането е насочено към проекти, които допринасят за постигане на целите, към които е насочена подмярката, а именно увеличаване на лесистостта в равнинните райони, ограничаване  на ерозията, запазване на качеството на земите, подобряване на водния баланс и адаптиране към промените в климата.</w:t>
            </w:r>
          </w:p>
          <w:p w:rsidR="00012A46" w:rsidRDefault="00836FCA">
            <w:pPr>
              <w:spacing w:before="240" w:after="240"/>
              <w:jc w:val="left"/>
              <w:rPr>
                <w:szCs w:val="24"/>
              </w:rPr>
            </w:pPr>
            <w:r>
              <w:rPr>
                <w:szCs w:val="24"/>
              </w:rPr>
              <w:t xml:space="preserve">В съответствие с планираното изпълнение на ПРСР подкрепените проекти по подмярката следва да </w:t>
            </w:r>
            <w:r>
              <w:rPr>
                <w:szCs w:val="24"/>
              </w:rPr>
              <w:lastRenderedPageBreak/>
              <w:t>допринесат за постигане на ефект по отношение изпълнението на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 с поставени акценти в област 5Е „Стимулиране на поглъщането на въглерода в областта на селското и горското стопанство“.</w:t>
            </w:r>
          </w:p>
          <w:p w:rsidR="00012A46" w:rsidRDefault="00836FCA">
            <w:pPr>
              <w:spacing w:before="240" w:after="240"/>
              <w:jc w:val="left"/>
              <w:rPr>
                <w:szCs w:val="24"/>
              </w:rPr>
            </w:pPr>
            <w:r>
              <w:rPr>
                <w:szCs w:val="24"/>
              </w:rPr>
              <w:t>Ограничението, което налага Регламент (ЕС) № 1305, за площите собственост на публични органи да са допустими само разходите за залесяване се отразява значително на активността при кандидатстване. Към края на 2023 г. са налични два договора, на стойност около 0.1 млн. евро публични средства, за които няма извършени плащания, като сроковете за изпълнение са 2025 г. Има налични плащания от бюджета на подмярката на стойност около 0,6 млн. евро публични средства по 18 договора от ПРСР 2007-2013, приключили през този програмен период.</w:t>
            </w:r>
          </w:p>
          <w:p w:rsidR="00012A46" w:rsidRDefault="00836FCA">
            <w:pPr>
              <w:spacing w:before="240" w:after="240"/>
              <w:jc w:val="left"/>
              <w:rPr>
                <w:szCs w:val="24"/>
              </w:rPr>
            </w:pPr>
            <w:r>
              <w:rPr>
                <w:b/>
                <w:bCs/>
                <w:szCs w:val="24"/>
              </w:rPr>
              <w:t>Подмярка 8.3 „Предотвратяване на щети по горите от горски пожари, природни бедствия и катастрофични събития“</w:t>
            </w:r>
          </w:p>
          <w:p w:rsidR="00012A46" w:rsidRDefault="00836FCA">
            <w:pPr>
              <w:spacing w:before="240" w:after="240"/>
              <w:jc w:val="left"/>
              <w:rPr>
                <w:szCs w:val="24"/>
              </w:rPr>
            </w:pPr>
            <w:r>
              <w:rPr>
                <w:szCs w:val="24"/>
              </w:rPr>
              <w:t>Подпомагането по подмярка 8.3 „Предотвратяване на щети по горите от горски пожари, природни бедствия и катастрофични събития“ е насочено към въвеждане и подобряване на превантивни дейности за намаляване на опасността от горски пожари и за намаляване на опасността от вредители, болести, природни бедствия и катастрофични събития в горските територии.</w:t>
            </w:r>
          </w:p>
          <w:p w:rsidR="00012A46" w:rsidRDefault="00836FCA">
            <w:pPr>
              <w:spacing w:before="240" w:after="240"/>
              <w:jc w:val="left"/>
              <w:rPr>
                <w:szCs w:val="24"/>
              </w:rPr>
            </w:pPr>
            <w:r>
              <w:rPr>
                <w:szCs w:val="24"/>
              </w:rPr>
              <w:t>Подкрепените проекти по подмярката следва да допринесат за постигане на ефект по отношение изпълнението на Приоритет 4: „Възстановяване, опазване и укрепване на екосистемите, зависещи от селското и горското стопанство“ и области с поставен акцент 4А „Възстановяване и запазване на биологичното разнообразие, включително в зони по Натура 2000 и земеделие с висока природна стойност и състоянието на европейските природни дадености“, 4В „Подобряване управлението на водите“ и 4C „Подобряване управлението на почвите“.</w:t>
            </w:r>
          </w:p>
          <w:p w:rsidR="00012A46" w:rsidRDefault="00836FCA">
            <w:pPr>
              <w:spacing w:before="240" w:after="240"/>
              <w:jc w:val="left"/>
              <w:rPr>
                <w:szCs w:val="24"/>
              </w:rPr>
            </w:pPr>
            <w:r>
              <w:rPr>
                <w:szCs w:val="24"/>
              </w:rPr>
              <w:t>Към края на 2023 г. действащи са 21 договора за финансово подпомагане като размерът на одобрената субсидия възлиза в размер на 16,3 млн. евро публични средства. Договори са сключени с 13 общини като одобрената субсидия е в размер на 12 млн. евро. Шест от подписаните договори са с органите по управление и стопанисване на горите в България, като тяхната стойност в размер на 3,7 млн. евро субсидия, един от сключените договори е с местно поделение на вероизповеданията в размер на 0,2 млн. евро, а един проект е на частно юридическо лице и е в размер на 0,7 млн. евро.</w:t>
            </w:r>
          </w:p>
          <w:p w:rsidR="00012A46" w:rsidRDefault="00836FCA">
            <w:pPr>
              <w:spacing w:before="240" w:after="240"/>
              <w:jc w:val="left"/>
              <w:rPr>
                <w:szCs w:val="24"/>
              </w:rPr>
            </w:pPr>
            <w:r>
              <w:rPr>
                <w:szCs w:val="24"/>
              </w:rPr>
              <w:t>Към 31.12.2023 г. по подмярката са изплатени 11,8 млн. евро, като изплатената сума по окончателно приключените проекти е в размер на 9,9 млн. евро. </w:t>
            </w:r>
          </w:p>
          <w:p w:rsidR="00012A46" w:rsidRDefault="00836FCA">
            <w:pPr>
              <w:spacing w:before="240" w:after="240"/>
              <w:jc w:val="left"/>
              <w:rPr>
                <w:szCs w:val="24"/>
              </w:rPr>
            </w:pPr>
            <w:r>
              <w:rPr>
                <w:b/>
                <w:bCs/>
                <w:szCs w:val="24"/>
              </w:rPr>
              <w:t>Подмярка 8.4 „Възстановяване на щети по горите от горски пожари, природни бедствия и катастрофични събития“</w:t>
            </w:r>
          </w:p>
          <w:p w:rsidR="00012A46" w:rsidRDefault="00836FCA">
            <w:pPr>
              <w:spacing w:before="240" w:after="240"/>
              <w:jc w:val="left"/>
              <w:rPr>
                <w:szCs w:val="24"/>
              </w:rPr>
            </w:pPr>
            <w:r>
              <w:rPr>
                <w:szCs w:val="24"/>
              </w:rPr>
              <w:t>Подпомагането по подмярка 8.4 „Възстановяване на щети по горите от горски пожари, природни бедствия и катастрофични събития“ е насочено към възстановяване на горите, пострадали от горски пожари, природни бедствия, катастрофични събития, болести и вредители, както и защита на околната среда и адаптиране към промените в климата.</w:t>
            </w:r>
          </w:p>
          <w:p w:rsidR="00012A46" w:rsidRDefault="00836FCA">
            <w:pPr>
              <w:spacing w:before="240" w:after="240"/>
              <w:jc w:val="left"/>
              <w:rPr>
                <w:szCs w:val="24"/>
              </w:rPr>
            </w:pPr>
            <w:r>
              <w:rPr>
                <w:szCs w:val="24"/>
              </w:rPr>
              <w:t xml:space="preserve">Подкрепените проекти по подмярката следва да допринесат за постигане на ефект по отношение изпълнението на 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 и област с поставен акцент 5Е „Стимулиране на </w:t>
            </w:r>
            <w:r>
              <w:rPr>
                <w:szCs w:val="24"/>
              </w:rPr>
              <w:lastRenderedPageBreak/>
              <w:t>поглъщането на въглерода в областта на селското и горското стопанство“.</w:t>
            </w:r>
          </w:p>
          <w:p w:rsidR="00012A46" w:rsidRDefault="00836FCA">
            <w:pPr>
              <w:spacing w:before="240" w:after="240"/>
              <w:jc w:val="left"/>
              <w:rPr>
                <w:szCs w:val="24"/>
              </w:rPr>
            </w:pPr>
            <w:r>
              <w:rPr>
                <w:szCs w:val="24"/>
              </w:rPr>
              <w:t>Към края на 2023 г. действащите договори за финансово подпомагане са 8, като одобрената субсидия възлиза в размер на около 2 млн. евро публични средства. Договори са сключени с 5 общини, като одобрената субсидия е в размер на 0,5 млн. евро. Три от подписаните договори са с държавни предприятия, като тяхната стойност в размер на 1,5 млн. евро.</w:t>
            </w:r>
          </w:p>
          <w:p w:rsidR="00012A46" w:rsidRDefault="00836FCA">
            <w:pPr>
              <w:spacing w:before="240" w:after="240"/>
              <w:jc w:val="left"/>
              <w:rPr>
                <w:szCs w:val="24"/>
              </w:rPr>
            </w:pPr>
            <w:r>
              <w:rPr>
                <w:szCs w:val="24"/>
              </w:rPr>
              <w:t>Към 31.12.2023 г. са извършени само авансови плащания в размер на 1,3 млн. евро. публични средства.</w:t>
            </w:r>
          </w:p>
          <w:p w:rsidR="00012A46" w:rsidRDefault="00836FCA">
            <w:pPr>
              <w:spacing w:before="240" w:after="240"/>
              <w:jc w:val="left"/>
              <w:rPr>
                <w:szCs w:val="24"/>
              </w:rPr>
            </w:pPr>
            <w:r>
              <w:rPr>
                <w:b/>
                <w:bCs/>
                <w:szCs w:val="24"/>
              </w:rPr>
              <w:t>Подмярка 8.6 „Инвестиции в технологии за лесовъдство и в преработката, мобилизирането и търговията с горски продукти“</w:t>
            </w:r>
          </w:p>
          <w:p w:rsidR="00012A46" w:rsidRDefault="00836FCA">
            <w:pPr>
              <w:spacing w:before="240" w:after="240"/>
              <w:jc w:val="left"/>
              <w:rPr>
                <w:szCs w:val="24"/>
              </w:rPr>
            </w:pPr>
            <w:r>
              <w:rPr>
                <w:szCs w:val="24"/>
              </w:rPr>
              <w:t>Подпомагането по подмярка 8.6 „Инвестиции в технологии за лесовъдство и в преработката, мобилизирането и търговията с горски продукти“ е насочено към подобряване на конкурентоспособността и създаването на нови работни места, чрез насърчаване преработката и подобряване маркетинга на горските продукти, както и подобряване състоянието на горите, тяхното опазване и устойчиво стопанисване.</w:t>
            </w:r>
          </w:p>
          <w:p w:rsidR="00012A46" w:rsidRDefault="00836FCA">
            <w:pPr>
              <w:spacing w:before="240" w:after="240"/>
              <w:jc w:val="left"/>
              <w:rPr>
                <w:szCs w:val="24"/>
              </w:rPr>
            </w:pPr>
            <w:r>
              <w:rPr>
                <w:szCs w:val="24"/>
              </w:rPr>
              <w:t>Подкрепените проекти по подмярката следва да допринесат за постигане на ефект по отношение изпълнението на ПРСР по области с поставен акцент 2С+ „Подобряване на икономическите резултати на фирмите в горското стопанство, дърводобива и първичната преработка на дървесина“.</w:t>
            </w:r>
          </w:p>
          <w:p w:rsidR="00012A46" w:rsidRDefault="00836FCA">
            <w:pPr>
              <w:spacing w:before="240" w:after="240"/>
              <w:jc w:val="left"/>
              <w:rPr>
                <w:szCs w:val="24"/>
              </w:rPr>
            </w:pPr>
            <w:r>
              <w:rPr>
                <w:szCs w:val="24"/>
              </w:rPr>
              <w:t>Към края на 2023 г. са налични 51 действащи договора с размер на одобрената субсидия възлизащ на 10,8 млн. евро. В края на оценявания период успешно са приключили 19 проектни предложения, като по тях се извършени окончателни плащания в размер на 3,7 млн. евро, които са и всички извършени плащания по подмярката.</w:t>
            </w:r>
          </w:p>
          <w:p w:rsidR="00012A46" w:rsidRPr="002130A1" w:rsidRDefault="00836FCA">
            <w:pPr>
              <w:spacing w:before="240" w:after="240"/>
              <w:jc w:val="left"/>
              <w:rPr>
                <w:szCs w:val="24"/>
                <w:lang w:val="bg-BG"/>
              </w:rPr>
            </w:pPr>
            <w:r>
              <w:rPr>
                <w:b/>
                <w:bCs/>
                <w:szCs w:val="24"/>
              </w:rPr>
              <w:t xml:space="preserve">Мярка 9 </w:t>
            </w:r>
            <w:r w:rsidR="002130A1">
              <w:rPr>
                <w:b/>
                <w:bCs/>
                <w:szCs w:val="24"/>
                <w:lang w:val="bg-BG"/>
              </w:rPr>
              <w:t>„</w:t>
            </w:r>
            <w:r>
              <w:rPr>
                <w:b/>
                <w:bCs/>
                <w:szCs w:val="24"/>
              </w:rPr>
              <w:t>Учредяване на групи и организации на производителите</w:t>
            </w:r>
            <w:r w:rsidR="002130A1">
              <w:rPr>
                <w:b/>
                <w:bCs/>
                <w:szCs w:val="24"/>
                <w:lang w:val="bg-BG"/>
              </w:rPr>
              <w:t>“</w:t>
            </w:r>
          </w:p>
          <w:p w:rsidR="00012A46" w:rsidRDefault="00836FCA">
            <w:pPr>
              <w:spacing w:before="240" w:after="240"/>
              <w:jc w:val="left"/>
              <w:rPr>
                <w:szCs w:val="24"/>
              </w:rPr>
            </w:pPr>
            <w:r>
              <w:rPr>
                <w:szCs w:val="24"/>
              </w:rPr>
              <w:t>Подпомагането по мярка 9 „Учредяване на групи и организации на производителите</w:t>
            </w:r>
            <w:proofErr w:type="gramStart"/>
            <w:r>
              <w:rPr>
                <w:szCs w:val="24"/>
              </w:rPr>
              <w:t>“ е</w:t>
            </w:r>
            <w:proofErr w:type="gramEnd"/>
            <w:r>
              <w:rPr>
                <w:szCs w:val="24"/>
              </w:rPr>
              <w:t xml:space="preserve"> насочено към учредяване на групи и организации на производители в земеделския сектор.</w:t>
            </w:r>
          </w:p>
          <w:p w:rsidR="00012A46" w:rsidRDefault="00836FCA">
            <w:pPr>
              <w:spacing w:before="240" w:after="240"/>
              <w:jc w:val="left"/>
              <w:rPr>
                <w:szCs w:val="24"/>
              </w:rPr>
            </w:pPr>
            <w:r>
              <w:rPr>
                <w:szCs w:val="24"/>
              </w:rPr>
              <w:t>Подкрепените проекти по подмярката допринасят за постигане на ефект по отношение изпълнението на ПРСР по области с поставен акцент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sidR="00012A46" w:rsidRDefault="00836FCA">
            <w:pPr>
              <w:spacing w:before="240" w:after="240"/>
              <w:jc w:val="left"/>
              <w:rPr>
                <w:szCs w:val="24"/>
              </w:rPr>
            </w:pPr>
            <w:r>
              <w:rPr>
                <w:szCs w:val="24"/>
              </w:rPr>
              <w:t>Към 31.12.2023 г. действащите договори са 19 с общ размер на одобрената субсидия 6,1 млн. евро. Размерът на изплатените публични средства към края на 2023 г. по подмярка е в размер на 4,3 млн. евро.</w:t>
            </w:r>
          </w:p>
          <w:p w:rsidR="00012A46" w:rsidRDefault="00836FCA">
            <w:pPr>
              <w:spacing w:before="240" w:after="240"/>
              <w:jc w:val="left"/>
              <w:rPr>
                <w:szCs w:val="24"/>
              </w:rPr>
            </w:pPr>
            <w:r>
              <w:rPr>
                <w:szCs w:val="24"/>
              </w:rPr>
              <w:t>Към края на 202</w:t>
            </w:r>
            <w:r w:rsidR="00433748">
              <w:rPr>
                <w:szCs w:val="24"/>
                <w:lang w:val="bg-BG"/>
              </w:rPr>
              <w:t>2</w:t>
            </w:r>
            <w:r>
              <w:rPr>
                <w:szCs w:val="24"/>
              </w:rPr>
              <w:t xml:space="preserve"> г. при 27 действащи договора, чрез подмярката са подпомогнати общо 469 регистрирани членове на групи и организации на производители, като след изтичането/прекратяването на част от договорите, към края на 2023 г. подпомогнатите регистрирани членове на групи и организации на производители са 339.</w:t>
            </w:r>
          </w:p>
          <w:p w:rsidR="00012A46" w:rsidRDefault="00836FCA">
            <w:pPr>
              <w:spacing w:before="240" w:after="240"/>
              <w:jc w:val="left"/>
              <w:rPr>
                <w:szCs w:val="24"/>
              </w:rPr>
            </w:pPr>
            <w:r>
              <w:rPr>
                <w:b/>
                <w:bCs/>
                <w:szCs w:val="24"/>
              </w:rPr>
              <w:t xml:space="preserve">Приеми по мерки и подмерки от ПРСР 2014-2020,  свързани с плащане на площ и подпомагане </w:t>
            </w:r>
            <w:r>
              <w:rPr>
                <w:b/>
                <w:bCs/>
                <w:szCs w:val="24"/>
              </w:rPr>
              <w:lastRenderedPageBreak/>
              <w:t>на животинска единица</w:t>
            </w:r>
          </w:p>
          <w:p w:rsidR="00012A46" w:rsidRDefault="00836FCA">
            <w:pPr>
              <w:spacing w:before="240" w:after="240"/>
              <w:jc w:val="left"/>
              <w:rPr>
                <w:szCs w:val="24"/>
              </w:rPr>
            </w:pPr>
            <w:r>
              <w:rPr>
                <w:szCs w:val="24"/>
              </w:rPr>
              <w:t>В периода 01.01.2015 г. до 31.12.2023 г. в рамките на годишните кампании по директни плащания се прилагат мерки и подмерки от Програмата, основно свързани с плащане на площ, т.нар. „ИСАК базирани“, както и две извънредни мерки с компенсаторен характер:</w:t>
            </w:r>
          </w:p>
          <w:p w:rsidR="00012A46" w:rsidRDefault="00836FCA">
            <w:pPr>
              <w:spacing w:before="240" w:after="240"/>
              <w:jc w:val="left"/>
              <w:rPr>
                <w:szCs w:val="24"/>
              </w:rPr>
            </w:pPr>
            <w:r>
              <w:rPr>
                <w:szCs w:val="24"/>
              </w:rPr>
              <w:t>- Мярка 10 „Агроекология и климат“,</w:t>
            </w:r>
          </w:p>
          <w:p w:rsidR="00012A46" w:rsidRDefault="00836FCA">
            <w:pPr>
              <w:spacing w:before="240" w:after="240"/>
              <w:jc w:val="left"/>
              <w:rPr>
                <w:szCs w:val="24"/>
              </w:rPr>
            </w:pPr>
            <w:r>
              <w:rPr>
                <w:szCs w:val="24"/>
              </w:rPr>
              <w:t>- Мярка 11 „Биологично земеделие“,</w:t>
            </w:r>
          </w:p>
          <w:p w:rsidR="00012A46" w:rsidRDefault="00836FCA">
            <w:pPr>
              <w:spacing w:before="240" w:after="240"/>
              <w:jc w:val="left"/>
              <w:rPr>
                <w:szCs w:val="24"/>
              </w:rPr>
            </w:pPr>
            <w:r>
              <w:rPr>
                <w:szCs w:val="24"/>
              </w:rPr>
              <w:t>- Мярка 12 „Плащания по „Натура-2000” и Рамковата директива за водите“,</w:t>
            </w:r>
          </w:p>
          <w:p w:rsidR="00012A46" w:rsidRDefault="00836FCA">
            <w:pPr>
              <w:spacing w:before="240" w:after="240"/>
              <w:jc w:val="left"/>
              <w:rPr>
                <w:szCs w:val="24"/>
              </w:rPr>
            </w:pPr>
            <w:r>
              <w:rPr>
                <w:szCs w:val="24"/>
              </w:rPr>
              <w:t>- Мярка 13 „Плащания за райони, изправени пред природни или други специфични ограничения“,</w:t>
            </w:r>
          </w:p>
          <w:p w:rsidR="00012A46" w:rsidRDefault="00836FCA">
            <w:pPr>
              <w:spacing w:before="240" w:after="240"/>
              <w:jc w:val="left"/>
              <w:rPr>
                <w:szCs w:val="24"/>
              </w:rPr>
            </w:pPr>
            <w:r>
              <w:rPr>
                <w:szCs w:val="24"/>
              </w:rPr>
              <w:t>- Мярка 14 „Хуманно отношение към животните",</w:t>
            </w:r>
          </w:p>
          <w:p w:rsidR="00012A46" w:rsidRDefault="00836FCA">
            <w:pPr>
              <w:spacing w:before="240" w:after="240"/>
              <w:jc w:val="left"/>
              <w:rPr>
                <w:szCs w:val="24"/>
              </w:rPr>
            </w:pPr>
            <w:r>
              <w:rPr>
                <w:szCs w:val="24"/>
              </w:rPr>
              <w:t>- Мярка 21 „Извънредно временно подпомагане за земеделските стопани и МСП, които са особено засегнати от извънредното положение във връзка с COVID-19“</w:t>
            </w:r>
          </w:p>
          <w:p w:rsidR="00012A46" w:rsidRDefault="00836FCA">
            <w:pPr>
              <w:spacing w:before="240" w:after="240"/>
              <w:jc w:val="left"/>
              <w:rPr>
                <w:szCs w:val="24"/>
              </w:rPr>
            </w:pPr>
            <w:r>
              <w:rPr>
                <w:szCs w:val="24"/>
              </w:rPr>
              <w:t> - Мярка 22 „Изключителна временна подкрепа за земеделски стопани и МСП, особено засегнати от въздействието на нахлуването на Русия в Украйна“</w:t>
            </w:r>
          </w:p>
          <w:p w:rsidR="00012A46" w:rsidRDefault="00836FCA">
            <w:pPr>
              <w:spacing w:before="240" w:after="240"/>
              <w:jc w:val="left"/>
              <w:rPr>
                <w:szCs w:val="24"/>
              </w:rPr>
            </w:pPr>
            <w:r>
              <w:rPr>
                <w:szCs w:val="24"/>
              </w:rPr>
              <w:t>През 2023 календарна година, по мерките с плащане на площ и животни са изплащани одобрените заявления от кампания 2022 и 2023, с изключение на Мярка 12, Мярка 13, и Мярка 21.</w:t>
            </w:r>
          </w:p>
          <w:p w:rsidR="00012A46" w:rsidRDefault="00836FCA">
            <w:pPr>
              <w:spacing w:before="240" w:after="240"/>
              <w:jc w:val="left"/>
              <w:rPr>
                <w:szCs w:val="24"/>
              </w:rPr>
            </w:pPr>
            <w:r>
              <w:rPr>
                <w:szCs w:val="24"/>
              </w:rPr>
              <w:t>С цел да осигури прозрачност в дейността си, ДФЗ публикува информация за схемите и мерките, които администрира, както и указания за тяхното прилагане на официалната си интернет страница www.dfz.bg.</w:t>
            </w:r>
          </w:p>
          <w:p w:rsidR="00012A46" w:rsidRDefault="00836FCA">
            <w:pPr>
              <w:spacing w:before="240" w:after="240"/>
              <w:jc w:val="left"/>
              <w:rPr>
                <w:szCs w:val="24"/>
              </w:rPr>
            </w:pPr>
            <w:r>
              <w:rPr>
                <w:szCs w:val="24"/>
              </w:rPr>
              <w:t>Разработената система за индивидуална справка по заявленията на бенефициентите, е развита, като в Системата за електронни услуги (СЕУ) на ДФЗ се включват данни по мeрки 10 и 11 от ПРСР 2014-2020, където бенефициентите могат да получават информация по данните от подадените заявления за подпомагане, а също така и данни от различни външни институции.</w:t>
            </w:r>
          </w:p>
          <w:p w:rsidR="00012A46" w:rsidRDefault="00836FCA">
            <w:pPr>
              <w:spacing w:before="240" w:after="240"/>
              <w:jc w:val="left"/>
              <w:rPr>
                <w:szCs w:val="24"/>
              </w:rPr>
            </w:pPr>
            <w:r>
              <w:rPr>
                <w:szCs w:val="24"/>
              </w:rPr>
              <w:t>За процеса на подаване на заявления за плащане в ДФЗ са разработени голям брой насочващи предупреждения на база предварителни проверки на заявените данни, за да се редуцират потенциалните грешките от страна на бенефициентите. Чрез данни, които се предоставят от външни институции е осигурен ефективен контрол на спазването на ангажиментите и се отразяват резултати от извършените проверки от компетентните органи и институции.</w:t>
            </w:r>
          </w:p>
          <w:p w:rsidR="00012A46" w:rsidRDefault="00836FCA">
            <w:pPr>
              <w:spacing w:before="240" w:after="240"/>
              <w:jc w:val="left"/>
              <w:rPr>
                <w:szCs w:val="24"/>
              </w:rPr>
            </w:pPr>
            <w:r>
              <w:rPr>
                <w:szCs w:val="24"/>
              </w:rPr>
              <w:t>Към 31.12.2023 г. по мерките с плащане на площ като цяло е завършен процесът по одобряване и изплащане на заявените през 2022 г. ангажименти (кампания 2022), като в допълнение, както и обра</w:t>
            </w:r>
            <w:r>
              <w:rPr>
                <w:szCs w:val="24"/>
                <w:lang w:val="bg-BG"/>
              </w:rPr>
              <w:t>бо</w:t>
            </w:r>
            <w:r>
              <w:rPr>
                <w:szCs w:val="24"/>
              </w:rPr>
              <w:t>тените заявления</w:t>
            </w:r>
            <w:r>
              <w:rPr>
                <w:szCs w:val="24"/>
                <w:lang w:val="bg-BG"/>
              </w:rPr>
              <w:t xml:space="preserve"> </w:t>
            </w:r>
            <w:r>
              <w:rPr>
                <w:szCs w:val="24"/>
              </w:rPr>
              <w:t>по Мярка 12 и Мярка 13</w:t>
            </w:r>
            <w:r>
              <w:rPr>
                <w:szCs w:val="24"/>
                <w:lang w:val="bg-BG"/>
              </w:rPr>
              <w:t xml:space="preserve"> </w:t>
            </w:r>
            <w:r>
              <w:rPr>
                <w:szCs w:val="24"/>
              </w:rPr>
              <w:t>от кампания 2022.</w:t>
            </w:r>
          </w:p>
          <w:p w:rsidR="00012A46" w:rsidRDefault="00836FCA">
            <w:pPr>
              <w:spacing w:before="240" w:after="240"/>
              <w:jc w:val="left"/>
              <w:rPr>
                <w:szCs w:val="24"/>
              </w:rPr>
            </w:pPr>
            <w:r>
              <w:rPr>
                <w:szCs w:val="24"/>
              </w:rPr>
              <w:t>Поради годишния характер на прилагането на мерките и приключването на ангажиментите (респ. много по- малко подпомогнати площи за конкретна кампания) на годишна база през последните 2 години, в таблиците, относими към постигане на цели (напр. таблица Г „Напредък към постигане на целите –реализирани целеви стойности“) са въвеждани най-високите стойности на подпомагнати площи от всички кампании – обикновено кампании 2018, 2019, или 2020.</w:t>
            </w:r>
          </w:p>
          <w:p w:rsidR="00012A46" w:rsidRDefault="00836FCA">
            <w:pPr>
              <w:spacing w:before="240" w:after="240"/>
              <w:jc w:val="left"/>
              <w:rPr>
                <w:szCs w:val="24"/>
              </w:rPr>
            </w:pPr>
            <w:r>
              <w:rPr>
                <w:szCs w:val="24"/>
              </w:rPr>
              <w:t xml:space="preserve">В Таблица № 1, по-долу, са представени разплатените суми по години, по мерките с плащане на </w:t>
            </w:r>
            <w:r>
              <w:rPr>
                <w:szCs w:val="24"/>
              </w:rPr>
              <w:lastRenderedPageBreak/>
              <w:t>площ и животни:</w:t>
            </w:r>
          </w:p>
          <w:p w:rsidR="00012A46" w:rsidRDefault="00836FCA">
            <w:pPr>
              <w:spacing w:before="240" w:after="240"/>
              <w:jc w:val="left"/>
              <w:rPr>
                <w:szCs w:val="24"/>
              </w:rPr>
            </w:pPr>
            <w:r>
              <w:rPr>
                <w:i/>
                <w:iCs/>
                <w:szCs w:val="24"/>
              </w:rPr>
              <w:t>Таблица 1 „Разплатени средства по години за мерките с плащане на площ и животни“</w:t>
            </w:r>
          </w:p>
          <w:tbl>
            <w:tblPr>
              <w:tblStyle w:val="Table"/>
              <w:tblW w:w="976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firstRow="1" w:lastRow="1" w:firstColumn="1" w:lastColumn="1" w:noHBand="0" w:noVBand="1"/>
            </w:tblPr>
            <w:tblGrid>
              <w:gridCol w:w="1213"/>
              <w:gridCol w:w="2223"/>
              <w:gridCol w:w="2162"/>
              <w:gridCol w:w="2112"/>
              <w:gridCol w:w="2050"/>
            </w:tblGrid>
            <w:tr w:rsidR="00012A46">
              <w:trPr>
                <w:trHeight w:val="1425"/>
              </w:trPr>
              <w:tc>
                <w:tcPr>
                  <w:tcW w:w="1268" w:type="dxa"/>
                  <w:tcBorders>
                    <w:bottom w:val="inset" w:sz="6" w:space="0" w:color="808080"/>
                    <w:right w:val="inset" w:sz="6" w:space="0" w:color="808080"/>
                  </w:tcBorders>
                  <w:tcMar>
                    <w:top w:w="25"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Мярка</w:t>
                  </w:r>
                </w:p>
              </w:tc>
              <w:tc>
                <w:tcPr>
                  <w:tcW w:w="2345" w:type="dxa"/>
                  <w:tcBorders>
                    <w:left w:val="inset" w:sz="6" w:space="0" w:color="808080"/>
                    <w:bottom w:val="inset" w:sz="6" w:space="0" w:color="808080"/>
                    <w:right w:val="inset" w:sz="6" w:space="0" w:color="808080"/>
                  </w:tcBorders>
                  <w:tcMar>
                    <w:top w:w="25"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Бюджет на мярката 2014-2020, млн. евро публични средства, към 31.12.2023 (16то изм.)</w:t>
                  </w:r>
                </w:p>
              </w:tc>
              <w:tc>
                <w:tcPr>
                  <w:tcW w:w="2265" w:type="dxa"/>
                  <w:tcBorders>
                    <w:left w:val="inset" w:sz="6" w:space="0" w:color="808080"/>
                    <w:bottom w:val="inset" w:sz="6" w:space="0" w:color="808080"/>
                    <w:right w:val="inset" w:sz="6" w:space="0" w:color="808080"/>
                  </w:tcBorders>
                  <w:tcMar>
                    <w:top w:w="25"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Платени  за календарна 2016 - 2022 г., млн. евро публични средства</w:t>
                  </w:r>
                </w:p>
              </w:tc>
              <w:tc>
                <w:tcPr>
                  <w:tcW w:w="2210" w:type="dxa"/>
                  <w:tcBorders>
                    <w:left w:val="inset" w:sz="6" w:space="0" w:color="808080"/>
                    <w:bottom w:val="inset" w:sz="6" w:space="0" w:color="808080"/>
                    <w:right w:val="inset" w:sz="6" w:space="0" w:color="808080"/>
                  </w:tcBorders>
                  <w:tcMar>
                    <w:top w:w="25"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Платени  за календарна 2023 г.,  млн. евро публични средства</w:t>
                  </w:r>
                </w:p>
              </w:tc>
              <w:tc>
                <w:tcPr>
                  <w:tcW w:w="1922" w:type="dxa"/>
                  <w:tcBorders>
                    <w:left w:val="inset" w:sz="6" w:space="0" w:color="808080"/>
                    <w:bottom w:val="inset" w:sz="6" w:space="0" w:color="808080"/>
                  </w:tcBorders>
                  <w:tcMar>
                    <w:top w:w="25"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Платени общо  млн. евро, публични  средства към 31.12.2023 г.</w:t>
                  </w:r>
                </w:p>
              </w:tc>
            </w:tr>
            <w:tr w:rsidR="00012A46">
              <w:trPr>
                <w:trHeight w:val="285"/>
              </w:trPr>
              <w:tc>
                <w:tcPr>
                  <w:tcW w:w="1268" w:type="dxa"/>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М10</w:t>
                  </w:r>
                </w:p>
              </w:tc>
              <w:tc>
                <w:tcPr>
                  <w:tcW w:w="234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273.1</w:t>
                  </w:r>
                </w:p>
              </w:tc>
              <w:tc>
                <w:tcPr>
                  <w:tcW w:w="226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215.5</w:t>
                  </w:r>
                </w:p>
              </w:tc>
              <w:tc>
                <w:tcPr>
                  <w:tcW w:w="2210"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38.0</w:t>
                  </w:r>
                </w:p>
              </w:tc>
              <w:tc>
                <w:tcPr>
                  <w:tcW w:w="1922" w:type="dxa"/>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253.5</w:t>
                  </w:r>
                </w:p>
              </w:tc>
            </w:tr>
            <w:tr w:rsidR="00012A46">
              <w:trPr>
                <w:trHeight w:val="285"/>
              </w:trPr>
              <w:tc>
                <w:tcPr>
                  <w:tcW w:w="1268" w:type="dxa"/>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М11</w:t>
                  </w:r>
                </w:p>
              </w:tc>
              <w:tc>
                <w:tcPr>
                  <w:tcW w:w="234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213.9</w:t>
                  </w:r>
                </w:p>
              </w:tc>
              <w:tc>
                <w:tcPr>
                  <w:tcW w:w="226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168.8</w:t>
                  </w:r>
                </w:p>
              </w:tc>
              <w:tc>
                <w:tcPr>
                  <w:tcW w:w="2210"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33.1</w:t>
                  </w:r>
                </w:p>
              </w:tc>
              <w:tc>
                <w:tcPr>
                  <w:tcW w:w="1922" w:type="dxa"/>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201.9</w:t>
                  </w:r>
                </w:p>
              </w:tc>
            </w:tr>
            <w:tr w:rsidR="00012A46">
              <w:trPr>
                <w:trHeight w:val="285"/>
              </w:trPr>
              <w:tc>
                <w:tcPr>
                  <w:tcW w:w="1268" w:type="dxa"/>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М12</w:t>
                  </w:r>
                </w:p>
              </w:tc>
              <w:tc>
                <w:tcPr>
                  <w:tcW w:w="234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198.3</w:t>
                  </w:r>
                </w:p>
              </w:tc>
              <w:tc>
                <w:tcPr>
                  <w:tcW w:w="226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198.0</w:t>
                  </w:r>
                </w:p>
              </w:tc>
              <w:tc>
                <w:tcPr>
                  <w:tcW w:w="2210"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0.2</w:t>
                  </w:r>
                </w:p>
              </w:tc>
              <w:tc>
                <w:tcPr>
                  <w:tcW w:w="1922" w:type="dxa"/>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198.1</w:t>
                  </w:r>
                </w:p>
              </w:tc>
            </w:tr>
            <w:tr w:rsidR="00012A46">
              <w:trPr>
                <w:trHeight w:val="285"/>
              </w:trPr>
              <w:tc>
                <w:tcPr>
                  <w:tcW w:w="1268" w:type="dxa"/>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М13</w:t>
                  </w:r>
                </w:p>
              </w:tc>
              <w:tc>
                <w:tcPr>
                  <w:tcW w:w="234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383.8</w:t>
                  </w:r>
                </w:p>
              </w:tc>
              <w:tc>
                <w:tcPr>
                  <w:tcW w:w="226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382.7</w:t>
                  </w:r>
                </w:p>
              </w:tc>
              <w:tc>
                <w:tcPr>
                  <w:tcW w:w="2210"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0.8</w:t>
                  </w:r>
                </w:p>
              </w:tc>
              <w:tc>
                <w:tcPr>
                  <w:tcW w:w="1922" w:type="dxa"/>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383.5</w:t>
                  </w:r>
                </w:p>
              </w:tc>
            </w:tr>
            <w:tr w:rsidR="00012A46">
              <w:trPr>
                <w:trHeight w:val="285"/>
              </w:trPr>
              <w:tc>
                <w:tcPr>
                  <w:tcW w:w="1268" w:type="dxa"/>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M14</w:t>
                  </w:r>
                </w:p>
              </w:tc>
              <w:tc>
                <w:tcPr>
                  <w:tcW w:w="234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22.3</w:t>
                  </w:r>
                </w:p>
              </w:tc>
              <w:tc>
                <w:tcPr>
                  <w:tcW w:w="226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16.1</w:t>
                  </w:r>
                </w:p>
              </w:tc>
              <w:tc>
                <w:tcPr>
                  <w:tcW w:w="2210"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6.3</w:t>
                  </w:r>
                </w:p>
              </w:tc>
              <w:tc>
                <w:tcPr>
                  <w:tcW w:w="1922" w:type="dxa"/>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22.4</w:t>
                  </w:r>
                </w:p>
              </w:tc>
            </w:tr>
            <w:tr w:rsidR="00012A46">
              <w:trPr>
                <w:trHeight w:val="285"/>
              </w:trPr>
              <w:tc>
                <w:tcPr>
                  <w:tcW w:w="1268" w:type="dxa"/>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M21</w:t>
                  </w:r>
                </w:p>
              </w:tc>
              <w:tc>
                <w:tcPr>
                  <w:tcW w:w="234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42.1</w:t>
                  </w:r>
                </w:p>
              </w:tc>
              <w:tc>
                <w:tcPr>
                  <w:tcW w:w="226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42.1</w:t>
                  </w:r>
                </w:p>
              </w:tc>
              <w:tc>
                <w:tcPr>
                  <w:tcW w:w="2210"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0.0</w:t>
                  </w:r>
                </w:p>
              </w:tc>
              <w:tc>
                <w:tcPr>
                  <w:tcW w:w="1922" w:type="dxa"/>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42.1</w:t>
                  </w:r>
                </w:p>
              </w:tc>
            </w:tr>
            <w:tr w:rsidR="00012A46">
              <w:trPr>
                <w:trHeight w:val="285"/>
              </w:trPr>
              <w:tc>
                <w:tcPr>
                  <w:tcW w:w="1268" w:type="dxa"/>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012A46" w:rsidRDefault="00836FCA">
                  <w:pPr>
                    <w:spacing w:before="0" w:after="0"/>
                    <w:jc w:val="left"/>
                    <w:rPr>
                      <w:color w:val="000000"/>
                      <w:szCs w:val="24"/>
                    </w:rPr>
                  </w:pPr>
                  <w:r>
                    <w:rPr>
                      <w:color w:val="000000"/>
                      <w:szCs w:val="24"/>
                    </w:rPr>
                    <w:t>М22</w:t>
                  </w:r>
                </w:p>
              </w:tc>
              <w:tc>
                <w:tcPr>
                  <w:tcW w:w="234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33.0</w:t>
                  </w:r>
                </w:p>
              </w:tc>
              <w:tc>
                <w:tcPr>
                  <w:tcW w:w="226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23.3</w:t>
                  </w:r>
                </w:p>
              </w:tc>
              <w:tc>
                <w:tcPr>
                  <w:tcW w:w="2210"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012A46" w:rsidRDefault="00836FCA">
                  <w:pPr>
                    <w:spacing w:before="0" w:after="0"/>
                    <w:jc w:val="left"/>
                    <w:rPr>
                      <w:color w:val="000000"/>
                      <w:szCs w:val="24"/>
                    </w:rPr>
                  </w:pPr>
                  <w:r>
                    <w:rPr>
                      <w:color w:val="000000"/>
                      <w:szCs w:val="24"/>
                    </w:rPr>
                    <w:t>8.6</w:t>
                  </w:r>
                </w:p>
              </w:tc>
              <w:tc>
                <w:tcPr>
                  <w:tcW w:w="1922" w:type="dxa"/>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012A46" w:rsidRDefault="00836FCA">
                  <w:pPr>
                    <w:spacing w:before="0" w:after="0"/>
                    <w:jc w:val="left"/>
                    <w:rPr>
                      <w:color w:val="000000"/>
                      <w:szCs w:val="24"/>
                    </w:rPr>
                  </w:pPr>
                  <w:r>
                    <w:rPr>
                      <w:color w:val="000000"/>
                      <w:szCs w:val="24"/>
                    </w:rPr>
                    <w:t>31.9</w:t>
                  </w:r>
                </w:p>
              </w:tc>
            </w:tr>
            <w:tr w:rsidR="00012A46">
              <w:trPr>
                <w:trHeight w:val="285"/>
              </w:trPr>
              <w:tc>
                <w:tcPr>
                  <w:tcW w:w="1268" w:type="dxa"/>
                  <w:tcBorders>
                    <w:top w:val="inset" w:sz="6" w:space="0" w:color="808080"/>
                    <w:right w:val="inset" w:sz="6" w:space="0" w:color="808080"/>
                  </w:tcBorders>
                  <w:tcMar>
                    <w:top w:w="22" w:type="dxa"/>
                    <w:left w:w="25" w:type="dxa"/>
                    <w:bottom w:w="25" w:type="dxa"/>
                    <w:right w:w="22" w:type="dxa"/>
                  </w:tcMar>
                  <w:vAlign w:val="center"/>
                  <w:hideMark/>
                </w:tcPr>
                <w:p w:rsidR="00012A46" w:rsidRDefault="00836FCA">
                  <w:pPr>
                    <w:spacing w:before="0" w:after="0"/>
                    <w:jc w:val="left"/>
                    <w:rPr>
                      <w:color w:val="000000"/>
                      <w:szCs w:val="24"/>
                    </w:rPr>
                  </w:pPr>
                  <w:r>
                    <w:rPr>
                      <w:color w:val="000000"/>
                      <w:szCs w:val="24"/>
                    </w:rPr>
                    <w:t>Общо</w:t>
                  </w:r>
                </w:p>
              </w:tc>
              <w:tc>
                <w:tcPr>
                  <w:tcW w:w="2345" w:type="dxa"/>
                  <w:tcBorders>
                    <w:top w:val="inset" w:sz="6" w:space="0" w:color="808080"/>
                    <w:left w:val="inset" w:sz="6" w:space="0" w:color="808080"/>
                    <w:right w:val="inset" w:sz="6" w:space="0" w:color="808080"/>
                  </w:tcBorders>
                  <w:tcMar>
                    <w:top w:w="22" w:type="dxa"/>
                    <w:left w:w="22" w:type="dxa"/>
                    <w:bottom w:w="25" w:type="dxa"/>
                    <w:right w:w="22" w:type="dxa"/>
                  </w:tcMar>
                  <w:vAlign w:val="center"/>
                  <w:hideMark/>
                </w:tcPr>
                <w:p w:rsidR="00012A46" w:rsidRDefault="00836FCA">
                  <w:pPr>
                    <w:spacing w:before="0" w:after="0"/>
                    <w:jc w:val="left"/>
                    <w:rPr>
                      <w:color w:val="000000"/>
                      <w:szCs w:val="24"/>
                    </w:rPr>
                  </w:pPr>
                  <w:r>
                    <w:rPr>
                      <w:color w:val="000000"/>
                      <w:szCs w:val="24"/>
                    </w:rPr>
                    <w:t>1 166.5</w:t>
                  </w:r>
                </w:p>
              </w:tc>
              <w:tc>
                <w:tcPr>
                  <w:tcW w:w="2265" w:type="dxa"/>
                  <w:tcBorders>
                    <w:top w:val="inset" w:sz="6" w:space="0" w:color="808080"/>
                    <w:left w:val="inset" w:sz="6" w:space="0" w:color="808080"/>
                    <w:right w:val="inset" w:sz="6" w:space="0" w:color="808080"/>
                  </w:tcBorders>
                  <w:tcMar>
                    <w:top w:w="22" w:type="dxa"/>
                    <w:left w:w="22" w:type="dxa"/>
                    <w:bottom w:w="25" w:type="dxa"/>
                    <w:right w:w="22" w:type="dxa"/>
                  </w:tcMar>
                  <w:vAlign w:val="center"/>
                  <w:hideMark/>
                </w:tcPr>
                <w:p w:rsidR="00012A46" w:rsidRDefault="00836FCA">
                  <w:pPr>
                    <w:spacing w:before="0" w:after="0"/>
                    <w:jc w:val="left"/>
                    <w:rPr>
                      <w:color w:val="000000"/>
                      <w:szCs w:val="24"/>
                    </w:rPr>
                  </w:pPr>
                  <w:r>
                    <w:rPr>
                      <w:color w:val="000000"/>
                      <w:szCs w:val="24"/>
                    </w:rPr>
                    <w:t>1 046.6</w:t>
                  </w:r>
                </w:p>
              </w:tc>
              <w:tc>
                <w:tcPr>
                  <w:tcW w:w="2210" w:type="dxa"/>
                  <w:tcBorders>
                    <w:top w:val="inset" w:sz="6" w:space="0" w:color="808080"/>
                    <w:left w:val="inset" w:sz="6" w:space="0" w:color="808080"/>
                    <w:right w:val="inset" w:sz="6" w:space="0" w:color="808080"/>
                  </w:tcBorders>
                  <w:tcMar>
                    <w:top w:w="22" w:type="dxa"/>
                    <w:left w:w="22" w:type="dxa"/>
                    <w:bottom w:w="25" w:type="dxa"/>
                    <w:right w:w="22" w:type="dxa"/>
                  </w:tcMar>
                  <w:vAlign w:val="center"/>
                  <w:hideMark/>
                </w:tcPr>
                <w:p w:rsidR="00012A46" w:rsidRDefault="00836FCA">
                  <w:pPr>
                    <w:spacing w:before="0" w:after="0"/>
                    <w:jc w:val="left"/>
                    <w:rPr>
                      <w:color w:val="000000"/>
                      <w:szCs w:val="24"/>
                    </w:rPr>
                  </w:pPr>
                  <w:r>
                    <w:rPr>
                      <w:color w:val="000000"/>
                      <w:szCs w:val="24"/>
                    </w:rPr>
                    <w:t>86.9</w:t>
                  </w:r>
                </w:p>
              </w:tc>
              <w:tc>
                <w:tcPr>
                  <w:tcW w:w="1922" w:type="dxa"/>
                  <w:tcBorders>
                    <w:top w:val="inset" w:sz="6" w:space="0" w:color="808080"/>
                    <w:left w:val="inset" w:sz="6" w:space="0" w:color="808080"/>
                  </w:tcBorders>
                  <w:tcMar>
                    <w:top w:w="22" w:type="dxa"/>
                    <w:left w:w="22" w:type="dxa"/>
                    <w:bottom w:w="25" w:type="dxa"/>
                    <w:right w:w="25" w:type="dxa"/>
                  </w:tcMar>
                  <w:vAlign w:val="center"/>
                  <w:hideMark/>
                </w:tcPr>
                <w:p w:rsidR="00012A46" w:rsidRDefault="00836FCA">
                  <w:pPr>
                    <w:spacing w:before="0" w:after="0"/>
                    <w:jc w:val="left"/>
                    <w:rPr>
                      <w:color w:val="000000"/>
                      <w:szCs w:val="24"/>
                    </w:rPr>
                  </w:pPr>
                  <w:r>
                    <w:rPr>
                      <w:color w:val="000000"/>
                      <w:szCs w:val="24"/>
                    </w:rPr>
                    <w:t>1 133.4</w:t>
                  </w:r>
                </w:p>
              </w:tc>
            </w:tr>
          </w:tbl>
          <w:p w:rsidR="00012A46" w:rsidRDefault="00836FCA">
            <w:pPr>
              <w:spacing w:before="240" w:after="240"/>
              <w:jc w:val="left"/>
              <w:rPr>
                <w:szCs w:val="24"/>
              </w:rPr>
            </w:pPr>
            <w:r>
              <w:rPr>
                <w:szCs w:val="24"/>
              </w:rPr>
              <w:t> </w:t>
            </w:r>
          </w:p>
          <w:p w:rsidR="00012A46" w:rsidRDefault="00836FCA">
            <w:pPr>
              <w:spacing w:before="240" w:after="240"/>
              <w:jc w:val="left"/>
              <w:rPr>
                <w:szCs w:val="24"/>
              </w:rPr>
            </w:pPr>
            <w:r>
              <w:rPr>
                <w:b/>
                <w:bCs/>
                <w:szCs w:val="24"/>
              </w:rPr>
              <w:t>Мярка 10 „Агроекология и климат“</w:t>
            </w:r>
          </w:p>
          <w:p w:rsidR="00012A46" w:rsidRDefault="00836FCA">
            <w:pPr>
              <w:spacing w:before="240" w:after="240"/>
              <w:jc w:val="left"/>
              <w:rPr>
                <w:szCs w:val="24"/>
              </w:rPr>
            </w:pPr>
            <w:r>
              <w:rPr>
                <w:szCs w:val="24"/>
              </w:rPr>
              <w:t>В значителна част от периода 2015 - 2023 г. мярката се прилага в пълен обхват с планираните в програмата направления. През 2023 г. са приемани заявления за плащане по изпълнявани ангажименти в преходния период (приключващи през 2024 г.) по следните направлени :</w:t>
            </w:r>
          </w:p>
          <w:p w:rsidR="00012A46" w:rsidRDefault="00836FCA">
            <w:pPr>
              <w:numPr>
                <w:ilvl w:val="0"/>
                <w:numId w:val="24"/>
              </w:numPr>
              <w:spacing w:before="240" w:after="0"/>
              <w:ind w:hanging="210"/>
              <w:jc w:val="left"/>
              <w:rPr>
                <w:szCs w:val="24"/>
              </w:rPr>
            </w:pPr>
            <w:r>
              <w:rPr>
                <w:szCs w:val="24"/>
              </w:rPr>
              <w:t>Възстановяване и поддържане на постоянно затревени площи с висока природна стойност (ВПС);</w:t>
            </w:r>
          </w:p>
          <w:p w:rsidR="00012A46" w:rsidRDefault="00836FCA">
            <w:pPr>
              <w:numPr>
                <w:ilvl w:val="0"/>
                <w:numId w:val="24"/>
              </w:numPr>
              <w:spacing w:before="0" w:after="0"/>
              <w:ind w:hanging="210"/>
              <w:jc w:val="left"/>
              <w:rPr>
                <w:szCs w:val="24"/>
              </w:rPr>
            </w:pPr>
            <w:r>
              <w:rPr>
                <w:szCs w:val="24"/>
              </w:rPr>
              <w:t>Традиционни практики за сезонна паша (пасторализъм) –ангажименти, които приключват през 2023 г.</w:t>
            </w:r>
          </w:p>
          <w:p w:rsidR="00012A46" w:rsidRDefault="00836FCA">
            <w:pPr>
              <w:numPr>
                <w:ilvl w:val="0"/>
                <w:numId w:val="24"/>
              </w:numPr>
              <w:spacing w:before="0" w:after="0"/>
              <w:ind w:hanging="210"/>
              <w:jc w:val="left"/>
              <w:rPr>
                <w:szCs w:val="24"/>
              </w:rPr>
            </w:pPr>
            <w:r>
              <w:rPr>
                <w:szCs w:val="24"/>
              </w:rPr>
              <w:t>Опазване на застрашени от изчезване местни породи, важни за селското стопанство;</w:t>
            </w:r>
          </w:p>
          <w:p w:rsidR="00012A46" w:rsidRDefault="00836FCA">
            <w:pPr>
              <w:numPr>
                <w:ilvl w:val="0"/>
                <w:numId w:val="24"/>
              </w:numPr>
              <w:spacing w:before="0" w:after="240"/>
              <w:ind w:hanging="210"/>
              <w:jc w:val="left"/>
              <w:rPr>
                <w:szCs w:val="24"/>
              </w:rPr>
            </w:pPr>
            <w:r>
              <w:rPr>
                <w:szCs w:val="24"/>
              </w:rPr>
              <w:t>Опазване на застрашени от изчезване местни сортове, важни за селското стопанство.</w:t>
            </w:r>
          </w:p>
          <w:p w:rsidR="00012A46" w:rsidRDefault="00836FCA">
            <w:pPr>
              <w:spacing w:before="240" w:after="240"/>
              <w:jc w:val="left"/>
              <w:rPr>
                <w:szCs w:val="24"/>
              </w:rPr>
            </w:pPr>
            <w:r>
              <w:rPr>
                <w:szCs w:val="24"/>
              </w:rPr>
              <w:t>Към 31.12.2023 г. по мярка 10 са изплатени кампании 2015–2023, като общата стойност на изплатените разходи (заедно с плащанията по преходни ангажименти от предишния програмен период) към тази дата е 253,5 млн. евро публични средства.</w:t>
            </w:r>
          </w:p>
          <w:p w:rsidR="00012A46" w:rsidRDefault="00836FCA">
            <w:pPr>
              <w:spacing w:before="240" w:after="240"/>
              <w:jc w:val="left"/>
              <w:rPr>
                <w:szCs w:val="24"/>
              </w:rPr>
            </w:pPr>
            <w:r>
              <w:rPr>
                <w:szCs w:val="24"/>
              </w:rPr>
              <w:t>За кампания 2022, която е оторизирана и разплащана през календарната 2023 г. са оторизирани площи общо в размер на 40,7 хил. ха, от които 21,9 хил. ха по направление „Възстановяване и поддържане на затревени площи с висока природна стойност (ВПС)“, 19,8 хил. ха по направление „Традиционни практики за сезонна паша (пасторализъм)“, 14,5 хил. ха по направление „Контрол на почвената ерозия“, 4,2 хил. ха по направление „Опазване на застрашени от изчезване местни сортове, важни за селското стопанство“.</w:t>
            </w:r>
          </w:p>
          <w:p w:rsidR="00012A46" w:rsidRDefault="00836FCA">
            <w:pPr>
              <w:spacing w:before="240" w:after="240"/>
              <w:jc w:val="left"/>
              <w:rPr>
                <w:szCs w:val="24"/>
              </w:rPr>
            </w:pPr>
            <w:r>
              <w:rPr>
                <w:szCs w:val="24"/>
              </w:rPr>
              <w:t>Тъй като в една календарна година е налично разплащане и обработка на две кампании, в таблиците, въведени в SFC2014 ще бъдат отчетени по-голямата подпомогната площ и по-големият брой заявления, а именно от кампания 2022.</w:t>
            </w:r>
          </w:p>
          <w:p w:rsidR="00012A46" w:rsidRDefault="00836FCA">
            <w:pPr>
              <w:spacing w:before="240" w:after="240"/>
              <w:jc w:val="left"/>
              <w:rPr>
                <w:szCs w:val="24"/>
              </w:rPr>
            </w:pPr>
            <w:r>
              <w:rPr>
                <w:szCs w:val="24"/>
              </w:rPr>
              <w:lastRenderedPageBreak/>
              <w:t>От определените за България средства в размер на 201.9 млн. евро по линия на Инструмента на Европейския съюз за възстановяване (European Union Recovery Instrument – EURI), са прехвърлени общо 8 млн. евро към мярка 10.</w:t>
            </w:r>
          </w:p>
          <w:p w:rsidR="00012A46" w:rsidRDefault="00836FCA">
            <w:pPr>
              <w:spacing w:before="240" w:after="240"/>
              <w:jc w:val="left"/>
              <w:rPr>
                <w:szCs w:val="24"/>
              </w:rPr>
            </w:pPr>
            <w:r>
              <w:rPr>
                <w:szCs w:val="24"/>
              </w:rPr>
              <w:t>Към 31.12.2023 г. разплатените средства по линия на инструмента за възстановяване EURI по подмярката се равняват на всичките заделени 8 млн. евро публични средства.</w:t>
            </w:r>
          </w:p>
          <w:p w:rsidR="00012A46" w:rsidRDefault="00836FCA">
            <w:pPr>
              <w:spacing w:before="240" w:after="240"/>
              <w:jc w:val="left"/>
              <w:rPr>
                <w:szCs w:val="24"/>
              </w:rPr>
            </w:pPr>
            <w:r>
              <w:rPr>
                <w:b/>
                <w:bCs/>
                <w:szCs w:val="24"/>
              </w:rPr>
              <w:t xml:space="preserve">Мярка 11 „Биологично земеделие“ </w:t>
            </w:r>
          </w:p>
          <w:p w:rsidR="00012A46" w:rsidRDefault="00836FCA">
            <w:pPr>
              <w:spacing w:before="240" w:after="240"/>
              <w:jc w:val="left"/>
              <w:rPr>
                <w:szCs w:val="24"/>
              </w:rPr>
            </w:pPr>
            <w:r>
              <w:rPr>
                <w:szCs w:val="24"/>
              </w:rPr>
              <w:t>Мярката обхваща прилагането на две подмерки: подмярка 11.1 „Плащания за преминаване към биологично земеделие“, и подмярка 11.2 „Плащания за поддържане на биологично земеделие”, като подпомагане е предвидено в три направления - биологично растениевъдство, биологично пчеларство и биологично животновъдство.</w:t>
            </w:r>
          </w:p>
          <w:p w:rsidR="00012A46" w:rsidRDefault="00836FCA">
            <w:pPr>
              <w:spacing w:before="240" w:after="240"/>
              <w:jc w:val="left"/>
              <w:rPr>
                <w:szCs w:val="24"/>
              </w:rPr>
            </w:pPr>
            <w:r>
              <w:rPr>
                <w:szCs w:val="24"/>
              </w:rPr>
              <w:t>През периода 2015 г. - 2023 г. мярката се прилага в пълен обхват на предвидените направления.</w:t>
            </w:r>
          </w:p>
          <w:p w:rsidR="00012A46" w:rsidRDefault="00836FCA">
            <w:pPr>
              <w:spacing w:before="240" w:after="240"/>
              <w:jc w:val="left"/>
              <w:rPr>
                <w:szCs w:val="24"/>
              </w:rPr>
            </w:pPr>
            <w:r>
              <w:rPr>
                <w:szCs w:val="24"/>
              </w:rPr>
              <w:t>Към 31.12.2023 г., по мярка 11 са изплатени кампании 2015–2023, като общата стойност на изплатените разходи (заедно с плащанията по преходни ангажименти от предишния програмен период) към тази дата е 201,9 млн. евро публични средства.</w:t>
            </w:r>
          </w:p>
          <w:p w:rsidR="00012A46" w:rsidRDefault="00836FCA">
            <w:pPr>
              <w:spacing w:before="240" w:after="240"/>
              <w:jc w:val="left"/>
              <w:rPr>
                <w:szCs w:val="24"/>
              </w:rPr>
            </w:pPr>
            <w:r>
              <w:rPr>
                <w:szCs w:val="24"/>
              </w:rPr>
              <w:t>За кампания 2022, която е оторизирана и разплащана през календарната 2023 г. са оторизирани площи общо в размер на 49 хил. ха, от които 4,1 хил. ха по направление „Плащания за преминаване към биологично земеделие за ха ИЗП“, и 44,9 хил. ха по направление „Плащания за поддържане на биологично земеделие за ха ИЗП“. През К2023 са заявявани площи от ангажименти поети през К2020, К2021 и К2022. През календарната 2023 г. са обявени приеми по интервенции „Биологично растениевъдство” и „Биологично пчеларство“, включени в Стратегическия план за развитие на земеделието и селските райони на Република България за периода 2023 – 2027 г. </w:t>
            </w:r>
          </w:p>
          <w:p w:rsidR="00012A46" w:rsidRDefault="00836FCA">
            <w:pPr>
              <w:spacing w:before="240" w:after="240"/>
              <w:jc w:val="left"/>
              <w:rPr>
                <w:szCs w:val="24"/>
              </w:rPr>
            </w:pPr>
            <w:r>
              <w:rPr>
                <w:szCs w:val="24"/>
              </w:rPr>
              <w:t>Тъй като в една календарна година е налично разплащане и обработка на две кампании, в таблиците, въведени в SFC2014 ще бъдат отчетени по-голямата подпомогната площ и по-големият брой заявления, а именно от кампания 2022.</w:t>
            </w:r>
          </w:p>
          <w:p w:rsidR="00012A46" w:rsidRDefault="00836FCA">
            <w:pPr>
              <w:spacing w:before="240" w:after="240"/>
              <w:jc w:val="left"/>
              <w:rPr>
                <w:szCs w:val="24"/>
              </w:rPr>
            </w:pPr>
            <w:r>
              <w:rPr>
                <w:b/>
                <w:bCs/>
                <w:szCs w:val="24"/>
              </w:rPr>
              <w:t>Мярка 12 „Плащания по „Натура-2000” и Рамковата директива за водите“</w:t>
            </w:r>
          </w:p>
          <w:p w:rsidR="00012A46" w:rsidRDefault="00836FCA">
            <w:pPr>
              <w:spacing w:before="240" w:after="240"/>
              <w:jc w:val="left"/>
              <w:rPr>
                <w:szCs w:val="24"/>
              </w:rPr>
            </w:pPr>
            <w:r>
              <w:rPr>
                <w:szCs w:val="24"/>
              </w:rPr>
              <w:t>Темпът на усвояване на средствата по мярката е равномерен, като участват сходен брой бенефициенти, които стопанисват земеделски земи в защитени зони от Натура 2000, като към 31.12 2023 г., са извършени плащания на заявените в кампаниите от 2015 г. до 2022 г. ангажименти на обща стойност 198,1 млн. евро публични средства. Последната оторизирана кампания е 2022, която в голямата си част е оторизирана и разплащана през календарната 2022 г., а през 2023 г. са извършвани единствено коригиращи плащания в минимален размер.</w:t>
            </w:r>
          </w:p>
          <w:p w:rsidR="00012A46" w:rsidRDefault="00836FCA">
            <w:pPr>
              <w:spacing w:before="240" w:after="240"/>
              <w:jc w:val="left"/>
              <w:rPr>
                <w:szCs w:val="24"/>
              </w:rPr>
            </w:pPr>
            <w:r>
              <w:rPr>
                <w:szCs w:val="24"/>
              </w:rPr>
              <w:t>През календарната 2023 г. мярката не се прилага, тъй като бяха обявени приеми по интервенция „Плащания за земеделски земи в зони от Натура 2000”, включена в Стратегическия план за развитие на земеделието и селските райони на Република България за периода 2023 – 2027 г.</w:t>
            </w:r>
          </w:p>
          <w:p w:rsidR="00012A46" w:rsidRDefault="00836FCA">
            <w:pPr>
              <w:spacing w:before="240" w:after="240"/>
              <w:jc w:val="left"/>
              <w:rPr>
                <w:szCs w:val="24"/>
              </w:rPr>
            </w:pPr>
            <w:r>
              <w:rPr>
                <w:b/>
                <w:bCs/>
                <w:szCs w:val="24"/>
              </w:rPr>
              <w:t>Мярка 13 „Плащания за райони, изправени пред природни или други специфични ограничения“</w:t>
            </w:r>
          </w:p>
          <w:p w:rsidR="00012A46" w:rsidRDefault="00836FCA">
            <w:pPr>
              <w:spacing w:before="240" w:after="240"/>
              <w:jc w:val="left"/>
              <w:rPr>
                <w:szCs w:val="24"/>
              </w:rPr>
            </w:pPr>
            <w:r>
              <w:rPr>
                <w:szCs w:val="24"/>
              </w:rPr>
              <w:t xml:space="preserve">Тенденцията при кандидатстване и одобрение по мярката е сравнително постоянна – за подмярка 13.1 средно се одобряват 330-390 хил. ха за кампания, при подмярка 13.2 – 250-280 хил. ха за </w:t>
            </w:r>
            <w:r>
              <w:rPr>
                <w:szCs w:val="24"/>
              </w:rPr>
              <w:lastRenderedPageBreak/>
              <w:t>кампания, а при подмярка 13.3 – средно 14-14,5 хил. ха.</w:t>
            </w:r>
          </w:p>
          <w:p w:rsidR="00012A46" w:rsidRDefault="00836FCA">
            <w:pPr>
              <w:spacing w:before="240" w:after="240"/>
              <w:jc w:val="left"/>
              <w:rPr>
                <w:szCs w:val="24"/>
              </w:rPr>
            </w:pPr>
            <w:r>
              <w:rPr>
                <w:szCs w:val="24"/>
              </w:rPr>
              <w:t>Към 31.12.2023 г., са извършени плащания на заявените в кампаниите от 2015 г. до 2022 г. ангажименти на обща стойност 383,5 млн. евро публични средства.</w:t>
            </w:r>
          </w:p>
          <w:p w:rsidR="00012A46" w:rsidRDefault="00836FCA">
            <w:pPr>
              <w:spacing w:before="240" w:after="240"/>
              <w:jc w:val="left"/>
              <w:rPr>
                <w:szCs w:val="24"/>
              </w:rPr>
            </w:pPr>
            <w:r>
              <w:rPr>
                <w:szCs w:val="24"/>
              </w:rPr>
              <w:t>Последната оторизирана кампания е 2022, която е оторизирана и разплащана през календарната 2022 г. През 2023 г. са извършвани единствено коригиращи плащания в минимален размер. През календарната 2023 г. мярката не се прилага, тъй като бяха обявени приеми по интервенция „Плащания за райони, изправени пред природни или други специфични ограничения“, включена в Стратегическия план за развитие на земеделието и селските райони на Република България за периода 2023 – 2027 г. </w:t>
            </w:r>
          </w:p>
          <w:p w:rsidR="00012A46" w:rsidRDefault="00836FCA">
            <w:pPr>
              <w:spacing w:before="240" w:after="240"/>
              <w:jc w:val="left"/>
              <w:rPr>
                <w:szCs w:val="24"/>
              </w:rPr>
            </w:pPr>
            <w:r>
              <w:rPr>
                <w:b/>
                <w:bCs/>
                <w:szCs w:val="24"/>
              </w:rPr>
              <w:t>Мярка 14 "Хуманно отношение към животните"</w:t>
            </w:r>
          </w:p>
          <w:p w:rsidR="00012A46" w:rsidRDefault="00836FCA">
            <w:pPr>
              <w:spacing w:before="240" w:after="240"/>
              <w:jc w:val="left"/>
              <w:rPr>
                <w:szCs w:val="24"/>
              </w:rPr>
            </w:pPr>
            <w:r>
              <w:rPr>
                <w:szCs w:val="24"/>
              </w:rPr>
              <w:t>Мярка 14 "Хуманно отношение към животните" стартира за пръв път с кампания през 2017 г., с две подмерки – подмярка 14.1 "Хуманно отношение към животните в сектор ЕПЖ", и подмярка 14.2 "Хуманно отношение към животните в сектор ДПЖ".</w:t>
            </w:r>
          </w:p>
          <w:p w:rsidR="00012A46" w:rsidRDefault="00836FCA">
            <w:pPr>
              <w:spacing w:before="240" w:after="240"/>
              <w:jc w:val="left"/>
              <w:rPr>
                <w:szCs w:val="24"/>
              </w:rPr>
            </w:pPr>
            <w:r>
              <w:rPr>
                <w:szCs w:val="24"/>
              </w:rPr>
              <w:t>За разлика от мерки 12 и 13, по мярка 14 в рамките на календарната 2023 година е обработена и разплатена капмания 2022 - за подмярка 14.1 "Хуманно отношение към животните в сектор ЕПЖ" са подпомогнати 473 заявления със 73,1 хил. животински единици (ЖЕ), а по подмярка 14.2 "Хуманно отношение към животните в сектор ДПЖ" – 409 заявления с 34 хил. ЖЕ.</w:t>
            </w:r>
          </w:p>
          <w:p w:rsidR="00012A46" w:rsidRDefault="00836FCA">
            <w:pPr>
              <w:spacing w:before="240" w:after="240"/>
              <w:jc w:val="left"/>
              <w:rPr>
                <w:szCs w:val="24"/>
              </w:rPr>
            </w:pPr>
            <w:r>
              <w:rPr>
                <w:szCs w:val="24"/>
              </w:rPr>
              <w:t>Към 31.12.2023 г. изплатените средства общо по двете подмерки са в размер на 22,4 млн. евро публични средства, като само в рамките на календарната 2023 г. са разплатени 6,3 млн. евро публични средства.</w:t>
            </w:r>
          </w:p>
          <w:p w:rsidR="00012A46" w:rsidRDefault="00836FCA">
            <w:pPr>
              <w:spacing w:before="240" w:after="240"/>
              <w:jc w:val="left"/>
              <w:rPr>
                <w:szCs w:val="24"/>
              </w:rPr>
            </w:pPr>
            <w:r>
              <w:rPr>
                <w:szCs w:val="24"/>
              </w:rPr>
              <w:t>През календарната 2023 г. мярката не се прилага, тъй като бяха обявени приеми по аналогична интервенция, включена в Стратегическия план за развитие на земеделието и селските райони на Република България за периода 2023 – 2027 г. </w:t>
            </w:r>
          </w:p>
          <w:p w:rsidR="00012A46" w:rsidRDefault="00836FCA">
            <w:pPr>
              <w:spacing w:before="240" w:after="240"/>
              <w:jc w:val="left"/>
              <w:rPr>
                <w:szCs w:val="24"/>
              </w:rPr>
            </w:pPr>
            <w:r>
              <w:rPr>
                <w:b/>
                <w:bCs/>
                <w:szCs w:val="24"/>
              </w:rPr>
              <w:t>Мярка 21 "Извънредно временно подпомагане за земеделските стопани и МСП, които са особено засегнати от кризата, предизвикана от COVID-19" от Програмата за развитие на селските райони за периода 2014 – 2020 г.</w:t>
            </w:r>
          </w:p>
          <w:p w:rsidR="00012A46" w:rsidRDefault="00836FCA">
            <w:pPr>
              <w:spacing w:before="240" w:after="240"/>
              <w:jc w:val="left"/>
              <w:rPr>
                <w:szCs w:val="24"/>
              </w:rPr>
            </w:pPr>
            <w:r>
              <w:rPr>
                <w:szCs w:val="24"/>
              </w:rPr>
              <w:t>Мярката в въведена с изпращането на осмо изменение на ПРСР на 23.07.2020 г. През 2020 г. са направени редица изменения на мярката, с цел прецизиране на текстовете с оглед правилното насочване на подпомагането към особено засегнати от кризата, предизвикана от COVID-19, земеделски стопани и МСП, преработващи селскостопански продукти и признати групи и организации на производители.</w:t>
            </w:r>
          </w:p>
          <w:p w:rsidR="00012A46" w:rsidRDefault="00836FCA">
            <w:pPr>
              <w:spacing w:before="240" w:after="240"/>
              <w:jc w:val="left"/>
              <w:rPr>
                <w:szCs w:val="24"/>
              </w:rPr>
            </w:pPr>
            <w:r>
              <w:rPr>
                <w:szCs w:val="24"/>
              </w:rPr>
              <w:t>Към края на м. декември 2021 г. по трите подмерки са разплатени общо 42,1 млн. евро публични средства, с които са подпомогнати над 30 хиляди земеделски производители, и МСП.</w:t>
            </w:r>
          </w:p>
          <w:p w:rsidR="00012A46" w:rsidRDefault="00836FCA">
            <w:pPr>
              <w:spacing w:before="240" w:after="240"/>
              <w:jc w:val="left"/>
              <w:rPr>
                <w:szCs w:val="24"/>
              </w:rPr>
            </w:pPr>
            <w:r>
              <w:rPr>
                <w:szCs w:val="24"/>
              </w:rPr>
              <w:t>Прилагането на мярката е приключено, като съответно не е извършвано нито договаряне, нито разплащане през календарната 2022 г. и 2023 г.</w:t>
            </w:r>
          </w:p>
          <w:p w:rsidR="00012A46" w:rsidRDefault="00836FCA">
            <w:pPr>
              <w:spacing w:before="240" w:after="240"/>
              <w:jc w:val="left"/>
              <w:rPr>
                <w:szCs w:val="24"/>
              </w:rPr>
            </w:pPr>
            <w:r>
              <w:rPr>
                <w:b/>
                <w:bCs/>
                <w:szCs w:val="24"/>
              </w:rPr>
              <w:t>Мярка 22 "Извънредно временно подпомагане за земеделски стопани и МСП, които са особено засегнати от последиците от руското нашествие в Украйна" от Програмата за развитие на селските райони за периода 2014 – 2020 г.</w:t>
            </w:r>
          </w:p>
          <w:p w:rsidR="00012A46" w:rsidRDefault="00836FCA">
            <w:pPr>
              <w:spacing w:before="240" w:after="240"/>
              <w:jc w:val="left"/>
              <w:rPr>
                <w:szCs w:val="24"/>
              </w:rPr>
            </w:pPr>
            <w:r>
              <w:rPr>
                <w:szCs w:val="24"/>
              </w:rPr>
              <w:lastRenderedPageBreak/>
              <w:t>С четиринадесето изменение ПРСР 2014-2020 е стартирана първата подмярка на Мярка 22 - Подмярка 22.1. „Извънредно временно подпомагане за земеделски стопани, които са особено засегнати от последиците от руското нашествие в Украйна“.</w:t>
            </w:r>
          </w:p>
          <w:p w:rsidR="00012A46" w:rsidRDefault="00836FCA">
            <w:pPr>
              <w:spacing w:before="240" w:after="240"/>
              <w:jc w:val="left"/>
              <w:rPr>
                <w:szCs w:val="24"/>
              </w:rPr>
            </w:pPr>
            <w:r>
              <w:rPr>
                <w:szCs w:val="24"/>
              </w:rPr>
              <w:t>За целта, се изведоха остатъчни средства от други мерки и подмерки, възлизащи на общо 23 млн. евро от ЕЗФРСР / 28 млн. евро публични средства.</w:t>
            </w:r>
          </w:p>
          <w:p w:rsidR="00012A46" w:rsidRDefault="00836FCA">
            <w:pPr>
              <w:spacing w:before="240" w:after="240"/>
              <w:jc w:val="left"/>
              <w:rPr>
                <w:szCs w:val="24"/>
              </w:rPr>
            </w:pPr>
            <w:r>
              <w:rPr>
                <w:szCs w:val="24"/>
              </w:rPr>
              <w:t>Приемът по подмярка 22.1 е проведен в периода 22.11.2022 г. - 05.12.2022 г. за кандидати земеделски стопани от сектори „Растениевъдство“ и „Животновъдство“ с общ бюджет в размер на 28 млн. евро.</w:t>
            </w:r>
          </w:p>
          <w:p w:rsidR="00012A46" w:rsidRDefault="00836FCA">
            <w:pPr>
              <w:spacing w:before="240" w:after="240"/>
              <w:jc w:val="left"/>
              <w:rPr>
                <w:szCs w:val="24"/>
              </w:rPr>
            </w:pPr>
            <w:r>
              <w:rPr>
                <w:szCs w:val="24"/>
              </w:rPr>
              <w:t>С петнадесето изменение на ПРСР 2014-2020 е направена промяна в подмярка 22.1 като се разширява кръгът от допустими земеделски стопани и се включват такива, които са заети с отглеждане и полагане на грижа за пчелни семейства или отглеждат малини или ягоди – оранжерийно производство. Изменението е наложено с оглед постигане целта на подмярката да бъдат подпомогнати земеделските стопани, претърпели неблагоприятни последици от руското нашествие в Украйна. В периода 08.03.2023 г.-17.03.2023 г. е проведен прием на заявления за подпомагане по подмярка 22.1 за земеделски стопани, отглеждащи ягоди или малини – оранжерийно производство и/или пчелни семейства - с общ бюджет в размер на 2,8 млн. евро.</w:t>
            </w:r>
          </w:p>
          <w:p w:rsidR="00012A46" w:rsidRDefault="00836FCA">
            <w:pPr>
              <w:spacing w:before="240" w:after="240"/>
              <w:jc w:val="left"/>
              <w:rPr>
                <w:szCs w:val="24"/>
              </w:rPr>
            </w:pPr>
            <w:r>
              <w:rPr>
                <w:szCs w:val="24"/>
              </w:rPr>
              <w:t>В периода 08.03.2023 г. - 15.03.2023 г. е стартирана и втората подмярка на мярка 22, след извършени промени в петнадесетото изменение на ПРСР. Приемът по подмярка 22.2 е проведен за кандидати микро-, малки и средни предприятия, които преработват селскостопански продукти, включени в Приложение I към ДФЕС, като резултатът от производствения процес може да е извън Приложение I към ДФЕС и групи и организации на производители, с общ бюджет в размер на 3,5 млн. евро.</w:t>
            </w:r>
          </w:p>
          <w:p w:rsidR="00012A46" w:rsidRDefault="00836FCA">
            <w:pPr>
              <w:spacing w:before="240" w:after="240"/>
              <w:jc w:val="left"/>
              <w:rPr>
                <w:szCs w:val="24"/>
              </w:rPr>
            </w:pPr>
            <w:r>
              <w:rPr>
                <w:szCs w:val="24"/>
              </w:rPr>
              <w:t>Към края на 2023 г. по подмярката са подпомогнати над 36 хиляди бенефициенти, с общо изплатена сума в размер на 31,9 млн. евро публични средства, от които 8.6 млн. евро са разплатените средства в рамките на календарната 2023 г.</w:t>
            </w:r>
          </w:p>
          <w:p w:rsidR="00012A46" w:rsidRDefault="00836FCA">
            <w:pPr>
              <w:spacing w:before="240" w:after="240"/>
              <w:jc w:val="left"/>
              <w:rPr>
                <w:szCs w:val="24"/>
              </w:rPr>
            </w:pPr>
            <w:r>
              <w:rPr>
                <w:b/>
                <w:bCs/>
                <w:szCs w:val="24"/>
              </w:rPr>
              <w:t>Мярка 16 „Сътрудничество“</w:t>
            </w:r>
          </w:p>
          <w:p w:rsidR="00012A46" w:rsidRDefault="00836FCA">
            <w:pPr>
              <w:spacing w:before="240" w:after="240"/>
              <w:jc w:val="left"/>
              <w:rPr>
                <w:szCs w:val="24"/>
              </w:rPr>
            </w:pPr>
            <w:r>
              <w:rPr>
                <w:b/>
                <w:bCs/>
                <w:szCs w:val="24"/>
              </w:rPr>
              <w:t>Подмярка 16.1 „Подкрепа за сформиране и функциониране на оперативни групи в рамките на ЕПИ“</w:t>
            </w:r>
          </w:p>
          <w:p w:rsidR="00012A46" w:rsidRDefault="00836FCA">
            <w:pPr>
              <w:spacing w:before="240" w:after="240"/>
              <w:jc w:val="left"/>
              <w:rPr>
                <w:szCs w:val="24"/>
              </w:rPr>
            </w:pPr>
            <w:r>
              <w:rPr>
                <w:szCs w:val="24"/>
              </w:rPr>
              <w:t>Подпомагането по подмярка 16.1 „Подкрепа за сформиране и функциониране на оперативни групи в рамките на ЕПИ“ е насочено към функциониране на оперативни групи, създадени за изпълнение на конкретен иновативен проект за постигане на целите на Европейското партньорство за иновации (ЕПИ) за селскостопанска производителност и устойчивост.</w:t>
            </w:r>
          </w:p>
          <w:p w:rsidR="00012A46" w:rsidRDefault="00836FCA">
            <w:pPr>
              <w:spacing w:before="240" w:after="240"/>
              <w:jc w:val="left"/>
              <w:rPr>
                <w:szCs w:val="24"/>
              </w:rPr>
            </w:pPr>
            <w:r>
              <w:rPr>
                <w:szCs w:val="24"/>
              </w:rPr>
              <w:t>По подмярката са реализирани два приема през 2019 и 2020 г. с общ бюджет 30,53 млн. евро.</w:t>
            </w:r>
          </w:p>
          <w:p w:rsidR="00012A46" w:rsidRDefault="00836FCA">
            <w:pPr>
              <w:spacing w:before="240" w:after="240"/>
              <w:jc w:val="left"/>
              <w:rPr>
                <w:szCs w:val="24"/>
              </w:rPr>
            </w:pPr>
            <w:r>
              <w:rPr>
                <w:szCs w:val="24"/>
              </w:rPr>
              <w:t>През 2023 г. по подмярката са сключени нови 12 договора за предоставяне на безвъзмездна финансова помощ на стойност 3,35 млн. евро. В одобрените 12 оперативни групи от втория прием по подмярката участват 69 броя земеделски стопани, 13 научни института и висши училища в сферата на селското стопанство, 2 МСП в сферата на преработката на храни, 6 сдружения с нестопанска цел, една земеделска кооперация, 6 консултантски организации.</w:t>
            </w:r>
          </w:p>
          <w:p w:rsidR="00012A46" w:rsidRDefault="00836FCA">
            <w:pPr>
              <w:spacing w:before="240" w:after="240"/>
              <w:jc w:val="left"/>
              <w:rPr>
                <w:szCs w:val="24"/>
              </w:rPr>
            </w:pPr>
            <w:r>
              <w:rPr>
                <w:szCs w:val="24"/>
              </w:rPr>
              <w:t xml:space="preserve">Одобрените проекти с потенциал за иновации от втория обхващат различни сфери в растениевъдството и животновъдството. Заложените цели в проектите са разнородни и са свързани с овощарство, животновъдство, използване на пробиотици в животновъдството, селектиране на </w:t>
            </w:r>
            <w:r>
              <w:rPr>
                <w:szCs w:val="24"/>
              </w:rPr>
              <w:lastRenderedPageBreak/>
              <w:t>дрожди, ограничаване на вредните газове от животновъдството въз основа на използване на специфични фуражи, разработване на мобилно приложение, пилотен модел за малка устойчива планинска ферма, популяризиране качествата на магарешкото мляко и неговото използване, изпитване на нови хибридни овощарски сортове на територията на страната и др.</w:t>
            </w:r>
          </w:p>
          <w:p w:rsidR="00270303" w:rsidRPr="00270303" w:rsidRDefault="00270303" w:rsidP="00270303">
            <w:pPr>
              <w:spacing w:before="240" w:after="240"/>
              <w:jc w:val="left"/>
              <w:rPr>
                <w:szCs w:val="24"/>
              </w:rPr>
            </w:pPr>
            <w:r w:rsidRPr="00270303">
              <w:rPr>
                <w:szCs w:val="24"/>
              </w:rPr>
              <w:t>През 2023 г. със Заповед № РД 09-633 от 27.06.2023 г., Заповед № РД 09-942 от 28.08.2023 г. и Заповед № РД 09-1210 от 28.11.2023 г. на Ръководителя на УО на ПРСР 2014-2020 г., са извършени промени в насоките за кандидатстване по двете процедури по подмярка 16.1 „Подкрепа за сформиране и функциониране на оперативни групи в рамките на ЕПИ</w:t>
            </w:r>
            <w:proofErr w:type="gramStart"/>
            <w:r w:rsidRPr="00270303">
              <w:rPr>
                <w:szCs w:val="24"/>
              </w:rPr>
              <w:t>“ от</w:t>
            </w:r>
            <w:proofErr w:type="gramEnd"/>
            <w:r w:rsidRPr="00270303">
              <w:rPr>
                <w:szCs w:val="24"/>
              </w:rPr>
              <w:t xml:space="preserve"> мярка 16 „Сътрудничество“ от ПРСР 2014-2020 г.</w:t>
            </w:r>
          </w:p>
          <w:p w:rsidR="00270303" w:rsidRPr="00270303" w:rsidRDefault="00270303" w:rsidP="00270303">
            <w:pPr>
              <w:spacing w:before="240" w:after="240"/>
              <w:jc w:val="left"/>
              <w:rPr>
                <w:szCs w:val="24"/>
              </w:rPr>
            </w:pPr>
            <w:r w:rsidRPr="00270303">
              <w:rPr>
                <w:szCs w:val="24"/>
              </w:rPr>
              <w:t xml:space="preserve">Промените са свързани с облекчаване на условията за изпълнение на проектите на одобрените оперативни групи, както и с актуализиране на допустимите разходи за възнаграждения и командировки на екипа на оперативните групи съобразно актуалните стойности за минимална работна заплата в страната и командировъчни разходи съгласно българското законодателство. </w:t>
            </w:r>
          </w:p>
          <w:p w:rsidR="00270303" w:rsidRDefault="00270303" w:rsidP="00270303">
            <w:pPr>
              <w:spacing w:before="240" w:after="240"/>
              <w:jc w:val="left"/>
              <w:rPr>
                <w:szCs w:val="24"/>
              </w:rPr>
            </w:pPr>
            <w:r w:rsidRPr="00270303">
              <w:rPr>
                <w:szCs w:val="24"/>
              </w:rPr>
              <w:t>Удължава се също така крайния срок за подаване на заявка за окончателно плащане, за да се улеснят бенефициентите при събиране на всички изискуеми документи, във връзка с естеството на подпомаганите дейности, част от документите за които могат да бъдат издадени след крайния срок за изпълнение на проектите.</w:t>
            </w:r>
          </w:p>
          <w:p w:rsidR="00012A46" w:rsidRDefault="00836FCA">
            <w:pPr>
              <w:spacing w:before="240" w:after="240"/>
              <w:jc w:val="left"/>
              <w:rPr>
                <w:szCs w:val="24"/>
              </w:rPr>
            </w:pPr>
            <w:r>
              <w:rPr>
                <w:szCs w:val="24"/>
              </w:rPr>
              <w:t>Към 31.12.2023 г. по подмярка 16.1 „Подкрепа за сформиране и функциониране на оперативни групи в рамките на ЕПИ“ по двете проведени процедури чрез подбор общо изпълнявани са 22 договора, 10 от които по първия прием и 12 по втория прием. Освен това, по първи прием към 31.12.2023 г. вече са приключили успешно 7 договора, както и три приключили неуспешно.</w:t>
            </w:r>
          </w:p>
          <w:p w:rsidR="00012A46" w:rsidRDefault="00836FCA">
            <w:pPr>
              <w:spacing w:before="240" w:after="240"/>
              <w:jc w:val="left"/>
              <w:rPr>
                <w:szCs w:val="24"/>
              </w:rPr>
            </w:pPr>
            <w:r>
              <w:rPr>
                <w:szCs w:val="24"/>
              </w:rPr>
              <w:t>Към 31.12.2023 г. по подмярка 16.1 „Подкрепа за сформиране и функциониране на оперативни групи в рамките на ЕПИ“ са извършени плащания в размер на 2,7 млн. евро публични средства.</w:t>
            </w:r>
          </w:p>
          <w:p w:rsidR="00012A46" w:rsidRDefault="00836FCA">
            <w:pPr>
              <w:spacing w:before="240" w:after="240"/>
              <w:jc w:val="left"/>
              <w:rPr>
                <w:szCs w:val="24"/>
              </w:rPr>
            </w:pPr>
            <w:r>
              <w:rPr>
                <w:b/>
                <w:bCs/>
                <w:szCs w:val="24"/>
              </w:rPr>
              <w:t>Подмярка 16.4 „Подкрепа за хоризонтално и вертикално сътрудничество между участниците във веригата на доставки“</w:t>
            </w:r>
          </w:p>
          <w:p w:rsidR="00012A46" w:rsidRDefault="00836FCA">
            <w:pPr>
              <w:spacing w:before="240" w:after="240"/>
              <w:jc w:val="left"/>
              <w:rPr>
                <w:szCs w:val="24"/>
              </w:rPr>
            </w:pPr>
            <w:r>
              <w:rPr>
                <w:szCs w:val="24"/>
              </w:rPr>
              <w:t>Подкрепата се предоставя за създаване и развитие на къси вериги на доставки и за създаване и развитие на местни пазари. Подпомагането обхваща само къси вериги на доставки, които включват не повече от един посредник между земеделския стопанин и потребителя. Местни пазари са пазари в радиус от 75 км от стопанството на произход на продукта, в който радиус трябва да се осъществяват както преработката на продукта, така и продажбата му на крайния потребител.</w:t>
            </w:r>
          </w:p>
          <w:p w:rsidR="00012A46" w:rsidRDefault="00836FCA">
            <w:pPr>
              <w:spacing w:before="240" w:after="240"/>
              <w:jc w:val="left"/>
              <w:rPr>
                <w:szCs w:val="24"/>
              </w:rPr>
            </w:pPr>
            <w:r>
              <w:rPr>
                <w:szCs w:val="24"/>
              </w:rPr>
              <w:t>Към 31.12.2023 г. са налице 3 административни договора по подмярка 16.4 „Подкрепа за хоризонтално и вертикално сътрудничество между участниците във веригата на доставки“ от мярка 16 „Сътрудничество“ към тази дата има 3 действащи договора с безвъзмездна финансова помощ 0,3 млн. евро.</w:t>
            </w:r>
          </w:p>
          <w:p w:rsidR="00012A46" w:rsidRDefault="00836FCA">
            <w:pPr>
              <w:spacing w:before="240" w:after="240"/>
              <w:jc w:val="left"/>
              <w:rPr>
                <w:szCs w:val="24"/>
              </w:rPr>
            </w:pPr>
            <w:r>
              <w:rPr>
                <w:szCs w:val="24"/>
              </w:rPr>
              <w:t>Към края на 2023 г. няма извършени плащания по подмярката.</w:t>
            </w:r>
          </w:p>
          <w:p w:rsidR="00012A46" w:rsidRDefault="00836FCA">
            <w:pPr>
              <w:spacing w:before="240" w:after="240"/>
              <w:jc w:val="left"/>
              <w:rPr>
                <w:szCs w:val="24"/>
              </w:rPr>
            </w:pPr>
            <w:r>
              <w:rPr>
                <w:b/>
                <w:bCs/>
                <w:szCs w:val="24"/>
              </w:rPr>
              <w:t>Мярка 19 – Водено от общностите местно развитие</w:t>
            </w:r>
          </w:p>
          <w:p w:rsidR="00012A46" w:rsidRDefault="00836FCA">
            <w:pPr>
              <w:spacing w:before="240" w:after="240"/>
              <w:jc w:val="left"/>
              <w:rPr>
                <w:szCs w:val="24"/>
              </w:rPr>
            </w:pPr>
            <w:r>
              <w:rPr>
                <w:szCs w:val="24"/>
              </w:rPr>
              <w:t xml:space="preserve">Подпомагането по мярка 19 „Водено от общностите местно развитие“ е насочено към стимулиране на местното развитие в селските район и получава подкрепа от ПРСР, ОПИК, ОПРЧР, ОПОС, ОПНОИР по един или по няколко приоритета на съответната програма или програми в съответствие </w:t>
            </w:r>
            <w:r>
              <w:rPr>
                <w:szCs w:val="24"/>
              </w:rPr>
              <w:lastRenderedPageBreak/>
              <w:t>с правилата за тези фондове. 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rsidR="00012A46" w:rsidRDefault="00836FCA">
            <w:pPr>
              <w:spacing w:before="240" w:after="240"/>
              <w:jc w:val="left"/>
              <w:rPr>
                <w:szCs w:val="24"/>
              </w:rPr>
            </w:pPr>
            <w:r>
              <w:rPr>
                <w:szCs w:val="24"/>
              </w:rPr>
              <w:t>В програмния период 2014-2020 подхода LEADER/ВОМР включва 64 местни инициативни групи, включващи територията на 117 общини, с население 1 646 496 души и територия 53 828 кв. км.</w:t>
            </w:r>
          </w:p>
          <w:p w:rsidR="00012A46" w:rsidRDefault="00836FCA">
            <w:pPr>
              <w:spacing w:before="240" w:after="240"/>
              <w:jc w:val="left"/>
              <w:rPr>
                <w:szCs w:val="24"/>
              </w:rPr>
            </w:pPr>
            <w:r>
              <w:rPr>
                <w:szCs w:val="24"/>
              </w:rPr>
              <w:t>Подкрепата за Воденото от общностите местно развитие обхваща следните подмерки:</w:t>
            </w:r>
          </w:p>
          <w:p w:rsidR="00012A46" w:rsidRDefault="00836FCA">
            <w:pPr>
              <w:spacing w:before="240" w:after="240"/>
              <w:jc w:val="left"/>
              <w:rPr>
                <w:szCs w:val="24"/>
              </w:rPr>
            </w:pPr>
            <w:r>
              <w:rPr>
                <w:szCs w:val="24"/>
              </w:rPr>
              <w:t>- Подмярка 19.1 “Помощ за подготвителни дейности”;</w:t>
            </w:r>
          </w:p>
          <w:p w:rsidR="00012A46" w:rsidRPr="00836FCA" w:rsidRDefault="00836FCA">
            <w:pPr>
              <w:spacing w:before="240" w:after="240"/>
              <w:jc w:val="left"/>
              <w:rPr>
                <w:szCs w:val="24"/>
                <w:lang w:val="bg-BG"/>
              </w:rPr>
            </w:pPr>
            <w:r>
              <w:rPr>
                <w:szCs w:val="24"/>
              </w:rPr>
              <w:t>- Подмярка 19.2 „Прилагане на операции в рамките на стратегии за Водено от общностите местно развитие”</w:t>
            </w:r>
            <w:r>
              <w:rPr>
                <w:szCs w:val="24"/>
                <w:lang w:val="bg-BG"/>
              </w:rPr>
              <w:t>;</w:t>
            </w:r>
          </w:p>
          <w:p w:rsidR="00012A46" w:rsidRPr="00836FCA" w:rsidRDefault="00836FCA">
            <w:pPr>
              <w:spacing w:before="240" w:after="240"/>
              <w:jc w:val="left"/>
              <w:rPr>
                <w:szCs w:val="24"/>
                <w:lang w:val="bg-BG"/>
              </w:rPr>
            </w:pPr>
            <w:r>
              <w:rPr>
                <w:szCs w:val="24"/>
              </w:rPr>
              <w:t>- Подмярка 19.3 „Подготовка и изпълнение на дейности за сътрудничество на МИГ“</w:t>
            </w:r>
            <w:r>
              <w:rPr>
                <w:szCs w:val="24"/>
                <w:lang w:val="bg-BG"/>
              </w:rPr>
              <w:t>;</w:t>
            </w:r>
          </w:p>
          <w:p w:rsidR="00012A46" w:rsidRPr="00836FCA" w:rsidRDefault="00836FCA">
            <w:pPr>
              <w:spacing w:before="240" w:after="240"/>
              <w:jc w:val="left"/>
              <w:rPr>
                <w:szCs w:val="24"/>
                <w:lang w:val="bg-BG"/>
              </w:rPr>
            </w:pPr>
            <w:r>
              <w:rPr>
                <w:szCs w:val="24"/>
              </w:rPr>
              <w:t>- Подмярка 19.4 „Текущи разходи и популяризиране на стратегия за водено от общностите местно развитие“</w:t>
            </w:r>
            <w:r>
              <w:rPr>
                <w:szCs w:val="24"/>
                <w:lang w:val="bg-BG"/>
              </w:rPr>
              <w:t>.</w:t>
            </w:r>
          </w:p>
          <w:p w:rsidR="00012A46" w:rsidRDefault="00836FCA">
            <w:pPr>
              <w:spacing w:before="240" w:after="240"/>
              <w:jc w:val="left"/>
              <w:rPr>
                <w:szCs w:val="24"/>
              </w:rPr>
            </w:pPr>
            <w:r>
              <w:rPr>
                <w:b/>
                <w:bCs/>
                <w:i/>
                <w:iCs/>
                <w:szCs w:val="24"/>
              </w:rPr>
              <w:t>Подмярка 19.1 “Помощ за подготвителни дейности”</w:t>
            </w:r>
          </w:p>
          <w:p w:rsidR="00012A46" w:rsidRDefault="00836FCA">
            <w:pPr>
              <w:spacing w:before="240" w:after="240"/>
              <w:jc w:val="left"/>
              <w:rPr>
                <w:szCs w:val="24"/>
              </w:rPr>
            </w:pPr>
            <w:r>
              <w:rPr>
                <w:szCs w:val="24"/>
              </w:rPr>
              <w:t>Изпълнението на подмярка 19.1 стартира през 2015 г. с провеждане на два приема на заявления за подпомагане, в рамките на които постъпват общо 133 заявления. Сключени са 100 договора на обща стойност 2 596 270,45 евро, в които за изпълнение на дейности по подмярката участваха 180 общини, обхващащи население от 2 309 619 жители и територия от 74 433 кв. км, което представлява 78% от територията на селските райони на страната.</w:t>
            </w:r>
          </w:p>
          <w:p w:rsidR="00012A46" w:rsidRDefault="00836FCA">
            <w:pPr>
              <w:spacing w:before="240" w:after="240"/>
              <w:jc w:val="left"/>
              <w:rPr>
                <w:szCs w:val="24"/>
              </w:rPr>
            </w:pPr>
            <w:r>
              <w:rPr>
                <w:szCs w:val="24"/>
              </w:rPr>
              <w:t>Чрез изпълнените дейности от бенефициентите са организирани и проведени около 1200 публични събития (конференции, семинари, срещи, обучения и др.).</w:t>
            </w:r>
          </w:p>
          <w:p w:rsidR="00012A46" w:rsidRDefault="00836FCA">
            <w:pPr>
              <w:spacing w:before="240" w:after="240"/>
              <w:jc w:val="left"/>
              <w:rPr>
                <w:szCs w:val="24"/>
              </w:rPr>
            </w:pPr>
            <w:r>
              <w:rPr>
                <w:szCs w:val="24"/>
              </w:rPr>
              <w:t>През 2020 г. е проведена първата процедура за набиране на проектни предложения по подмярката в частта на малките пилотни проекти на мярка 19 „Водено от общностите местно развитие“, по която са постъпили 7 проектни предложения на обща стойност 0,10 млн. евро, от които са одобрени 6 на обща стойност 0,08 млн. евро. През същата година е стартирала и втора процедура по подмярката в частта на малките пилотни проекти, по която са приети 24 проектни предложения с общ размер на заявената субсидия 2,16 млн. евро, като действащите към момента договори са 12 на с общ размер на одобреното финансиране 0,80 млн. евро.</w:t>
            </w:r>
          </w:p>
          <w:p w:rsidR="00012A46" w:rsidRDefault="00836FCA">
            <w:pPr>
              <w:spacing w:before="240" w:after="240"/>
              <w:jc w:val="left"/>
              <w:rPr>
                <w:szCs w:val="24"/>
              </w:rPr>
            </w:pPr>
            <w:r>
              <w:rPr>
                <w:szCs w:val="24"/>
              </w:rPr>
              <w:t>През 2022 г. е проведена процедура за подбор на проектни предложения по подмярката с бюджет в размер на 3,50 млн. евро, по която са постъпили 111 проектни предложения с обща стойност на безвъзмездната финансова помощ (БФП) в размер на 2,67 млн. евро, от които 60 са подадени от МИГ, изпълняващи стратегии за ВОМР, 27 – от МИГ, които не изпълняват стратегия за ВОМР и 24 – са подадени от общини, кандидатстващи за създаване на местно партньорство. Четири от общините, участващи в МИГ и изпълняващи стратегия за ВОМР, са част от проектни предложения за създаване на ново местно партньорство или за присъединяване към съседни МИГ.</w:t>
            </w:r>
          </w:p>
          <w:p w:rsidR="00012A46" w:rsidRDefault="00836FCA">
            <w:pPr>
              <w:spacing w:before="240" w:after="240"/>
              <w:jc w:val="left"/>
              <w:rPr>
                <w:szCs w:val="24"/>
              </w:rPr>
            </w:pPr>
            <w:r>
              <w:rPr>
                <w:szCs w:val="24"/>
              </w:rPr>
              <w:t>Одобрени за финансиране са 107 проектни предложения, обхващащи територията на 196 общини, с общ размер на БФП в размер на 2,53 млн. евро.</w:t>
            </w:r>
          </w:p>
          <w:p w:rsidR="00012A46" w:rsidRDefault="00836FCA">
            <w:pPr>
              <w:spacing w:before="240" w:after="240"/>
              <w:jc w:val="left"/>
              <w:rPr>
                <w:szCs w:val="24"/>
              </w:rPr>
            </w:pPr>
            <w:r>
              <w:rPr>
                <w:szCs w:val="24"/>
              </w:rPr>
              <w:t xml:space="preserve">Към момента на изготвяне на настоящия доклад всички проекти са изпълнени, като стойността на </w:t>
            </w:r>
            <w:r>
              <w:rPr>
                <w:szCs w:val="24"/>
              </w:rPr>
              <w:lastRenderedPageBreak/>
              <w:t>изплатената БФП по всички тях е в размер на 1,74 млн. евро.</w:t>
            </w:r>
          </w:p>
          <w:p w:rsidR="00012A46" w:rsidRDefault="00836FCA">
            <w:pPr>
              <w:spacing w:before="240" w:after="240"/>
              <w:jc w:val="left"/>
              <w:rPr>
                <w:szCs w:val="24"/>
              </w:rPr>
            </w:pPr>
            <w:r>
              <w:rPr>
                <w:szCs w:val="24"/>
              </w:rPr>
              <w:t>Обща стойност на изплатените средства по подмярката към края на 2023 г. с натрупване е 4,19 млн. евро, като от тях от пилотните проекти са разплатени общо 0,44 млн. евро.</w:t>
            </w:r>
          </w:p>
          <w:p w:rsidR="00012A46" w:rsidRDefault="00836FCA">
            <w:pPr>
              <w:spacing w:before="240" w:after="240"/>
              <w:jc w:val="left"/>
              <w:rPr>
                <w:szCs w:val="24"/>
              </w:rPr>
            </w:pPr>
            <w:r>
              <w:rPr>
                <w:b/>
                <w:bCs/>
                <w:i/>
                <w:iCs/>
                <w:szCs w:val="24"/>
              </w:rPr>
              <w:t xml:space="preserve">Подмярка 19.2 „Прилагане на операции в рамките на стратегии за Водено от общностите местно развитие” </w:t>
            </w:r>
          </w:p>
          <w:p w:rsidR="00012A46" w:rsidRDefault="00836FCA">
            <w:pPr>
              <w:spacing w:before="240" w:after="240"/>
              <w:jc w:val="left"/>
              <w:rPr>
                <w:szCs w:val="24"/>
              </w:rPr>
            </w:pPr>
            <w:r>
              <w:rPr>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w:t>
            </w:r>
          </w:p>
          <w:p w:rsidR="00012A46" w:rsidRDefault="00836FCA">
            <w:pPr>
              <w:spacing w:before="240" w:after="240"/>
              <w:jc w:val="left"/>
              <w:rPr>
                <w:szCs w:val="24"/>
              </w:rPr>
            </w:pPr>
            <w:r>
              <w:rPr>
                <w:szCs w:val="24"/>
              </w:rPr>
              <w:t>През 2023 г. не са провеждани нови приеми на заявления за подбор на МИГ и одобрение на стратегии за ВОМР, като одобрените МИГ са 64, действащи в 117 общини, обхващащи територия от 53,8 хил. кв. км. и 1,65 млн. население. От 64 стратегии, 25 са еднофондови, а 39 са многофондови.</w:t>
            </w:r>
          </w:p>
          <w:p w:rsidR="00012A46" w:rsidRDefault="00836FCA">
            <w:pPr>
              <w:spacing w:before="240" w:after="240"/>
              <w:jc w:val="left"/>
              <w:rPr>
                <w:szCs w:val="24"/>
              </w:rPr>
            </w:pPr>
            <w:r>
              <w:rPr>
                <w:szCs w:val="24"/>
              </w:rPr>
              <w:t>През преходния период 2021 – 2022 г. бюджетът на подмярката за проекти към СВОМР е увеличен с 26,17 млн. евро, като всяка една от МИГ, изпълняваща стратегии за ВОМР, получи допълнително финансиране по линия на ЕЗФРСР в размер на 0,47 млн. евро.</w:t>
            </w:r>
          </w:p>
          <w:p w:rsidR="00012A46" w:rsidRDefault="00836FCA">
            <w:pPr>
              <w:spacing w:before="240" w:after="240"/>
              <w:jc w:val="left"/>
              <w:rPr>
                <w:szCs w:val="24"/>
              </w:rPr>
            </w:pPr>
            <w:r>
              <w:rPr>
                <w:szCs w:val="24"/>
              </w:rPr>
              <w:t>По този начин средствата за проекти към изпълняващите се към момента стратегии по подхода ВОМР, с предоставения за преходния период бюджет, са в размер на 182,18 млн. евро.</w:t>
            </w:r>
          </w:p>
          <w:p w:rsidR="00012A46" w:rsidRDefault="00836FCA">
            <w:pPr>
              <w:spacing w:before="240" w:after="240"/>
              <w:jc w:val="left"/>
              <w:rPr>
                <w:szCs w:val="24"/>
              </w:rPr>
            </w:pPr>
            <w:r>
              <w:rPr>
                <w:szCs w:val="24"/>
              </w:rPr>
              <w:t>Към 31 декември 2023 г., договорените проекти с други източници на финансиране са:</w:t>
            </w:r>
          </w:p>
          <w:p w:rsidR="00012A46" w:rsidRDefault="00836FCA">
            <w:pPr>
              <w:spacing w:before="240" w:after="240"/>
              <w:jc w:val="left"/>
              <w:rPr>
                <w:szCs w:val="24"/>
              </w:rPr>
            </w:pPr>
            <w:r>
              <w:rPr>
                <w:szCs w:val="24"/>
              </w:rPr>
              <w:t>- ОПОС /ЕФРР/ - 10 договора с БФП в размер на 5,43 млн. евро;</w:t>
            </w:r>
          </w:p>
          <w:p w:rsidR="00012A46" w:rsidRDefault="00836FCA">
            <w:pPr>
              <w:spacing w:before="240" w:after="240"/>
              <w:jc w:val="left"/>
              <w:rPr>
                <w:szCs w:val="24"/>
              </w:rPr>
            </w:pPr>
            <w:r>
              <w:rPr>
                <w:szCs w:val="24"/>
              </w:rPr>
              <w:t>- ОПИК /ЕФРР/ - 212 договора с БФП в размер на 26,23 млн. евро;</w:t>
            </w:r>
          </w:p>
          <w:p w:rsidR="00012A46" w:rsidRDefault="00836FCA">
            <w:pPr>
              <w:spacing w:before="240" w:after="240"/>
              <w:jc w:val="left"/>
              <w:rPr>
                <w:szCs w:val="24"/>
              </w:rPr>
            </w:pPr>
            <w:r>
              <w:rPr>
                <w:szCs w:val="24"/>
              </w:rPr>
              <w:t>- ОПРЧР /ЕСФ/ - 272 договора с БФП в размер на 37,00 млн. евро;</w:t>
            </w:r>
          </w:p>
          <w:p w:rsidR="00012A46" w:rsidRDefault="00836FCA">
            <w:pPr>
              <w:spacing w:before="240" w:after="240"/>
              <w:jc w:val="left"/>
              <w:rPr>
                <w:szCs w:val="24"/>
              </w:rPr>
            </w:pPr>
            <w:r>
              <w:rPr>
                <w:szCs w:val="24"/>
              </w:rPr>
              <w:t>- ОПНОИР /ЕФРР, ЕСФ/ - 53 договора с БФП в размер на 4,19 млн. евро.</w:t>
            </w:r>
          </w:p>
          <w:p w:rsidR="00012A46" w:rsidRDefault="00836FCA">
            <w:pPr>
              <w:spacing w:before="240" w:after="240"/>
              <w:jc w:val="left"/>
              <w:rPr>
                <w:szCs w:val="24"/>
              </w:rPr>
            </w:pPr>
            <w:r>
              <w:rPr>
                <w:szCs w:val="24"/>
              </w:rPr>
              <w:t>Съответно, за 2023 г. разплатените проекти по други източници на финансиране са:</w:t>
            </w:r>
          </w:p>
          <w:p w:rsidR="00012A46" w:rsidRDefault="00836FCA">
            <w:pPr>
              <w:spacing w:before="240" w:after="240"/>
              <w:jc w:val="left"/>
              <w:rPr>
                <w:szCs w:val="24"/>
              </w:rPr>
            </w:pPr>
            <w:r>
              <w:rPr>
                <w:szCs w:val="24"/>
              </w:rPr>
              <w:t>- ОПОС /ЕФРР/ - по 5 договора са извършени плащания в размер на 2,29 млн. евро;</w:t>
            </w:r>
          </w:p>
          <w:p w:rsidR="00012A46" w:rsidRDefault="00836FCA">
            <w:pPr>
              <w:spacing w:before="240" w:after="240"/>
              <w:jc w:val="left"/>
              <w:rPr>
                <w:szCs w:val="24"/>
              </w:rPr>
            </w:pPr>
            <w:r>
              <w:rPr>
                <w:szCs w:val="24"/>
              </w:rPr>
              <w:t>- ОПИК / ЕФРР/ - по 184 договора са извършени плащания в размер на 24,15 млн. евро;</w:t>
            </w:r>
          </w:p>
          <w:p w:rsidR="00012A46" w:rsidRDefault="00836FCA">
            <w:pPr>
              <w:spacing w:before="240" w:after="240"/>
              <w:jc w:val="left"/>
              <w:rPr>
                <w:szCs w:val="24"/>
              </w:rPr>
            </w:pPr>
            <w:r>
              <w:rPr>
                <w:szCs w:val="24"/>
              </w:rPr>
              <w:t>- ОПРЧР /ЕСФ/ - по 270 договора са извършени плащания в размер на 33,90 млн. евро;</w:t>
            </w:r>
          </w:p>
          <w:p w:rsidR="00012A46" w:rsidRDefault="00836FCA">
            <w:pPr>
              <w:spacing w:before="240" w:after="240"/>
              <w:jc w:val="left"/>
              <w:rPr>
                <w:szCs w:val="24"/>
              </w:rPr>
            </w:pPr>
            <w:r>
              <w:rPr>
                <w:szCs w:val="24"/>
              </w:rPr>
              <w:t>- ОПНОИР /ЕФРР, ЕСФ/ - по 53 договора са извършени плащания в размер на или 3,83 млн. евро, от които окончателните са по 39 проекта.</w:t>
            </w:r>
          </w:p>
          <w:p w:rsidR="00012A46" w:rsidRDefault="00836FCA">
            <w:pPr>
              <w:spacing w:before="240" w:after="240"/>
              <w:jc w:val="left"/>
              <w:rPr>
                <w:szCs w:val="24"/>
              </w:rPr>
            </w:pPr>
            <w:r>
              <w:rPr>
                <w:szCs w:val="24"/>
              </w:rPr>
              <w:t>Към 31.12.2023 г. по подмярката сключените договори са 1678 с обща стойност на БФП в размер на 86,67 млн. евро, като са извършени разплащания от ЕЗФРСР по 832 проекта в размер на 36,01 млн. евро.</w:t>
            </w:r>
          </w:p>
          <w:p w:rsidR="00012A46" w:rsidRDefault="00836FCA">
            <w:pPr>
              <w:spacing w:before="240" w:after="240"/>
              <w:jc w:val="left"/>
              <w:rPr>
                <w:szCs w:val="24"/>
              </w:rPr>
            </w:pPr>
            <w:r>
              <w:rPr>
                <w:szCs w:val="24"/>
              </w:rPr>
              <w:t>ДФ „Земеделие“ обработва постъпилите проектни предложения и процедури на МИГ в нормативно установените срокове.</w:t>
            </w:r>
          </w:p>
          <w:p w:rsidR="00012A46" w:rsidRDefault="00836FCA">
            <w:pPr>
              <w:spacing w:before="240" w:after="240"/>
              <w:jc w:val="left"/>
              <w:rPr>
                <w:szCs w:val="24"/>
              </w:rPr>
            </w:pPr>
            <w:r>
              <w:rPr>
                <w:b/>
                <w:bCs/>
                <w:i/>
                <w:iCs/>
                <w:szCs w:val="24"/>
              </w:rPr>
              <w:lastRenderedPageBreak/>
              <w:t xml:space="preserve">Подмярка 19.3 „Подготовка и изпълнение на дейности за сътрудничество на МИГ“ </w:t>
            </w:r>
          </w:p>
          <w:p w:rsidR="00012A46" w:rsidRDefault="00836FCA">
            <w:pPr>
              <w:spacing w:before="240" w:after="240"/>
              <w:jc w:val="left"/>
              <w:rPr>
                <w:szCs w:val="24"/>
              </w:rPr>
            </w:pPr>
            <w:r>
              <w:rPr>
                <w:szCs w:val="24"/>
              </w:rPr>
              <w:t>По подмярката се подпомагат проекти за подготовка и реализация на вътрешнотериториално и транснационално сътрудничество.</w:t>
            </w:r>
          </w:p>
          <w:p w:rsidR="00012A46" w:rsidRDefault="00836FCA">
            <w:pPr>
              <w:spacing w:before="240" w:after="240"/>
              <w:jc w:val="left"/>
              <w:rPr>
                <w:szCs w:val="24"/>
              </w:rPr>
            </w:pPr>
            <w:r>
              <w:rPr>
                <w:szCs w:val="24"/>
              </w:rPr>
              <w:t>През програмния период 2014 – 2020 г. с подмярка „Подготовка и изпълнение на дейности за сътрудничество на местни инициативни групи“ МИГ се насърчават да осигурят принос в развитието на съответните селски райони, чрез взаимодействие и реализиране на съвместни проекти.</w:t>
            </w:r>
          </w:p>
          <w:p w:rsidR="00012A46" w:rsidRDefault="00836FCA">
            <w:pPr>
              <w:spacing w:before="240" w:after="240"/>
              <w:jc w:val="left"/>
              <w:rPr>
                <w:szCs w:val="24"/>
              </w:rPr>
            </w:pPr>
            <w:r>
              <w:rPr>
                <w:szCs w:val="24"/>
              </w:rPr>
              <w:t>Бюджетът по подмярката е 6,50 млн. евро.</w:t>
            </w:r>
          </w:p>
          <w:p w:rsidR="00012A46" w:rsidRDefault="00836FCA">
            <w:pPr>
              <w:spacing w:before="240" w:after="240"/>
              <w:jc w:val="left"/>
              <w:rPr>
                <w:szCs w:val="24"/>
              </w:rPr>
            </w:pPr>
            <w:r>
              <w:rPr>
                <w:szCs w:val="24"/>
              </w:rPr>
              <w:t>По подмярката са обявявани няколко приема, като, съгласно Регламент (ЕС) 1305/2013 кандидатстването по подмярката е текущо.</w:t>
            </w:r>
          </w:p>
          <w:p w:rsidR="00012A46" w:rsidRDefault="00836FCA">
            <w:pPr>
              <w:spacing w:before="240" w:after="240"/>
              <w:jc w:val="left"/>
              <w:rPr>
                <w:szCs w:val="24"/>
              </w:rPr>
            </w:pPr>
            <w:r>
              <w:rPr>
                <w:szCs w:val="24"/>
              </w:rPr>
              <w:t>През 2023 г. по процедура № BG06RDNP001-19.607 с бюджет в размер на левовата равностойност на 2,47 млн. евро са подадени общо 13 проектни предложения със заявен бюджет в размер на 1,87 млн. евро, като към 31.12.2023 г. 7 са в процес на оценка, 1 е оттеглен и 6 са одобрени за финансиране на стойност 0,42 млн. евро.</w:t>
            </w:r>
          </w:p>
          <w:p w:rsidR="00012A46" w:rsidRDefault="00836FCA">
            <w:pPr>
              <w:spacing w:before="240" w:after="240"/>
              <w:jc w:val="left"/>
              <w:rPr>
                <w:szCs w:val="24"/>
              </w:rPr>
            </w:pPr>
            <w:r>
              <w:rPr>
                <w:szCs w:val="24"/>
              </w:rPr>
              <w:t>Към 31.12.2023 г. по подмярката са извършени разплащания в размер на 2,13 млн. евро общо публични средства.</w:t>
            </w:r>
          </w:p>
          <w:p w:rsidR="00012A46" w:rsidRDefault="00836FCA">
            <w:pPr>
              <w:spacing w:before="240" w:after="240"/>
              <w:jc w:val="left"/>
              <w:rPr>
                <w:szCs w:val="24"/>
              </w:rPr>
            </w:pPr>
            <w:r>
              <w:rPr>
                <w:b/>
                <w:bCs/>
                <w:i/>
                <w:iCs/>
                <w:szCs w:val="24"/>
              </w:rPr>
              <w:t>Подмярка 19.4 „Текущи разходи и популяризиране на стратегия за водено от общностите местно развитие“</w:t>
            </w:r>
          </w:p>
          <w:p w:rsidR="00012A46" w:rsidRDefault="00836FCA">
            <w:pPr>
              <w:spacing w:before="240" w:after="240"/>
              <w:jc w:val="left"/>
              <w:rPr>
                <w:szCs w:val="24"/>
              </w:rPr>
            </w:pPr>
            <w:r>
              <w:rPr>
                <w:szCs w:val="24"/>
              </w:rPr>
              <w:t>Подмярка 19.4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rsidR="00012A46" w:rsidRDefault="00836FCA">
            <w:pPr>
              <w:spacing w:before="240" w:after="240"/>
              <w:jc w:val="left"/>
              <w:rPr>
                <w:szCs w:val="24"/>
              </w:rPr>
            </w:pPr>
            <w:r>
              <w:rPr>
                <w:szCs w:val="24"/>
              </w:rPr>
              <w:t>През 2023 г., след увеличаване на общия бюджет за ВОМР по ПРСР 2014-2020 г., беше увеличен и бюджетът по подмярката за всяка МИГ. В резултат на това, към 31.12.2022 г. общият одобрен размер на финансовата помощ за МИГ по подмярка 19.4 е в размер на 34,09 млн. евро.</w:t>
            </w:r>
          </w:p>
          <w:p w:rsidR="00012A46" w:rsidRDefault="00836FCA">
            <w:pPr>
              <w:spacing w:before="240" w:after="240"/>
              <w:jc w:val="left"/>
              <w:rPr>
                <w:szCs w:val="24"/>
              </w:rPr>
            </w:pPr>
            <w:r>
              <w:rPr>
                <w:szCs w:val="24"/>
              </w:rPr>
              <w:t>Към 31.12.2023 г. по подмярката на МИГ от страна на Разплащателна агенция са възстановени общо публични средства в размер на 28,99 млн. евро, като разплатените средства само през 2023 г. са в размер на 4,49 млн. евро.</w:t>
            </w:r>
          </w:p>
          <w:p w:rsidR="00012A46" w:rsidRDefault="00836FCA">
            <w:pPr>
              <w:spacing w:before="240" w:after="240"/>
              <w:jc w:val="left"/>
              <w:rPr>
                <w:szCs w:val="24"/>
              </w:rPr>
            </w:pPr>
            <w:r>
              <w:rPr>
                <w:b/>
                <w:bCs/>
                <w:szCs w:val="24"/>
              </w:rPr>
              <w:t xml:space="preserve">Мярка 20 „Техническа помощ“ </w:t>
            </w:r>
          </w:p>
          <w:p w:rsidR="00012A46" w:rsidRDefault="00836FCA">
            <w:pPr>
              <w:spacing w:before="240" w:after="240"/>
              <w:jc w:val="left"/>
              <w:rPr>
                <w:szCs w:val="24"/>
              </w:rPr>
            </w:pPr>
            <w:r>
              <w:rPr>
                <w:szCs w:val="24"/>
              </w:rPr>
              <w:t>Мярка 20 „Техническа помощ“ има ключова роля за прилагане на Програмата. Това се постига чрез дейности, насочени към осигуряване на информираност и публичност на ПРСР, извършване на анализи, проучвания, изследвания и оценки, както и техническо обезпечение и възнаграждения за УО и РА.</w:t>
            </w:r>
          </w:p>
          <w:p w:rsidR="00012A46" w:rsidRDefault="00836FCA">
            <w:pPr>
              <w:spacing w:before="240" w:after="240"/>
              <w:jc w:val="left"/>
              <w:rPr>
                <w:szCs w:val="24"/>
              </w:rPr>
            </w:pPr>
            <w:r>
              <w:rPr>
                <w:szCs w:val="24"/>
              </w:rPr>
              <w:t>Към края на 2023 г. по мярката са постъпили заявления за подпомагане с обща стойност от 76,8 млн. евро, а сключените договори и изпълнените дейности по мярката са на обща стойност 62,8 млн. евро.</w:t>
            </w:r>
          </w:p>
          <w:p w:rsidR="00012A46" w:rsidRDefault="00836FCA">
            <w:pPr>
              <w:spacing w:before="240" w:after="240"/>
              <w:jc w:val="left"/>
              <w:rPr>
                <w:szCs w:val="24"/>
              </w:rPr>
            </w:pPr>
            <w:r>
              <w:rPr>
                <w:szCs w:val="24"/>
              </w:rPr>
              <w:t xml:space="preserve">Тези договори имат значителен принос за популяризиране на разходването на средства от ЕЗФРСР, тъй като чрез тяхното изпълнение, на широката общественост са представени проекти, финансирани със средства от ПРСР 2014-2020 г., обучени са както кандидати и бенефициенти на ПРСР, вкл. и местни инициативни групи, така и представители на администрацията, ангажирана с прилагането на </w:t>
            </w:r>
            <w:r>
              <w:rPr>
                <w:szCs w:val="24"/>
              </w:rPr>
              <w:lastRenderedPageBreak/>
              <w:t>ПРСР (Управляващия орган и Разплащателната агенция).</w:t>
            </w:r>
          </w:p>
          <w:p w:rsidR="00012A46" w:rsidRDefault="00836FCA">
            <w:pPr>
              <w:spacing w:before="240" w:after="240"/>
              <w:jc w:val="left"/>
              <w:rPr>
                <w:szCs w:val="24"/>
              </w:rPr>
            </w:pPr>
            <w:r>
              <w:rPr>
                <w:szCs w:val="24"/>
              </w:rPr>
              <w:t>Към края на 2023 г. по мярката са разплатени 53 млн. евро, общо публични средства, от които 11.3 млн. евро публични средства - само в рамките на календарната 2023 г.</w:t>
            </w:r>
          </w:p>
          <w:p w:rsidR="00012A46" w:rsidRDefault="00836FCA">
            <w:pPr>
              <w:spacing w:before="240" w:after="240"/>
              <w:jc w:val="left"/>
              <w:rPr>
                <w:szCs w:val="24"/>
              </w:rPr>
            </w:pPr>
            <w:r>
              <w:rPr>
                <w:b/>
                <w:bCs/>
                <w:szCs w:val="24"/>
              </w:rPr>
              <w:t>Общ анализ на резултатите от оценката на изпълнението на ПРСР 2014-2020 към 31.12.2023 г.</w:t>
            </w:r>
          </w:p>
          <w:p w:rsidR="00012A46" w:rsidRDefault="00836FCA">
            <w:pPr>
              <w:spacing w:before="240" w:after="240"/>
              <w:jc w:val="left"/>
              <w:rPr>
                <w:szCs w:val="24"/>
              </w:rPr>
            </w:pPr>
            <w:r>
              <w:rPr>
                <w:szCs w:val="24"/>
              </w:rPr>
              <w:t>Разплатените към 31.12.2023 г. субсидии по ПРСР 2014-2020 представляват 70 % от целия наличен бюджет на ПРСР, или 2 653 795 712 евро публични средства (средства от ЕЗФРСР + такива от национален бюджет). </w:t>
            </w:r>
          </w:p>
          <w:p w:rsidR="00012A46" w:rsidRDefault="00836FCA">
            <w:pPr>
              <w:spacing w:before="240" w:after="240"/>
              <w:jc w:val="left"/>
              <w:rPr>
                <w:szCs w:val="24"/>
              </w:rPr>
            </w:pPr>
            <w:r>
              <w:rPr>
                <w:szCs w:val="24"/>
              </w:rPr>
              <w:t>Договорените средства (без отчитане на поети бъдещи+преходни задължения по мерките с многогодишен ангажимент от ПРСР) представляват 92,7 % спрямо целия бюджет на ПРСР, или 3 517 704 075 евро публични средства.</w:t>
            </w:r>
          </w:p>
          <w:p w:rsidR="00012A46" w:rsidRDefault="00836FCA">
            <w:pPr>
              <w:spacing w:before="240" w:after="240"/>
              <w:jc w:val="left"/>
              <w:rPr>
                <w:szCs w:val="24"/>
              </w:rPr>
            </w:pPr>
            <w:r>
              <w:rPr>
                <w:szCs w:val="24"/>
              </w:rPr>
              <w:t>На 19 ноември 2021 г., с Решение C(2021) 8541 на ЕК бе одобрено най-голямото изменение в Програмата, с което се прибавят към текущите 2,9 млрд. евро нови 900 милиона евро, като общият бюджет на цялата програма се увеличава до 3,8 млрд. евро, които вече са на разположение на бенефициентите. Следвайки старите разчети, процентът разплащане, съответно договаряне към 31.12.2023 г. би бил 92% разплатени, при договорени 100% по Програмата.</w:t>
            </w:r>
          </w:p>
          <w:p w:rsidR="00012A46" w:rsidRDefault="00836FCA">
            <w:pPr>
              <w:spacing w:before="240" w:after="240"/>
              <w:jc w:val="left"/>
              <w:rPr>
                <w:szCs w:val="24"/>
              </w:rPr>
            </w:pPr>
            <w:r>
              <w:rPr>
                <w:b/>
                <w:bCs/>
                <w:szCs w:val="24"/>
              </w:rPr>
              <w:t xml:space="preserve">Изпълнение на правилото N+3 към края на 2023 г. </w:t>
            </w:r>
          </w:p>
          <w:p w:rsidR="00012A46" w:rsidRDefault="00836FCA">
            <w:pPr>
              <w:spacing w:before="240" w:after="240"/>
              <w:jc w:val="left"/>
              <w:rPr>
                <w:szCs w:val="24"/>
              </w:rPr>
            </w:pPr>
            <w:r>
              <w:rPr>
                <w:szCs w:val="24"/>
              </w:rPr>
              <w:t>В началото на м. януари 2023 г., Управляващият орган на ПРСР 2014 – 2020 г., заедно с ДФЗ-РА идентифицираха риск по отношение на разплащанията (чл. 38, ал. 1 от Регламент (ЕС) № 1306/2013) по Програмата, независимо, че в края на 2022 г. бяха надплатени допълнително над планираните ~7 млн. евро средства от ЕЗФРСР. Допускането, направено в началото на 2023 г. бе, че с голяма вероятност може да се предположи - без допълнителни мерки, под риск биха били поне 100-120 млн. евро от ЕЗФРСР. В резултат бе изработен план за действие за намаляване на риска от автоматично отчисление на средства. Една част от мерките в плана бяха пряко свързани с изменение в ПРСР 2014-2020 г., което включваше и прехвърляне на средства между мерки и подмерки, както и въвеждане на възможност за индексация на разходи.</w:t>
            </w:r>
          </w:p>
          <w:p w:rsidR="00012A46" w:rsidRDefault="00836FCA">
            <w:pPr>
              <w:spacing w:before="240" w:after="240"/>
              <w:jc w:val="left"/>
              <w:rPr>
                <w:szCs w:val="24"/>
              </w:rPr>
            </w:pPr>
            <w:r>
              <w:rPr>
                <w:szCs w:val="24"/>
              </w:rPr>
              <w:t>След консултации с Комитета по наблюдение на ПРСР 2014-2020, изменението на Програмата бе подготвено, и изпратено за първи път за оценка от службите на ЕК на 10.05.2023 г. След оперативен анализ и предварителната комуникация със службите на ЕК, част от промените, заложени в шестнадесетото изменение вече са осъществени, въпреки това към края на 2023 г., съгласно правилото N+3, рискът по отношение на разплащанията на средства по ПРСР 2014-2020 г. все още бе налице, в размер на 41.9 млн. евро от ЕЗФРСР.</w:t>
            </w:r>
          </w:p>
          <w:p w:rsidR="00012A46" w:rsidRDefault="00836FCA">
            <w:pPr>
              <w:spacing w:before="240" w:after="240"/>
              <w:jc w:val="left"/>
              <w:rPr>
                <w:szCs w:val="24"/>
              </w:rPr>
            </w:pPr>
            <w:r>
              <w:rPr>
                <w:szCs w:val="24"/>
              </w:rPr>
              <w:t>След като се взеха предвид разпоредбите на член 38, параграфи 3 и 4 от Регламент (ЕС) № 1306/2013, УО на ПРСР, заедно с ДФЗ-РА се възползваха от предвидените изключения в тези два параграфа, и предложиха на ЕК да бъдат изключени от калкулациите на основание възникването на непреодолима сила (Force majeure), съдебно производство или административно обжалване с отлагателно действие, които възпрепятстват разплащанията от страна на ДФЗ-РА суми в размер на 53 млн. евро от ЕЗФРСР.</w:t>
            </w:r>
          </w:p>
          <w:p w:rsidR="00012A46" w:rsidRDefault="00836FCA">
            <w:pPr>
              <w:spacing w:before="240" w:after="240"/>
              <w:jc w:val="left"/>
              <w:rPr>
                <w:szCs w:val="24"/>
              </w:rPr>
            </w:pPr>
            <w:r>
              <w:rPr>
                <w:szCs w:val="24"/>
              </w:rPr>
              <w:t xml:space="preserve">След приключване на преговорния процес със службите на ЕК във връзка с претендираните от УО на ПРСР „форсмажорни обстоятелства“, възпрепятствали извършването на плащания в рамките на календарната 2023 г., с писмо от м. март 2024 г. главна дирекция „Земеделие“ в ЕК уведоми </w:t>
            </w:r>
            <w:r>
              <w:rPr>
                <w:szCs w:val="24"/>
              </w:rPr>
              <w:lastRenderedPageBreak/>
              <w:t>българските власти, че за 2023 г. размерът на бюджетните задължения за 2020 г., които трябва да бъдат отменени, е равен на 0,00 евро. Допълнително, ГД „Земеделие“ информира, че средства в размер на 32,1 млн. евро от ЕЗФРСР, признати като „форсмажор“, могат да бъдат отчетени като ефективни плащания до края на периода на допустимост на ПРСР, а именно до  31.12.2025 г. Платени средства в такъв размер няма да бъдат изисквани задължително като извършени плащания до 31.12.2024 г.    </w:t>
            </w:r>
          </w:p>
          <w:p w:rsidR="00012A46" w:rsidRDefault="00836FCA">
            <w:pPr>
              <w:spacing w:before="240" w:after="240"/>
              <w:jc w:val="left"/>
              <w:rPr>
                <w:szCs w:val="24"/>
              </w:rPr>
            </w:pPr>
            <w:r>
              <w:rPr>
                <w:b/>
                <w:bCs/>
                <w:szCs w:val="24"/>
              </w:rPr>
              <w:t xml:space="preserve">Постигане на целите от Рамката за изпълнение на </w:t>
            </w:r>
            <w:r w:rsidR="00C94584">
              <w:rPr>
                <w:b/>
                <w:bCs/>
                <w:szCs w:val="24"/>
                <w:lang w:val="bg-BG"/>
              </w:rPr>
              <w:t>ПРСР</w:t>
            </w:r>
            <w:r>
              <w:rPr>
                <w:b/>
                <w:bCs/>
                <w:szCs w:val="24"/>
              </w:rPr>
              <w:t xml:space="preserve"> 2014-2020 към 31.12.2023 г. </w:t>
            </w:r>
          </w:p>
          <w:p w:rsidR="00012A46" w:rsidRDefault="00836FCA">
            <w:pPr>
              <w:spacing w:before="240" w:after="240"/>
              <w:jc w:val="left"/>
              <w:rPr>
                <w:szCs w:val="24"/>
              </w:rPr>
            </w:pPr>
            <w:r>
              <w:rPr>
                <w:szCs w:val="24"/>
              </w:rPr>
              <w:t>Рамката за изпълнение на ПРСР 2014-2020 се базира на разпоредбите на членове 20-22 от Регламент 1303/2013. С приемането на т. нар. „Преходен“ регламент - Регламент (ЕС) 2020/2220 на Eвропейския парламент и на Съвета от 23 декември 2020 година, държавите членки най-общо казано следва да прибавят към текущия програмен период два от годишните бюджети, първоначално разпределени за следващият програмен период  (2021-2027). По този начин окончателният преглед на показателите от Рамката за изпълнение на ПРСР 2014-2020 се измества с две календарни години, до края на 2025 г.</w:t>
            </w:r>
          </w:p>
          <w:p w:rsidR="00012A46" w:rsidRDefault="00836FCA">
            <w:pPr>
              <w:spacing w:before="240" w:after="240"/>
              <w:jc w:val="left"/>
              <w:rPr>
                <w:szCs w:val="24"/>
              </w:rPr>
            </w:pPr>
            <w:r>
              <w:rPr>
                <w:szCs w:val="24"/>
              </w:rPr>
              <w:t>Представената ситуация в таблица Е е на база данни към 31.12.2023 г., като някои от по-ниските нива на усвояване се дължат именно на факта, че конкретно за ПРСР 2014-2020 предстоят още две години прилагане, през които съответните показатели се предвижда да бъдат изпълнени в цялост.</w:t>
            </w:r>
          </w:p>
          <w:p w:rsidR="00012A46" w:rsidRDefault="00012A46">
            <w:pPr>
              <w:pStyle w:val="BodyText"/>
            </w:pPr>
          </w:p>
        </w:tc>
      </w:tr>
    </w:tbl>
    <w:p w:rsidR="00012A46" w:rsidRDefault="00836FCA">
      <w:pPr>
        <w:pStyle w:val="Heading2"/>
      </w:pPr>
      <w:bookmarkStart w:id="6" w:name="_Toc169016413"/>
      <w:r>
        <w:lastRenderedPageBreak/>
        <w:t>Ключова информация относно постиженията във връзка с етапните цели, определени в рамката на изпълнението въз основа на таблица Е</w:t>
      </w:r>
      <w:bookmarkEnd w:id="6"/>
    </w:p>
    <w:p w:rsidR="00012A46" w:rsidRDefault="00836FCA">
      <w:r>
        <w:t>Този раздел се отнася само за годишния/ите доклад/и за изпълнението 2016, 2017, 2018</w:t>
      </w:r>
    </w:p>
    <w:p w:rsidR="00012A46" w:rsidRDefault="00012A46">
      <w:pPr>
        <w:sectPr w:rsidR="00012A46">
          <w:pgSz w:w="12240" w:h="15840"/>
          <w:pgMar w:top="900" w:right="900" w:bottom="900" w:left="900" w:header="720" w:footer="720" w:gutter="0"/>
          <w:cols w:space="720"/>
        </w:sectPr>
      </w:pPr>
    </w:p>
    <w:p w:rsidR="00012A46" w:rsidRDefault="00836FCA">
      <w:pPr>
        <w:pStyle w:val="Heading2"/>
      </w:pPr>
      <w:bookmarkStart w:id="7" w:name="_Toc169016414"/>
      <w:r>
        <w:lastRenderedPageBreak/>
        <w:t>Друг конкретен елемент по ПРСР [незадължително]</w:t>
      </w:r>
      <w:bookmarkEnd w:id="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012A46">
        <w:tc>
          <w:tcPr>
            <w:tcW w:w="12000" w:type="dxa"/>
            <w:shd w:val="clear" w:color="auto" w:fill="auto"/>
            <w:vAlign w:val="center"/>
          </w:tcPr>
          <w:p w:rsidR="00012A46" w:rsidRDefault="00836FCA">
            <w:pPr>
              <w:spacing w:before="0" w:after="240"/>
              <w:jc w:val="left"/>
              <w:rPr>
                <w:szCs w:val="24"/>
              </w:rPr>
            </w:pPr>
            <w:r>
              <w:rPr>
                <w:b/>
                <w:bCs/>
                <w:szCs w:val="24"/>
                <w:u w:val="single"/>
              </w:rPr>
              <w:t>Извършени промени в Програмата</w:t>
            </w:r>
          </w:p>
          <w:p w:rsidR="00012A46" w:rsidRDefault="00836FCA">
            <w:pPr>
              <w:spacing w:before="240" w:after="240"/>
              <w:jc w:val="left"/>
              <w:rPr>
                <w:szCs w:val="24"/>
              </w:rPr>
            </w:pPr>
            <w:r>
              <w:rPr>
                <w:szCs w:val="24"/>
              </w:rPr>
              <w:t>През календарната 2023 г. са предложени, съответно одобрени от службите на ЕК две основни изменения в ПРСР 2014-2020 г.</w:t>
            </w:r>
          </w:p>
          <w:p w:rsidR="00012A46" w:rsidRDefault="00836FCA">
            <w:pPr>
              <w:spacing w:before="240" w:after="240"/>
              <w:jc w:val="left"/>
              <w:rPr>
                <w:szCs w:val="24"/>
              </w:rPr>
            </w:pPr>
            <w:r>
              <w:rPr>
                <w:b/>
                <w:bCs/>
                <w:szCs w:val="24"/>
              </w:rPr>
              <w:t>Петнадесето изменение на ПРСР 2014-2020 г.:</w:t>
            </w:r>
          </w:p>
          <w:p w:rsidR="00012A46" w:rsidRDefault="00836FCA">
            <w:pPr>
              <w:spacing w:before="240" w:after="240"/>
              <w:jc w:val="left"/>
              <w:rPr>
                <w:szCs w:val="24"/>
              </w:rPr>
            </w:pPr>
            <w:r>
              <w:rPr>
                <w:szCs w:val="24"/>
              </w:rPr>
              <w:t>Изпратено за първи път на 23.02.2023  г., одобрено на 21.03.2023 г.</w:t>
            </w:r>
          </w:p>
          <w:p w:rsidR="00012A46" w:rsidRDefault="00836FCA">
            <w:pPr>
              <w:spacing w:before="240" w:after="240"/>
              <w:jc w:val="left"/>
              <w:rPr>
                <w:szCs w:val="24"/>
              </w:rPr>
            </w:pPr>
            <w:r>
              <w:rPr>
                <w:szCs w:val="24"/>
              </w:rPr>
              <w:t>С четиринадесето изменение на Програмата за развитие на селските райони (2014-2020), което бе изпратено за първи път за оценка от службите на ЕК на 18.11.2022 г., и одобрено с Решение за изпълнение на Комисията C(2022) 9936 от 19.12.2022 г., е стартирана първата подмярка на Мярка 22 - Подмярка 22.1. „Извънредно временно подпомагане за земеделски стопани, които са особено засегнати от последиците от руското нашествие в Украйна“.</w:t>
            </w:r>
          </w:p>
          <w:p w:rsidR="00012A46" w:rsidRDefault="00836FCA">
            <w:pPr>
              <w:spacing w:before="240" w:after="240"/>
              <w:jc w:val="left"/>
              <w:rPr>
                <w:szCs w:val="24"/>
              </w:rPr>
            </w:pPr>
            <w:r>
              <w:rPr>
                <w:szCs w:val="24"/>
              </w:rPr>
              <w:t>За целта, се изведоха средства, възлизащи на общо 23 800 000 евро от ЕЗФРСР / 28 000 000 евро публични средства.</w:t>
            </w:r>
          </w:p>
          <w:p w:rsidR="00012A46" w:rsidRDefault="00836FCA">
            <w:pPr>
              <w:spacing w:before="240" w:after="240"/>
              <w:jc w:val="left"/>
              <w:rPr>
                <w:szCs w:val="24"/>
              </w:rPr>
            </w:pPr>
            <w:r>
              <w:rPr>
                <w:szCs w:val="24"/>
              </w:rPr>
              <w:t>С петнадесето изменение Управляващият орган на ПРСР 2014-2020 г. разработи подмярката, насочена към подкрепа на МСП, особено засегнати от кризата в Украйна – като предвидените средства общо за двете подмерки са в размер до 33 млн. евро общо публични средства.</w:t>
            </w:r>
          </w:p>
          <w:p w:rsidR="00012A46" w:rsidRDefault="00836FCA">
            <w:pPr>
              <w:spacing w:before="240" w:after="240"/>
              <w:jc w:val="left"/>
              <w:rPr>
                <w:szCs w:val="24"/>
              </w:rPr>
            </w:pPr>
            <w:r>
              <w:rPr>
                <w:szCs w:val="24"/>
              </w:rPr>
              <w:t>Подмярка 22.2. “Извънредно временно подпомагане за МСП, които са особено засегнати от последиците от руското нашествие в Украйна“, насочена към подпомагане на МСП, се предвижда да бъде включена в обхвата на мярка 22 с 15-то изменение на ПРСР 2014-2020.</w:t>
            </w:r>
          </w:p>
          <w:p w:rsidR="00012A46" w:rsidRDefault="00836FCA">
            <w:pPr>
              <w:spacing w:before="240" w:after="240"/>
              <w:jc w:val="left"/>
              <w:rPr>
                <w:szCs w:val="24"/>
              </w:rPr>
            </w:pPr>
            <w:r>
              <w:rPr>
                <w:szCs w:val="24"/>
              </w:rPr>
              <w:t>Подпомагането по подмярка 22.2. е насочено към микро, малки и средни предприятия под формата на еднократна помощ във връзка с предизвикателствата, пред които е поставена преработвателната промишленост в резултат на руското нашествие в Украйна.</w:t>
            </w:r>
          </w:p>
          <w:p w:rsidR="00012A46" w:rsidRDefault="00836FCA">
            <w:pPr>
              <w:spacing w:before="240" w:after="240"/>
              <w:jc w:val="left"/>
              <w:rPr>
                <w:szCs w:val="24"/>
              </w:rPr>
            </w:pPr>
            <w:r>
              <w:rPr>
                <w:szCs w:val="24"/>
              </w:rPr>
              <w:t>Бенефициери по подмярката са микро, малки и средни предприятия, отговарящи на дефиницията, посочена в чл. 2, точка 28 от Регламент (ЕС) № 1303/2013 на Европейския парламент и на Съвета от 17 декември 2013 година – преработващи селскостопански продукти, включени в Приложение I към ДФЕС, както и групи/организации на производители признати от министъра на земеделието.</w:t>
            </w:r>
          </w:p>
          <w:p w:rsidR="00012A46" w:rsidRDefault="00836FCA">
            <w:pPr>
              <w:spacing w:before="240" w:after="240"/>
              <w:jc w:val="left"/>
              <w:rPr>
                <w:szCs w:val="24"/>
              </w:rPr>
            </w:pPr>
            <w:r>
              <w:rPr>
                <w:szCs w:val="24"/>
              </w:rPr>
              <w:t>Максималният допустим размер на финансовата помощ за един кандидат не може да надвишава 100 000 лева.</w:t>
            </w:r>
          </w:p>
          <w:p w:rsidR="00012A46" w:rsidRDefault="00836FCA">
            <w:pPr>
              <w:spacing w:before="240" w:after="240"/>
              <w:jc w:val="left"/>
              <w:rPr>
                <w:szCs w:val="24"/>
              </w:rPr>
            </w:pPr>
            <w:r>
              <w:rPr>
                <w:szCs w:val="24"/>
              </w:rPr>
              <w:t>Освен въвеждане на подмярка 22.2, с това изменение се разширява обхвата на подмярка 22.1, в посока подпомагане на допълнителни чувствителни сектори, като финансовата помощ ще бъде насочена в секторите „Растениевъдство“ – за земеделски стопани, отглеждащи оранжерийни ягоди и малини и сектор „Животновъдство“ – за земеделски стопани, отглеждащи пчелни семейства.</w:t>
            </w:r>
          </w:p>
          <w:p w:rsidR="00012A46" w:rsidRDefault="00836FCA">
            <w:pPr>
              <w:spacing w:before="240" w:after="240"/>
              <w:jc w:val="left"/>
              <w:rPr>
                <w:szCs w:val="24"/>
              </w:rPr>
            </w:pPr>
            <w:r>
              <w:rPr>
                <w:b/>
                <w:bCs/>
                <w:szCs w:val="24"/>
              </w:rPr>
              <w:t>Шестнадесето изменение на ПРСР 2014-2020 г.:</w:t>
            </w:r>
          </w:p>
          <w:p w:rsidR="00012A46" w:rsidRDefault="00836FCA">
            <w:pPr>
              <w:spacing w:before="240" w:after="240"/>
              <w:jc w:val="left"/>
              <w:rPr>
                <w:szCs w:val="24"/>
              </w:rPr>
            </w:pPr>
            <w:r>
              <w:rPr>
                <w:szCs w:val="24"/>
              </w:rPr>
              <w:t>Изпратено за първи път на 10.05.2023 г.</w:t>
            </w:r>
          </w:p>
          <w:p w:rsidR="00012A46" w:rsidRDefault="00836FCA">
            <w:pPr>
              <w:spacing w:before="240" w:after="240"/>
              <w:jc w:val="left"/>
              <w:rPr>
                <w:szCs w:val="24"/>
              </w:rPr>
            </w:pPr>
            <w:r>
              <w:rPr>
                <w:szCs w:val="24"/>
              </w:rPr>
              <w:t xml:space="preserve">С шестнадесетото изменение, което бе изпратено за първи път за оценка от службите на ЕК на </w:t>
            </w:r>
            <w:r>
              <w:rPr>
                <w:szCs w:val="24"/>
              </w:rPr>
              <w:lastRenderedPageBreak/>
              <w:t>10.05.2023 г., и одобрено с Решение за изпълнение на Комисията C(2023) 8650 от 06.12.2023 г. се предвиждат промени в текстовете на мерки и подмерки от Програмата, както и извеждане на общо 123 006 916 евро от ЕЗФРСР (на тази сума отговарят 146 716 502 евро публични средства). На същата сума ЕЗФРСР, прехвърлена към предложените мерки/подмерки, отговарят 147 066 960 евро публични средства, поради различния интензитет на ЕЗФРСР за някои от мерките.</w:t>
            </w:r>
          </w:p>
          <w:p w:rsidR="00012A46" w:rsidRDefault="00836FCA">
            <w:pPr>
              <w:spacing w:before="240" w:after="240"/>
              <w:jc w:val="left"/>
              <w:rPr>
                <w:szCs w:val="24"/>
              </w:rPr>
            </w:pPr>
            <w:r>
              <w:rPr>
                <w:szCs w:val="24"/>
              </w:rPr>
              <w:t>По-важни промени в текстовете на мерките:</w:t>
            </w:r>
          </w:p>
          <w:p w:rsidR="00012A46" w:rsidRDefault="00836FCA">
            <w:pPr>
              <w:spacing w:before="240" w:after="240"/>
              <w:jc w:val="left"/>
              <w:rPr>
                <w:szCs w:val="24"/>
              </w:rPr>
            </w:pPr>
            <w:r>
              <w:rPr>
                <w:szCs w:val="24"/>
              </w:rPr>
              <w:t>Подмярка 1.2 „Демонстрационни дейности и действия по осведомяване“: Допустимият размер на разходите за инвестиции по подмярката се увеличава от 100 000 евро на 350 000 евро с цел извършване на ефективни демонстрационни дейности, насочени към земеделски стопани и заетите лица в техните стопанства предвид липсата на друга възможност за финансиране на активи, обслужващи тези опитните полета и лаборатории, в рамките на които могат да се провеждат дейности за трансфер на знания и умения към земеделските стопани.</w:t>
            </w:r>
          </w:p>
          <w:p w:rsidR="00012A46" w:rsidRDefault="00836FCA">
            <w:pPr>
              <w:spacing w:before="240" w:after="240"/>
              <w:jc w:val="left"/>
              <w:rPr>
                <w:szCs w:val="24"/>
              </w:rPr>
            </w:pPr>
            <w:r>
              <w:rPr>
                <w:szCs w:val="24"/>
              </w:rPr>
              <w:t>Подмярка 2.2 „Създаване на консултантски услуги“: В обхвата на допустимите разходи по подмярката се включват и разходи за задължителни по българското законодателство застраховки на автомобилите и за застраховка пълно „Каско“, както и разходи за застраховка на останалите дълготрайните материални активи, предмет на подпомагане за рисковете, посочени в насоките за кандидатстване по подмярката. Изменението цели адаптиране към променящите се пазарни условия с оглед по-доброто изпълнение на подмярката.</w:t>
            </w:r>
          </w:p>
          <w:p w:rsidR="00012A46" w:rsidRDefault="00836FCA">
            <w:pPr>
              <w:spacing w:before="240" w:after="240"/>
              <w:jc w:val="left"/>
              <w:rPr>
                <w:szCs w:val="24"/>
              </w:rPr>
            </w:pPr>
            <w:r>
              <w:rPr>
                <w:szCs w:val="24"/>
              </w:rPr>
              <w:t>Мярка 4 „Инвестиции в материални активи“: Във връзка с възникнали неясноти и установени трудности, срещани от кандидатите по подмерки 4.1 и 4.2 при осъществяването на процедури за избор на изпълнител по реда и при условията на Постановление № 160 от 1 юли 2016 г. за определяне на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както и с цел по-голяма яснота на кандидатите и бенефициентите по Програмата в мярката се добавя текст, който изяснява начина за избор на изпълнители за заявените дейности и разходи.</w:t>
            </w:r>
          </w:p>
          <w:p w:rsidR="00012A46" w:rsidRDefault="00836FCA">
            <w:pPr>
              <w:spacing w:before="240" w:after="240"/>
              <w:jc w:val="left"/>
              <w:rPr>
                <w:szCs w:val="24"/>
              </w:rPr>
            </w:pPr>
            <w:r>
              <w:rPr>
                <w:szCs w:val="24"/>
              </w:rPr>
              <w:t>Подмярка 4.2 „Инвестиции в преработка/маркетинг на селскостопански продукти“: Направено е допълнение в текста на подмярката, с което се дава възможност за своевременно актуализиране на изискванията за поддържане съответствие с критериите за подбор след одобрение на проекта спрямо динамичната икономическа обстановка, водеща до постоянно променящи се пазарни условия, които оказват негативен ефект върху устойчивостта на инвестициите.</w:t>
            </w:r>
          </w:p>
          <w:p w:rsidR="00012A46" w:rsidRDefault="00836FCA">
            <w:pPr>
              <w:spacing w:before="240" w:after="240"/>
              <w:jc w:val="left"/>
              <w:rPr>
                <w:szCs w:val="24"/>
              </w:rPr>
            </w:pPr>
            <w:r>
              <w:rPr>
                <w:szCs w:val="24"/>
              </w:rPr>
              <w:t>Подмярка 4.3 „Подкрепа за инвестиции в инфраструктура - развитие, модернизация или адаптиране на земеделската и горска инфраструктура“: Направено е изменение в максималния размер на допустимите разходи за едно проектно предложение, за проектни предложения, подадени след 01.01.2023 г., от 6 000 000 евро на 50 000 000 евро.</w:t>
            </w:r>
          </w:p>
          <w:p w:rsidR="00012A46" w:rsidRDefault="00836FCA">
            <w:pPr>
              <w:spacing w:before="240" w:after="240"/>
              <w:jc w:val="left"/>
              <w:rPr>
                <w:szCs w:val="24"/>
              </w:rPr>
            </w:pPr>
            <w:r>
              <w:rPr>
                <w:szCs w:val="24"/>
              </w:rPr>
              <w:t>Подмярка 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 Извършени са изменения, свързани с разширяване на обхвата на допустимите кандидати, дейности и разходи по подмярката.</w:t>
            </w:r>
          </w:p>
          <w:p w:rsidR="00012A46" w:rsidRDefault="00836FCA">
            <w:pPr>
              <w:spacing w:before="240" w:after="240"/>
              <w:jc w:val="left"/>
              <w:rPr>
                <w:szCs w:val="24"/>
              </w:rPr>
            </w:pPr>
            <w:r>
              <w:rPr>
                <w:szCs w:val="24"/>
              </w:rPr>
              <w:t xml:space="preserve">Подмярка 6.1 „Стартова помощ за млади земеделски стопани“: С цел улесняване изпълнението на подмярката се включва текст, съгласно който назначаването на втори ръководител на земеделското стопанство е допустимо само когато кандидати/бенефициенти – жени ползват отпуск и обезщетение </w:t>
            </w:r>
            <w:r>
              <w:rPr>
                <w:szCs w:val="24"/>
              </w:rPr>
              <w:lastRenderedPageBreak/>
              <w:t>при бременност, раждане и отглеждане на дете до 2 години.</w:t>
            </w:r>
          </w:p>
          <w:p w:rsidR="00012A46" w:rsidRDefault="00836FCA">
            <w:pPr>
              <w:spacing w:before="240" w:after="240"/>
              <w:jc w:val="left"/>
              <w:rPr>
                <w:szCs w:val="24"/>
              </w:rPr>
            </w:pPr>
            <w:r>
              <w:rPr>
                <w:szCs w:val="24"/>
              </w:rPr>
              <w:t>Подмярка 6.4.1 „Инвестиции в подкрепа на неземеделски дейности“: Във връзка със стартиране на прием на проектни предложения по подмярката през 2023 г. се прави редакционно изменение, свързано с приетата с Решение № 281 от 01.04.2021 г. на Министерски съвет на Република България нова Национална стратегия за малките и средните предприятия 2021 – 2027 г. и се изразява в промяна на името на документа и раздела, в който са посочени секторите, които са допустими за подпомагане по подмярката.</w:t>
            </w:r>
          </w:p>
          <w:p w:rsidR="00012A46" w:rsidRDefault="00836FCA">
            <w:pPr>
              <w:spacing w:before="240" w:after="240"/>
              <w:jc w:val="left"/>
              <w:rPr>
                <w:szCs w:val="24"/>
              </w:rPr>
            </w:pPr>
            <w:r>
              <w:rPr>
                <w:szCs w:val="24"/>
              </w:rPr>
              <w:t>Подмярка 7.2 „Инвестиции в създаването, подобряването или разширяването на всички видове малка по мащаби инфраструктура“: В текста на подмярката се извършва изменение във връзка с предвидената възможност за индексация на разходите по мерки и подмерки от Програмата. Въвежда се изключение относно определянето на малка по мащаби инфраструктура с оглед равното третиране на кандидатите при индексиране на разходи по сключени договори.</w:t>
            </w:r>
          </w:p>
          <w:p w:rsidR="00012A46" w:rsidRDefault="00836FCA">
            <w:pPr>
              <w:spacing w:before="240" w:after="240"/>
              <w:jc w:val="left"/>
              <w:rPr>
                <w:szCs w:val="24"/>
              </w:rPr>
            </w:pPr>
            <w:r>
              <w:rPr>
                <w:szCs w:val="24"/>
              </w:rPr>
              <w:t>Мярка 10 „Агроекология и климат“, мярка 11 „Биологично земеделие“ и Мярка 14 „Хуманно отношение към животните“ Предлага се да бъдат предприети действия, които, в рамките на допустимите възможности съгласно приложимото европейско и национално законодателство, частично биха могли да отговорят на създадените пред сектора предизвикателства, а именно – с настоящото изменение се извършва увеличение (индексация) на размера на компенсаторните плащания по трите мерки.</w:t>
            </w:r>
          </w:p>
          <w:p w:rsidR="00012A46" w:rsidRDefault="00836FCA">
            <w:pPr>
              <w:spacing w:before="240" w:after="240"/>
              <w:jc w:val="left"/>
              <w:rPr>
                <w:szCs w:val="24"/>
              </w:rPr>
            </w:pPr>
            <w:r>
              <w:rPr>
                <w:szCs w:val="24"/>
              </w:rPr>
              <w:t>Мярка 20 „Техническа помощ“: Допълва се обхвата на допустимата за подпомагане дейност, свързана със следващия програмен период, като се добавя възможност за финансиране на действия, свързани с прилагането (управлението и изпълнението) на Стратегическия план 2023-2027 г., а не само с неговата подготовка. Също така, с изменение в текста на мярката се предоставя възможност разходите в размер до 80% от индивидуалните брутни месечни заплати на персонала да се възстановяват по линия на Техническа помощ и в случаите, когато персоналът изпълнява дейности, пряко свързани с управлението, наблюдението, оценката и контрола освен на ПРСР, и на други инструменти на ЕС – Стратегически план и План за възстановяване и устойчивост.</w:t>
            </w:r>
          </w:p>
          <w:p w:rsidR="00012A46" w:rsidRDefault="00836FCA">
            <w:pPr>
              <w:spacing w:before="240" w:after="240"/>
              <w:jc w:val="left"/>
              <w:rPr>
                <w:szCs w:val="24"/>
              </w:rPr>
            </w:pPr>
            <w:r>
              <w:rPr>
                <w:szCs w:val="24"/>
              </w:rPr>
              <w:t>Подраздел 8.1. „Описание на общите условия, прилагани за повече от една мярка“: Във връзка с етапа на изпълнение на ПРСР 2014-2020 г. се извършва корекция в крайният срок за изпълнение на проекти по инвестиционните мерки от 2023 г. на 2025 г. Също така, включва се текст, свързан с предвиждане на възможност за индексация на разходи по мерки и подмерки от Програмата.</w:t>
            </w:r>
          </w:p>
          <w:p w:rsidR="00012A46" w:rsidRDefault="00836FCA" w:rsidP="001A460F">
            <w:pPr>
              <w:spacing w:before="240" w:after="240"/>
              <w:jc w:val="left"/>
            </w:pPr>
            <w:r>
              <w:rPr>
                <w:szCs w:val="24"/>
              </w:rPr>
              <w:t>Шестнадесетото изменение на ПРСР 2014-2020 е одобрено на 06.12.2023 г.</w:t>
            </w:r>
          </w:p>
        </w:tc>
      </w:tr>
    </w:tbl>
    <w:p w:rsidR="00012A46" w:rsidRDefault="00012A46"/>
    <w:p w:rsidR="000C0F34" w:rsidRDefault="000C0F34" w:rsidP="000C0F34"/>
    <w:p w:rsidR="000C0F34" w:rsidRDefault="00836FCA" w:rsidP="000C0F34">
      <w:pPr>
        <w:pStyle w:val="Heading2"/>
        <w:tabs>
          <w:tab w:val="num" w:pos="708"/>
        </w:tabs>
        <w:ind w:left="708" w:hanging="850"/>
      </w:pPr>
      <w:bookmarkStart w:id="8" w:name="_Toc169016415"/>
      <w:r>
        <w:rPr>
          <w:noProof/>
        </w:rPr>
        <w:t>По целесъобразност, приноса към макрорегионалните стратегии и стратегиите за морските басейни</w:t>
      </w:r>
      <w:bookmarkEnd w:id="8"/>
    </w:p>
    <w:p w:rsidR="000C0F34" w:rsidRDefault="000C0F34" w:rsidP="000C0F34">
      <w:pPr>
        <w:pStyle w:val="Text1"/>
        <w:ind w:left="0"/>
      </w:pPr>
    </w:p>
    <w:p w:rsidR="000C0F34" w:rsidRDefault="00836FCA" w:rsidP="000C0F34">
      <w:pPr>
        <w:pStyle w:val="Text1"/>
        <w:ind w:left="0"/>
      </w:pPr>
      <w:r>
        <w:t xml:space="preserve">Както е посочено в Регламент (ЕС) № 1303/2013, член 27, параграф 3 относно </w:t>
      </w:r>
      <w:r>
        <w:fldChar w:fldCharType="begin"/>
      </w:r>
      <w:r>
        <w:instrText>QUOTE 34</w:instrText>
      </w:r>
      <w:r>
        <w:fldChar w:fldCharType="separate"/>
      </w:r>
      <w:r>
        <w:t>"</w:t>
      </w:r>
      <w:r>
        <w:fldChar w:fldCharType="end"/>
      </w:r>
      <w:r>
        <w:t>съдържанието на програмите</w:t>
      </w:r>
      <w:r>
        <w:fldChar w:fldCharType="begin"/>
      </w:r>
      <w:r>
        <w:instrText>QUOTE 34</w:instrText>
      </w:r>
      <w:r>
        <w:fldChar w:fldCharType="separate"/>
      </w:r>
      <w:r>
        <w:t>"</w:t>
      </w:r>
      <w:r>
        <w:fldChar w:fldCharType="end"/>
      </w:r>
      <w:r>
        <w:t xml:space="preserve">, член 96, параграф 3, буква д) относно </w:t>
      </w:r>
      <w:r>
        <w:fldChar w:fldCharType="begin"/>
      </w:r>
      <w:r>
        <w:instrText>QUOTE 34</w:instrText>
      </w:r>
      <w:r>
        <w:fldChar w:fldCharType="separate"/>
      </w:r>
      <w:r>
        <w:t>"</w:t>
      </w:r>
      <w:r>
        <w:fldChar w:fldCharType="end"/>
      </w:r>
      <w:r>
        <w:t xml:space="preserve">съдържанието, приемането и изменението на оперативните програми по цел </w:t>
      </w:r>
      <w:r>
        <w:fldChar w:fldCharType="begin"/>
      </w:r>
      <w:r>
        <w:instrText>QUOTE 34</w:instrText>
      </w:r>
      <w:r>
        <w:fldChar w:fldCharType="separate"/>
      </w:r>
      <w:r>
        <w:t>"</w:t>
      </w:r>
      <w:r>
        <w:fldChar w:fldCharType="end"/>
      </w:r>
      <w:r>
        <w:t>Инвестиции за растеж и работни места</w:t>
      </w:r>
      <w:r>
        <w:fldChar w:fldCharType="begin"/>
      </w:r>
      <w:r>
        <w:instrText>QUOTE 34</w:instrText>
      </w:r>
      <w:r>
        <w:fldChar w:fldCharType="separate"/>
      </w:r>
      <w:r>
        <w:t>"</w:t>
      </w:r>
      <w:r>
        <w:fldChar w:fldCharType="end"/>
      </w:r>
      <w:r>
        <w:t xml:space="preserve">, член 111, параграф 3, член 111, параграф 4, буква г) относно </w:t>
      </w:r>
      <w:r>
        <w:fldChar w:fldCharType="begin"/>
      </w:r>
      <w:r>
        <w:instrText>QUOTE 34</w:instrText>
      </w:r>
      <w:r>
        <w:fldChar w:fldCharType="separate"/>
      </w:r>
      <w:r>
        <w:t>"</w:t>
      </w:r>
      <w:r>
        <w:fldChar w:fldCharType="end"/>
      </w:r>
      <w:r>
        <w:t xml:space="preserve">докладите за изпълнение по целта </w:t>
      </w:r>
      <w:r>
        <w:fldChar w:fldCharType="begin"/>
      </w:r>
      <w:r>
        <w:instrText>QUOTE 34</w:instrText>
      </w:r>
      <w:r>
        <w:fldChar w:fldCharType="separate"/>
      </w:r>
      <w:r>
        <w:t>"</w:t>
      </w:r>
      <w:r>
        <w:fldChar w:fldCharType="end"/>
      </w:r>
      <w:r>
        <w:t xml:space="preserve">Инвестиции за растеж и </w:t>
      </w:r>
      <w:r>
        <w:lastRenderedPageBreak/>
        <w:t>работни места</w:t>
      </w:r>
      <w:r>
        <w:fldChar w:fldCharType="begin"/>
      </w:r>
      <w:r>
        <w:instrText>QUOTE 34</w:instrText>
      </w:r>
      <w:r>
        <w:fldChar w:fldCharType="separate"/>
      </w:r>
      <w:r>
        <w:t>"</w:t>
      </w:r>
      <w:r>
        <w:fldChar w:fldCharType="end"/>
      </w:r>
      <w:r>
        <w:t xml:space="preserve"> и приложение 1, раздел 7.3 относно </w:t>
      </w:r>
      <w:r>
        <w:fldChar w:fldCharType="begin"/>
      </w:r>
      <w:r>
        <w:instrText>QUOTE 34</w:instrText>
      </w:r>
      <w:r>
        <w:fldChar w:fldCharType="separate"/>
      </w:r>
      <w:r>
        <w:t>"</w:t>
      </w:r>
      <w:r>
        <w:fldChar w:fldCharType="end"/>
      </w:r>
      <w:r>
        <w:t>приноса на основните програми за макрорегионалните стратегии и стратегиите за морските басейни</w:t>
      </w:r>
      <w:r>
        <w:fldChar w:fldCharType="begin"/>
      </w:r>
      <w:r>
        <w:instrText>QUOTE 34</w:instrText>
      </w:r>
      <w:r>
        <w:fldChar w:fldCharType="separate"/>
      </w:r>
      <w:r>
        <w:t>"</w:t>
      </w:r>
      <w:r>
        <w:fldChar w:fldCharType="end"/>
      </w:r>
      <w:r>
        <w:t xml:space="preserve"> настоящата програма допринася за макрорегионални стратегии и/или стратегии за морските басейни:</w:t>
      </w:r>
    </w:p>
    <w:p w:rsidR="000C0F34" w:rsidRDefault="000C0F34" w:rsidP="000C0F34">
      <w:pPr>
        <w:pStyle w:val="Text1"/>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6"/>
      </w:tblGrid>
      <w:tr w:rsidR="00012A46" w:rsidTr="00344C66">
        <w:tc>
          <w:tcPr>
            <w:tcW w:w="0" w:type="auto"/>
            <w:shd w:val="clear" w:color="auto" w:fill="auto"/>
          </w:tcPr>
          <w:p w:rsidR="00012A46" w:rsidRDefault="00836FCA">
            <w:pPr>
              <w:spacing w:before="0" w:after="240"/>
              <w:jc w:val="left"/>
            </w:pPr>
            <w:r>
              <w:t>Стратегията на ЕС за Дунавския регион (EUSDR) е макрорегионална стратегия, приета от Европейската комисия през декември 2010 г. и одобрена от Европейския съвет през 2011 г. Стратегията се стреми да създаде взаимодействие и координация между съществуващите политики и инициативи, които се провеждат в целия Дунавски регион, с цел по-тясно сътрудничество, а не за финансиране.</w:t>
            </w:r>
          </w:p>
          <w:p w:rsidR="00012A46" w:rsidRDefault="00836FCA">
            <w:pPr>
              <w:spacing w:before="240" w:after="240"/>
              <w:jc w:val="left"/>
            </w:pPr>
            <w:r>
              <w:t>За периода 2021-2027 г. постигането на целите и приоритетите на Дунавската стратегия ще се управлява от два или повече национални координатори, отговорни за всяка отделна приоритетна област (PAC). България е един от координаторите в приоритетни области 3 „Да насърчава културата и туризма, контактите между хората“ и 11 „Да работим заедно за справяне със сигурността и организираната престъпност“.</w:t>
            </w:r>
          </w:p>
          <w:p w:rsidR="00012A46" w:rsidRDefault="00836FCA">
            <w:pPr>
              <w:spacing w:before="240" w:after="240"/>
              <w:jc w:val="left"/>
            </w:pPr>
            <w:r>
              <w:t>Следвайки принципа на ротация, председателството на EUSDR се поема от държава, участваща в EUSDR, за период от една година. Сегашното председателство на EUSDR проактивно осъществява координацията между националните координатори и координаторите по приоритетни области (PAC), подкрепени от Дунавската стратегическа точка (DSP) и в сътрудничество с Европейската комисия (ЕК) и се стреми да улесни вземането на решения и сътрудничеството. От 1 ноември 2022 г. до 31 октомври 2023 г. Словения поема председателството на Европейската стратегия за Дунавския регион от Украинското председателство за периода 2021-2022 г. (https://danube-region.eu/the-eusdr-presidency/#1678702882652-dcf94eaa-2949). В края на месец декември 2022 е изготвен доклад за изпълнение на EUSDR за 2020-2021 г., публикувани от DSP, обобщаващи напредъка и постиженията на приоритетните области на EUSDR, както и основните дейности и добавената стойност на ниво EUSDR (https://danube-region.eu/about/implementation-reports/).</w:t>
            </w:r>
          </w:p>
          <w:p w:rsidR="000C0F34" w:rsidRDefault="00836FCA" w:rsidP="001A460F">
            <w:pPr>
              <w:spacing w:before="240" w:after="240"/>
              <w:jc w:val="left"/>
            </w:pPr>
            <w:r>
              <w:t>В тази връзка, по отношение на постигането на целите, потвърдени през 2016 г. от националните координатори и координаторите на приоритетните области, налични на уебсайта на EUSDR и актуализирани към 28.11.2019 г. ( https://danube-region.eu/download/bulgaria-embedding-state-of-play-jan2016/# ), към 31.12.2022 г. не са докладвани поставени и изпълнени цели по ПРСР 2014-2020.</w:t>
            </w:r>
          </w:p>
        </w:tc>
      </w:tr>
    </w:tbl>
    <w:p w:rsidR="000C0F34" w:rsidRDefault="000C0F34" w:rsidP="000C0F34">
      <w:pPr>
        <w:pStyle w:val="Text1"/>
        <w:ind w:left="0"/>
      </w:pPr>
    </w:p>
    <w:p w:rsidR="000C0F34" w:rsidRDefault="00836FCA" w:rsidP="000C0F34">
      <w:pPr>
        <w:autoSpaceDE w:val="0"/>
        <w:autoSpaceDN w:val="0"/>
        <w:adjustRightInd w:val="0"/>
        <w:spacing w:before="0" w:after="0"/>
      </w:pPr>
      <w:r>
        <w:rPr>
          <w:rFonts w:ascii="Wingdings" w:hAnsi="Wingdings" w:cs="Wingdings"/>
          <w:sz w:val="26"/>
          <w:szCs w:val="26"/>
          <w:lang w:val="en-US"/>
        </w:rPr>
        <w:sym w:font="Wingdings" w:char="F0A8"/>
      </w:r>
      <w:r>
        <w:t xml:space="preserve">  </w:t>
      </w:r>
      <w:r>
        <w:rPr>
          <w:noProof/>
        </w:rPr>
        <w:t>Стратегия на ЕС за региона на Балтийско море (EUSBSR)</w:t>
      </w:r>
    </w:p>
    <w:p w:rsidR="000C0F34" w:rsidRDefault="00836FCA" w:rsidP="000C0F34">
      <w:r>
        <w:rPr>
          <w:rFonts w:ascii="Wingdings" w:hAnsi="Wingdings" w:cs="Wingdings"/>
          <w:sz w:val="26"/>
          <w:szCs w:val="26"/>
          <w:lang w:val="en-US"/>
        </w:rPr>
        <w:sym w:font="Wingdings" w:char="F0A8"/>
      </w:r>
      <w:r>
        <w:t xml:space="preserve">  </w:t>
      </w:r>
      <w:r>
        <w:rPr>
          <w:noProof/>
        </w:rPr>
        <w:t>Стратегия на ЕС за региона на река Дунав (EUSDR)</w:t>
      </w:r>
    </w:p>
    <w:p w:rsidR="000C0F34" w:rsidRDefault="00836FCA"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Адриатическо и Йонийско море (EUSAIR)</w:t>
      </w:r>
    </w:p>
    <w:p w:rsidR="000C0F34" w:rsidRDefault="00836FCA" w:rsidP="000C0F34">
      <w:pPr>
        <w:pStyle w:val="Text1"/>
        <w:ind w:left="0"/>
      </w:pPr>
      <w:r>
        <w:rPr>
          <w:rFonts w:ascii="Wingdings" w:hAnsi="Wingdings" w:cs="Wingdings"/>
          <w:sz w:val="26"/>
          <w:szCs w:val="26"/>
          <w:lang w:val="en-US"/>
        </w:rPr>
        <w:sym w:font="Wingdings" w:char="F0A8"/>
      </w:r>
      <w:r>
        <w:t xml:space="preserve">  </w:t>
      </w:r>
      <w:r>
        <w:rPr>
          <w:noProof/>
        </w:rPr>
        <w:t>Стратегия на ЕС за региона на Алпите (EUSALP)</w:t>
      </w:r>
    </w:p>
    <w:p w:rsidR="000C0F34" w:rsidRPr="00F70AEC" w:rsidRDefault="00836FCA" w:rsidP="000C0F34">
      <w:pPr>
        <w:pStyle w:val="Text1"/>
        <w:ind w:left="0"/>
        <w:rPr>
          <w:sz w:val="8"/>
          <w:szCs w:val="8"/>
        </w:rPr>
      </w:pPr>
      <w:r>
        <w:rPr>
          <w:rFonts w:ascii="Wingdings" w:hAnsi="Wingdings" w:cs="Wingdings"/>
          <w:sz w:val="26"/>
          <w:szCs w:val="26"/>
          <w:lang w:val="en-US"/>
        </w:rPr>
        <w:sym w:font="Wingdings" w:char="F0A8"/>
      </w:r>
      <w:r>
        <w:t xml:space="preserve">  </w:t>
      </w:r>
      <w:r>
        <w:rPr>
          <w:noProof/>
        </w:rPr>
        <w:t>Стратегия за басейна на Атлантическия океан (ATLSBS)</w:t>
      </w:r>
    </w:p>
    <w:p w:rsidR="00012A46" w:rsidRDefault="00836FCA" w:rsidP="00836FCA">
      <w:r>
        <w:br w:type="page"/>
      </w:r>
      <w:r>
        <w:lastRenderedPageBreak/>
        <w:t>Валутен курс, използван за преизчисляването в ГДИ (страни извън ЕС)</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012A46">
        <w:tc>
          <w:tcPr>
            <w:tcW w:w="12000" w:type="dxa"/>
            <w:shd w:val="clear" w:color="auto" w:fill="auto"/>
            <w:vAlign w:val="center"/>
          </w:tcPr>
          <w:p w:rsidR="00012A46" w:rsidRDefault="00836FCA">
            <w:pPr>
              <w:spacing w:before="0" w:after="240"/>
              <w:jc w:val="left"/>
              <w:rPr>
                <w:szCs w:val="24"/>
              </w:rPr>
            </w:pPr>
            <w:r>
              <w:rPr>
                <w:szCs w:val="24"/>
              </w:rPr>
              <w:t>Използваният валутен курс е този на ЕЦБ - 1:1,9558</w:t>
            </w:r>
          </w:p>
          <w:p w:rsidR="00012A46" w:rsidRDefault="00012A46">
            <w:pPr>
              <w:pStyle w:val="BodyText"/>
            </w:pPr>
          </w:p>
        </w:tc>
      </w:tr>
    </w:tbl>
    <w:p w:rsidR="00012A46" w:rsidRDefault="00012A46">
      <w:pPr>
        <w:sectPr w:rsidR="00012A46">
          <w:pgSz w:w="12240" w:h="15840"/>
          <w:pgMar w:top="900" w:right="900" w:bottom="900" w:left="900" w:header="720" w:footer="720" w:gutter="0"/>
          <w:cols w:space="720"/>
        </w:sectPr>
      </w:pPr>
    </w:p>
    <w:p w:rsidR="00012A46" w:rsidRDefault="00836FCA">
      <w:pPr>
        <w:pStyle w:val="Heading1"/>
      </w:pPr>
      <w:bookmarkStart w:id="9" w:name="_Toc169016416"/>
      <w:r>
        <w:lastRenderedPageBreak/>
        <w:t>Напредъкът в изпълнението на плана за оценка</w:t>
      </w:r>
      <w:bookmarkEnd w:id="9"/>
    </w:p>
    <w:p w:rsidR="00012A46" w:rsidRDefault="00836FCA">
      <w:pPr>
        <w:pStyle w:val="Heading2"/>
      </w:pPr>
      <w:bookmarkStart w:id="10" w:name="_Toc169016417"/>
      <w:r>
        <w:t>Описание на евентуални изменения, направени в плана за оценка на ПРСР през годината, със съответната обосновка</w:t>
      </w:r>
      <w:bookmarkEnd w:id="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012A46">
        <w:tc>
          <w:tcPr>
            <w:tcW w:w="12000" w:type="dxa"/>
            <w:shd w:val="clear" w:color="auto" w:fill="auto"/>
            <w:vAlign w:val="center"/>
          </w:tcPr>
          <w:p w:rsidR="00012A46" w:rsidRDefault="00836FCA">
            <w:pPr>
              <w:spacing w:before="0" w:after="240"/>
              <w:jc w:val="left"/>
              <w:rPr>
                <w:szCs w:val="24"/>
              </w:rPr>
            </w:pPr>
            <w:r>
              <w:rPr>
                <w:szCs w:val="24"/>
              </w:rPr>
              <w:t>През 2023 г. изменения в Раздел 9 „План за оценки“ от ПРСР 2014-2020 г. не са извършвани.</w:t>
            </w:r>
          </w:p>
          <w:p w:rsidR="00012A46" w:rsidRDefault="00012A46">
            <w:pPr>
              <w:pStyle w:val="BodyText"/>
            </w:pPr>
          </w:p>
        </w:tc>
      </w:tr>
    </w:tbl>
    <w:p w:rsidR="00012A46" w:rsidRDefault="00836FCA">
      <w:pPr>
        <w:pStyle w:val="Heading2"/>
      </w:pPr>
      <w:bookmarkStart w:id="11" w:name="_Toc169016418"/>
      <w:r>
        <w:t>Описание на предприетите дейности за оценка през годината (във връзка с раздел 3 на плана за оценка)</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012A46">
        <w:tc>
          <w:tcPr>
            <w:tcW w:w="12000" w:type="dxa"/>
            <w:shd w:val="clear" w:color="auto" w:fill="auto"/>
            <w:vAlign w:val="center"/>
          </w:tcPr>
          <w:p w:rsidR="00012A46" w:rsidRDefault="00836FCA">
            <w:pPr>
              <w:spacing w:before="0" w:after="240"/>
              <w:jc w:val="left"/>
              <w:rPr>
                <w:szCs w:val="24"/>
              </w:rPr>
            </w:pPr>
            <w:r>
              <w:rPr>
                <w:szCs w:val="24"/>
              </w:rPr>
              <w:t>През 2023 г. не са извършвани оценки на ПРСР 2014-2020 г.</w:t>
            </w:r>
          </w:p>
          <w:p w:rsidR="00012A46" w:rsidRDefault="00012A46">
            <w:pPr>
              <w:pStyle w:val="BodyText"/>
            </w:pPr>
          </w:p>
        </w:tc>
      </w:tr>
    </w:tbl>
    <w:p w:rsidR="00012A46" w:rsidRDefault="00836FCA">
      <w:pPr>
        <w:pStyle w:val="Heading2"/>
      </w:pPr>
      <w:bookmarkStart w:id="12" w:name="_Toc169016419"/>
      <w:r>
        <w:t>Описание на дейностите, предприети по отношение на предоставянето и управлението на данни (във връзка с раздел 4 на плана за оценка)</w:t>
      </w:r>
      <w:bookmarkEnd w:id="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012A46">
        <w:tc>
          <w:tcPr>
            <w:tcW w:w="12000" w:type="dxa"/>
            <w:shd w:val="clear" w:color="auto" w:fill="auto"/>
            <w:vAlign w:val="center"/>
          </w:tcPr>
          <w:p w:rsidR="00012A46" w:rsidRDefault="00836FCA">
            <w:pPr>
              <w:spacing w:before="0" w:after="240"/>
              <w:jc w:val="left"/>
              <w:rPr>
                <w:szCs w:val="24"/>
              </w:rPr>
            </w:pPr>
            <w:r>
              <w:rPr>
                <w:szCs w:val="24"/>
              </w:rPr>
              <w:t>В изпълнение на плана за оценка на ПРСР, Министерство на земеделието и храните е отправило официално искане за предоставяне на информация за целите на Годишния доклад за 2023 г. до ДФЗ.</w:t>
            </w:r>
          </w:p>
          <w:p w:rsidR="00012A46" w:rsidRDefault="00836FCA">
            <w:pPr>
              <w:spacing w:before="240" w:after="240"/>
              <w:jc w:val="left"/>
              <w:rPr>
                <w:szCs w:val="24"/>
              </w:rPr>
            </w:pPr>
            <w:r>
              <w:rPr>
                <w:szCs w:val="24"/>
              </w:rPr>
              <w:t>В резултат на исканията за предоставяне на информация, от страна на ДФЗ са получени основната част от данните, използвани при изготвяне на Годишния доклад на ПРСР 2014–2020 г. за 2022 г., като предоставената информация първоначално е с недостатъчно добра консистенция и не позволява извеждане на резултатите за мониторинга без експертна намеса, като това увеличава вероятността за допускане на технически грешки при анализа на данните.</w:t>
            </w:r>
          </w:p>
          <w:p w:rsidR="00012A46" w:rsidRDefault="00836FCA">
            <w:pPr>
              <w:spacing w:before="240" w:after="240"/>
              <w:jc w:val="left"/>
              <w:rPr>
                <w:szCs w:val="24"/>
              </w:rPr>
            </w:pPr>
            <w:r>
              <w:rPr>
                <w:szCs w:val="24"/>
              </w:rPr>
              <w:t>Важно е да се отбележи, че създадените системи за наблюдение и оценка на ПРСР в ИСУН 2020 все още не са в състояние да отговорят на нуждите за оценка на Програмата, както генерираната информация от системата не може да гарантира изискванията за всеобхвотност, надежност и точност на данните. Като цяло, е почти невъзможно или е възможно чрез полагане на огромни експертни усилия, да се достигне до качествени и верни резултати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rsidR="00012A46" w:rsidRDefault="00836FCA">
            <w:pPr>
              <w:spacing w:before="240" w:after="240"/>
              <w:jc w:val="left"/>
              <w:rPr>
                <w:szCs w:val="24"/>
              </w:rPr>
            </w:pPr>
            <w:r>
              <w:rPr>
                <w:szCs w:val="24"/>
              </w:rPr>
              <w:t>Към края на 2023 г. все още не е разработен информационен модул за мониторинг, който да позволи отчитане в реално време на всички индикатори, напредъка в договарянето и разплащането на средствата, както и остатъчните бюджети по мерките. В изпълнение на функцията си по наблюдение, УО на ПРСР 2014-2020 оказа съдействие на ДФЗ-РА при създаване на специализиран модул към вече изградената информационна система на ДФЗ (Система за електронно управление – СЕУ), с цел отчитане в реално време за всички индикатори по индикаторен план и мониторинговите таблици към годишния доклад за изпълнението, напредъка в договарянето и разплащането на средствата, остатъчните бюджети по мерките и резултатите от изпълнението на интервенциите от Стратегическия план.</w:t>
            </w:r>
          </w:p>
          <w:p w:rsidR="00012A46" w:rsidRDefault="00836FCA">
            <w:pPr>
              <w:spacing w:before="240" w:after="240"/>
              <w:jc w:val="left"/>
              <w:rPr>
                <w:szCs w:val="24"/>
              </w:rPr>
            </w:pPr>
            <w:r>
              <w:rPr>
                <w:szCs w:val="24"/>
              </w:rPr>
              <w:lastRenderedPageBreak/>
              <w:t>След промените в ЗПЗП (изм. и доп. на ДВ. бр. 102 от 23.12.2022 г.), които отчасти управляват риска от събиране на ненадежни данни, във връзка с наблюдението и оценката на подхода ВОМР в Стратегическия план, ЕЗФРСР е избран за водещ фонд. Към настоящия момент все още ИСУН 2020 не дава възможност за събиране на данни, от които автоматично да се извеждат стойности за показателите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 </w:t>
            </w:r>
          </w:p>
          <w:p w:rsidR="00012A46" w:rsidRDefault="00012A46">
            <w:pPr>
              <w:pStyle w:val="BodyText"/>
            </w:pPr>
          </w:p>
        </w:tc>
      </w:tr>
    </w:tbl>
    <w:p w:rsidR="00012A46" w:rsidRDefault="00012A46">
      <w:pPr>
        <w:sectPr w:rsidR="00012A46">
          <w:pgSz w:w="12240" w:h="15840"/>
          <w:pgMar w:top="900" w:right="900" w:bottom="900" w:left="900" w:header="720" w:footer="720" w:gutter="0"/>
          <w:cols w:space="720"/>
        </w:sectPr>
      </w:pPr>
    </w:p>
    <w:p w:rsidR="00012A46" w:rsidRDefault="00836FCA">
      <w:pPr>
        <w:pStyle w:val="Heading2"/>
      </w:pPr>
      <w:bookmarkStart w:id="13" w:name="_Toc169016420"/>
      <w:r>
        <w:lastRenderedPageBreak/>
        <w:t>Списък на завършените оценки, включително посочване на местата, където те са публикувани в интернет</w:t>
      </w:r>
      <w:bookmarkEnd w:id="13"/>
    </w:p>
    <w:p w:rsidR="00012A46" w:rsidRPr="00836FCA" w:rsidRDefault="00836FCA">
      <w:pPr>
        <w:jc w:val="left"/>
        <w:rPr>
          <w:lang w:val="bg-BG"/>
        </w:rPr>
      </w:pPr>
      <w:proofErr w:type="gramStart"/>
      <w:r>
        <w:t>Не са дефинирани приключени оценки</w:t>
      </w:r>
      <w:r>
        <w:rPr>
          <w:lang w:val="bg-BG"/>
        </w:rPr>
        <w:t>.</w:t>
      </w:r>
      <w:proofErr w:type="gramEnd"/>
    </w:p>
    <w:p w:rsidR="00012A46" w:rsidRDefault="00012A46">
      <w:pPr>
        <w:sectPr w:rsidR="00012A46">
          <w:pgSz w:w="12240" w:h="15840"/>
          <w:pgMar w:top="900" w:right="900" w:bottom="900" w:left="900" w:header="720" w:footer="720" w:gutter="0"/>
          <w:cols w:space="720"/>
        </w:sectPr>
      </w:pPr>
    </w:p>
    <w:p w:rsidR="00012A46" w:rsidRDefault="00836FCA">
      <w:pPr>
        <w:pStyle w:val="Heading2"/>
      </w:pPr>
      <w:bookmarkStart w:id="14" w:name="_Toc169016421"/>
      <w:r>
        <w:lastRenderedPageBreak/>
        <w:t>Резюме на приключени оценки, което се съсредоточава върху заключенията от тях</w:t>
      </w:r>
      <w:bookmarkEnd w:id="14"/>
    </w:p>
    <w:p w:rsidR="00012A46" w:rsidRDefault="00836FCA">
      <w:r>
        <w:t xml:space="preserve">Моля, обобщете констатациите от оценките, завършени през 2020 г., по цел на ОСП (или приоритет на ПРСР, където е уместно). </w:t>
      </w:r>
    </w:p>
    <w:p w:rsidR="00012A46" w:rsidRDefault="00836FCA">
      <w:r>
        <w:t xml:space="preserve">Посочете положителните или отрицателните ефекти/въздействия (включително доказателствата за тези ефекти/въздействия). Моля, не забравяйте да посочите източника на констатациите. </w:t>
      </w:r>
    </w:p>
    <w:p w:rsidR="00012A46" w:rsidRDefault="00012A46"/>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012A46">
        <w:tc>
          <w:tcPr>
            <w:tcW w:w="12000" w:type="dxa"/>
            <w:shd w:val="clear" w:color="auto" w:fill="auto"/>
            <w:tcMar>
              <w:top w:w="20" w:type="dxa"/>
              <w:left w:w="20" w:type="dxa"/>
              <w:bottom w:w="20" w:type="dxa"/>
            </w:tcMar>
            <w:vAlign w:val="center"/>
          </w:tcPr>
          <w:p w:rsidR="00012A46" w:rsidRDefault="00836FCA">
            <w:pPr>
              <w:spacing w:before="0" w:after="240"/>
              <w:jc w:val="left"/>
              <w:rPr>
                <w:szCs w:val="24"/>
              </w:rPr>
            </w:pPr>
            <w:r>
              <w:rPr>
                <w:szCs w:val="24"/>
              </w:rPr>
              <w:t>През 2023 г. не са дефинирани приключени оценки по ПРСР 2014-2020 г., информация за последната завършена оценка на ПРСР (текуща оценка до края на 2018 г.) е публикувана та Интернет страницата на МЗХГ, раздел „Политики и програми“, под-раздел „Програма за развитие на селските райони“, под-раздел “ПРСР“</w:t>
            </w:r>
          </w:p>
          <w:p w:rsidR="00012A46" w:rsidRDefault="00836FCA">
            <w:pPr>
              <w:spacing w:before="240" w:after="240"/>
              <w:jc w:val="left"/>
              <w:rPr>
                <w:szCs w:val="24"/>
              </w:rPr>
            </w:pPr>
            <w:r>
              <w:rPr>
                <w:szCs w:val="24"/>
              </w:rPr>
              <w:t>https://www.mzh.government.bg/bg/politiki-i-programi/programi-za-finansirane/programa-za-razvitie-na-selskite-rayoni/</w:t>
            </w:r>
          </w:p>
          <w:p w:rsidR="00012A46" w:rsidRDefault="00012A46">
            <w:pPr>
              <w:pStyle w:val="BodyText"/>
            </w:pPr>
          </w:p>
        </w:tc>
      </w:tr>
    </w:tbl>
    <w:p w:rsidR="00012A46" w:rsidRDefault="00836FCA">
      <w:pPr>
        <w:pStyle w:val="Heading2"/>
      </w:pPr>
      <w:bookmarkStart w:id="15" w:name="_Toc169016422"/>
      <w:r>
        <w:t>Описание на дейностите, предприети по отношение на публикуването на констатациите от оценката (във връзка с раздел 6 на плана за оценка)</w:t>
      </w:r>
      <w:bookmarkEnd w:id="15"/>
    </w:p>
    <w:p w:rsidR="00012A46" w:rsidRDefault="00836FCA">
      <w:pPr>
        <w:jc w:val="left"/>
        <w:sectPr w:rsidR="00012A46">
          <w:pgSz w:w="12240" w:h="15840"/>
          <w:pgMar w:top="900" w:right="900" w:bottom="900" w:left="900" w:header="720" w:footer="720" w:gutter="0"/>
          <w:cols w:space="720"/>
        </w:sectPr>
      </w:pPr>
      <w:r>
        <w:t>Не са дефинирани комуникационни дейности</w:t>
      </w:r>
    </w:p>
    <w:p w:rsidR="00012A46" w:rsidRDefault="00836FCA">
      <w:pPr>
        <w:pStyle w:val="Heading2"/>
      </w:pPr>
      <w:bookmarkStart w:id="16" w:name="_Toc169016423"/>
      <w:r>
        <w:lastRenderedPageBreak/>
        <w:t>Описание на предприетите последващи действия във връзка с резултатите от оценката (във връзка с раздел 6 на плана за оценка)</w:t>
      </w:r>
      <w:bookmarkEnd w:id="16"/>
    </w:p>
    <w:p w:rsidR="00012A46" w:rsidRDefault="00836FCA">
      <w:pPr>
        <w:jc w:val="left"/>
        <w:sectPr w:rsidR="00012A46">
          <w:pgSz w:w="12240" w:h="15840"/>
          <w:pgMar w:top="900" w:right="900" w:bottom="900" w:left="900" w:header="720" w:footer="720" w:gutter="0"/>
          <w:cols w:space="720"/>
        </w:sectPr>
      </w:pPr>
      <w:r>
        <w:t>Не са дефинирани последващи действия</w:t>
      </w:r>
    </w:p>
    <w:p w:rsidR="00012A46" w:rsidRDefault="00836FCA">
      <w:pPr>
        <w:pStyle w:val="Heading1"/>
        <w:jc w:val="left"/>
      </w:pPr>
      <w:bookmarkStart w:id="17" w:name="_Toc169016424"/>
      <w:r>
        <w:lastRenderedPageBreak/>
        <w:t>Проблеми, свързани с изпълнението на програмата и приетите мерки</w:t>
      </w:r>
      <w:bookmarkEnd w:id="17"/>
    </w:p>
    <w:p w:rsidR="00012A46" w:rsidRDefault="00836FCA">
      <w:pPr>
        <w:pStyle w:val="Heading2"/>
      </w:pPr>
      <w:bookmarkStart w:id="18" w:name="_Toc169016425"/>
      <w:r>
        <w:t>Описание на предприетите стъпки за осигуряване на качеството и ефективността на изпълнението на програмата</w:t>
      </w:r>
      <w:bookmarkEnd w:id="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012A46">
        <w:tc>
          <w:tcPr>
            <w:tcW w:w="12000" w:type="dxa"/>
            <w:shd w:val="clear" w:color="auto" w:fill="auto"/>
            <w:tcMar>
              <w:top w:w="20" w:type="dxa"/>
              <w:left w:w="20" w:type="dxa"/>
              <w:bottom w:w="20" w:type="dxa"/>
            </w:tcMar>
            <w:vAlign w:val="center"/>
          </w:tcPr>
          <w:p w:rsidR="00012A46" w:rsidRDefault="00836FCA">
            <w:pPr>
              <w:spacing w:before="0" w:after="240"/>
              <w:jc w:val="left"/>
              <w:rPr>
                <w:szCs w:val="24"/>
              </w:rPr>
            </w:pPr>
            <w:r>
              <w:rPr>
                <w:b/>
                <w:bCs/>
                <w:szCs w:val="24"/>
              </w:rPr>
              <w:t>Комитет по наблюдение на ПРСР 2014-2020 (КН) през 2023 г.</w:t>
            </w:r>
          </w:p>
          <w:p w:rsidR="00012A46" w:rsidRDefault="00836FCA">
            <w:pPr>
              <w:spacing w:before="240" w:after="240"/>
              <w:jc w:val="left"/>
              <w:rPr>
                <w:szCs w:val="24"/>
              </w:rPr>
            </w:pPr>
            <w:r>
              <w:rPr>
                <w:szCs w:val="24"/>
              </w:rPr>
              <w:t>Комитетът за наблюдение на Програмата (КН) е органът, който следи за ефективното, ефикасно и качествено изпълнение на Програмата, с помощта на финансови показатели и показатели за резултати и цели. През 2022 г. са проведени две заседания на Комитета по наблюдение чрез видеоконферентна връзка и три писмени процедури.</w:t>
            </w:r>
          </w:p>
          <w:p w:rsidR="00012A46" w:rsidRDefault="00836FCA">
            <w:pPr>
              <w:spacing w:before="240" w:after="240"/>
              <w:jc w:val="left"/>
              <w:rPr>
                <w:szCs w:val="24"/>
              </w:rPr>
            </w:pPr>
            <w:r>
              <w:rPr>
                <w:szCs w:val="24"/>
              </w:rPr>
              <w:t>В проведените заседания са дискутирани въпроси и са взимани решения, свързани с компетенциите на КН. Управляващият орган е осигурил достъп до всички материали от заседанията на Комитета по наблюдение, като същите се публикуват на интернет сайта на министерство на земеделието и храните, в специална секция предназначена за ПРСР 2014-2020. По този начин е осигурен обществен достъп до информацията и обсъжданията от проведените заседания.</w:t>
            </w:r>
          </w:p>
          <w:p w:rsidR="00012A46" w:rsidRDefault="00836FCA">
            <w:pPr>
              <w:spacing w:before="240" w:after="240"/>
              <w:jc w:val="left"/>
              <w:rPr>
                <w:szCs w:val="24"/>
              </w:rPr>
            </w:pPr>
            <w:r>
              <w:rPr>
                <w:szCs w:val="24"/>
              </w:rPr>
              <w:t>https://www.mzh.government.bg/bg/politiki-i-programi/programi-za-finansirane/programa-za-razvitie-na-selskite-rayoni/komitet-po-nablyudenie-prsr-2014-2020/materiali-i-stenografski-protokoli/</w:t>
            </w:r>
          </w:p>
          <w:p w:rsidR="00012A46" w:rsidRDefault="00836FCA">
            <w:pPr>
              <w:spacing w:before="240" w:after="240"/>
              <w:jc w:val="left"/>
              <w:rPr>
                <w:szCs w:val="24"/>
              </w:rPr>
            </w:pPr>
            <w:r>
              <w:rPr>
                <w:szCs w:val="24"/>
              </w:rPr>
              <w:t>От създаването на КН на ПРСР 2014-2020, са проведени двадесет присъствени заседания</w:t>
            </w:r>
            <w:r w:rsidR="007C208D">
              <w:rPr>
                <w:szCs w:val="24"/>
                <w:lang w:val="bg-BG"/>
              </w:rPr>
              <w:t>,</w:t>
            </w:r>
            <w:r>
              <w:rPr>
                <w:szCs w:val="24"/>
              </w:rPr>
              <w:t xml:space="preserve"> касаещи само ПРСР 2014-2020, някои от които чрез видеоконферентна връзка, поради възникналата пандемия от Covid-19 след началото на 2020 календарна година. През календарната 2023 година са проведени общо три заседания на КН:</w:t>
            </w:r>
          </w:p>
          <w:p w:rsidR="00012A46" w:rsidRDefault="00836FCA">
            <w:pPr>
              <w:spacing w:before="240" w:after="240"/>
              <w:jc w:val="left"/>
              <w:rPr>
                <w:szCs w:val="24"/>
              </w:rPr>
            </w:pPr>
            <w:r>
              <w:rPr>
                <w:b/>
                <w:bCs/>
                <w:szCs w:val="24"/>
              </w:rPr>
              <w:t>Двадесето заседание на Комитета за наблюдение на Програмата за развитие на селските райони (2014-2020), проведено на 04.04.2023 г. (присъствено):</w:t>
            </w:r>
          </w:p>
          <w:p w:rsidR="00012A46" w:rsidRDefault="00836FCA">
            <w:pPr>
              <w:spacing w:before="240" w:after="240"/>
              <w:jc w:val="left"/>
              <w:rPr>
                <w:szCs w:val="24"/>
              </w:rPr>
            </w:pPr>
            <w:r>
              <w:rPr>
                <w:szCs w:val="24"/>
              </w:rPr>
              <w:t>Предложение на УО на ПРСР (2014-2020) за 16-то изменение на ПРСР (2014-2020):</w:t>
            </w:r>
          </w:p>
          <w:p w:rsidR="00012A46" w:rsidRDefault="00836FCA">
            <w:pPr>
              <w:numPr>
                <w:ilvl w:val="0"/>
                <w:numId w:val="25"/>
              </w:numPr>
              <w:spacing w:before="240" w:after="0"/>
              <w:ind w:hanging="210"/>
              <w:jc w:val="left"/>
              <w:rPr>
                <w:szCs w:val="24"/>
              </w:rPr>
            </w:pPr>
            <w:r>
              <w:rPr>
                <w:szCs w:val="24"/>
              </w:rPr>
              <w:t>Промяна в текста на подмярка 2.2 „Създаване на консултантски услуги“, свързана с разширяване на обхвата на допустимите разходи, одобрена на 19-то заседание на КН на ПРСР,  ще бъде включена в 16 –то изменение на ПРСР (2014-2020).</w:t>
            </w:r>
          </w:p>
          <w:p w:rsidR="00012A46" w:rsidRDefault="00836FCA">
            <w:pPr>
              <w:numPr>
                <w:ilvl w:val="0"/>
                <w:numId w:val="25"/>
              </w:numPr>
              <w:spacing w:before="0" w:after="0"/>
              <w:ind w:hanging="210"/>
              <w:jc w:val="left"/>
              <w:rPr>
                <w:szCs w:val="24"/>
              </w:rPr>
            </w:pPr>
            <w:r>
              <w:rPr>
                <w:szCs w:val="24"/>
              </w:rPr>
              <w:t>Изменение в текста на подмярка M 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 от ПРСР (2014-2020), свързано с включване на нови допустими бенефициенти и разходи.</w:t>
            </w:r>
          </w:p>
          <w:p w:rsidR="00012A46" w:rsidRDefault="00836FCA">
            <w:pPr>
              <w:numPr>
                <w:ilvl w:val="0"/>
                <w:numId w:val="25"/>
              </w:numPr>
              <w:spacing w:before="0" w:after="0"/>
              <w:ind w:hanging="210"/>
              <w:jc w:val="left"/>
              <w:rPr>
                <w:szCs w:val="24"/>
              </w:rPr>
            </w:pPr>
            <w:r>
              <w:rPr>
                <w:szCs w:val="24"/>
              </w:rPr>
              <w:t>Промяна в текста на подмярка 6.1 „Стартова помощ за млади земеделски стопани“ от ПРСР (2014-2020), свързано с възможността за установяване на втори ръководител на земеделското стопанство.</w:t>
            </w:r>
          </w:p>
          <w:p w:rsidR="00012A46" w:rsidRDefault="00836FCA">
            <w:pPr>
              <w:numPr>
                <w:ilvl w:val="0"/>
                <w:numId w:val="25"/>
              </w:numPr>
              <w:spacing w:before="0" w:after="0"/>
              <w:ind w:hanging="210"/>
              <w:jc w:val="left"/>
              <w:rPr>
                <w:szCs w:val="24"/>
              </w:rPr>
            </w:pPr>
            <w:r>
              <w:rPr>
                <w:szCs w:val="24"/>
              </w:rPr>
              <w:t>Промяна в текста на подмярка 6.4.1 „Инвестиции в подкрепа на неземеделски дейности“ от ПРСР (2014-2020), свързана с изменение на принципите за определяне на критерии за подбор.</w:t>
            </w:r>
          </w:p>
          <w:p w:rsidR="00012A46" w:rsidRDefault="00836FCA">
            <w:pPr>
              <w:numPr>
                <w:ilvl w:val="0"/>
                <w:numId w:val="25"/>
              </w:numPr>
              <w:spacing w:before="0" w:after="0"/>
              <w:ind w:hanging="210"/>
              <w:jc w:val="left"/>
              <w:rPr>
                <w:szCs w:val="24"/>
              </w:rPr>
            </w:pPr>
            <w:r>
              <w:rPr>
                <w:szCs w:val="24"/>
              </w:rPr>
              <w:t>Добавяне на нов текст в общите части на ПРСР (2014-2020), свързан с предвиждане на възможност за индексация на разходи по мерки и подмерки от ПРСР (2014-2020).</w:t>
            </w:r>
          </w:p>
          <w:p w:rsidR="00012A46" w:rsidRDefault="00836FCA">
            <w:pPr>
              <w:numPr>
                <w:ilvl w:val="0"/>
                <w:numId w:val="25"/>
              </w:numPr>
              <w:spacing w:before="0" w:after="0"/>
              <w:ind w:hanging="210"/>
              <w:jc w:val="left"/>
              <w:rPr>
                <w:szCs w:val="24"/>
              </w:rPr>
            </w:pPr>
            <w:r>
              <w:rPr>
                <w:szCs w:val="24"/>
              </w:rPr>
              <w:t>Промяна в текста на подраздел 8.1. „Описание на общите условия, прилагани за повече от една мярка“ от ПРСР (2014-2020), свързана с капацитета на инсталациите за производство на енергия от ВЕИ,  одобрена на 19-то заседание на КН,  ще бъде включена в 16 – то изменение на ПРСР (2014-2020).</w:t>
            </w:r>
          </w:p>
          <w:p w:rsidR="00012A46" w:rsidRDefault="00836FCA">
            <w:pPr>
              <w:numPr>
                <w:ilvl w:val="0"/>
                <w:numId w:val="25"/>
              </w:numPr>
              <w:spacing w:before="0" w:after="0"/>
              <w:ind w:hanging="210"/>
              <w:jc w:val="left"/>
              <w:rPr>
                <w:szCs w:val="24"/>
              </w:rPr>
            </w:pPr>
            <w:r>
              <w:rPr>
                <w:szCs w:val="24"/>
              </w:rPr>
              <w:t xml:space="preserve">Изменения в текстовете на мярка 10 „Агроекология и климат“, мярка 11 „Биологично </w:t>
            </w:r>
            <w:r>
              <w:rPr>
                <w:szCs w:val="24"/>
              </w:rPr>
              <w:lastRenderedPageBreak/>
              <w:t>земеделие“ и Мярка 14 „Хуманно отношение към животните“ от ПРСР (2014-2020).</w:t>
            </w:r>
          </w:p>
          <w:p w:rsidR="00012A46" w:rsidRDefault="00836FCA">
            <w:pPr>
              <w:numPr>
                <w:ilvl w:val="0"/>
                <w:numId w:val="25"/>
              </w:numPr>
              <w:spacing w:before="0" w:after="0"/>
              <w:ind w:hanging="210"/>
              <w:jc w:val="left"/>
              <w:rPr>
                <w:szCs w:val="24"/>
              </w:rPr>
            </w:pPr>
            <w:r>
              <w:rPr>
                <w:szCs w:val="24"/>
              </w:rPr>
              <w:t>Промени в мярка 20 „Техническа помощ“ от ПРСР (2014-2020), свързани с уточняване обхвата на допустимост на разходите.</w:t>
            </w:r>
          </w:p>
          <w:p w:rsidR="00012A46" w:rsidRDefault="00836FCA">
            <w:pPr>
              <w:numPr>
                <w:ilvl w:val="0"/>
                <w:numId w:val="25"/>
              </w:numPr>
              <w:spacing w:before="0" w:after="240"/>
              <w:ind w:hanging="210"/>
              <w:jc w:val="left"/>
              <w:rPr>
                <w:szCs w:val="24"/>
              </w:rPr>
            </w:pPr>
            <w:r>
              <w:rPr>
                <w:szCs w:val="24"/>
              </w:rPr>
              <w:t>Прехвърляне на средства между мeрки, подмерки и фокус-области от ПРСР (2014-2020).</w:t>
            </w:r>
          </w:p>
          <w:p w:rsidR="00012A46" w:rsidRDefault="00836FCA">
            <w:pPr>
              <w:spacing w:before="240" w:after="240"/>
              <w:jc w:val="left"/>
              <w:rPr>
                <w:szCs w:val="24"/>
              </w:rPr>
            </w:pPr>
            <w:r>
              <w:rPr>
                <w:szCs w:val="24"/>
              </w:rPr>
              <w:t>Освен предложението за 16-то изменение на ПРСР 2014-2020, са разглеждани също така:</w:t>
            </w:r>
          </w:p>
          <w:p w:rsidR="00012A46" w:rsidRDefault="00836FCA">
            <w:pPr>
              <w:numPr>
                <w:ilvl w:val="0"/>
                <w:numId w:val="26"/>
              </w:numPr>
              <w:spacing w:before="240" w:after="0"/>
              <w:ind w:hanging="210"/>
              <w:jc w:val="left"/>
              <w:rPr>
                <w:szCs w:val="24"/>
              </w:rPr>
            </w:pPr>
            <w:r>
              <w:rPr>
                <w:szCs w:val="24"/>
              </w:rPr>
              <w:t>Методология за индексация на разходи по мерки и подмерки от ПРСР (2014-2020)</w:t>
            </w:r>
          </w:p>
          <w:p w:rsidR="00012A46" w:rsidRDefault="00836FCA">
            <w:pPr>
              <w:numPr>
                <w:ilvl w:val="0"/>
                <w:numId w:val="26"/>
              </w:numPr>
              <w:spacing w:before="0" w:after="0"/>
              <w:ind w:hanging="210"/>
              <w:jc w:val="left"/>
              <w:rPr>
                <w:szCs w:val="24"/>
              </w:rPr>
            </w:pPr>
            <w:r>
              <w:rPr>
                <w:szCs w:val="24"/>
              </w:rPr>
              <w:t>Изменения в критериите за оценка на проектни предложения по подмярка 6.4.1 „Инвестиции в подкрепа на неземеделски дейности“ на ПРСР (2014-2020)</w:t>
            </w:r>
          </w:p>
          <w:p w:rsidR="00012A46" w:rsidRDefault="00836FCA">
            <w:pPr>
              <w:numPr>
                <w:ilvl w:val="0"/>
                <w:numId w:val="26"/>
              </w:numPr>
              <w:spacing w:before="0" w:after="0"/>
              <w:ind w:hanging="210"/>
              <w:jc w:val="left"/>
              <w:rPr>
                <w:szCs w:val="24"/>
              </w:rPr>
            </w:pPr>
            <w:r>
              <w:rPr>
                <w:szCs w:val="24"/>
              </w:rPr>
              <w:t>Представяне на Индикативна годишна работна програма за 2023 г. на ПРСР (2014-2020)</w:t>
            </w:r>
          </w:p>
          <w:p w:rsidR="00012A46" w:rsidRDefault="00836FCA">
            <w:pPr>
              <w:numPr>
                <w:ilvl w:val="0"/>
                <w:numId w:val="26"/>
              </w:numPr>
              <w:spacing w:before="0" w:after="240"/>
              <w:ind w:hanging="210"/>
              <w:jc w:val="left"/>
              <w:rPr>
                <w:szCs w:val="24"/>
              </w:rPr>
            </w:pPr>
            <w:r>
              <w:rPr>
                <w:szCs w:val="24"/>
              </w:rPr>
              <w:t>Информация за напредъка в изпълнението на Програмата за развитие на селските райони (2014-2020)</w:t>
            </w:r>
          </w:p>
          <w:p w:rsidR="00012A46" w:rsidRDefault="00836FCA">
            <w:pPr>
              <w:spacing w:before="240" w:after="240"/>
              <w:jc w:val="left"/>
              <w:rPr>
                <w:szCs w:val="24"/>
              </w:rPr>
            </w:pPr>
            <w:r>
              <w:rPr>
                <w:b/>
                <w:bCs/>
                <w:szCs w:val="24"/>
              </w:rPr>
              <w:t xml:space="preserve">Първо редовно заседание Комитета за наблюдение на СПРЗСР (2023-2027), проведено на 05.06.2023 </w:t>
            </w:r>
            <w:proofErr w:type="gramStart"/>
            <w:r>
              <w:rPr>
                <w:b/>
                <w:bCs/>
                <w:szCs w:val="24"/>
              </w:rPr>
              <w:t>г.,</w:t>
            </w:r>
            <w:proofErr w:type="gramEnd"/>
            <w:r>
              <w:rPr>
                <w:b/>
                <w:bCs/>
                <w:szCs w:val="24"/>
              </w:rPr>
              <w:t xml:space="preserve"> в Хотел „Рамада“, гр. София (присъствено):</w:t>
            </w:r>
          </w:p>
          <w:p w:rsidR="00012A46" w:rsidRDefault="00836FCA">
            <w:pPr>
              <w:numPr>
                <w:ilvl w:val="0"/>
                <w:numId w:val="27"/>
              </w:numPr>
              <w:spacing w:before="240" w:after="0"/>
              <w:ind w:hanging="210"/>
              <w:jc w:val="left"/>
              <w:rPr>
                <w:szCs w:val="24"/>
              </w:rPr>
            </w:pPr>
            <w:r>
              <w:rPr>
                <w:szCs w:val="24"/>
              </w:rPr>
              <w:t>Обсъждане на Проект на Вътрешни правила за организацията и дейността на КН на Стратегическия план 2023-2027 г.</w:t>
            </w:r>
          </w:p>
          <w:p w:rsidR="00012A46" w:rsidRDefault="00836FCA">
            <w:pPr>
              <w:numPr>
                <w:ilvl w:val="0"/>
                <w:numId w:val="27"/>
              </w:numPr>
              <w:spacing w:before="0" w:after="0"/>
              <w:ind w:hanging="210"/>
              <w:jc w:val="left"/>
              <w:rPr>
                <w:szCs w:val="24"/>
              </w:rPr>
            </w:pPr>
            <w:r>
              <w:rPr>
                <w:szCs w:val="24"/>
              </w:rPr>
              <w:t>Представяне и обсъждане на Решение на Комисия по земеделието, храните и горите на 48-мо Народно събрание за промени в Стратегическия план 2023-2027 г.</w:t>
            </w:r>
          </w:p>
          <w:p w:rsidR="00012A46" w:rsidRDefault="00836FCA">
            <w:pPr>
              <w:numPr>
                <w:ilvl w:val="0"/>
                <w:numId w:val="27"/>
              </w:numPr>
              <w:spacing w:before="0" w:after="0"/>
              <w:ind w:hanging="210"/>
              <w:jc w:val="left"/>
              <w:rPr>
                <w:szCs w:val="24"/>
              </w:rPr>
            </w:pPr>
            <w:r>
              <w:rPr>
                <w:szCs w:val="24"/>
              </w:rPr>
              <w:t>Представяне и обсъждане на Предложения на браншови организации и заинтересовани страни за промени в Стратегическия план 2023-2027 г.</w:t>
            </w:r>
          </w:p>
          <w:p w:rsidR="00012A46" w:rsidRDefault="00836FCA">
            <w:pPr>
              <w:numPr>
                <w:ilvl w:val="0"/>
                <w:numId w:val="27"/>
              </w:numPr>
              <w:spacing w:before="0" w:after="240"/>
              <w:ind w:hanging="210"/>
              <w:jc w:val="left"/>
              <w:rPr>
                <w:szCs w:val="24"/>
              </w:rPr>
            </w:pPr>
            <w:r>
              <w:rPr>
                <w:szCs w:val="24"/>
              </w:rPr>
              <w:t>Проект на критерии за оценка на проектни предложения по интервенции:</w:t>
            </w:r>
          </w:p>
          <w:p w:rsidR="00012A46" w:rsidRDefault="00836FCA">
            <w:pPr>
              <w:numPr>
                <w:ilvl w:val="0"/>
                <w:numId w:val="28"/>
              </w:numPr>
              <w:spacing w:before="240" w:after="0"/>
              <w:ind w:hanging="210"/>
              <w:jc w:val="left"/>
              <w:rPr>
                <w:szCs w:val="24"/>
              </w:rPr>
            </w:pPr>
            <w:r>
              <w:rPr>
                <w:szCs w:val="24"/>
              </w:rPr>
              <w:t>интервенция II.Ж.1 от Стратегическия план 2023-2027 г. „Подкрепа за оперативни група в рамките на Европейското партньорство за иновации“ (Първа стъпка);</w:t>
            </w:r>
          </w:p>
          <w:p w:rsidR="00012A46" w:rsidRDefault="00836FCA">
            <w:pPr>
              <w:numPr>
                <w:ilvl w:val="0"/>
                <w:numId w:val="28"/>
              </w:numPr>
              <w:spacing w:before="0" w:after="0"/>
              <w:ind w:hanging="210"/>
              <w:jc w:val="left"/>
              <w:rPr>
                <w:szCs w:val="24"/>
              </w:rPr>
            </w:pPr>
            <w:r>
              <w:rPr>
                <w:szCs w:val="24"/>
              </w:rPr>
              <w:t>интервенции I.E1-I.E.9 от Стратегическия план 2023-2027 г. в сектора на пчеларството;</w:t>
            </w:r>
          </w:p>
          <w:p w:rsidR="00012A46" w:rsidRDefault="00836FCA">
            <w:pPr>
              <w:numPr>
                <w:ilvl w:val="0"/>
                <w:numId w:val="28"/>
              </w:numPr>
              <w:spacing w:before="0" w:after="0"/>
              <w:ind w:hanging="210"/>
              <w:jc w:val="left"/>
              <w:rPr>
                <w:szCs w:val="24"/>
              </w:rPr>
            </w:pPr>
            <w:r>
              <w:rPr>
                <w:szCs w:val="24"/>
              </w:rPr>
              <w:t>интервенции I.Г.2.1- I.Г.2.5 от Стратегическия план 2023-2027 г. в сектор „Мляко и млечни</w:t>
            </w:r>
          </w:p>
          <w:p w:rsidR="00012A46" w:rsidRDefault="00836FCA">
            <w:pPr>
              <w:numPr>
                <w:ilvl w:val="0"/>
                <w:numId w:val="28"/>
              </w:numPr>
              <w:spacing w:before="0" w:after="0"/>
              <w:ind w:hanging="210"/>
              <w:jc w:val="left"/>
              <w:rPr>
                <w:szCs w:val="24"/>
              </w:rPr>
            </w:pPr>
            <w:r>
              <w:rPr>
                <w:szCs w:val="24"/>
              </w:rPr>
              <w:t>продукти“;</w:t>
            </w:r>
          </w:p>
          <w:p w:rsidR="00012A46" w:rsidRDefault="00836FCA">
            <w:pPr>
              <w:numPr>
                <w:ilvl w:val="0"/>
                <w:numId w:val="28"/>
              </w:numPr>
              <w:spacing w:before="0" w:after="240"/>
              <w:ind w:hanging="210"/>
              <w:jc w:val="left"/>
              <w:rPr>
                <w:szCs w:val="24"/>
              </w:rPr>
            </w:pPr>
            <w:proofErr w:type="gramStart"/>
            <w:r>
              <w:rPr>
                <w:szCs w:val="24"/>
              </w:rPr>
              <w:t>интервенция</w:t>
            </w:r>
            <w:proofErr w:type="gramEnd"/>
            <w:r>
              <w:rPr>
                <w:szCs w:val="24"/>
              </w:rPr>
              <w:t xml:space="preserve"> по ВОМР II.Ж.5 - Изпълнението на операции, включително дейности за сътрудничество и тяхната подготовка, избрани в рамките на стратегията за местно развитие.</w:t>
            </w:r>
          </w:p>
          <w:p w:rsidR="00012A46" w:rsidRDefault="00836FCA">
            <w:pPr>
              <w:spacing w:before="240" w:after="240"/>
              <w:jc w:val="left"/>
              <w:rPr>
                <w:szCs w:val="24"/>
              </w:rPr>
            </w:pPr>
            <w:r>
              <w:rPr>
                <w:b/>
                <w:bCs/>
                <w:szCs w:val="24"/>
              </w:rPr>
              <w:t xml:space="preserve">Второ редовно заседание Комитета за наблюдение на СПРЗСР (2023-2027), проведено на 18.09.2023 </w:t>
            </w:r>
            <w:proofErr w:type="gramStart"/>
            <w:r>
              <w:rPr>
                <w:b/>
                <w:bCs/>
                <w:szCs w:val="24"/>
              </w:rPr>
              <w:t>г.,</w:t>
            </w:r>
            <w:proofErr w:type="gramEnd"/>
            <w:r>
              <w:rPr>
                <w:b/>
                <w:bCs/>
                <w:szCs w:val="24"/>
              </w:rPr>
              <w:t xml:space="preserve"> в Хотел „Рамада“, гр. София (присъствено):</w:t>
            </w:r>
          </w:p>
          <w:p w:rsidR="00012A46" w:rsidRDefault="00836FCA">
            <w:pPr>
              <w:numPr>
                <w:ilvl w:val="0"/>
                <w:numId w:val="29"/>
              </w:numPr>
              <w:spacing w:before="240" w:after="0"/>
              <w:ind w:hanging="210"/>
              <w:jc w:val="left"/>
              <w:rPr>
                <w:szCs w:val="24"/>
              </w:rPr>
            </w:pPr>
            <w:r>
              <w:rPr>
                <w:szCs w:val="24"/>
              </w:rPr>
              <w:t>Напредък в изпълнението на Стратегическия план 2023-2027 г. – резултати от Кампания 2023</w:t>
            </w:r>
          </w:p>
          <w:p w:rsidR="00012A46" w:rsidRDefault="00836FCA">
            <w:pPr>
              <w:numPr>
                <w:ilvl w:val="0"/>
                <w:numId w:val="29"/>
              </w:numPr>
              <w:spacing w:before="0" w:after="240"/>
              <w:ind w:hanging="210"/>
              <w:jc w:val="left"/>
              <w:rPr>
                <w:szCs w:val="24"/>
              </w:rPr>
            </w:pPr>
            <w:r>
              <w:rPr>
                <w:szCs w:val="24"/>
              </w:rPr>
              <w:t>Предложение на Управляващия орган (УО) на СПРЗСР (2023-2027) за първо изменение на Стратегическия план (2023-2027) и даване на мандат на Управляващия орган да представи и договори окончателния вариант с Европейската комисия, а именно:</w:t>
            </w:r>
          </w:p>
          <w:p w:rsidR="00012A46" w:rsidRDefault="00836FCA">
            <w:pPr>
              <w:numPr>
                <w:ilvl w:val="0"/>
                <w:numId w:val="30"/>
              </w:numPr>
              <w:spacing w:before="240" w:after="0"/>
              <w:ind w:hanging="210"/>
              <w:jc w:val="left"/>
              <w:rPr>
                <w:szCs w:val="24"/>
              </w:rPr>
            </w:pPr>
            <w:r>
              <w:rPr>
                <w:szCs w:val="24"/>
              </w:rPr>
              <w:t>Предложение на УО за промени в прилагането на стандарти за добро земеделско и екологично състояние (ДЗЕС);</w:t>
            </w:r>
          </w:p>
          <w:p w:rsidR="00012A46" w:rsidRDefault="00836FCA">
            <w:pPr>
              <w:numPr>
                <w:ilvl w:val="0"/>
                <w:numId w:val="30"/>
              </w:numPr>
              <w:spacing w:before="0" w:after="0"/>
              <w:ind w:hanging="210"/>
              <w:jc w:val="left"/>
              <w:rPr>
                <w:szCs w:val="24"/>
              </w:rPr>
            </w:pPr>
            <w:r>
              <w:rPr>
                <w:szCs w:val="24"/>
              </w:rPr>
              <w:t>Предложение на УО за промени в прилагането на интервенциите под формата на директни плащания;</w:t>
            </w:r>
          </w:p>
          <w:p w:rsidR="00012A46" w:rsidRDefault="00836FCA">
            <w:pPr>
              <w:numPr>
                <w:ilvl w:val="0"/>
                <w:numId w:val="30"/>
              </w:numPr>
              <w:spacing w:before="0" w:after="0"/>
              <w:ind w:hanging="210"/>
              <w:jc w:val="left"/>
              <w:rPr>
                <w:szCs w:val="24"/>
              </w:rPr>
            </w:pPr>
            <w:r>
              <w:rPr>
                <w:szCs w:val="24"/>
              </w:rPr>
              <w:t>Предложение на УО за промени в прилагането на секторните интервенции;</w:t>
            </w:r>
          </w:p>
          <w:p w:rsidR="00012A46" w:rsidRDefault="00836FCA">
            <w:pPr>
              <w:numPr>
                <w:ilvl w:val="0"/>
                <w:numId w:val="30"/>
              </w:numPr>
              <w:spacing w:before="0" w:after="240"/>
              <w:ind w:hanging="210"/>
              <w:jc w:val="left"/>
              <w:rPr>
                <w:szCs w:val="24"/>
              </w:rPr>
            </w:pPr>
            <w:r>
              <w:rPr>
                <w:szCs w:val="24"/>
              </w:rPr>
              <w:t>Предложение на УО за промени в прилагането на интервенциите в областта на развитие на селските райони.</w:t>
            </w:r>
          </w:p>
          <w:p w:rsidR="00012A46" w:rsidRDefault="00836FCA">
            <w:pPr>
              <w:numPr>
                <w:ilvl w:val="0"/>
                <w:numId w:val="31"/>
              </w:numPr>
              <w:spacing w:before="240" w:after="0"/>
              <w:ind w:hanging="210"/>
              <w:jc w:val="left"/>
              <w:rPr>
                <w:szCs w:val="24"/>
              </w:rPr>
            </w:pPr>
            <w:r>
              <w:rPr>
                <w:szCs w:val="24"/>
              </w:rPr>
              <w:lastRenderedPageBreak/>
              <w:t>Представяне на предложение на УО за промени в 16-то изменение на ПРСР 2014-2020 г.</w:t>
            </w:r>
          </w:p>
          <w:p w:rsidR="00012A46" w:rsidRDefault="00836FCA">
            <w:pPr>
              <w:numPr>
                <w:ilvl w:val="0"/>
                <w:numId w:val="31"/>
              </w:numPr>
              <w:spacing w:before="0" w:after="240"/>
              <w:ind w:hanging="210"/>
              <w:jc w:val="left"/>
              <w:rPr>
                <w:szCs w:val="24"/>
              </w:rPr>
            </w:pPr>
            <w:r>
              <w:rPr>
                <w:szCs w:val="24"/>
              </w:rPr>
              <w:t>Риск от загуба на средства (автоматична отмяна на бюджетни задължения по правилото N+3 за 2023 г.) по ПРСР (2014-2020).</w:t>
            </w:r>
          </w:p>
          <w:p w:rsidR="00012A46" w:rsidRDefault="00836FCA">
            <w:pPr>
              <w:spacing w:before="240" w:after="240"/>
              <w:jc w:val="left"/>
              <w:rPr>
                <w:szCs w:val="24"/>
              </w:rPr>
            </w:pPr>
            <w:r>
              <w:rPr>
                <w:b/>
                <w:bCs/>
                <w:szCs w:val="24"/>
                <w:u w:val="single"/>
              </w:rPr>
              <w:t>Проблеми и предприетите стъпки за осигуряване на качеството и ефективността на изпълнението на програмата.</w:t>
            </w:r>
          </w:p>
          <w:p w:rsidR="00012A46" w:rsidRDefault="00836FCA">
            <w:pPr>
              <w:spacing w:before="240" w:after="240"/>
              <w:jc w:val="left"/>
              <w:rPr>
                <w:szCs w:val="24"/>
              </w:rPr>
            </w:pPr>
            <w:r>
              <w:rPr>
                <w:szCs w:val="24"/>
              </w:rPr>
              <w:t>Въпреки промяната на ЗУСЕФСУ, се запазват съществуващите проблеми, свързани с изискването всяко проектно предложение да се оценява от най-малко от двама независими един от друг членове на комисия и въведената процедура на докладване на взетите решения за отпускане на подпомагане, съгласно която договори могат да бъдат подписвани, само когато решенията по всички проекти са взети. Запазва се и предпоставката за забавяне, свързана с въведеното обжалване от страна на кандидатите, както на етап предварителна оценка, така и на етап оценка за административно съответствие и допустимост.</w:t>
            </w:r>
          </w:p>
          <w:p w:rsidR="00012A46" w:rsidRDefault="00836FCA">
            <w:pPr>
              <w:spacing w:before="240" w:after="240"/>
              <w:jc w:val="left"/>
              <w:rPr>
                <w:szCs w:val="24"/>
              </w:rPr>
            </w:pPr>
            <w:r>
              <w:rPr>
                <w:szCs w:val="24"/>
              </w:rPr>
              <w:t>Продължава да се прилага практиката, свързана с факта, че голяма част от приемите по отделните мерки се изпълняват по различни правила за оценка и критерии за подбор, което води до необходимостта от изготвяне и одобрение на нови вътрешни правила и процедури за прилагане и контрол по всеки отделен прием по дадена подмярка.</w:t>
            </w:r>
          </w:p>
          <w:p w:rsidR="00012A46" w:rsidRDefault="00836FCA">
            <w:pPr>
              <w:spacing w:before="240" w:after="240"/>
              <w:jc w:val="left"/>
              <w:rPr>
                <w:szCs w:val="24"/>
              </w:rPr>
            </w:pPr>
            <w:r>
              <w:rPr>
                <w:szCs w:val="24"/>
              </w:rPr>
              <w:t>Потвърждават се и проблемите, свързани с работа успоредно в двете системи (ИСУН и ИСАК), поради причини, свързани с невъзможността на ИСУН 2020 да събира данни и генерира справки за целите на мониторинга, отчитането, докладването и оценката на ПРСР. Това допринася и за ненавременното и коректно събиране на данни. При изготвянето на настоящата оценка оценителният екип срещна затруднения от този характер при събирането на данните, най-вече във връзка с подхода ЛИДЕР.</w:t>
            </w:r>
          </w:p>
          <w:p w:rsidR="00012A46" w:rsidRDefault="00836FCA">
            <w:pPr>
              <w:spacing w:before="240" w:after="240"/>
              <w:jc w:val="left"/>
              <w:rPr>
                <w:szCs w:val="24"/>
              </w:rPr>
            </w:pPr>
            <w:r>
              <w:rPr>
                <w:szCs w:val="24"/>
              </w:rPr>
              <w:t>Въпреки това, следва да се отбележи и, че във връзка с публикувания на страницата на ДФЗ План с мерки за подобряване дейността на ДФЗ - публичност и прозрачност в работата (https://www.dfz.bg/bg/za-dfz/plan-merki-dfz-public-transparent/) са постигнати следните резултати:</w:t>
            </w:r>
          </w:p>
          <w:p w:rsidR="00012A46" w:rsidRDefault="00836FCA">
            <w:pPr>
              <w:spacing w:before="240" w:after="240"/>
              <w:jc w:val="left"/>
              <w:rPr>
                <w:szCs w:val="24"/>
              </w:rPr>
            </w:pPr>
            <w:r>
              <w:rPr>
                <w:szCs w:val="24"/>
              </w:rPr>
              <w:t>- ДФЗ е спазил всички предприети мерки за подобряване дейността на ДФЗ - публичност и прозрачност в работата, като към края на 2022 г. са обработени всички забавени проекти по подхода ЛИДЕР;</w:t>
            </w:r>
          </w:p>
          <w:p w:rsidR="00012A46" w:rsidRDefault="00836FCA">
            <w:pPr>
              <w:spacing w:before="240" w:after="240"/>
              <w:jc w:val="left"/>
              <w:rPr>
                <w:szCs w:val="24"/>
              </w:rPr>
            </w:pPr>
            <w:r>
              <w:rPr>
                <w:szCs w:val="24"/>
              </w:rPr>
              <w:t>- изготвено е и е публикувано на сайта на ДФЗ „Ръководство на бенефициента“, което предоставя конкретна, синтезирана и систематизирана информация за основни права и задължения на бенефициентите и осигуряване на ефективно техническо и финансово изпълнение на договора за безвъзмездна финансова помощ;</w:t>
            </w:r>
          </w:p>
          <w:p w:rsidR="00012A46" w:rsidRDefault="00836FCA">
            <w:pPr>
              <w:spacing w:before="240" w:after="240"/>
              <w:jc w:val="left"/>
              <w:rPr>
                <w:szCs w:val="24"/>
              </w:rPr>
            </w:pPr>
            <w:r>
              <w:rPr>
                <w:szCs w:val="24"/>
              </w:rPr>
              <w:t>- въведена е практика в писмената кореспонденция да се посочват телефони за обратна връзка, като по този начин кандидатите/бенефициентите получават подробна информация и допълнителни разяснения за установените непълноти и неясноти по подадените от тях проекти, искания за анекси, съгласуване на тръжни документи, искания за плащане и др.;</w:t>
            </w:r>
          </w:p>
          <w:p w:rsidR="00012A46" w:rsidRDefault="00836FCA">
            <w:pPr>
              <w:spacing w:before="240" w:after="240"/>
              <w:jc w:val="left"/>
              <w:rPr>
                <w:szCs w:val="24"/>
              </w:rPr>
            </w:pPr>
            <w:r>
              <w:rPr>
                <w:szCs w:val="24"/>
              </w:rPr>
              <w:t>- откритите са допълнителни „горещи“ телефонни линии (две за дирекция ДПМРСР и две за дирекция ОППМРСР), като за 2022 г. регистрираните обаждания са над 1000 бр.;</w:t>
            </w:r>
          </w:p>
          <w:p w:rsidR="00012A46" w:rsidRDefault="00836FCA">
            <w:pPr>
              <w:spacing w:before="240" w:after="240"/>
              <w:jc w:val="left"/>
              <w:rPr>
                <w:szCs w:val="24"/>
              </w:rPr>
            </w:pPr>
            <w:r>
              <w:rPr>
                <w:szCs w:val="24"/>
              </w:rPr>
              <w:t>- ежемесечно на сайта на ДФЗ се публикува информация за напредъка на мерките и подмерките.</w:t>
            </w:r>
          </w:p>
          <w:p w:rsidR="00012A46" w:rsidRDefault="00836FCA">
            <w:pPr>
              <w:spacing w:before="240" w:after="240"/>
              <w:jc w:val="left"/>
              <w:rPr>
                <w:szCs w:val="24"/>
              </w:rPr>
            </w:pPr>
            <w:r>
              <w:rPr>
                <w:szCs w:val="24"/>
              </w:rPr>
              <w:t xml:space="preserve">През 2023 г., Разплащателната агенция продължи да работи в посока прилагането на заложените </w:t>
            </w:r>
            <w:r>
              <w:rPr>
                <w:szCs w:val="24"/>
              </w:rPr>
              <w:lastRenderedPageBreak/>
              <w:t>мерки с цел преодоляване и справяне с големия обем работни процеси и произтичащите от тях идентифицирани основни проблеми, свързани с прилагането на ПРСР 2014-2020 г., а именно:</w:t>
            </w:r>
          </w:p>
          <w:p w:rsidR="00012A46" w:rsidRDefault="00836FCA">
            <w:pPr>
              <w:numPr>
                <w:ilvl w:val="0"/>
                <w:numId w:val="32"/>
              </w:numPr>
              <w:spacing w:before="240" w:after="0"/>
              <w:ind w:hanging="210"/>
              <w:jc w:val="left"/>
              <w:rPr>
                <w:szCs w:val="24"/>
              </w:rPr>
            </w:pPr>
            <w:r>
              <w:rPr>
                <w:szCs w:val="24"/>
              </w:rPr>
              <w:t>За по-бързо обработване на проектите за предоставяне на БФП и спазването на сроковете за договаряне се организират оценителни комисии; осъществява се периодично обновяване на ИСАК; процедурите за работа на дирекцията се изменят спрямо приложимото законодателство с оглед неговото спазване; командироват се служители към дирекция „Договориране по прилагане на мерките за развитие на селските райони“ (ДПМРСР) за определени срокове; провеждат се периодични целеви обучения на служителите; стимулира се електронното парафиране и движение на документи;</w:t>
            </w:r>
          </w:p>
          <w:p w:rsidR="00012A46" w:rsidRDefault="00836FCA">
            <w:pPr>
              <w:numPr>
                <w:ilvl w:val="0"/>
                <w:numId w:val="32"/>
              </w:numPr>
              <w:spacing w:before="0" w:after="0"/>
              <w:ind w:hanging="210"/>
              <w:jc w:val="left"/>
              <w:rPr>
                <w:szCs w:val="24"/>
              </w:rPr>
            </w:pPr>
            <w:r>
              <w:rPr>
                <w:szCs w:val="24"/>
              </w:rPr>
              <w:t>За преодоляване затрудненията при изпълнение на договорите, вследствие на Ковид пандемията, както и на растящата инфлация, довела до значително увеличение на пазарните цени, в рамките на 2023 г. по определени подмерки бе допуснато удължаване на срока за изпълнение на инвестициите, както и бе извършена промяна в условията за изпълнение в полза на бенефициентите по други подмерки;</w:t>
            </w:r>
          </w:p>
          <w:p w:rsidR="00012A46" w:rsidRDefault="00836FCA">
            <w:pPr>
              <w:numPr>
                <w:ilvl w:val="0"/>
                <w:numId w:val="32"/>
              </w:numPr>
              <w:spacing w:before="0" w:after="0"/>
              <w:ind w:hanging="210"/>
              <w:jc w:val="left"/>
              <w:rPr>
                <w:szCs w:val="24"/>
              </w:rPr>
            </w:pPr>
            <w:r>
              <w:rPr>
                <w:szCs w:val="24"/>
              </w:rPr>
              <w:t>За преодоляване на проблемите, свързани с прилагане на нормативната уредба по мерките/подмерките от ПРСР 2014-2020 г. за приемите чрез ИСУН 2020, дирекция ДПМРСР осъществява активна комуникация с Управляващия орган на ПРСР 2014-2020 г. като привежда процедурите си за работа в съответствие с предоставените становища;</w:t>
            </w:r>
          </w:p>
          <w:p w:rsidR="00012A46" w:rsidRDefault="00836FCA">
            <w:pPr>
              <w:numPr>
                <w:ilvl w:val="0"/>
                <w:numId w:val="32"/>
              </w:numPr>
              <w:spacing w:before="0" w:after="0"/>
              <w:ind w:hanging="210"/>
              <w:jc w:val="left"/>
              <w:rPr>
                <w:szCs w:val="24"/>
              </w:rPr>
            </w:pPr>
            <w:r>
              <w:rPr>
                <w:szCs w:val="24"/>
              </w:rPr>
              <w:t>По отношение на спецификата на оценката по ПРСР 2014-2020 г., се поддържа добра координационна връзка с ЦКЗ към Министерски съвет, което допринася за бързо и навременно отстраняване на възникнали в процеса на работа недостатъци и слабости.</w:t>
            </w:r>
          </w:p>
          <w:p w:rsidR="00012A46" w:rsidRDefault="00836FCA">
            <w:pPr>
              <w:numPr>
                <w:ilvl w:val="0"/>
                <w:numId w:val="32"/>
              </w:numPr>
              <w:spacing w:before="0" w:after="240"/>
              <w:ind w:hanging="210"/>
              <w:jc w:val="left"/>
              <w:rPr>
                <w:szCs w:val="24"/>
              </w:rPr>
            </w:pPr>
            <w:r>
              <w:rPr>
                <w:szCs w:val="24"/>
              </w:rPr>
              <w:t>Във връзка с растящата и през 2023 г. инфлация, на 10.05.2023 г. е отправено предложение за изменение на Програма за развитие на селските райони за Програмен период 2014 – 2022 г., което е одобрено на Комитет по наблюдение от дата 05.04.2023 г. Изменението на ПРСР е във връзка с приетата с ПМС № 290 от 27 септември 2022 г. „Методика за изменение на цената на договор за обществена поръчка в резултат на инфлация“ и въвеждането на разпоредбата на чл. 117а от Закона за обществените поръчки (ЗОП). В тази връзка, Държавен фонд „Земеделие“ направи и съответните разяснения по отношение на коректното прилагане на начина за изменение на цената на договор за обществена поръчка и рамково споразумение в резултат на инфлация, при която съществено са увеличени цените на основните стоки и материали, формиращи стойността на договора за строителство и рамковото споразумение за строителство.</w:t>
            </w:r>
          </w:p>
          <w:p w:rsidR="00012A46" w:rsidRDefault="00836FCA">
            <w:pPr>
              <w:spacing w:before="240" w:after="240"/>
              <w:jc w:val="left"/>
              <w:rPr>
                <w:szCs w:val="24"/>
              </w:rPr>
            </w:pPr>
            <w:r>
              <w:rPr>
                <w:szCs w:val="24"/>
              </w:rPr>
              <w:t>На етап оторизация на плащанията по прилагането на мерките от „Програмата за развитие на селските райони“ за периода 2014-2020 г., бяха идентифицирани следните основни проблеми:</w:t>
            </w:r>
          </w:p>
          <w:p w:rsidR="00012A46" w:rsidRPr="00BD4D88" w:rsidRDefault="00836FCA">
            <w:pPr>
              <w:numPr>
                <w:ilvl w:val="0"/>
                <w:numId w:val="33"/>
              </w:numPr>
              <w:spacing w:before="240" w:after="0"/>
              <w:ind w:hanging="210"/>
              <w:jc w:val="left"/>
              <w:rPr>
                <w:szCs w:val="24"/>
              </w:rPr>
            </w:pPr>
            <w:r w:rsidRPr="00BD4D88">
              <w:rPr>
                <w:bCs/>
                <w:szCs w:val="24"/>
              </w:rPr>
              <w:t xml:space="preserve">Пандемията от COVID-19 и геополитическата криза, предизвикана от войната в Украйна, продължават да оказват негативно влияние върху икономиката, включително върху селскостопанския сектор, което води до затруднения от страна на ползвателите при изпълнението на одобрените проекти по ПРСР 2014-2020 г.  </w:t>
            </w:r>
          </w:p>
          <w:p w:rsidR="00012A46" w:rsidRPr="00BD4D88" w:rsidRDefault="00836FCA">
            <w:pPr>
              <w:numPr>
                <w:ilvl w:val="0"/>
                <w:numId w:val="33"/>
              </w:numPr>
              <w:spacing w:before="0" w:after="0"/>
              <w:ind w:hanging="210"/>
              <w:jc w:val="left"/>
              <w:rPr>
                <w:szCs w:val="24"/>
              </w:rPr>
            </w:pPr>
            <w:r w:rsidRPr="00BD4D88">
              <w:rPr>
                <w:bCs/>
                <w:szCs w:val="24"/>
              </w:rPr>
              <w:t xml:space="preserve">Затруднения от страна на ползвателите на безвъзмездна финансова помощ при подготовка на документите, подавани към исканията за плащане и при подготовка на отговор в случаите, когато е изпратено писмо от страна на ДФ „Земеделие“ с искане за представяне на допълнителни документи и/или разяснения във връзка с подадени искания за плащане. </w:t>
            </w:r>
          </w:p>
          <w:p w:rsidR="00012A46" w:rsidRPr="00BD4D88" w:rsidRDefault="00836FCA">
            <w:pPr>
              <w:numPr>
                <w:ilvl w:val="0"/>
                <w:numId w:val="33"/>
              </w:numPr>
              <w:spacing w:before="0" w:after="240"/>
              <w:ind w:hanging="210"/>
              <w:jc w:val="left"/>
              <w:rPr>
                <w:szCs w:val="24"/>
              </w:rPr>
            </w:pPr>
            <w:r w:rsidRPr="00BD4D88">
              <w:rPr>
                <w:bCs/>
                <w:szCs w:val="24"/>
              </w:rPr>
              <w:t>Изтичане на крайния срок по договори с ползватели по различни мерки по едно и също време, което е предпоставка за голям брой подадени искания за плащане.</w:t>
            </w:r>
          </w:p>
          <w:p w:rsidR="00012A46" w:rsidRDefault="00836FCA">
            <w:pPr>
              <w:spacing w:before="240" w:after="240"/>
              <w:jc w:val="left"/>
              <w:rPr>
                <w:szCs w:val="24"/>
              </w:rPr>
            </w:pPr>
            <w:r>
              <w:rPr>
                <w:b/>
                <w:bCs/>
                <w:szCs w:val="24"/>
              </w:rPr>
              <w:t xml:space="preserve">Предприети мерки: </w:t>
            </w:r>
          </w:p>
          <w:p w:rsidR="00012A46" w:rsidRPr="00BD4D88" w:rsidRDefault="00836FCA">
            <w:pPr>
              <w:spacing w:before="240" w:after="240"/>
              <w:jc w:val="left"/>
              <w:rPr>
                <w:szCs w:val="24"/>
              </w:rPr>
            </w:pPr>
            <w:r w:rsidRPr="00BD4D88">
              <w:rPr>
                <w:bCs/>
                <w:szCs w:val="24"/>
              </w:rPr>
              <w:lastRenderedPageBreak/>
              <w:t xml:space="preserve">През 2023 г. беше създадена организация за проактивна индивидуална комуникация с бенефициентите. Прозвъняни бяха над 1600 частни бенефициента лично за осъществяване на комуникация и стимулирането им за подаване на заявки за плащане. В хода на комуникацията бенефициентите бяха уведомени за възможностите за подаване на заявки за плащане непосредствено след приключване на изпълнението на проекта или обособена част от него (междинно плащане), като дори и да нямат включено в договора междинно плащане, същото ще бъде одобрено.  </w:t>
            </w:r>
          </w:p>
          <w:p w:rsidR="00012A46" w:rsidRPr="00BD4D88" w:rsidRDefault="00836FCA">
            <w:pPr>
              <w:spacing w:before="240" w:after="240"/>
              <w:jc w:val="left"/>
              <w:rPr>
                <w:szCs w:val="24"/>
              </w:rPr>
            </w:pPr>
            <w:r w:rsidRPr="00BD4D88">
              <w:rPr>
                <w:bCs/>
                <w:szCs w:val="24"/>
              </w:rPr>
              <w:t xml:space="preserve">Извършена беше и комуникация с НСОРБ и с всяка една от общините поотделно, с цел своевременно извършване на тръжните процедури за избор на изпълнители по одобрени за финансиране проекти от ДФЗ и съответно разплащане на аванси в рамките на календарната 2023 г. </w:t>
            </w:r>
          </w:p>
          <w:p w:rsidR="00012A46" w:rsidRPr="00BD4D88" w:rsidRDefault="00836FCA">
            <w:pPr>
              <w:spacing w:before="240" w:after="240"/>
              <w:jc w:val="left"/>
              <w:rPr>
                <w:szCs w:val="24"/>
              </w:rPr>
            </w:pPr>
            <w:r w:rsidRPr="00BD4D88">
              <w:rPr>
                <w:bCs/>
                <w:szCs w:val="24"/>
              </w:rPr>
              <w:t>Поддържана беше непрекъсната връзка с Напоителни системи АД, като в резултат по всички договори по мярка 4.3 са съгласувани процедурите по ЗОП,</w:t>
            </w:r>
            <w:proofErr w:type="gramStart"/>
            <w:r w:rsidRPr="00BD4D88">
              <w:rPr>
                <w:bCs/>
                <w:szCs w:val="24"/>
              </w:rPr>
              <w:t>  подадени</w:t>
            </w:r>
            <w:proofErr w:type="gramEnd"/>
            <w:r w:rsidRPr="00BD4D88">
              <w:rPr>
                <w:bCs/>
                <w:szCs w:val="24"/>
              </w:rPr>
              <w:t xml:space="preserve"> са заявки за авансови плащания и плащанията са  извършени.  </w:t>
            </w:r>
          </w:p>
          <w:p w:rsidR="00012A46" w:rsidRPr="00BD4D88" w:rsidRDefault="00836FCA">
            <w:pPr>
              <w:spacing w:before="240" w:after="240"/>
              <w:jc w:val="left"/>
              <w:rPr>
                <w:szCs w:val="24"/>
              </w:rPr>
            </w:pPr>
            <w:r w:rsidRPr="00BD4D88">
              <w:rPr>
                <w:bCs/>
                <w:szCs w:val="24"/>
              </w:rPr>
              <w:t xml:space="preserve">Подобрена беше организацията за обработка в съкратени срокове и оторизиране на подадените искания за плащане, предвид големия брой приключващи проекти по подмерки 4.1 и 4.2. </w:t>
            </w:r>
          </w:p>
          <w:p w:rsidR="00012A46" w:rsidRPr="00BD4D88" w:rsidRDefault="00836FCA">
            <w:pPr>
              <w:spacing w:before="240" w:after="240"/>
              <w:jc w:val="left"/>
              <w:rPr>
                <w:szCs w:val="24"/>
              </w:rPr>
            </w:pPr>
            <w:r w:rsidRPr="00BD4D88">
              <w:rPr>
                <w:bCs/>
                <w:szCs w:val="24"/>
              </w:rPr>
              <w:t xml:space="preserve">Продължи командироването на част от служителите на отдела, обработващ проекти по публичните мерки, в отдела по частните мерки, с цел осигуряване на ритмичност при обработката на заявените за плащане дейности и инвестиции. </w:t>
            </w:r>
          </w:p>
          <w:p w:rsidR="00012A46" w:rsidRPr="00BD4D88" w:rsidRDefault="00836FCA">
            <w:pPr>
              <w:spacing w:before="240" w:after="240"/>
              <w:jc w:val="left"/>
              <w:rPr>
                <w:szCs w:val="24"/>
              </w:rPr>
            </w:pPr>
            <w:r w:rsidRPr="00BD4D88">
              <w:rPr>
                <w:bCs/>
                <w:szCs w:val="24"/>
              </w:rPr>
              <w:t>Служителите от областните дирекции на ДФЗ продължиха да извършват проверките за окомплектованост и на исканията за плащане постъпващи чрез ИСУН, отново с цел ускоряване на обработката, предвид ограничения капацитет в ЦУ на ДФЗ. За извършване в срок на посещенията на място, беше осигурена възможност в тях да се включват и служители от отдели ПСМП на областните дирекции на ДФЗ.</w:t>
            </w:r>
          </w:p>
          <w:p w:rsidR="00012A46" w:rsidRPr="00BD4D88" w:rsidRDefault="00836FCA">
            <w:pPr>
              <w:spacing w:before="240" w:after="240"/>
              <w:jc w:val="left"/>
              <w:rPr>
                <w:szCs w:val="24"/>
              </w:rPr>
            </w:pPr>
            <w:r w:rsidRPr="00BD4D88">
              <w:rPr>
                <w:bCs/>
                <w:szCs w:val="24"/>
              </w:rPr>
              <w:t>Действия, предприети от Разплащателната агенция за справяне със забавеното одобрение и изпълнение на проектите (общо и по отделни мерки).</w:t>
            </w:r>
          </w:p>
          <w:p w:rsidR="00012A46" w:rsidRDefault="00836FCA">
            <w:pPr>
              <w:spacing w:before="240" w:after="240"/>
              <w:jc w:val="left"/>
              <w:rPr>
                <w:szCs w:val="24"/>
              </w:rPr>
            </w:pPr>
            <w:r>
              <w:rPr>
                <w:szCs w:val="24"/>
              </w:rPr>
              <w:t>Програмата за развитие на селските райони (ПРСР) се прилага в България за втори програмен период 2014-2020 г., като с оглед преодоляването на риска от забава при обработката на постъпилите проекти, бяха взети мерки за ангажиране на допълнителен ресурс от служители на структурата, които да се включат активно в процеса по оценка на проектните предложения и подписване на административни договори с одобрените кандидати.</w:t>
            </w:r>
          </w:p>
          <w:p w:rsidR="00012A46" w:rsidRDefault="00836FCA">
            <w:pPr>
              <w:spacing w:before="240" w:after="240"/>
              <w:jc w:val="left"/>
              <w:rPr>
                <w:szCs w:val="24"/>
              </w:rPr>
            </w:pPr>
            <w:r>
              <w:rPr>
                <w:szCs w:val="24"/>
              </w:rPr>
              <w:t>Реорганизиране работата на експертите се извършва и в момента с поставянето на реални срокове за изпълнение на задачите им, с оглед тяхната натовареност. Количеството на разпределените за обработка процедури и проекти е съобразено с изпълнението и на текущите задачи, чието спешно естество не се игнорира.</w:t>
            </w:r>
          </w:p>
          <w:p w:rsidR="00012A46" w:rsidRDefault="00836FCA">
            <w:pPr>
              <w:spacing w:before="240" w:after="240"/>
              <w:jc w:val="left"/>
              <w:rPr>
                <w:szCs w:val="24"/>
              </w:rPr>
            </w:pPr>
            <w:r>
              <w:rPr>
                <w:szCs w:val="24"/>
              </w:rPr>
              <w:t>На ниво отдели се сформират оценителни комисии, чиито председатели и секретари следят за поставените срокове. Периодично се свикват срещи с оценителите по процедурите, във връзка с решаване на възникнали казуси и проблеми по време на работата и обсъждане на варианти за оптимизиране на работния процес, както и уеднаквяване на подхода при прилагане на приложимото законодателство и вътрешните правила за работа.</w:t>
            </w:r>
          </w:p>
          <w:p w:rsidR="00012A46" w:rsidRDefault="00836FCA">
            <w:pPr>
              <w:spacing w:before="240" w:after="240"/>
              <w:jc w:val="left"/>
              <w:rPr>
                <w:szCs w:val="24"/>
              </w:rPr>
            </w:pPr>
            <w:r>
              <w:rPr>
                <w:szCs w:val="24"/>
              </w:rPr>
              <w:t xml:space="preserve">Следва да се има предвид, че поради големия интерес от страна на кандидатите, бюджетите по част от мерките бяха увеличавани през 2023 г., което доведе до допълнителна натовареност за структурата, но още в края на годината, бе финализиран процеса по договаряне и подписване на </w:t>
            </w:r>
            <w:r>
              <w:rPr>
                <w:szCs w:val="24"/>
              </w:rPr>
              <w:lastRenderedPageBreak/>
              <w:t>договори, като за целта освен командироването на служители към договарящата дирекция, се осъществяваше постоянно надграждане и обновяване на Интегрираната система за администриране и контрол (ИСАК), провеждаха се периодични целеви обучения на служителите, стимулира се електронното парафиране и движение на документи.</w:t>
            </w:r>
          </w:p>
          <w:p w:rsidR="00012A46" w:rsidRDefault="00836FCA">
            <w:pPr>
              <w:spacing w:before="240" w:after="240"/>
              <w:jc w:val="left"/>
              <w:rPr>
                <w:szCs w:val="24"/>
              </w:rPr>
            </w:pPr>
            <w:r>
              <w:rPr>
                <w:szCs w:val="24"/>
              </w:rPr>
              <w:t>След извършен функционален анализ за натовареността на служителите, обработващи проекти по мерките от ПРСР 2014-2020, е направено предложение за увеличаване на щатните длъжности в договарящата дирекция. От 01.01.2023г. е в сила новия Устройствен правилник на Фонда (бр. 100 от 16.12.2022 г.);</w:t>
            </w:r>
          </w:p>
          <w:p w:rsidR="00012A46" w:rsidRPr="00BD4D88" w:rsidRDefault="00836FCA">
            <w:pPr>
              <w:spacing w:before="240" w:after="240"/>
              <w:jc w:val="left"/>
              <w:rPr>
                <w:szCs w:val="24"/>
              </w:rPr>
            </w:pPr>
            <w:r w:rsidRPr="00BD4D88">
              <w:rPr>
                <w:bCs/>
                <w:szCs w:val="24"/>
              </w:rPr>
              <w:t>Стартирана беше процедура с Комисията за форсмажор, свързана с невъзможността на бенефициентите да реализират проектите си - било поради влошената световна икономическа ситуация, било поради неимоверно увеличените цените от войната в Украйна или все още ефектите от Covid пандемията върху икономиката.</w:t>
            </w:r>
          </w:p>
          <w:p w:rsidR="00012A46" w:rsidRPr="00BD4D88" w:rsidRDefault="00836FCA">
            <w:pPr>
              <w:spacing w:before="240" w:after="240"/>
              <w:jc w:val="left"/>
              <w:rPr>
                <w:szCs w:val="24"/>
              </w:rPr>
            </w:pPr>
            <w:r w:rsidRPr="00BD4D88">
              <w:rPr>
                <w:bCs/>
                <w:szCs w:val="24"/>
              </w:rPr>
              <w:t>Информация за приложените и изпълнените мерки по „Плана с мерки за подобряване дейността на ДФ „Земеделие” - публичност и прозрачност в работата“, публикуван на страницата на ДФ „Земеделие“ (</w:t>
            </w:r>
            <w:r w:rsidRPr="00BD4D88">
              <w:rPr>
                <w:szCs w:val="24"/>
              </w:rPr>
              <w:t>https://www.dfz.bg/bg/za-dfz/plan-merki-dfz-public-transparent/</w:t>
            </w:r>
            <w:r w:rsidRPr="00BD4D88">
              <w:rPr>
                <w:bCs/>
                <w:szCs w:val="24"/>
              </w:rPr>
              <w:t>).</w:t>
            </w:r>
          </w:p>
          <w:p w:rsidR="00012A46" w:rsidRDefault="00836FCA">
            <w:pPr>
              <w:spacing w:before="240" w:after="240"/>
              <w:jc w:val="left"/>
              <w:rPr>
                <w:szCs w:val="24"/>
              </w:rPr>
            </w:pPr>
            <w:r>
              <w:rPr>
                <w:szCs w:val="24"/>
              </w:rPr>
              <w:t>Съгласно одобрения от ръководството на ДФ „Земеделие</w:t>
            </w:r>
            <w:proofErr w:type="gramStart"/>
            <w:r>
              <w:rPr>
                <w:szCs w:val="24"/>
              </w:rPr>
              <w:t>“ –</w:t>
            </w:r>
            <w:proofErr w:type="gramEnd"/>
            <w:r>
              <w:rPr>
                <w:szCs w:val="24"/>
              </w:rPr>
              <w:t xml:space="preserve"> РА план за действие за преодоляване на забавената обработка на процедурите и проектните предложения по подмярка 19.2. са предприети действия, които се изразяват в обособяване на допълнителни  работни екипи от ОД на ДФ „Земеделие“ – РА.  По този начин през 2023г. в процеса по извършването на последващ контрол на процедури по „Водени от общностите местно развитие“, както и договарянето и разплащането на проектни предложения, подадени чрез МИГ бяха ангажирани близо 200 служители от регионалните и централна структури на Агенцията. </w:t>
            </w:r>
          </w:p>
          <w:p w:rsidR="00012A46" w:rsidRDefault="00836FCA">
            <w:pPr>
              <w:spacing w:before="240" w:after="240"/>
              <w:jc w:val="left"/>
              <w:rPr>
                <w:szCs w:val="24"/>
              </w:rPr>
            </w:pPr>
            <w:r>
              <w:rPr>
                <w:b/>
                <w:bCs/>
                <w:szCs w:val="24"/>
              </w:rPr>
              <w:t>Изготвени анализи, посочващи причините, довели до забавяне разглеждането на проектните предложения, включително:</w:t>
            </w:r>
          </w:p>
          <w:p w:rsidR="00012A46" w:rsidRPr="00BD4D88" w:rsidRDefault="00836FCA">
            <w:pPr>
              <w:spacing w:before="240" w:after="240"/>
              <w:jc w:val="left"/>
              <w:rPr>
                <w:szCs w:val="24"/>
              </w:rPr>
            </w:pPr>
            <w:r w:rsidRPr="00BD4D88">
              <w:rPr>
                <w:bCs/>
                <w:szCs w:val="24"/>
              </w:rPr>
              <w:t>- предприети мерки за опростяване на правилата и намаляване на административната тежест;</w:t>
            </w:r>
          </w:p>
          <w:p w:rsidR="00012A46" w:rsidRPr="00BD4D88" w:rsidRDefault="00836FCA">
            <w:pPr>
              <w:spacing w:before="240" w:after="240"/>
              <w:jc w:val="left"/>
              <w:rPr>
                <w:szCs w:val="24"/>
              </w:rPr>
            </w:pPr>
            <w:r w:rsidRPr="00BD4D88">
              <w:rPr>
                <w:bCs/>
                <w:szCs w:val="24"/>
              </w:rPr>
              <w:t>-На служители от ДДПМРСР са  предоставени квалифицирани електронни подписи (КЕП) за извършване на служебни справки в НАП, Министерство на правосъдието и в системата за междурегистров обмен Regix, с цел своевременна обработка на проектни предложения и изготвяне на административни договори, както и намаляване на административната тежест за кандидати по ПРСР;</w:t>
            </w:r>
          </w:p>
          <w:p w:rsidR="00012A46" w:rsidRPr="00BD4D88" w:rsidRDefault="00836FCA">
            <w:pPr>
              <w:spacing w:before="240" w:after="240"/>
              <w:jc w:val="left"/>
              <w:rPr>
                <w:szCs w:val="24"/>
              </w:rPr>
            </w:pPr>
            <w:r w:rsidRPr="00BD4D88">
              <w:rPr>
                <w:bCs/>
                <w:szCs w:val="24"/>
              </w:rPr>
              <w:t>-Осигурена е възможност кандидатите да сключват административните договори и допълнителни споразумения (анекси) към административните договори с Квалифициран електронен подпис;</w:t>
            </w:r>
          </w:p>
          <w:p w:rsidR="00012A46" w:rsidRPr="00BD4D88" w:rsidRDefault="00836FCA">
            <w:pPr>
              <w:spacing w:before="240" w:after="240"/>
              <w:jc w:val="left"/>
              <w:rPr>
                <w:szCs w:val="24"/>
              </w:rPr>
            </w:pPr>
            <w:r w:rsidRPr="00BD4D88">
              <w:rPr>
                <w:bCs/>
                <w:szCs w:val="24"/>
              </w:rPr>
              <w:t>-Оптимизиране на оценителния процес и възможността да се регистрират и подписват електронно от състава на оценителната комисия протоколите от оценката за административно съответствие и допустимост и техническа и финансова оценка, както и оценителния доклад.</w:t>
            </w:r>
          </w:p>
          <w:p w:rsidR="00012A46" w:rsidRPr="00BD4D88" w:rsidRDefault="00836FCA">
            <w:pPr>
              <w:spacing w:before="240" w:after="240"/>
              <w:jc w:val="left"/>
              <w:rPr>
                <w:szCs w:val="24"/>
              </w:rPr>
            </w:pPr>
            <w:r w:rsidRPr="00BD4D88">
              <w:rPr>
                <w:bCs/>
                <w:szCs w:val="24"/>
              </w:rPr>
              <w:t xml:space="preserve">С цел намаляване на административната тежест както за бенефициентите, така и за администрацията, въз основа на изпратени от ДФЗ аргументирани предложения до МЗХ, със заповеди на министъра на земеделието и храните бяха одобрени изменения в изискуемите документи към Условията за изпълнение по подмярка 4.1 и 4.2. </w:t>
            </w:r>
          </w:p>
          <w:p w:rsidR="00012A46" w:rsidRPr="00BD4D88" w:rsidRDefault="00836FCA">
            <w:pPr>
              <w:spacing w:before="240" w:after="240"/>
              <w:jc w:val="left"/>
              <w:rPr>
                <w:szCs w:val="24"/>
              </w:rPr>
            </w:pPr>
            <w:r w:rsidRPr="00BD4D88">
              <w:rPr>
                <w:bCs/>
                <w:szCs w:val="24"/>
              </w:rPr>
              <w:t xml:space="preserve">- </w:t>
            </w:r>
            <w:proofErr w:type="gramStart"/>
            <w:r w:rsidRPr="00BD4D88">
              <w:rPr>
                <w:bCs/>
                <w:szCs w:val="24"/>
              </w:rPr>
              <w:t>въведени</w:t>
            </w:r>
            <w:proofErr w:type="gramEnd"/>
            <w:r w:rsidRPr="00BD4D88">
              <w:rPr>
                <w:bCs/>
                <w:szCs w:val="24"/>
              </w:rPr>
              <w:t xml:space="preserve"> допълнителни механизми за наблюдение изпълнението на проектите и процедура за </w:t>
            </w:r>
            <w:r w:rsidRPr="00BD4D88">
              <w:rPr>
                <w:bCs/>
                <w:szCs w:val="24"/>
              </w:rPr>
              <w:lastRenderedPageBreak/>
              <w:t xml:space="preserve">ранно предупреждение за операции в риск. </w:t>
            </w:r>
          </w:p>
          <w:p w:rsidR="00012A46" w:rsidRPr="00BD4D88" w:rsidRDefault="00836FCA">
            <w:pPr>
              <w:spacing w:before="240" w:after="240"/>
              <w:jc w:val="left"/>
              <w:rPr>
                <w:szCs w:val="24"/>
              </w:rPr>
            </w:pPr>
            <w:r w:rsidRPr="00BD4D88">
              <w:rPr>
                <w:bCs/>
                <w:szCs w:val="24"/>
              </w:rPr>
              <w:t>С цел предотвратяване ангажиране на бюджет от страна на ползватели, които не изпълняват проектите си поради липса на финансиране или поради други причини, в договорите, сключвани между ползвателите и ДФ „Земеделие” по ПРСР 2014 - 2020 г., е вменено задължение на ползвателите да започват реалното изпълнение на инвестицията в срок не по-дълъг от девет или дванадесет месеца и да информират Фонда за това, като представят надлежни доказателства.</w:t>
            </w:r>
          </w:p>
          <w:p w:rsidR="00012A46" w:rsidRPr="00BD4D88" w:rsidRDefault="00836FCA">
            <w:pPr>
              <w:spacing w:before="240" w:after="240"/>
              <w:jc w:val="left"/>
              <w:rPr>
                <w:szCs w:val="24"/>
              </w:rPr>
            </w:pPr>
            <w:r w:rsidRPr="00BD4D88">
              <w:rPr>
                <w:bCs/>
                <w:szCs w:val="24"/>
              </w:rPr>
              <w:t xml:space="preserve">- </w:t>
            </w:r>
            <w:proofErr w:type="gramStart"/>
            <w:r w:rsidRPr="00BD4D88">
              <w:rPr>
                <w:bCs/>
                <w:szCs w:val="24"/>
              </w:rPr>
              <w:t>информация</w:t>
            </w:r>
            <w:proofErr w:type="gramEnd"/>
            <w:r w:rsidRPr="00BD4D88">
              <w:rPr>
                <w:bCs/>
                <w:szCs w:val="24"/>
              </w:rPr>
              <w:t xml:space="preserve"> за проведени обучения на бенефициентите, включително и други приложени мерки, с цел повишаване на разбирането и приемането на техните задължения и ангажименти.</w:t>
            </w:r>
          </w:p>
          <w:p w:rsidR="00012A46" w:rsidRPr="00BD4D88" w:rsidRDefault="00836FCA">
            <w:pPr>
              <w:spacing w:before="240" w:after="240"/>
              <w:jc w:val="left"/>
              <w:rPr>
                <w:szCs w:val="24"/>
              </w:rPr>
            </w:pPr>
            <w:r w:rsidRPr="00BD4D88">
              <w:rPr>
                <w:bCs/>
                <w:szCs w:val="24"/>
              </w:rPr>
              <w:t>През месец август 2023 г. беше проведена информационна среща - обучение, във връзка с изпълнението на административни договори за предоставяне на безвъзмездна финансова помощ по процедура чрез подбор на проектни предложения № BG06RDNP001-1.004 по подмярка 1.2 „Демонстрационни дейности и действия по осведомяване“ от мярка 1 „Трансфер на знания и действия за осведомяване“ от Програма за развитие на селските райони 2014-2020 г.</w:t>
            </w:r>
          </w:p>
          <w:p w:rsidR="00012A46" w:rsidRPr="00BD4D88" w:rsidRDefault="00836FCA">
            <w:pPr>
              <w:spacing w:before="240" w:after="240"/>
              <w:jc w:val="left"/>
              <w:rPr>
                <w:szCs w:val="24"/>
              </w:rPr>
            </w:pPr>
            <w:r w:rsidRPr="00BD4D88">
              <w:rPr>
                <w:bCs/>
                <w:szCs w:val="24"/>
              </w:rPr>
              <w:t>През месец ноември 2023 г. беше проведена и информационна среща - обучение, във връзка с изпълнението на сключени административни договори за предоставяне на безвъзмездна финансова помощ по процедура чрез подбор на проектни предложения № BG06RDNP001-16.003 по подмярка 16.1 „Подкрепа за сформиране и функциониране на оперативни групи в рамките на ЕПИ</w:t>
            </w:r>
            <w:proofErr w:type="gramStart"/>
            <w:r w:rsidRPr="00BD4D88">
              <w:rPr>
                <w:bCs/>
                <w:szCs w:val="24"/>
              </w:rPr>
              <w:t>“ от</w:t>
            </w:r>
            <w:proofErr w:type="gramEnd"/>
            <w:r w:rsidRPr="00BD4D88">
              <w:rPr>
                <w:bCs/>
                <w:szCs w:val="24"/>
              </w:rPr>
              <w:t xml:space="preserve"> мярка 16 „Сътрудничество“ от Програма за развитие на селските райони 2014-2020 г.</w:t>
            </w:r>
          </w:p>
          <w:p w:rsidR="00012A46" w:rsidRDefault="00836FCA">
            <w:pPr>
              <w:spacing w:before="240" w:after="240"/>
              <w:jc w:val="left"/>
              <w:rPr>
                <w:szCs w:val="24"/>
              </w:rPr>
            </w:pPr>
            <w:r>
              <w:rPr>
                <w:b/>
                <w:bCs/>
                <w:szCs w:val="24"/>
              </w:rPr>
              <w:t>Действия, предприети от Разплащателната агенция за повишаване на информираността и публичността по ПРСР 2014-2020</w:t>
            </w:r>
            <w:proofErr w:type="gramStart"/>
            <w:r>
              <w:rPr>
                <w:b/>
                <w:bCs/>
                <w:szCs w:val="24"/>
              </w:rPr>
              <w:t>  (</w:t>
            </w:r>
            <w:proofErr w:type="gramEnd"/>
            <w:r>
              <w:rPr>
                <w:b/>
                <w:bCs/>
                <w:szCs w:val="24"/>
              </w:rPr>
              <w:t>общо и по отделни мерки).</w:t>
            </w:r>
          </w:p>
          <w:p w:rsidR="00012A46" w:rsidRPr="00BD4D88" w:rsidRDefault="00836FCA">
            <w:pPr>
              <w:spacing w:before="240" w:after="240"/>
              <w:jc w:val="left"/>
              <w:rPr>
                <w:szCs w:val="24"/>
              </w:rPr>
            </w:pPr>
            <w:r w:rsidRPr="00BD4D88">
              <w:rPr>
                <w:bCs/>
                <w:szCs w:val="24"/>
              </w:rPr>
              <w:t xml:space="preserve">-Дирекция ДПМРСР поддържа телефонни линии, на които бенефициери и кандидати по ПРСР 2014-2020 могат да задават своите въпроси към експертите на Фонда. </w:t>
            </w:r>
          </w:p>
          <w:p w:rsidR="00012A46" w:rsidRPr="00BD4D88" w:rsidRDefault="00836FCA">
            <w:pPr>
              <w:spacing w:before="240" w:after="240"/>
              <w:jc w:val="left"/>
              <w:rPr>
                <w:szCs w:val="24"/>
              </w:rPr>
            </w:pPr>
            <w:r w:rsidRPr="00BD4D88">
              <w:rPr>
                <w:bCs/>
                <w:szCs w:val="24"/>
              </w:rPr>
              <w:t>-За постигане на пълна информираност и прозрачност при изпълнение на прилаганите мерки, подмерки и дейности, ДФ „Земеделие“ продължава да публикува на своята интернет страница всички актове, правила, инструкции и насоки за кандидатстване, начин на отчитане, контрол и мониторинг на всички мерки за подпомагане по ПРСР 2007-2013 и 2014-2020 г.</w:t>
            </w:r>
          </w:p>
          <w:p w:rsidR="00012A46" w:rsidRDefault="00836FCA">
            <w:pPr>
              <w:spacing w:before="240" w:after="240"/>
              <w:jc w:val="left"/>
              <w:rPr>
                <w:szCs w:val="24"/>
              </w:rPr>
            </w:pPr>
            <w:r>
              <w:rPr>
                <w:szCs w:val="24"/>
              </w:rPr>
              <w:t>-С цел по-голяма оперативност и оказване на съдействие на ползвателите на безвъзмездна финансова помощ на сайта на ДФ „Земеделие“ са публикувани горещи мобилни телефони, на които бенефициерите по ПРСР имат възможност да задават въпроси във връзка с подготовка на документите, подавани към заявките за плащане и изпълнението на одобрени проекти по ПРСР 2014-2020 г.</w:t>
            </w:r>
          </w:p>
          <w:p w:rsidR="00012A46" w:rsidRDefault="00836FCA">
            <w:pPr>
              <w:spacing w:before="240" w:after="240"/>
              <w:jc w:val="left"/>
              <w:rPr>
                <w:szCs w:val="24"/>
              </w:rPr>
            </w:pPr>
            <w:r>
              <w:rPr>
                <w:szCs w:val="24"/>
              </w:rPr>
              <w:t>-С цел улесняване на ползвателите на безвъзмездна финансова помощ, както и по-голяма прозрачност в работата на ДФ „Земеделие“, в изпращаните до бенефициерите писма се посочват служителите и телефонните им номера, на които при необходимост бенефициерите могат да получат допълнителна информация и/или разяснения относно посочените в изпратеното писмо констатации или забележки.</w:t>
            </w:r>
          </w:p>
          <w:p w:rsidR="00012A46" w:rsidRDefault="00836FCA">
            <w:pPr>
              <w:spacing w:before="240" w:after="240"/>
              <w:jc w:val="left"/>
              <w:rPr>
                <w:szCs w:val="24"/>
              </w:rPr>
            </w:pPr>
            <w:r>
              <w:rPr>
                <w:b/>
                <w:bCs/>
                <w:szCs w:val="24"/>
              </w:rPr>
              <w:t>Други стъпки, предприети от Разплащателната агенция за гарантиране качеството и  ефикасността на прилагането на ПРСР 2014-2020.</w:t>
            </w:r>
          </w:p>
          <w:p w:rsidR="00012A46" w:rsidRDefault="00836FCA">
            <w:pPr>
              <w:numPr>
                <w:ilvl w:val="0"/>
                <w:numId w:val="34"/>
              </w:numPr>
              <w:spacing w:before="240" w:after="0"/>
              <w:ind w:hanging="210"/>
              <w:jc w:val="left"/>
              <w:rPr>
                <w:szCs w:val="24"/>
              </w:rPr>
            </w:pPr>
            <w:r>
              <w:rPr>
                <w:szCs w:val="24"/>
              </w:rPr>
              <w:t>Провеждане на вътрешни обучения на служителите, ангажирани в процеса по обработка на постъпили искания за плащане;</w:t>
            </w:r>
          </w:p>
          <w:p w:rsidR="00012A46" w:rsidRDefault="00836FCA">
            <w:pPr>
              <w:numPr>
                <w:ilvl w:val="0"/>
                <w:numId w:val="34"/>
              </w:numPr>
              <w:spacing w:before="0" w:after="0"/>
              <w:ind w:hanging="210"/>
              <w:jc w:val="left"/>
              <w:rPr>
                <w:szCs w:val="24"/>
              </w:rPr>
            </w:pPr>
            <w:r>
              <w:rPr>
                <w:szCs w:val="24"/>
              </w:rPr>
              <w:lastRenderedPageBreak/>
              <w:t>Участие на служителите във външни обучения с цел повишаване квалификацията;</w:t>
            </w:r>
          </w:p>
          <w:p w:rsidR="00012A46" w:rsidRDefault="00836FCA">
            <w:pPr>
              <w:numPr>
                <w:ilvl w:val="0"/>
                <w:numId w:val="34"/>
              </w:numPr>
              <w:spacing w:before="0" w:after="0"/>
              <w:ind w:hanging="210"/>
              <w:jc w:val="left"/>
              <w:rPr>
                <w:szCs w:val="24"/>
              </w:rPr>
            </w:pPr>
            <w:r>
              <w:rPr>
                <w:szCs w:val="24"/>
              </w:rPr>
              <w:t>Периодичен преглед и aктуализиране на правилника за работа в съответствие с промените в приложимото национално и европейско законодателство и/или в резултат на проведени одитни ангажименти;</w:t>
            </w:r>
          </w:p>
          <w:p w:rsidR="00012A46" w:rsidRDefault="00836FCA">
            <w:pPr>
              <w:numPr>
                <w:ilvl w:val="0"/>
                <w:numId w:val="34"/>
              </w:numPr>
              <w:spacing w:before="0" w:after="240"/>
              <w:ind w:hanging="210"/>
              <w:jc w:val="left"/>
              <w:rPr>
                <w:szCs w:val="24"/>
              </w:rPr>
            </w:pPr>
            <w:r>
              <w:rPr>
                <w:szCs w:val="24"/>
              </w:rPr>
              <w:t>Изготвяне на предложения до МЗХ в качестото му на УО на ПРСР 2014-2020 г. за промяна в приложимата нормативна уредба, в случай на констатирани несъответствия, даващи възможност за противоречиво тълкуване или прилагане на нормативните актове.</w:t>
            </w:r>
          </w:p>
          <w:p w:rsidR="00012A46" w:rsidRDefault="00836FCA">
            <w:pPr>
              <w:spacing w:before="240" w:after="240"/>
              <w:jc w:val="left"/>
              <w:rPr>
                <w:szCs w:val="24"/>
              </w:rPr>
            </w:pPr>
            <w:r>
              <w:rPr>
                <w:b/>
                <w:bCs/>
                <w:szCs w:val="24"/>
              </w:rPr>
              <w:t>Индикативна годишна работна програма за 2024 г. (ИГРП)</w:t>
            </w:r>
          </w:p>
          <w:p w:rsidR="00012A46" w:rsidRDefault="00836FCA">
            <w:pPr>
              <w:spacing w:before="240" w:after="240"/>
              <w:jc w:val="left"/>
              <w:rPr>
                <w:szCs w:val="24"/>
              </w:rPr>
            </w:pPr>
            <w:r>
              <w:rPr>
                <w:szCs w:val="24"/>
              </w:rPr>
              <w:t>За планираните приеми през 2024 календарна година по ПРСР 2014-2020, е изработена ИГРП 2024, която може да бъде намерена на следните интернет адреси:</w:t>
            </w:r>
          </w:p>
          <w:p w:rsidR="00012A46" w:rsidRDefault="00836FCA">
            <w:pPr>
              <w:spacing w:before="240" w:after="240"/>
              <w:jc w:val="left"/>
              <w:rPr>
                <w:szCs w:val="24"/>
              </w:rPr>
            </w:pPr>
            <w:r>
              <w:rPr>
                <w:szCs w:val="24"/>
              </w:rPr>
              <w:t>https://www.mzh.government.bg/bg/politiki-i-programi/programi-za-finansirane/programa-za-razvitie-na-selskite-rayoni/</w:t>
            </w:r>
          </w:p>
          <w:p w:rsidR="00012A46" w:rsidRDefault="003016CF">
            <w:pPr>
              <w:spacing w:before="240" w:after="240"/>
              <w:jc w:val="left"/>
              <w:rPr>
                <w:szCs w:val="24"/>
              </w:rPr>
            </w:pPr>
            <w:hyperlink r:id="rId14" w:history="1">
              <w:r w:rsidR="00A71CC3" w:rsidRPr="00853418">
                <w:rPr>
                  <w:rStyle w:val="Hyperlink"/>
                  <w:szCs w:val="24"/>
                </w:rPr>
                <w:t>https://www.mzh.government.bg/media/filer_public/2024/04/09/t_3_igrp_2024.docx</w:t>
              </w:r>
            </w:hyperlink>
          </w:p>
          <w:p w:rsidR="00A71CC3" w:rsidRPr="00A71CC3" w:rsidRDefault="00A71CC3" w:rsidP="00A71CC3">
            <w:pPr>
              <w:spacing w:before="240" w:after="240"/>
              <w:jc w:val="left"/>
              <w:rPr>
                <w:b/>
                <w:szCs w:val="24"/>
              </w:rPr>
            </w:pPr>
            <w:r w:rsidRPr="00A71CC3">
              <w:rPr>
                <w:b/>
                <w:szCs w:val="24"/>
              </w:rPr>
              <w:t>Към глава 10 - Изпълн</w:t>
            </w:r>
            <w:r>
              <w:rPr>
                <w:b/>
                <w:szCs w:val="24"/>
              </w:rPr>
              <w:t>ение на финансовите инструменти</w:t>
            </w:r>
          </w:p>
          <w:p w:rsidR="00A71CC3" w:rsidRPr="00A71CC3" w:rsidRDefault="00A71CC3" w:rsidP="006D0037">
            <w:pPr>
              <w:spacing w:before="240" w:after="240"/>
              <w:rPr>
                <w:szCs w:val="24"/>
              </w:rPr>
            </w:pPr>
            <w:r w:rsidRPr="00A71CC3">
              <w:rPr>
                <w:szCs w:val="24"/>
              </w:rPr>
              <w:t>Гаранционна схема в подкрепа на бенефициенти по Програма за развитие на селските райони 2014 – 2020 г.  и предприятия от сектор „Растениевъдство“ и „Животновъдство“ към 31.12.20</w:t>
            </w:r>
            <w:r>
              <w:rPr>
                <w:szCs w:val="24"/>
              </w:rPr>
              <w:t>23</w:t>
            </w:r>
            <w:r w:rsidRPr="00A71CC3">
              <w:rPr>
                <w:szCs w:val="24"/>
              </w:rPr>
              <w:t xml:space="preserve"> г. и текущо състояние на гаранционната схема в подкрепа на бенефициенти по Програма за развитие на селските райони 2007 – 2013 г. (ПРСР)</w:t>
            </w:r>
          </w:p>
          <w:p w:rsidR="00A71CC3" w:rsidRPr="00A71CC3" w:rsidRDefault="00A71CC3" w:rsidP="006D0037">
            <w:pPr>
              <w:spacing w:before="240" w:after="240"/>
              <w:rPr>
                <w:szCs w:val="24"/>
                <w:lang w:val="bg-BG"/>
              </w:rPr>
            </w:pPr>
            <w:r w:rsidRPr="00A71CC3">
              <w:rPr>
                <w:szCs w:val="24"/>
                <w:lang w:val="bg-BG"/>
              </w:rPr>
              <w:t>През 2023 г. по съвместната гаранционна програма на НГФ с МЗХ са гарантирани 112 броя кредити в общ размер на кредитите 11,97 млн. евро, като издадените гаранции по тях са в размер на 5,98 млн. евро.</w:t>
            </w:r>
          </w:p>
          <w:p w:rsidR="00A71CC3" w:rsidRPr="00A71CC3" w:rsidRDefault="00A71CC3" w:rsidP="006D0037">
            <w:pPr>
              <w:spacing w:before="240" w:after="240"/>
              <w:rPr>
                <w:szCs w:val="24"/>
                <w:lang w:val="bg-BG"/>
              </w:rPr>
            </w:pPr>
            <w:r w:rsidRPr="00A71CC3">
              <w:rPr>
                <w:szCs w:val="24"/>
                <w:lang w:val="bg-BG"/>
              </w:rPr>
              <w:t>През 2023 г. са действащи споразумения с 6 от банките в страната - Банка ДСК ЕАД, Българо-американска кредитна банка АД, Българска банка за развитие АД, Първа Инвестиционна Банка АД, УниКредит Булбанк АД и Юробанк България АД.</w:t>
            </w:r>
          </w:p>
          <w:p w:rsidR="00A71CC3" w:rsidRPr="00A71CC3" w:rsidRDefault="00A71CC3" w:rsidP="006D0037">
            <w:pPr>
              <w:spacing w:before="240" w:after="240"/>
              <w:rPr>
                <w:szCs w:val="24"/>
                <w:lang w:val="bg-BG"/>
              </w:rPr>
            </w:pPr>
            <w:r w:rsidRPr="00A71CC3">
              <w:rPr>
                <w:szCs w:val="24"/>
                <w:lang w:val="bg-BG"/>
              </w:rPr>
              <w:t>През Банка ДСК АД са издадени 100 броя гаранции в размер на 3,39 млн. евро по кредити в размер на 6,80  млн. евро.</w:t>
            </w:r>
          </w:p>
          <w:p w:rsidR="00A71CC3" w:rsidRPr="00A71CC3" w:rsidRDefault="00A71CC3" w:rsidP="006D0037">
            <w:pPr>
              <w:spacing w:before="240" w:after="240"/>
              <w:rPr>
                <w:szCs w:val="24"/>
                <w:lang w:val="bg-BG"/>
              </w:rPr>
            </w:pPr>
            <w:r w:rsidRPr="00A71CC3">
              <w:rPr>
                <w:szCs w:val="24"/>
                <w:lang w:val="bg-BG"/>
              </w:rPr>
              <w:t>През „Българска банка за развитие“ АД са издадени 6 броя гаранции в размер на 1,84 млн. евро по кредити в размер на  3,68 млн. евро.</w:t>
            </w:r>
          </w:p>
          <w:p w:rsidR="00A71CC3" w:rsidRPr="00A71CC3" w:rsidRDefault="00A71CC3" w:rsidP="006D0037">
            <w:pPr>
              <w:spacing w:before="240" w:after="240"/>
              <w:rPr>
                <w:szCs w:val="24"/>
                <w:lang w:val="bg-BG"/>
              </w:rPr>
            </w:pPr>
            <w:r w:rsidRPr="00A71CC3">
              <w:rPr>
                <w:szCs w:val="24"/>
                <w:lang w:val="bg-BG"/>
              </w:rPr>
              <w:t>През „Българо-американска кредитна банка“ АД са издадени 3 броя гаранции в размер на 0,241 млн. евро по кред</w:t>
            </w:r>
            <w:r>
              <w:rPr>
                <w:szCs w:val="24"/>
                <w:lang w:val="bg-BG"/>
              </w:rPr>
              <w:t>ити в размер на 0,767 млн. евро.</w:t>
            </w:r>
          </w:p>
          <w:p w:rsidR="00A71CC3" w:rsidRPr="00A71CC3" w:rsidRDefault="00A71CC3" w:rsidP="006D0037">
            <w:pPr>
              <w:spacing w:before="240" w:after="240"/>
              <w:rPr>
                <w:szCs w:val="24"/>
                <w:lang w:val="bg-BG"/>
              </w:rPr>
            </w:pPr>
            <w:r w:rsidRPr="00A71CC3">
              <w:rPr>
                <w:szCs w:val="24"/>
                <w:lang w:val="bg-BG"/>
              </w:rPr>
              <w:t>През „УниКредит Булбанк“ АД са издадени 2 броя гаранции в размер на 0,124 млн. евро по кредити в размер на  0,248 млн. евро.</w:t>
            </w:r>
          </w:p>
          <w:p w:rsidR="00A71CC3" w:rsidRPr="00A71CC3" w:rsidRDefault="00A71CC3" w:rsidP="006D0037">
            <w:pPr>
              <w:spacing w:before="240" w:after="240"/>
              <w:rPr>
                <w:szCs w:val="24"/>
                <w:lang w:val="bg-BG"/>
              </w:rPr>
            </w:pPr>
            <w:r w:rsidRPr="00A71CC3">
              <w:rPr>
                <w:szCs w:val="24"/>
                <w:lang w:val="bg-BG"/>
              </w:rPr>
              <w:t>През „Юробанк България“ АД са издадени 1 гаранция в размер на 0,383 млн. евро по кредити 0,767 млн. евро.</w:t>
            </w:r>
          </w:p>
          <w:p w:rsidR="00A71CC3" w:rsidRPr="00A71CC3" w:rsidRDefault="00A71CC3" w:rsidP="006D0037">
            <w:pPr>
              <w:spacing w:before="240" w:after="240"/>
              <w:rPr>
                <w:szCs w:val="24"/>
                <w:lang w:val="bg-BG"/>
              </w:rPr>
            </w:pPr>
            <w:r w:rsidRPr="00A71CC3">
              <w:rPr>
                <w:szCs w:val="24"/>
                <w:lang w:val="bg-BG"/>
              </w:rPr>
              <w:t xml:space="preserve">От гарантираните кредити през годината 66 броя са инвестиционни кредити в размер на 8,23 млн. евро и гарантиран размер 4.1 млн. Евро и  46 кредита за оборотни средства в размер на 3,7  млн. евро </w:t>
            </w:r>
            <w:r w:rsidRPr="00A71CC3">
              <w:rPr>
                <w:szCs w:val="24"/>
                <w:lang w:val="bg-BG"/>
              </w:rPr>
              <w:lastRenderedPageBreak/>
              <w:t>и гарантиран размер – 1,9 млн. евро.</w:t>
            </w:r>
          </w:p>
          <w:p w:rsidR="00A71CC3" w:rsidRPr="00A71CC3" w:rsidRDefault="00A71CC3" w:rsidP="006D0037">
            <w:pPr>
              <w:spacing w:before="240" w:after="240"/>
              <w:rPr>
                <w:szCs w:val="24"/>
                <w:lang w:val="bg-BG"/>
              </w:rPr>
            </w:pPr>
            <w:r w:rsidRPr="00A71CC3">
              <w:rPr>
                <w:szCs w:val="24"/>
                <w:lang w:val="bg-BG"/>
              </w:rPr>
              <w:t>От стартирането на програмата през 2013 г. до 31.12.2023 г. са издадени 1 271 гаранции в размер  179 млн. евро, вкл. приключили ангажименти в размер на 165,57 млн. евро по погасени кредити (изцяло и частично) и 2.230 млн. евро по платени гаранции.</w:t>
            </w:r>
          </w:p>
          <w:p w:rsidR="00A71CC3" w:rsidRPr="00A71CC3" w:rsidRDefault="00A71CC3" w:rsidP="006D0037">
            <w:pPr>
              <w:spacing w:before="240" w:after="240"/>
              <w:rPr>
                <w:szCs w:val="24"/>
                <w:lang w:val="bg-BG"/>
              </w:rPr>
            </w:pPr>
            <w:r w:rsidRPr="00A71CC3">
              <w:rPr>
                <w:szCs w:val="24"/>
                <w:lang w:val="bg-BG"/>
              </w:rPr>
              <w:t>Действащият към 31.12.2022 г. гаранционен ангажимент е в размер на 11,203 млн. евро.</w:t>
            </w:r>
          </w:p>
          <w:p w:rsidR="006D0037" w:rsidRDefault="00A71CC3" w:rsidP="006D0037">
            <w:pPr>
              <w:spacing w:before="240" w:after="240"/>
              <w:rPr>
                <w:szCs w:val="24"/>
                <w:lang w:val="bg-BG"/>
              </w:rPr>
            </w:pPr>
            <w:r>
              <w:rPr>
                <w:szCs w:val="24"/>
                <w:lang w:val="bg-BG"/>
              </w:rPr>
              <w:t>И през 2023 г. се затвърждава тенденцията, че</w:t>
            </w:r>
            <w:r w:rsidRPr="00A71CC3">
              <w:rPr>
                <w:szCs w:val="24"/>
              </w:rPr>
              <w:t xml:space="preserve"> НГФ ЕАД се справя значително по-добре при управлението на финансовите инструменти от ФМФИБ ЕАД. </w:t>
            </w:r>
          </w:p>
          <w:p w:rsidR="006D0037" w:rsidRPr="006D0037" w:rsidRDefault="006D0037" w:rsidP="006D0037">
            <w:pPr>
              <w:spacing w:before="240" w:after="240"/>
              <w:rPr>
                <w:szCs w:val="24"/>
                <w:lang w:val="bg-BG"/>
              </w:rPr>
            </w:pPr>
            <w:r w:rsidRPr="006D0037">
              <w:rPr>
                <w:szCs w:val="24"/>
                <w:lang w:val="bg-BG"/>
              </w:rPr>
              <w:t>Бюджетът</w:t>
            </w:r>
            <w:r>
              <w:rPr>
                <w:szCs w:val="24"/>
                <w:lang w:val="bg-BG"/>
              </w:rPr>
              <w:t>,</w:t>
            </w:r>
            <w:r w:rsidRPr="006D0037">
              <w:rPr>
                <w:szCs w:val="24"/>
                <w:lang w:val="bg-BG"/>
              </w:rPr>
              <w:t xml:space="preserve"> заделен за ФИ с 6-то изменение на ПРСР е 20 000 000 евро. От старта на финансовия инструмент на 25.11.2021 г. до 31.12. 2023 г. са предоставени общо 4 кредита на обща стойност 1 007 260 евро, които са съфинансирани със средства от ПРСР в размер на 503 630 евро.</w:t>
            </w:r>
          </w:p>
          <w:tbl>
            <w:tblPr>
              <w:tblW w:w="5000" w:type="pct"/>
              <w:jc w:val="center"/>
              <w:tblCellMar>
                <w:left w:w="70" w:type="dxa"/>
                <w:right w:w="70" w:type="dxa"/>
              </w:tblCellMar>
              <w:tblLook w:val="04A0" w:firstRow="1" w:lastRow="0" w:firstColumn="1" w:lastColumn="0" w:noHBand="0" w:noVBand="1"/>
            </w:tblPr>
            <w:tblGrid>
              <w:gridCol w:w="1073"/>
              <w:gridCol w:w="1801"/>
              <w:gridCol w:w="1353"/>
              <w:gridCol w:w="1263"/>
              <w:gridCol w:w="1514"/>
              <w:gridCol w:w="1192"/>
              <w:gridCol w:w="1197"/>
              <w:gridCol w:w="1015"/>
              <w:gridCol w:w="22"/>
            </w:tblGrid>
            <w:tr w:rsidR="006D0037" w:rsidRPr="006D0037" w:rsidTr="006D0037">
              <w:trPr>
                <w:trHeight w:val="465"/>
                <w:jc w:val="center"/>
              </w:trPr>
              <w:tc>
                <w:tcPr>
                  <w:tcW w:w="5000" w:type="pct"/>
                  <w:gridSpan w:val="9"/>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D0037" w:rsidRPr="006D0037" w:rsidRDefault="006D0037" w:rsidP="006D0037">
                  <w:pPr>
                    <w:spacing w:before="240" w:after="240"/>
                    <w:jc w:val="center"/>
                    <w:rPr>
                      <w:b/>
                      <w:bCs/>
                      <w:sz w:val="16"/>
                      <w:szCs w:val="16"/>
                      <w:lang w:val="bg-BG"/>
                    </w:rPr>
                  </w:pPr>
                  <w:r w:rsidRPr="006D0037">
                    <w:rPr>
                      <w:b/>
                      <w:bCs/>
                      <w:sz w:val="16"/>
                      <w:szCs w:val="16"/>
                      <w:lang w:val="bg-BG"/>
                    </w:rPr>
                    <w:t>ИНФОРМАЦИЯ ЗА ДОГОВОРЕНИТЕ И РАЗПЛАТЕНИ СРЕДСТВА КЪМ КРАЙНИ ПОЛУЧАТЕЛИ ПО ФИНАНСОВ ИНСТРУМЕНТ ОТ ПРСР, В ЕВРО</w:t>
                  </w:r>
                </w:p>
              </w:tc>
            </w:tr>
            <w:tr w:rsidR="006D0037" w:rsidRPr="006D0037" w:rsidTr="006D0037">
              <w:trPr>
                <w:gridAfter w:val="1"/>
                <w:wAfter w:w="12" w:type="pct"/>
                <w:trHeight w:val="900"/>
                <w:jc w:val="center"/>
              </w:trPr>
              <w:tc>
                <w:tcPr>
                  <w:tcW w:w="513" w:type="pct"/>
                  <w:vMerge w:val="restart"/>
                  <w:tcBorders>
                    <w:top w:val="nil"/>
                    <w:left w:val="single" w:sz="4" w:space="0" w:color="auto"/>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left"/>
                    <w:rPr>
                      <w:sz w:val="16"/>
                      <w:szCs w:val="16"/>
                      <w:lang w:val="bg-BG"/>
                    </w:rPr>
                  </w:pPr>
                  <w:r w:rsidRPr="006D0037">
                    <w:rPr>
                      <w:sz w:val="16"/>
                      <w:szCs w:val="16"/>
                      <w:lang w:val="bg-BG"/>
                    </w:rPr>
                    <w:t>Финансов продукт</w:t>
                  </w:r>
                </w:p>
              </w:tc>
              <w:tc>
                <w:tcPr>
                  <w:tcW w:w="866" w:type="pct"/>
                  <w:vMerge w:val="restart"/>
                  <w:tcBorders>
                    <w:top w:val="nil"/>
                    <w:left w:val="single" w:sz="4" w:space="0" w:color="auto"/>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Общ размер на финансовото участие на ПРСР, за който е поето задължение в споразумението за финансиране (в евро)</w:t>
                  </w:r>
                </w:p>
              </w:tc>
              <w:tc>
                <w:tcPr>
                  <w:tcW w:w="649" w:type="pct"/>
                  <w:vMerge w:val="restart"/>
                  <w:tcBorders>
                    <w:top w:val="nil"/>
                    <w:left w:val="single" w:sz="4" w:space="0" w:color="auto"/>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Договорени средства с ФП съгласно подписано ОС</w:t>
                  </w:r>
                </w:p>
              </w:tc>
              <w:tc>
                <w:tcPr>
                  <w:tcW w:w="605" w:type="pct"/>
                  <w:vMerge w:val="restart"/>
                  <w:tcBorders>
                    <w:top w:val="nil"/>
                    <w:left w:val="single" w:sz="4" w:space="0" w:color="auto"/>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Преведени средства от ДФЗ на ФМФИБ</w:t>
                  </w:r>
                </w:p>
              </w:tc>
              <w:tc>
                <w:tcPr>
                  <w:tcW w:w="1298" w:type="pct"/>
                  <w:gridSpan w:val="2"/>
                  <w:tcBorders>
                    <w:top w:val="single" w:sz="4" w:space="0" w:color="auto"/>
                    <w:left w:val="nil"/>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Средства, договорени и разплатени към КП</w:t>
                  </w:r>
                </w:p>
              </w:tc>
              <w:tc>
                <w:tcPr>
                  <w:tcW w:w="573" w:type="pct"/>
                  <w:vMerge w:val="restart"/>
                  <w:tcBorders>
                    <w:top w:val="nil"/>
                    <w:left w:val="single" w:sz="4" w:space="0" w:color="auto"/>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Брой на договорени и разплатени кредити</w:t>
                  </w:r>
                </w:p>
              </w:tc>
              <w:tc>
                <w:tcPr>
                  <w:tcW w:w="485" w:type="pct"/>
                  <w:vMerge w:val="restart"/>
                  <w:tcBorders>
                    <w:top w:val="nil"/>
                    <w:left w:val="single" w:sz="4" w:space="0" w:color="auto"/>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Постигнат ефект на лоста</w:t>
                  </w:r>
                </w:p>
              </w:tc>
            </w:tr>
            <w:tr w:rsidR="006D0037" w:rsidRPr="006D0037" w:rsidTr="006D0037">
              <w:trPr>
                <w:gridAfter w:val="1"/>
                <w:wAfter w:w="12" w:type="pct"/>
                <w:trHeight w:val="930"/>
                <w:jc w:val="center"/>
              </w:trPr>
              <w:tc>
                <w:tcPr>
                  <w:tcW w:w="513" w:type="pct"/>
                  <w:vMerge/>
                  <w:tcBorders>
                    <w:top w:val="nil"/>
                    <w:left w:val="single" w:sz="4" w:space="0" w:color="auto"/>
                    <w:bottom w:val="single" w:sz="4" w:space="0" w:color="auto"/>
                    <w:right w:val="single" w:sz="4" w:space="0" w:color="auto"/>
                  </w:tcBorders>
                  <w:vAlign w:val="center"/>
                  <w:hideMark/>
                </w:tcPr>
                <w:p w:rsidR="006D0037" w:rsidRPr="006D0037" w:rsidRDefault="006D0037" w:rsidP="006D0037">
                  <w:pPr>
                    <w:spacing w:before="240" w:after="240"/>
                    <w:jc w:val="left"/>
                    <w:rPr>
                      <w:sz w:val="16"/>
                      <w:szCs w:val="16"/>
                      <w:lang w:val="bg-BG"/>
                    </w:rPr>
                  </w:pPr>
                </w:p>
              </w:tc>
              <w:tc>
                <w:tcPr>
                  <w:tcW w:w="866" w:type="pct"/>
                  <w:vMerge/>
                  <w:tcBorders>
                    <w:top w:val="nil"/>
                    <w:left w:val="single" w:sz="4" w:space="0" w:color="auto"/>
                    <w:bottom w:val="single" w:sz="4" w:space="0" w:color="auto"/>
                    <w:right w:val="single" w:sz="4" w:space="0" w:color="auto"/>
                  </w:tcBorders>
                  <w:vAlign w:val="center"/>
                  <w:hideMark/>
                </w:tcPr>
                <w:p w:rsidR="006D0037" w:rsidRPr="006D0037" w:rsidRDefault="006D0037" w:rsidP="006D0037">
                  <w:pPr>
                    <w:spacing w:before="240" w:after="240"/>
                    <w:jc w:val="center"/>
                    <w:rPr>
                      <w:sz w:val="16"/>
                      <w:szCs w:val="16"/>
                      <w:lang w:val="bg-BG"/>
                    </w:rPr>
                  </w:pPr>
                </w:p>
              </w:tc>
              <w:tc>
                <w:tcPr>
                  <w:tcW w:w="649" w:type="pct"/>
                  <w:vMerge/>
                  <w:tcBorders>
                    <w:top w:val="nil"/>
                    <w:left w:val="single" w:sz="4" w:space="0" w:color="auto"/>
                    <w:bottom w:val="single" w:sz="4" w:space="0" w:color="auto"/>
                    <w:right w:val="single" w:sz="4" w:space="0" w:color="auto"/>
                  </w:tcBorders>
                  <w:vAlign w:val="center"/>
                  <w:hideMark/>
                </w:tcPr>
                <w:p w:rsidR="006D0037" w:rsidRPr="006D0037" w:rsidRDefault="006D0037" w:rsidP="006D0037">
                  <w:pPr>
                    <w:spacing w:before="240" w:after="240"/>
                    <w:jc w:val="center"/>
                    <w:rPr>
                      <w:sz w:val="16"/>
                      <w:szCs w:val="16"/>
                      <w:lang w:val="bg-BG"/>
                    </w:rPr>
                  </w:pPr>
                </w:p>
              </w:tc>
              <w:tc>
                <w:tcPr>
                  <w:tcW w:w="605" w:type="pct"/>
                  <w:vMerge/>
                  <w:tcBorders>
                    <w:top w:val="nil"/>
                    <w:left w:val="single" w:sz="4" w:space="0" w:color="auto"/>
                    <w:bottom w:val="single" w:sz="4" w:space="0" w:color="auto"/>
                    <w:right w:val="single" w:sz="4" w:space="0" w:color="auto"/>
                  </w:tcBorders>
                  <w:vAlign w:val="center"/>
                  <w:hideMark/>
                </w:tcPr>
                <w:p w:rsidR="006D0037" w:rsidRPr="006D0037" w:rsidRDefault="006D0037" w:rsidP="006D0037">
                  <w:pPr>
                    <w:spacing w:before="240" w:after="240"/>
                    <w:jc w:val="center"/>
                    <w:rPr>
                      <w:sz w:val="16"/>
                      <w:szCs w:val="16"/>
                      <w:lang w:val="bg-BG"/>
                    </w:rPr>
                  </w:pPr>
                </w:p>
              </w:tc>
              <w:tc>
                <w:tcPr>
                  <w:tcW w:w="727" w:type="pct"/>
                  <w:tcBorders>
                    <w:top w:val="nil"/>
                    <w:left w:val="nil"/>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Финансиране от ФМФИБ</w:t>
                  </w:r>
                </w:p>
              </w:tc>
              <w:tc>
                <w:tcPr>
                  <w:tcW w:w="571" w:type="pct"/>
                  <w:tcBorders>
                    <w:top w:val="nil"/>
                    <w:left w:val="nil"/>
                    <w:bottom w:val="single" w:sz="4" w:space="0" w:color="auto"/>
                    <w:right w:val="single" w:sz="4" w:space="0" w:color="auto"/>
                  </w:tcBorders>
                  <w:shd w:val="clear" w:color="000000" w:fill="D9D9D9"/>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Финансиране от ФП</w:t>
                  </w:r>
                </w:p>
              </w:tc>
              <w:tc>
                <w:tcPr>
                  <w:tcW w:w="573" w:type="pct"/>
                  <w:vMerge/>
                  <w:tcBorders>
                    <w:top w:val="nil"/>
                    <w:left w:val="single" w:sz="4" w:space="0" w:color="auto"/>
                    <w:bottom w:val="single" w:sz="4" w:space="0" w:color="auto"/>
                    <w:right w:val="single" w:sz="4" w:space="0" w:color="auto"/>
                  </w:tcBorders>
                  <w:vAlign w:val="center"/>
                  <w:hideMark/>
                </w:tcPr>
                <w:p w:rsidR="006D0037" w:rsidRPr="006D0037" w:rsidRDefault="006D0037" w:rsidP="006D0037">
                  <w:pPr>
                    <w:spacing w:before="240" w:after="240"/>
                    <w:jc w:val="center"/>
                    <w:rPr>
                      <w:sz w:val="16"/>
                      <w:szCs w:val="16"/>
                      <w:lang w:val="bg-BG"/>
                    </w:rPr>
                  </w:pPr>
                </w:p>
              </w:tc>
              <w:tc>
                <w:tcPr>
                  <w:tcW w:w="485" w:type="pct"/>
                  <w:vMerge/>
                  <w:tcBorders>
                    <w:top w:val="nil"/>
                    <w:left w:val="single" w:sz="4" w:space="0" w:color="auto"/>
                    <w:bottom w:val="single" w:sz="4" w:space="0" w:color="auto"/>
                    <w:right w:val="single" w:sz="4" w:space="0" w:color="auto"/>
                  </w:tcBorders>
                  <w:vAlign w:val="center"/>
                  <w:hideMark/>
                </w:tcPr>
                <w:p w:rsidR="006D0037" w:rsidRPr="006D0037" w:rsidRDefault="006D0037" w:rsidP="006D0037">
                  <w:pPr>
                    <w:spacing w:before="240" w:after="240"/>
                    <w:jc w:val="center"/>
                    <w:rPr>
                      <w:sz w:val="16"/>
                      <w:szCs w:val="16"/>
                      <w:lang w:val="bg-BG"/>
                    </w:rPr>
                  </w:pPr>
                </w:p>
              </w:tc>
            </w:tr>
            <w:tr w:rsidR="006D0037" w:rsidRPr="006D0037" w:rsidTr="006D0037">
              <w:trPr>
                <w:gridAfter w:val="1"/>
                <w:wAfter w:w="12" w:type="pct"/>
                <w:trHeight w:val="585"/>
                <w:jc w:val="center"/>
              </w:trPr>
              <w:tc>
                <w:tcPr>
                  <w:tcW w:w="513" w:type="pct"/>
                  <w:tcBorders>
                    <w:top w:val="nil"/>
                    <w:left w:val="single" w:sz="4" w:space="0" w:color="auto"/>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left"/>
                    <w:rPr>
                      <w:sz w:val="16"/>
                      <w:szCs w:val="16"/>
                      <w:lang w:val="bg-BG"/>
                    </w:rPr>
                  </w:pPr>
                  <w:r w:rsidRPr="006D0037">
                    <w:rPr>
                      <w:sz w:val="16"/>
                      <w:szCs w:val="16"/>
                      <w:lang w:val="bg-BG"/>
                    </w:rPr>
                    <w:t>Кредити</w:t>
                  </w:r>
                </w:p>
              </w:tc>
              <w:tc>
                <w:tcPr>
                  <w:tcW w:w="866" w:type="pct"/>
                  <w:tcBorders>
                    <w:top w:val="nil"/>
                    <w:left w:val="nil"/>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20 000 000</w:t>
                  </w:r>
                </w:p>
              </w:tc>
              <w:tc>
                <w:tcPr>
                  <w:tcW w:w="649" w:type="pct"/>
                  <w:tcBorders>
                    <w:top w:val="nil"/>
                    <w:left w:val="nil"/>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19 582 779</w:t>
                  </w:r>
                </w:p>
              </w:tc>
              <w:tc>
                <w:tcPr>
                  <w:tcW w:w="605" w:type="pct"/>
                  <w:tcBorders>
                    <w:top w:val="nil"/>
                    <w:left w:val="nil"/>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5 000 000</w:t>
                  </w:r>
                </w:p>
              </w:tc>
              <w:tc>
                <w:tcPr>
                  <w:tcW w:w="727" w:type="pct"/>
                  <w:tcBorders>
                    <w:top w:val="nil"/>
                    <w:left w:val="nil"/>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503 630</w:t>
                  </w:r>
                </w:p>
              </w:tc>
              <w:tc>
                <w:tcPr>
                  <w:tcW w:w="571" w:type="pct"/>
                  <w:tcBorders>
                    <w:top w:val="nil"/>
                    <w:left w:val="nil"/>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503 630</w:t>
                  </w:r>
                </w:p>
              </w:tc>
              <w:tc>
                <w:tcPr>
                  <w:tcW w:w="573" w:type="pct"/>
                  <w:tcBorders>
                    <w:top w:val="nil"/>
                    <w:left w:val="nil"/>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4</w:t>
                  </w:r>
                </w:p>
              </w:tc>
              <w:tc>
                <w:tcPr>
                  <w:tcW w:w="485" w:type="pct"/>
                  <w:tcBorders>
                    <w:top w:val="nil"/>
                    <w:left w:val="nil"/>
                    <w:bottom w:val="single" w:sz="4" w:space="0" w:color="auto"/>
                    <w:right w:val="single" w:sz="4" w:space="0" w:color="auto"/>
                  </w:tcBorders>
                  <w:shd w:val="clear" w:color="000000" w:fill="FFFFFF"/>
                  <w:vAlign w:val="center"/>
                  <w:hideMark/>
                </w:tcPr>
                <w:p w:rsidR="006D0037" w:rsidRPr="006D0037" w:rsidRDefault="006D0037" w:rsidP="006D0037">
                  <w:pPr>
                    <w:spacing w:before="240" w:after="240"/>
                    <w:jc w:val="center"/>
                    <w:rPr>
                      <w:sz w:val="16"/>
                      <w:szCs w:val="16"/>
                      <w:lang w:val="bg-BG"/>
                    </w:rPr>
                  </w:pPr>
                  <w:r w:rsidRPr="006D0037">
                    <w:rPr>
                      <w:sz w:val="16"/>
                      <w:szCs w:val="16"/>
                      <w:lang w:val="bg-BG"/>
                    </w:rPr>
                    <w:t>2,35</w:t>
                  </w:r>
                </w:p>
              </w:tc>
            </w:tr>
          </w:tbl>
          <w:p w:rsidR="006D0037" w:rsidRPr="006D0037" w:rsidRDefault="006D0037" w:rsidP="006D0037">
            <w:pPr>
              <w:spacing w:before="240" w:after="240"/>
              <w:rPr>
                <w:szCs w:val="24"/>
                <w:lang w:val="bg-BG"/>
              </w:rPr>
            </w:pPr>
            <w:r w:rsidRPr="006D0037">
              <w:rPr>
                <w:szCs w:val="24"/>
                <w:lang w:val="bg-BG"/>
              </w:rPr>
              <w:t>От предоставените данни е видно, че изпълнението на Финансовия инструмент не отговаря на очакваното. За да изследва причините за незадоволителното изпълнение Управляващия орган съвместно с Фонд мениджъра ФМФИБ на инструмента направи пазарно проучване сред финансовите институции (финансови посредници) в страната. Като основни пречки пред усвояването на средства по Финансовия инструмент бяха изведени следните:</w:t>
            </w:r>
          </w:p>
          <w:p w:rsidR="006D0037" w:rsidRPr="006D0037" w:rsidRDefault="006D0037" w:rsidP="006D0037">
            <w:pPr>
              <w:numPr>
                <w:ilvl w:val="0"/>
                <w:numId w:val="37"/>
              </w:numPr>
              <w:spacing w:before="240" w:after="240"/>
              <w:rPr>
                <w:szCs w:val="24"/>
                <w:lang w:val="bg-BG"/>
              </w:rPr>
            </w:pPr>
            <w:r w:rsidRPr="006D0037">
              <w:rPr>
                <w:szCs w:val="24"/>
                <w:lang w:val="bg-BG"/>
              </w:rPr>
              <w:t>Предпочитан финансов продукт са гаранциите, (а не кредити със споделен риск), поради високата ликвидност на банките в страната.</w:t>
            </w:r>
          </w:p>
          <w:p w:rsidR="006D0037" w:rsidRPr="006D0037" w:rsidRDefault="006D0037" w:rsidP="006D0037">
            <w:pPr>
              <w:numPr>
                <w:ilvl w:val="0"/>
                <w:numId w:val="37"/>
              </w:numPr>
              <w:spacing w:before="240" w:after="240"/>
              <w:rPr>
                <w:szCs w:val="24"/>
                <w:lang w:val="bg-BG"/>
              </w:rPr>
            </w:pPr>
            <w:r w:rsidRPr="006D0037">
              <w:rPr>
                <w:szCs w:val="24"/>
                <w:lang w:val="bg-BG"/>
              </w:rPr>
              <w:t>Правилата за държавни помощи ограничават допустимости на част от крайните получатели</w:t>
            </w:r>
            <w:r w:rsidRPr="006D0037">
              <w:rPr>
                <w:szCs w:val="24"/>
                <w:lang w:val="en-US"/>
              </w:rPr>
              <w:t xml:space="preserve">, </w:t>
            </w:r>
            <w:r w:rsidRPr="006D0037">
              <w:rPr>
                <w:szCs w:val="24"/>
                <w:lang w:val="bg-BG"/>
              </w:rPr>
              <w:t xml:space="preserve">тъй като брутния еквивалент на предоставената помощ по кредита, натрупана с финансовата помощ по проекта надхвърля максимално допустимия интензитет на финансова помощ.  </w:t>
            </w:r>
          </w:p>
          <w:p w:rsidR="00012A46" w:rsidRPr="006D0037" w:rsidRDefault="006D0037" w:rsidP="006D0037">
            <w:pPr>
              <w:spacing w:before="240" w:after="240"/>
              <w:rPr>
                <w:szCs w:val="24"/>
                <w:lang w:val="bg-BG"/>
              </w:rPr>
            </w:pPr>
            <w:r w:rsidRPr="006D0037">
              <w:rPr>
                <w:szCs w:val="24"/>
                <w:lang w:val="bg-BG"/>
              </w:rPr>
              <w:t>Съгласно подписаното Финансово споразумение</w:t>
            </w:r>
            <w:r w:rsidRPr="006D0037">
              <w:rPr>
                <w:szCs w:val="24"/>
                <w:lang w:val="en-US"/>
              </w:rPr>
              <w:t xml:space="preserve"> </w:t>
            </w:r>
            <w:r w:rsidRPr="006D0037">
              <w:rPr>
                <w:szCs w:val="24"/>
                <w:lang w:val="bg-BG"/>
              </w:rPr>
              <w:t>с Фонд мениджъра ФМФИБ, срокът за предоставяне на финансиране към крайни получатели изтече на 31.12.2023 г. С оглед на незадоволителните резултати от прилагането на инструмента и риска от загуба на средствата предназначени за финансов инструмент, УО на ПРСР взе решение за прекратяване на споразумението и връщане на неизразходваните средства обратно в бюджета на ПРСР</w:t>
            </w:r>
            <w:r>
              <w:rPr>
                <w:szCs w:val="24"/>
                <w:lang w:val="bg-BG"/>
              </w:rPr>
              <w:t xml:space="preserve"> със следващо изменение на ПРСР</w:t>
            </w:r>
            <w:r w:rsidRPr="006D0037">
              <w:rPr>
                <w:szCs w:val="24"/>
                <w:lang w:val="bg-BG"/>
              </w:rPr>
              <w:t xml:space="preserve">. До стартирането на финансов инструмент по Стратегическия план, нуждата от улесняване на достъпа до финансиране ще се покрива от действащата гаранционна схема към Национален гаранционен фонд ЕАД, която беше стартирана по ПРСР 2007-2013 и продължава </w:t>
            </w:r>
            <w:r w:rsidRPr="006D0037">
              <w:rPr>
                <w:szCs w:val="24"/>
                <w:lang w:val="bg-BG"/>
              </w:rPr>
              <w:lastRenderedPageBreak/>
              <w:t>действието си с национални средства.</w:t>
            </w:r>
          </w:p>
        </w:tc>
      </w:tr>
    </w:tbl>
    <w:p w:rsidR="00012A46" w:rsidRDefault="00836FCA">
      <w:pPr>
        <w:pStyle w:val="Heading2"/>
      </w:pPr>
      <w:bookmarkStart w:id="19" w:name="_Toc169016426"/>
      <w:r>
        <w:lastRenderedPageBreak/>
        <w:t>Качество и ефикасност на механизмите за изпълнение</w:t>
      </w:r>
      <w:bookmarkEnd w:id="19"/>
    </w:p>
    <w:p w:rsidR="00012A46" w:rsidRDefault="00836FCA">
      <w:r>
        <w:rPr>
          <w:szCs w:val="24"/>
        </w:rPr>
        <w:t xml:space="preserve">Опростени варианти за разходите (ОВР) </w:t>
      </w:r>
      <w:r>
        <w:rPr>
          <w:sz w:val="30"/>
          <w:szCs w:val="30"/>
          <w:vertAlign w:val="superscript"/>
        </w:rPr>
        <w:t>1</w:t>
      </w:r>
      <w:r>
        <w:rPr>
          <w:szCs w:val="24"/>
        </w:rPr>
        <w:t>, косвен показател, изчислен автоматично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2642"/>
        <w:gridCol w:w="2642"/>
        <w:gridCol w:w="2642"/>
      </w:tblGrid>
      <w:tr w:rsidR="00012A46">
        <w:tc>
          <w:tcPr>
            <w:tcW w:w="12000" w:type="dxa"/>
            <w:shd w:val="clear" w:color="auto" w:fill="C0C0C0"/>
            <w:tcMar>
              <w:top w:w="20" w:type="dxa"/>
              <w:left w:w="20" w:type="dxa"/>
              <w:bottom w:w="20" w:type="dxa"/>
            </w:tcMar>
            <w:vAlign w:val="center"/>
          </w:tcPr>
          <w:p w:rsidR="00012A46" w:rsidRDefault="00836FCA">
            <w:pPr>
              <w:jc w:val="center"/>
              <w:rPr>
                <w:sz w:val="16"/>
              </w:rPr>
            </w:pPr>
            <w:r>
              <w:rPr>
                <w:szCs w:val="24"/>
              </w:rPr>
              <w:t>            </w:t>
            </w:r>
          </w:p>
        </w:tc>
        <w:tc>
          <w:tcPr>
            <w:tcW w:w="12000" w:type="dxa"/>
            <w:shd w:val="clear" w:color="auto" w:fill="C0C0C0"/>
            <w:tcMar>
              <w:top w:w="20" w:type="dxa"/>
              <w:left w:w="20" w:type="dxa"/>
              <w:bottom w:w="20" w:type="dxa"/>
            </w:tcMar>
            <w:vAlign w:val="center"/>
          </w:tcPr>
          <w:p w:rsidR="00012A46" w:rsidRDefault="00836FCA">
            <w:pPr>
              <w:jc w:val="center"/>
              <w:rPr>
                <w:sz w:val="16"/>
              </w:rPr>
            </w:pPr>
            <w:r>
              <w:rPr>
                <w:sz w:val="16"/>
              </w:rPr>
              <w:t>Общ размер на разпределените финансови средства по ПРСР [ЕЗФРСР+ EURI]</w:t>
            </w:r>
          </w:p>
        </w:tc>
        <w:tc>
          <w:tcPr>
            <w:tcW w:w="12000" w:type="dxa"/>
            <w:shd w:val="clear" w:color="auto" w:fill="C0C0C0"/>
            <w:tcMar>
              <w:top w:w="20" w:type="dxa"/>
              <w:left w:w="20" w:type="dxa"/>
              <w:bottom w:w="20" w:type="dxa"/>
            </w:tcMar>
            <w:vAlign w:val="center"/>
          </w:tcPr>
          <w:p w:rsidR="00012A46" w:rsidRDefault="00836FCA">
            <w:pPr>
              <w:jc w:val="center"/>
              <w:rPr>
                <w:sz w:val="16"/>
              </w:rPr>
            </w:pPr>
            <w:r>
              <w:rPr>
                <w:sz w:val="17"/>
                <w:szCs w:val="17"/>
              </w:rPr>
              <w:t>[%] на планираното покритие на ОВР от общите отпуснати средства за ПРСР</w:t>
            </w:r>
            <w:r>
              <w:rPr>
                <w:sz w:val="21"/>
                <w:szCs w:val="21"/>
                <w:vertAlign w:val="superscript"/>
              </w:rPr>
              <w:t>2</w:t>
            </w:r>
          </w:p>
        </w:tc>
        <w:tc>
          <w:tcPr>
            <w:tcW w:w="12000" w:type="dxa"/>
            <w:shd w:val="clear" w:color="auto" w:fill="C0C0C0"/>
            <w:tcMar>
              <w:top w:w="20" w:type="dxa"/>
              <w:left w:w="20" w:type="dxa"/>
              <w:bottom w:w="20" w:type="dxa"/>
            </w:tcMar>
            <w:vAlign w:val="center"/>
          </w:tcPr>
          <w:p w:rsidR="00012A46" w:rsidRDefault="00836FCA">
            <w:pPr>
              <w:jc w:val="center"/>
              <w:rPr>
                <w:sz w:val="16"/>
              </w:rPr>
            </w:pPr>
            <w:r>
              <w:rPr>
                <w:sz w:val="17"/>
                <w:szCs w:val="17"/>
              </w:rPr>
              <w:t>[%] на реализираните разходи посредством ОВР от общите отпуснати средства за ПРСР (кумулативни данни)</w:t>
            </w:r>
            <w:r>
              <w:rPr>
                <w:sz w:val="21"/>
                <w:szCs w:val="21"/>
                <w:vertAlign w:val="superscript"/>
              </w:rPr>
              <w:t>3</w:t>
            </w:r>
          </w:p>
        </w:tc>
      </w:tr>
      <w:tr w:rsidR="00012A46">
        <w:tc>
          <w:tcPr>
            <w:tcW w:w="1250" w:type="pct"/>
            <w:shd w:val="clear" w:color="auto" w:fill="FFFFFF"/>
            <w:tcMar>
              <w:top w:w="20" w:type="dxa"/>
              <w:left w:w="20" w:type="dxa"/>
              <w:bottom w:w="20" w:type="dxa"/>
            </w:tcMar>
            <w:vAlign w:val="center"/>
          </w:tcPr>
          <w:p w:rsidR="00012A46" w:rsidRDefault="00836FCA">
            <w:pPr>
              <w:spacing w:before="20" w:after="20"/>
              <w:jc w:val="left"/>
              <w:rPr>
                <w:sz w:val="16"/>
              </w:rPr>
            </w:pPr>
            <w:r>
              <w:rPr>
                <w:sz w:val="16"/>
              </w:rPr>
              <w:t>Специфични за фондовете методи, член 67, параграф 5, буква д) от РОР</w:t>
            </w:r>
          </w:p>
        </w:tc>
        <w:tc>
          <w:tcPr>
            <w:tcW w:w="1250" w:type="pct"/>
            <w:shd w:val="clear" w:color="auto" w:fill="FFFFFF"/>
            <w:tcMar>
              <w:top w:w="20" w:type="dxa"/>
              <w:left w:w="20" w:type="dxa"/>
              <w:bottom w:w="20" w:type="dxa"/>
            </w:tcMar>
            <w:vAlign w:val="center"/>
          </w:tcPr>
          <w:p w:rsidR="00012A46" w:rsidRDefault="00836FCA">
            <w:pPr>
              <w:spacing w:before="20" w:after="20"/>
              <w:jc w:val="right"/>
              <w:rPr>
                <w:sz w:val="16"/>
              </w:rPr>
            </w:pPr>
            <w:r>
              <w:rPr>
                <w:sz w:val="16"/>
              </w:rPr>
              <w:t>3 129 044 775,00</w:t>
            </w:r>
          </w:p>
        </w:tc>
        <w:tc>
          <w:tcPr>
            <w:tcW w:w="1250" w:type="pct"/>
            <w:shd w:val="clear" w:color="auto" w:fill="FFFFFF"/>
            <w:tcMar>
              <w:top w:w="20" w:type="dxa"/>
              <w:left w:w="20" w:type="dxa"/>
              <w:bottom w:w="20" w:type="dxa"/>
            </w:tcMar>
            <w:vAlign w:val="center"/>
          </w:tcPr>
          <w:p w:rsidR="00012A46" w:rsidRDefault="00836FCA">
            <w:pPr>
              <w:spacing w:before="20" w:after="20"/>
              <w:jc w:val="right"/>
              <w:rPr>
                <w:sz w:val="16"/>
              </w:rPr>
            </w:pPr>
            <w:r>
              <w:rPr>
                <w:sz w:val="16"/>
              </w:rPr>
              <w:t>33,31</w:t>
            </w:r>
          </w:p>
        </w:tc>
        <w:tc>
          <w:tcPr>
            <w:tcW w:w="1250" w:type="pct"/>
            <w:shd w:val="clear" w:color="auto" w:fill="FFFFFF"/>
            <w:tcMar>
              <w:top w:w="20" w:type="dxa"/>
              <w:left w:w="20" w:type="dxa"/>
              <w:bottom w:w="20" w:type="dxa"/>
            </w:tcMar>
            <w:vAlign w:val="center"/>
          </w:tcPr>
          <w:p w:rsidR="00012A46" w:rsidRDefault="00836FCA">
            <w:pPr>
              <w:spacing w:before="20" w:after="20"/>
              <w:jc w:val="right"/>
              <w:rPr>
                <w:sz w:val="16"/>
              </w:rPr>
            </w:pPr>
            <w:r>
              <w:rPr>
                <w:sz w:val="16"/>
              </w:rPr>
              <w:t>30,32</w:t>
            </w:r>
          </w:p>
        </w:tc>
      </w:tr>
    </w:tbl>
    <w:p w:rsidR="00012A46" w:rsidRDefault="00836FCA">
      <w:r>
        <w:rPr>
          <w:sz w:val="21"/>
          <w:szCs w:val="21"/>
          <w:vertAlign w:val="superscript"/>
        </w:rPr>
        <w:t>1</w:t>
      </w:r>
      <w:r>
        <w:rPr>
          <w:sz w:val="17"/>
          <w:szCs w:val="17"/>
        </w:rPr>
        <w:t xml:space="preserve"> Опростените варианти за разходите представляват единични разходи/единни ставки/еднократни суми по член 67, параграф 5 от РОР, включително специфичните методи за ЕЗФРСР, предвидени в буква д) от същия член, като например еднократните суми за започване на дейност, плащанията с единни ставки към организации на производители и единични разходи, свързани с площта и животните.</w:t>
      </w:r>
    </w:p>
    <w:p w:rsidR="00012A46" w:rsidRDefault="00836FCA">
      <w:r>
        <w:rPr>
          <w:sz w:val="21"/>
          <w:szCs w:val="21"/>
          <w:vertAlign w:val="superscript"/>
        </w:rPr>
        <w:t>2</w:t>
      </w:r>
      <w:r>
        <w:rPr>
          <w:sz w:val="17"/>
          <w:szCs w:val="17"/>
        </w:rPr>
        <w:t xml:space="preserve"> Автоматично изчислени от мерки 06, 09, 10, 11, 12, 13, 14, 15, 18 на версията на програмата</w:t>
      </w:r>
    </w:p>
    <w:p w:rsidR="00012A46" w:rsidRDefault="00836FCA">
      <w:r>
        <w:rPr>
          <w:sz w:val="21"/>
          <w:szCs w:val="21"/>
          <w:vertAlign w:val="superscript"/>
        </w:rPr>
        <w:t>3</w:t>
      </w:r>
      <w:r>
        <w:rPr>
          <w:sz w:val="17"/>
          <w:szCs w:val="17"/>
        </w:rPr>
        <w:t xml:space="preserve"> Автоматично изчислен от декларациите за разходи по мерки 106, 09, 10, 11, 12, 13, 14, 15, 18</w:t>
      </w:r>
    </w:p>
    <w:p w:rsidR="00012A46" w:rsidRDefault="00836FCA">
      <w:r>
        <w:rPr>
          <w:szCs w:val="24"/>
        </w:rPr>
        <w:t>Опростени варианти за разходите (ОВР), въз основа на специфични подробни данни от държавите членки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2642"/>
        <w:gridCol w:w="2642"/>
        <w:gridCol w:w="2642"/>
      </w:tblGrid>
      <w:tr w:rsidR="00012A46">
        <w:tc>
          <w:tcPr>
            <w:tcW w:w="1250" w:type="pct"/>
            <w:shd w:val="clear" w:color="auto" w:fill="C0C0C0"/>
            <w:tcMar>
              <w:top w:w="20" w:type="dxa"/>
              <w:left w:w="20" w:type="dxa"/>
              <w:bottom w:w="20" w:type="dxa"/>
            </w:tcMar>
            <w:vAlign w:val="center"/>
          </w:tcPr>
          <w:p w:rsidR="00012A46" w:rsidRDefault="00836FCA">
            <w:pPr>
              <w:jc w:val="center"/>
              <w:rPr>
                <w:sz w:val="16"/>
              </w:rPr>
            </w:pPr>
            <w:r>
              <w:rPr>
                <w:szCs w:val="24"/>
              </w:rPr>
              <w:t>            </w:t>
            </w:r>
          </w:p>
        </w:tc>
        <w:tc>
          <w:tcPr>
            <w:tcW w:w="1250" w:type="pct"/>
            <w:shd w:val="clear" w:color="auto" w:fill="C0C0C0"/>
            <w:tcMar>
              <w:top w:w="20" w:type="dxa"/>
              <w:left w:w="20" w:type="dxa"/>
              <w:bottom w:w="20" w:type="dxa"/>
            </w:tcMar>
            <w:vAlign w:val="center"/>
          </w:tcPr>
          <w:p w:rsidR="00012A46" w:rsidRDefault="00836FCA">
            <w:pPr>
              <w:jc w:val="center"/>
              <w:rPr>
                <w:sz w:val="16"/>
              </w:rPr>
            </w:pPr>
            <w:r>
              <w:rPr>
                <w:sz w:val="16"/>
              </w:rPr>
              <w:t>Общ размер на разпределените финансови средства по ПРСР [ЕЗФРСР+ EURI]</w:t>
            </w:r>
          </w:p>
        </w:tc>
        <w:tc>
          <w:tcPr>
            <w:tcW w:w="1250" w:type="pct"/>
            <w:shd w:val="clear" w:color="auto" w:fill="C0C0C0"/>
            <w:tcMar>
              <w:top w:w="20" w:type="dxa"/>
              <w:left w:w="20" w:type="dxa"/>
              <w:bottom w:w="20" w:type="dxa"/>
            </w:tcMar>
            <w:vAlign w:val="center"/>
          </w:tcPr>
          <w:p w:rsidR="00012A46" w:rsidRDefault="00836FCA">
            <w:pPr>
              <w:jc w:val="center"/>
              <w:rPr>
                <w:sz w:val="16"/>
              </w:rPr>
            </w:pPr>
            <w:r>
              <w:rPr>
                <w:sz w:val="17"/>
                <w:szCs w:val="17"/>
              </w:rPr>
              <w:t>[%] на планираното покритие на ОВР от общите отпуснати средства за ПРСР</w:t>
            </w:r>
          </w:p>
        </w:tc>
        <w:tc>
          <w:tcPr>
            <w:tcW w:w="1250" w:type="pct"/>
            <w:shd w:val="clear" w:color="auto" w:fill="C0C0C0"/>
            <w:tcMar>
              <w:top w:w="20" w:type="dxa"/>
              <w:left w:w="20" w:type="dxa"/>
              <w:bottom w:w="20" w:type="dxa"/>
            </w:tcMar>
            <w:vAlign w:val="center"/>
          </w:tcPr>
          <w:p w:rsidR="00012A46" w:rsidRDefault="00836FCA">
            <w:pPr>
              <w:jc w:val="center"/>
              <w:rPr>
                <w:sz w:val="16"/>
              </w:rPr>
            </w:pPr>
            <w:r>
              <w:rPr>
                <w:sz w:val="17"/>
                <w:szCs w:val="17"/>
              </w:rPr>
              <w:t>[%] на реализираните разходи посредством ОВР от общите отпуснати средства за ПРСР (кумулативни данни)</w:t>
            </w:r>
          </w:p>
        </w:tc>
      </w:tr>
      <w:tr w:rsidR="00012A46">
        <w:tc>
          <w:tcPr>
            <w:tcW w:w="1250" w:type="pct"/>
            <w:shd w:val="clear" w:color="auto" w:fill="FFFFFF"/>
            <w:tcMar>
              <w:top w:w="20" w:type="dxa"/>
              <w:left w:w="20" w:type="dxa"/>
              <w:bottom w:w="20" w:type="dxa"/>
            </w:tcMar>
            <w:vAlign w:val="center"/>
          </w:tcPr>
          <w:p w:rsidR="00012A46" w:rsidRDefault="00836FCA">
            <w:pPr>
              <w:spacing w:before="20" w:after="20"/>
              <w:jc w:val="left"/>
              <w:rPr>
                <w:sz w:val="16"/>
              </w:rPr>
            </w:pPr>
            <w:r>
              <w:rPr>
                <w:sz w:val="16"/>
              </w:rPr>
              <w:t>Общо по силата на член 67, параграф 1, буква б), в) и г) + член 67, параграф 5, буква д) от РОР</w:t>
            </w:r>
          </w:p>
        </w:tc>
        <w:tc>
          <w:tcPr>
            <w:tcW w:w="1250" w:type="pct"/>
            <w:shd w:val="clear" w:color="auto" w:fill="FFFFFF"/>
            <w:tcMar>
              <w:top w:w="20" w:type="dxa"/>
              <w:left w:w="20" w:type="dxa"/>
              <w:bottom w:w="20" w:type="dxa"/>
            </w:tcMar>
            <w:vAlign w:val="center"/>
          </w:tcPr>
          <w:p w:rsidR="00012A46" w:rsidRDefault="00836FCA">
            <w:pPr>
              <w:spacing w:before="20" w:after="20"/>
              <w:jc w:val="right"/>
              <w:rPr>
                <w:sz w:val="16"/>
              </w:rPr>
            </w:pPr>
            <w:r>
              <w:rPr>
                <w:sz w:val="16"/>
              </w:rPr>
              <w:t>3 129 044 775,00</w:t>
            </w: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r>
      <w:tr w:rsidR="00012A46">
        <w:tc>
          <w:tcPr>
            <w:tcW w:w="1250" w:type="pct"/>
            <w:shd w:val="clear" w:color="auto" w:fill="FFFFFF"/>
            <w:tcMar>
              <w:top w:w="20" w:type="dxa"/>
              <w:left w:w="20" w:type="dxa"/>
              <w:bottom w:w="20" w:type="dxa"/>
            </w:tcMar>
            <w:vAlign w:val="center"/>
          </w:tcPr>
          <w:p w:rsidR="00012A46" w:rsidRDefault="00836FCA">
            <w:pPr>
              <w:spacing w:before="20" w:after="20"/>
              <w:jc w:val="left"/>
              <w:rPr>
                <w:sz w:val="16"/>
              </w:rPr>
            </w:pPr>
            <w:r>
              <w:rPr>
                <w:sz w:val="16"/>
              </w:rPr>
              <w:t>Специфични за фондовете методи, член 67, параграф 5, буква д) от РОР</w:t>
            </w:r>
          </w:p>
        </w:tc>
        <w:tc>
          <w:tcPr>
            <w:tcW w:w="1250" w:type="pct"/>
            <w:shd w:val="clear" w:color="auto" w:fill="FFFFFF"/>
            <w:tcMar>
              <w:top w:w="20" w:type="dxa"/>
              <w:left w:w="20" w:type="dxa"/>
              <w:bottom w:w="20" w:type="dxa"/>
            </w:tcMar>
            <w:vAlign w:val="center"/>
          </w:tcPr>
          <w:p w:rsidR="00012A46" w:rsidRDefault="00836FCA">
            <w:pPr>
              <w:spacing w:before="20" w:after="20"/>
              <w:jc w:val="right"/>
              <w:rPr>
                <w:sz w:val="16"/>
              </w:rPr>
            </w:pPr>
            <w:r>
              <w:rPr>
                <w:sz w:val="16"/>
              </w:rPr>
              <w:t>3 129 044 775,00</w:t>
            </w: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r>
    </w:tbl>
    <w:p w:rsidR="00012A46" w:rsidRDefault="00836FCA">
      <w:r>
        <w:t>Електронно управление за бенефициерите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012A46">
        <w:tc>
          <w:tcPr>
            <w:tcW w:w="1250" w:type="pct"/>
            <w:shd w:val="clear" w:color="auto" w:fill="C0C0C0"/>
            <w:tcMar>
              <w:top w:w="20" w:type="dxa"/>
              <w:left w:w="20" w:type="dxa"/>
              <w:bottom w:w="20" w:type="dxa"/>
            </w:tcMar>
            <w:vAlign w:val="center"/>
          </w:tcPr>
          <w:p w:rsidR="00012A46" w:rsidRDefault="00836FCA">
            <w:pPr>
              <w:jc w:val="center"/>
              <w:rPr>
                <w:sz w:val="16"/>
              </w:rPr>
            </w:pPr>
            <w:r>
              <w:rPr>
                <w:szCs w:val="24"/>
              </w:rPr>
              <w:t>            </w:t>
            </w:r>
          </w:p>
        </w:tc>
        <w:tc>
          <w:tcPr>
            <w:tcW w:w="1250" w:type="pct"/>
            <w:shd w:val="clear" w:color="auto" w:fill="C0C0C0"/>
            <w:tcMar>
              <w:top w:w="20" w:type="dxa"/>
              <w:left w:w="20" w:type="dxa"/>
              <w:bottom w:w="20" w:type="dxa"/>
            </w:tcMar>
            <w:vAlign w:val="center"/>
          </w:tcPr>
          <w:p w:rsidR="00012A46" w:rsidRDefault="00836FCA">
            <w:pPr>
              <w:jc w:val="center"/>
              <w:rPr>
                <w:sz w:val="16"/>
              </w:rPr>
            </w:pPr>
            <w:r>
              <w:rPr>
                <w:sz w:val="16"/>
              </w:rPr>
              <w:t>[%] финансиране от ЕЗФРСР + EURI</w:t>
            </w:r>
          </w:p>
        </w:tc>
        <w:tc>
          <w:tcPr>
            <w:tcW w:w="1250" w:type="pct"/>
            <w:shd w:val="clear" w:color="auto" w:fill="C0C0C0"/>
            <w:tcMar>
              <w:top w:w="20" w:type="dxa"/>
              <w:left w:w="20" w:type="dxa"/>
              <w:bottom w:w="20" w:type="dxa"/>
            </w:tcMar>
            <w:vAlign w:val="center"/>
          </w:tcPr>
          <w:p w:rsidR="00012A46" w:rsidRDefault="00836FCA">
            <w:pPr>
              <w:jc w:val="center"/>
              <w:rPr>
                <w:sz w:val="16"/>
              </w:rPr>
            </w:pPr>
            <w:r>
              <w:rPr>
                <w:sz w:val="16"/>
              </w:rPr>
              <w:t xml:space="preserve">[%] Съответни операции </w:t>
            </w:r>
          </w:p>
        </w:tc>
      </w:tr>
      <w:tr w:rsidR="00012A46">
        <w:tc>
          <w:tcPr>
            <w:tcW w:w="1250" w:type="pct"/>
            <w:shd w:val="clear" w:color="auto" w:fill="FFFFFF"/>
            <w:tcMar>
              <w:top w:w="20" w:type="dxa"/>
              <w:left w:w="20" w:type="dxa"/>
              <w:bottom w:w="20" w:type="dxa"/>
            </w:tcMar>
            <w:vAlign w:val="center"/>
          </w:tcPr>
          <w:p w:rsidR="00012A46" w:rsidRDefault="00836FCA">
            <w:pPr>
              <w:spacing w:before="20" w:after="20"/>
              <w:jc w:val="left"/>
              <w:rPr>
                <w:sz w:val="16"/>
              </w:rPr>
            </w:pPr>
            <w:r>
              <w:rPr>
                <w:sz w:val="16"/>
              </w:rPr>
              <w:t>Заявление за подпомагане</w:t>
            </w: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r>
      <w:tr w:rsidR="00012A46">
        <w:tc>
          <w:tcPr>
            <w:tcW w:w="1250" w:type="pct"/>
            <w:shd w:val="clear" w:color="auto" w:fill="FFFFFF"/>
            <w:tcMar>
              <w:top w:w="20" w:type="dxa"/>
              <w:left w:w="20" w:type="dxa"/>
              <w:bottom w:w="20" w:type="dxa"/>
            </w:tcMar>
            <w:vAlign w:val="center"/>
          </w:tcPr>
          <w:p w:rsidR="00012A46" w:rsidRDefault="00836FCA">
            <w:pPr>
              <w:spacing w:before="20" w:after="20"/>
              <w:jc w:val="left"/>
              <w:rPr>
                <w:sz w:val="16"/>
              </w:rPr>
            </w:pPr>
            <w:r>
              <w:rPr>
                <w:sz w:val="16"/>
              </w:rPr>
              <w:t>Искания за плащане</w:t>
            </w: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r>
      <w:tr w:rsidR="00012A46">
        <w:tc>
          <w:tcPr>
            <w:tcW w:w="1250" w:type="pct"/>
            <w:shd w:val="clear" w:color="auto" w:fill="FFFFFF"/>
            <w:tcMar>
              <w:top w:w="20" w:type="dxa"/>
              <w:left w:w="20" w:type="dxa"/>
              <w:bottom w:w="20" w:type="dxa"/>
            </w:tcMar>
            <w:vAlign w:val="center"/>
          </w:tcPr>
          <w:p w:rsidR="00012A46" w:rsidRDefault="00836FCA">
            <w:pPr>
              <w:spacing w:before="20" w:after="20"/>
              <w:jc w:val="left"/>
              <w:rPr>
                <w:sz w:val="16"/>
              </w:rPr>
            </w:pPr>
            <w:r>
              <w:rPr>
                <w:sz w:val="16"/>
              </w:rPr>
              <w:t>Контрол и съответствие</w:t>
            </w:r>
          </w:p>
        </w:tc>
        <w:tc>
          <w:tcPr>
            <w:tcW w:w="1250" w:type="pct"/>
            <w:shd w:val="clear" w:color="auto" w:fill="808080"/>
            <w:tcMar>
              <w:top w:w="20" w:type="dxa"/>
              <w:left w:w="20" w:type="dxa"/>
              <w:bottom w:w="20" w:type="dxa"/>
            </w:tcMar>
            <w:vAlign w:val="center"/>
          </w:tcPr>
          <w:p w:rsidR="00012A46" w:rsidRDefault="00012A46">
            <w:pPr>
              <w:spacing w:before="20" w:after="20"/>
              <w:jc w:val="left"/>
              <w:rPr>
                <w:sz w:val="16"/>
              </w:rPr>
            </w:pP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r>
      <w:tr w:rsidR="00012A46">
        <w:tc>
          <w:tcPr>
            <w:tcW w:w="1250" w:type="pct"/>
            <w:shd w:val="clear" w:color="auto" w:fill="FFFFFF"/>
            <w:tcMar>
              <w:top w:w="20" w:type="dxa"/>
              <w:left w:w="20" w:type="dxa"/>
              <w:bottom w:w="20" w:type="dxa"/>
            </w:tcMar>
            <w:vAlign w:val="center"/>
          </w:tcPr>
          <w:p w:rsidR="00012A46" w:rsidRDefault="00836FCA">
            <w:pPr>
              <w:spacing w:before="20" w:after="20"/>
              <w:jc w:val="left"/>
              <w:rPr>
                <w:sz w:val="16"/>
              </w:rPr>
            </w:pPr>
            <w:r>
              <w:rPr>
                <w:sz w:val="16"/>
              </w:rPr>
              <w:t xml:space="preserve"> Мониторинг и докладване на управителния орган/разплащателната агенция</w:t>
            </w:r>
          </w:p>
        </w:tc>
        <w:tc>
          <w:tcPr>
            <w:tcW w:w="1250" w:type="pct"/>
            <w:shd w:val="clear" w:color="auto" w:fill="808080"/>
            <w:tcMar>
              <w:top w:w="20" w:type="dxa"/>
              <w:left w:w="20" w:type="dxa"/>
              <w:bottom w:w="20" w:type="dxa"/>
            </w:tcMar>
            <w:vAlign w:val="center"/>
          </w:tcPr>
          <w:p w:rsidR="00012A46" w:rsidRDefault="00012A46">
            <w:pPr>
              <w:spacing w:before="20" w:after="20"/>
              <w:jc w:val="left"/>
              <w:rPr>
                <w:sz w:val="16"/>
              </w:rPr>
            </w:pPr>
          </w:p>
        </w:tc>
        <w:tc>
          <w:tcPr>
            <w:tcW w:w="1250" w:type="pct"/>
            <w:shd w:val="clear" w:color="auto" w:fill="FFFFFF"/>
            <w:tcMar>
              <w:top w:w="20" w:type="dxa"/>
              <w:left w:w="20" w:type="dxa"/>
              <w:bottom w:w="20" w:type="dxa"/>
            </w:tcMar>
            <w:vAlign w:val="center"/>
          </w:tcPr>
          <w:p w:rsidR="00012A46" w:rsidRDefault="00012A46">
            <w:pPr>
              <w:spacing w:before="20" w:after="20"/>
              <w:jc w:val="left"/>
              <w:rPr>
                <w:sz w:val="16"/>
              </w:rPr>
            </w:pPr>
          </w:p>
        </w:tc>
      </w:tr>
    </w:tbl>
    <w:p w:rsidR="00012A46" w:rsidRDefault="00836FCA">
      <w:r>
        <w:t>Среден срок за бенефициерите за получаване на плащания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2114"/>
        <w:gridCol w:w="6341"/>
      </w:tblGrid>
      <w:tr w:rsidR="00012A46">
        <w:tc>
          <w:tcPr>
            <w:tcW w:w="1000" w:type="pct"/>
            <w:shd w:val="clear" w:color="auto" w:fill="C0C0C0"/>
            <w:tcMar>
              <w:top w:w="20" w:type="dxa"/>
              <w:left w:w="20" w:type="dxa"/>
              <w:bottom w:w="20" w:type="dxa"/>
            </w:tcMar>
            <w:vAlign w:val="center"/>
          </w:tcPr>
          <w:p w:rsidR="00012A46" w:rsidRDefault="00836FCA">
            <w:pPr>
              <w:jc w:val="center"/>
              <w:rPr>
                <w:sz w:val="16"/>
              </w:rPr>
            </w:pPr>
            <w:r>
              <w:rPr>
                <w:sz w:val="17"/>
                <w:szCs w:val="17"/>
              </w:rPr>
              <w:t>[дни]</w:t>
            </w:r>
            <w:r>
              <w:rPr>
                <w:sz w:val="17"/>
                <w:szCs w:val="17"/>
              </w:rPr>
              <w:br/>
              <w:t>Когато е приложимо, крайният срок на държавата членка за плащания към бенефициерите</w:t>
            </w:r>
          </w:p>
        </w:tc>
        <w:tc>
          <w:tcPr>
            <w:tcW w:w="1000" w:type="pct"/>
            <w:shd w:val="clear" w:color="auto" w:fill="C0C0C0"/>
            <w:tcMar>
              <w:top w:w="20" w:type="dxa"/>
              <w:left w:w="20" w:type="dxa"/>
              <w:bottom w:w="20" w:type="dxa"/>
            </w:tcMar>
            <w:vAlign w:val="center"/>
          </w:tcPr>
          <w:p w:rsidR="00012A46" w:rsidRDefault="00836FCA">
            <w:pPr>
              <w:jc w:val="center"/>
              <w:rPr>
                <w:sz w:val="16"/>
              </w:rPr>
            </w:pPr>
            <w:r>
              <w:rPr>
                <w:sz w:val="17"/>
                <w:szCs w:val="17"/>
              </w:rPr>
              <w:t>[Дни]</w:t>
            </w:r>
            <w:r>
              <w:rPr>
                <w:sz w:val="17"/>
                <w:szCs w:val="17"/>
              </w:rPr>
              <w:br/>
              <w:t>Среден срок на плащанията към бенефициерите</w:t>
            </w:r>
          </w:p>
        </w:tc>
        <w:tc>
          <w:tcPr>
            <w:tcW w:w="3000" w:type="pct"/>
            <w:shd w:val="clear" w:color="auto" w:fill="C0C0C0"/>
            <w:tcMar>
              <w:top w:w="20" w:type="dxa"/>
              <w:left w:w="20" w:type="dxa"/>
              <w:bottom w:w="20" w:type="dxa"/>
            </w:tcMar>
            <w:vAlign w:val="center"/>
          </w:tcPr>
          <w:p w:rsidR="00012A46" w:rsidRDefault="00836FCA">
            <w:pPr>
              <w:jc w:val="center"/>
              <w:rPr>
                <w:sz w:val="16"/>
              </w:rPr>
            </w:pPr>
            <w:r>
              <w:rPr>
                <w:sz w:val="16"/>
              </w:rPr>
              <w:t>Коментари</w:t>
            </w:r>
          </w:p>
        </w:tc>
      </w:tr>
      <w:tr w:rsidR="00012A46">
        <w:tc>
          <w:tcPr>
            <w:tcW w:w="1000" w:type="pct"/>
            <w:shd w:val="clear" w:color="auto" w:fill="FFFFFF"/>
            <w:tcMar>
              <w:top w:w="20" w:type="dxa"/>
              <w:left w:w="20" w:type="dxa"/>
              <w:bottom w:w="20" w:type="dxa"/>
            </w:tcMar>
            <w:vAlign w:val="center"/>
          </w:tcPr>
          <w:p w:rsidR="00012A46" w:rsidRDefault="00012A46">
            <w:pPr>
              <w:spacing w:before="20" w:after="20"/>
              <w:jc w:val="left"/>
              <w:rPr>
                <w:sz w:val="16"/>
              </w:rPr>
            </w:pPr>
          </w:p>
        </w:tc>
        <w:tc>
          <w:tcPr>
            <w:tcW w:w="1000" w:type="pct"/>
            <w:shd w:val="clear" w:color="auto" w:fill="FFFFFF"/>
            <w:tcMar>
              <w:top w:w="20" w:type="dxa"/>
              <w:left w:w="20" w:type="dxa"/>
              <w:bottom w:w="20" w:type="dxa"/>
            </w:tcMar>
            <w:vAlign w:val="center"/>
          </w:tcPr>
          <w:p w:rsidR="00012A46" w:rsidRDefault="00012A46">
            <w:pPr>
              <w:spacing w:before="20" w:after="20"/>
              <w:jc w:val="left"/>
              <w:rPr>
                <w:sz w:val="16"/>
              </w:rPr>
            </w:pPr>
          </w:p>
        </w:tc>
        <w:tc>
          <w:tcPr>
            <w:tcW w:w="3000" w:type="pct"/>
            <w:shd w:val="clear" w:color="auto" w:fill="FFFFFF"/>
            <w:tcMar>
              <w:top w:w="20" w:type="dxa"/>
              <w:left w:w="20" w:type="dxa"/>
              <w:bottom w:w="20" w:type="dxa"/>
            </w:tcMar>
            <w:vAlign w:val="center"/>
          </w:tcPr>
          <w:p w:rsidR="00012A46" w:rsidRDefault="00012A46">
            <w:pPr>
              <w:spacing w:before="20" w:after="20"/>
              <w:jc w:val="left"/>
              <w:rPr>
                <w:sz w:val="16"/>
              </w:rPr>
            </w:pPr>
          </w:p>
        </w:tc>
      </w:tr>
    </w:tbl>
    <w:p w:rsidR="00012A46" w:rsidRDefault="00012A46">
      <w:pPr>
        <w:jc w:val="center"/>
        <w:rPr>
          <w:sz w:val="16"/>
        </w:rPr>
        <w:sectPr w:rsidR="00012A46">
          <w:pgSz w:w="12240" w:h="15840"/>
          <w:pgMar w:top="900" w:right="900" w:bottom="900" w:left="900" w:header="720" w:footer="720" w:gutter="0"/>
          <w:cols w:space="720"/>
        </w:sectPr>
      </w:pPr>
    </w:p>
    <w:p w:rsidR="00012A46" w:rsidRDefault="00836FCA">
      <w:pPr>
        <w:pStyle w:val="Heading1"/>
      </w:pPr>
      <w:bookmarkStart w:id="20" w:name="_Toc169016427"/>
      <w:r>
        <w:lastRenderedPageBreak/>
        <w:t>Стъпки, предприети за прилагане на техническата помощ и изискванията за публичност на програмите</w:t>
      </w:r>
      <w:bookmarkEnd w:id="20"/>
    </w:p>
    <w:p w:rsidR="00012A46" w:rsidRDefault="00836FCA">
      <w:pPr>
        <w:pStyle w:val="Heading2"/>
      </w:pPr>
      <w:bookmarkStart w:id="21" w:name="_Toc169016428"/>
      <w:r>
        <w:t>Предприети действия и актуално състояние по отношение на създаването на НМСР и изпълнението на нейния план за действие</w:t>
      </w:r>
      <w:bookmarkEnd w:id="21"/>
    </w:p>
    <w:p w:rsidR="00012A46" w:rsidRDefault="00836FCA">
      <w:pPr>
        <w:pStyle w:val="Heading3"/>
        <w:jc w:val="left"/>
      </w:pPr>
      <w:bookmarkStart w:id="22" w:name="_Toc169016429"/>
      <w:r>
        <w:t>Предприети действия и актуално състояние по отношение на създаването на НМСР (структура на управление и звено за подкрепа на мрежата)</w:t>
      </w:r>
      <w:bookmarkEnd w:id="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012A46">
        <w:tc>
          <w:tcPr>
            <w:tcW w:w="12000" w:type="dxa"/>
            <w:shd w:val="clear" w:color="auto" w:fill="auto"/>
            <w:tcMar>
              <w:top w:w="20" w:type="dxa"/>
              <w:left w:w="20" w:type="dxa"/>
              <w:bottom w:w="20" w:type="dxa"/>
            </w:tcMar>
            <w:vAlign w:val="center"/>
          </w:tcPr>
          <w:p w:rsidR="00012A46" w:rsidRDefault="00836FCA">
            <w:pPr>
              <w:spacing w:before="0" w:after="240"/>
              <w:jc w:val="left"/>
              <w:rPr>
                <w:szCs w:val="24"/>
              </w:rPr>
            </w:pPr>
            <w:r>
              <w:rPr>
                <w:szCs w:val="24"/>
              </w:rPr>
              <w:t>В изпълнение на точка 17.3 на ПРСР 2014-2020 г., функциите на Звеното за управление (ЗУ) на НСМ се възлагат от МЗХ на външен изпълнител, чрез обществена поръчка, при спазване на Закона за обществените поръчки.</w:t>
            </w:r>
          </w:p>
          <w:p w:rsidR="00012A46" w:rsidRDefault="00836FCA">
            <w:pPr>
              <w:spacing w:before="240" w:after="240"/>
              <w:jc w:val="left"/>
              <w:rPr>
                <w:szCs w:val="24"/>
              </w:rPr>
            </w:pPr>
            <w:r>
              <w:rPr>
                <w:szCs w:val="24"/>
              </w:rPr>
              <w:t>В резултат на проведена обществена поръчка, през април 2018 г., дейностите по администрирането и управлението на НСМ са възложени с договор на обединение „Селска мрежа БГ“ ДЗЗД. Проектът „Поддържане и укрепване на Звеното за управление на Национална селска мрежа на ПРСР 2014-2020 г.”  е за период от четири години и се финансира в рамките на Техническата помощ на ПРСР 2014-2020.</w:t>
            </w:r>
          </w:p>
          <w:p w:rsidR="00012A46" w:rsidRDefault="00836FCA">
            <w:pPr>
              <w:spacing w:before="240" w:after="240"/>
              <w:jc w:val="left"/>
              <w:rPr>
                <w:szCs w:val="24"/>
              </w:rPr>
            </w:pPr>
            <w:r>
              <w:rPr>
                <w:szCs w:val="24"/>
              </w:rPr>
              <w:t>Изпълнението на проекта приключи на 31.10.2022 г.</w:t>
            </w:r>
          </w:p>
          <w:p w:rsidR="00012A46" w:rsidRDefault="00836FCA" w:rsidP="00C94584">
            <w:pPr>
              <w:spacing w:before="240" w:after="240"/>
              <w:jc w:val="left"/>
            </w:pPr>
            <w:r>
              <w:rPr>
                <w:szCs w:val="24"/>
              </w:rPr>
              <w:t>След вътрешно-ведомствено проведени дискусии бе взето решение, функциите на Звено за управление на Националната ОСП мрежа да се изпълняват от отдел към дирекция РСР. До момента, този отдел е имал координиращи и контролиращи функции на Мрежата, както е и отговорен за управлението на дейностите по елемента „Техническа помощ“ от СПРЗСР, със средства от който се финансира функционирането на Звеното.</w:t>
            </w:r>
          </w:p>
        </w:tc>
      </w:tr>
    </w:tbl>
    <w:p w:rsidR="00012A46" w:rsidRDefault="00836FCA">
      <w:pPr>
        <w:pStyle w:val="Heading3"/>
        <w:jc w:val="left"/>
      </w:pPr>
      <w:bookmarkStart w:id="23" w:name="_Toc169016430"/>
      <w:r>
        <w:t>Предприетите действия и актуалното състояние по отношение на изпълнението на плана за действие</w:t>
      </w:r>
      <w:bookmarkEnd w:id="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012A46">
        <w:tc>
          <w:tcPr>
            <w:tcW w:w="12000" w:type="dxa"/>
            <w:shd w:val="clear" w:color="auto" w:fill="auto"/>
            <w:tcMar>
              <w:top w:w="20" w:type="dxa"/>
              <w:left w:w="20" w:type="dxa"/>
              <w:bottom w:w="20" w:type="dxa"/>
            </w:tcMar>
            <w:vAlign w:val="center"/>
          </w:tcPr>
          <w:p w:rsidR="00012A46" w:rsidRDefault="00836FCA">
            <w:pPr>
              <w:spacing w:before="0" w:after="240"/>
              <w:jc w:val="left"/>
              <w:rPr>
                <w:szCs w:val="24"/>
              </w:rPr>
            </w:pPr>
            <w:r>
              <w:rPr>
                <w:szCs w:val="24"/>
              </w:rPr>
              <w:t>През 2023 г. проведените събития са с насоченост популяризиране на подхода ВОМР и подготовка за управлението на Националната ОСП мрежа:</w:t>
            </w:r>
          </w:p>
          <w:p w:rsidR="00012A46" w:rsidRDefault="00836FCA">
            <w:pPr>
              <w:numPr>
                <w:ilvl w:val="0"/>
                <w:numId w:val="35"/>
              </w:numPr>
              <w:spacing w:before="240" w:after="0"/>
              <w:ind w:hanging="210"/>
              <w:jc w:val="left"/>
              <w:rPr>
                <w:szCs w:val="24"/>
              </w:rPr>
            </w:pPr>
            <w:r>
              <w:rPr>
                <w:szCs w:val="24"/>
              </w:rPr>
              <w:t>23-24 март 2023: Изложение на продукти от териториите на местните инициативни групи, прилагащи подхода Водено от общностите местно развитие през програмния период 2014 – 2020 г.-  гр. Монтана.</w:t>
            </w:r>
          </w:p>
          <w:p w:rsidR="00012A46" w:rsidRDefault="00836FCA">
            <w:pPr>
              <w:numPr>
                <w:ilvl w:val="0"/>
                <w:numId w:val="35"/>
              </w:numPr>
              <w:spacing w:before="0" w:after="0"/>
              <w:ind w:hanging="210"/>
              <w:jc w:val="left"/>
              <w:rPr>
                <w:szCs w:val="24"/>
              </w:rPr>
            </w:pPr>
            <w:r>
              <w:rPr>
                <w:szCs w:val="24"/>
              </w:rPr>
              <w:t>27-29 март 2023 г.: Изложение на продукти от териториите на местните инициативни групи, прилагащи подхода Водено от общностите местно развитие през програмния период 2014 – 2020 г. и обучение за изпълнение на дейности по подмярка 19.1 „Помощ за подготвителни дейности“- гр. Добрич.</w:t>
            </w:r>
          </w:p>
          <w:p w:rsidR="00012A46" w:rsidRDefault="00836FCA">
            <w:pPr>
              <w:numPr>
                <w:ilvl w:val="0"/>
                <w:numId w:val="35"/>
              </w:numPr>
              <w:spacing w:before="0" w:after="0"/>
              <w:ind w:hanging="210"/>
              <w:jc w:val="left"/>
              <w:rPr>
                <w:szCs w:val="24"/>
              </w:rPr>
            </w:pPr>
            <w:r>
              <w:rPr>
                <w:szCs w:val="24"/>
              </w:rPr>
              <w:t>Министерство на земеделието и храните, на 11.10.2023 г. сключи договор с външен изпълнител за изработка и внедряване на уебсайт за целите на прилагането на СПРЗСП, който ще бъде работещ в началото на 2024 г. Националната ОСП мрежа е налична на този сайт под формата на платформа, която към момента прави мост със сайта на Националната селска мрежа от периода 2014-2020 г. и ще бъде надграждана и поддържана от новото Звено на ОСП мрежата в бъдеще.</w:t>
            </w:r>
          </w:p>
          <w:p w:rsidR="00012A46" w:rsidRDefault="00836FCA">
            <w:pPr>
              <w:numPr>
                <w:ilvl w:val="0"/>
                <w:numId w:val="35"/>
              </w:numPr>
              <w:spacing w:before="0" w:after="0"/>
              <w:ind w:hanging="210"/>
              <w:jc w:val="left"/>
              <w:rPr>
                <w:szCs w:val="24"/>
              </w:rPr>
            </w:pPr>
            <w:r>
              <w:rPr>
                <w:szCs w:val="24"/>
              </w:rPr>
              <w:t>стартирана е процедура за автоматично прехвърляне на членството от НСМ към Националната ОСП мрежа.</w:t>
            </w:r>
          </w:p>
          <w:p w:rsidR="00012A46" w:rsidRDefault="00836FCA" w:rsidP="00C94584">
            <w:pPr>
              <w:numPr>
                <w:ilvl w:val="0"/>
                <w:numId w:val="35"/>
              </w:numPr>
              <w:spacing w:before="0" w:after="240"/>
              <w:ind w:hanging="210"/>
              <w:jc w:val="left"/>
            </w:pPr>
            <w:proofErr w:type="gramStart"/>
            <w:r>
              <w:rPr>
                <w:szCs w:val="24"/>
              </w:rPr>
              <w:t>надграждане</w:t>
            </w:r>
            <w:proofErr w:type="gramEnd"/>
            <w:r>
              <w:rPr>
                <w:szCs w:val="24"/>
              </w:rPr>
              <w:t xml:space="preserve"> на установеното ефективно взаимодействие между членовете и партньорите на </w:t>
            </w:r>
            <w:r>
              <w:rPr>
                <w:szCs w:val="24"/>
              </w:rPr>
              <w:lastRenderedPageBreak/>
              <w:t>Мрежата, за което е създаден регистър при ЗУ на привлечени експерти и активни организации.</w:t>
            </w:r>
          </w:p>
        </w:tc>
      </w:tr>
    </w:tbl>
    <w:p w:rsidR="00012A46" w:rsidRDefault="00836FCA">
      <w:pPr>
        <w:pStyle w:val="Heading2"/>
      </w:pPr>
      <w:bookmarkStart w:id="24" w:name="_Toc169016431"/>
      <w:r>
        <w:lastRenderedPageBreak/>
        <w:t>Стъпки, предприети за осигуряване на публичност на програмата (член 13 от Регламент за изпълнение (ЕС) № 808/2014 на Комисията)</w:t>
      </w:r>
      <w:bookmarkEnd w:id="2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012A46">
        <w:tc>
          <w:tcPr>
            <w:tcW w:w="12000" w:type="dxa"/>
            <w:shd w:val="clear" w:color="auto" w:fill="auto"/>
            <w:tcMar>
              <w:top w:w="20" w:type="dxa"/>
              <w:left w:w="20" w:type="dxa"/>
              <w:bottom w:w="20" w:type="dxa"/>
            </w:tcMar>
            <w:vAlign w:val="center"/>
          </w:tcPr>
          <w:p w:rsidR="00012A46" w:rsidRDefault="00836FCA">
            <w:pPr>
              <w:spacing w:before="0" w:after="240"/>
              <w:jc w:val="left"/>
              <w:rPr>
                <w:szCs w:val="24"/>
              </w:rPr>
            </w:pPr>
            <w:r>
              <w:rPr>
                <w:b/>
                <w:bCs/>
                <w:szCs w:val="24"/>
              </w:rPr>
              <w:t>I.</w:t>
            </w:r>
            <w:r>
              <w:rPr>
                <w:szCs w:val="24"/>
              </w:rPr>
              <w:t xml:space="preserve"> През 2023 г. е проведена медийна информационна кампания за популяризиране на приноса на Съюза за развитие на земеделието и селските райони чрез представяне на успешни проекти, реализирани по ПРСР. Кампанията е реализирана чрез закупуване на програмно време за излъчване на информационни материали (репортажи и клипове) по Програма за развитие на селските райони (2014-2020 г.) в следните телевизии, радиа, печатни медии и интернет:</w:t>
            </w:r>
          </w:p>
          <w:p w:rsidR="00012A46" w:rsidRDefault="00836FCA">
            <w:pPr>
              <w:numPr>
                <w:ilvl w:val="0"/>
                <w:numId w:val="36"/>
              </w:numPr>
              <w:spacing w:before="240" w:after="0"/>
              <w:ind w:hanging="210"/>
              <w:jc w:val="left"/>
              <w:rPr>
                <w:szCs w:val="24"/>
              </w:rPr>
            </w:pPr>
            <w:r>
              <w:rPr>
                <w:szCs w:val="24"/>
              </w:rPr>
              <w:t>БНТ</w:t>
            </w:r>
          </w:p>
          <w:p w:rsidR="00012A46" w:rsidRDefault="00836FCA">
            <w:pPr>
              <w:numPr>
                <w:ilvl w:val="0"/>
                <w:numId w:val="36"/>
              </w:numPr>
              <w:spacing w:before="0" w:after="0"/>
              <w:ind w:hanging="210"/>
              <w:jc w:val="left"/>
              <w:rPr>
                <w:szCs w:val="24"/>
              </w:rPr>
            </w:pPr>
            <w:r>
              <w:rPr>
                <w:szCs w:val="24"/>
              </w:rPr>
              <w:t>БНР</w:t>
            </w:r>
          </w:p>
          <w:p w:rsidR="00012A46" w:rsidRDefault="00836FCA">
            <w:pPr>
              <w:numPr>
                <w:ilvl w:val="0"/>
                <w:numId w:val="36"/>
              </w:numPr>
              <w:spacing w:before="0" w:after="0"/>
              <w:ind w:hanging="210"/>
              <w:jc w:val="left"/>
              <w:rPr>
                <w:szCs w:val="24"/>
              </w:rPr>
            </w:pPr>
            <w:r>
              <w:rPr>
                <w:szCs w:val="24"/>
              </w:rPr>
              <w:t>Телевизия Европа</w:t>
            </w:r>
          </w:p>
          <w:p w:rsidR="00012A46" w:rsidRDefault="00836FCA">
            <w:pPr>
              <w:numPr>
                <w:ilvl w:val="0"/>
                <w:numId w:val="36"/>
              </w:numPr>
              <w:spacing w:before="0" w:after="0"/>
              <w:ind w:hanging="210"/>
              <w:jc w:val="left"/>
              <w:rPr>
                <w:szCs w:val="24"/>
              </w:rPr>
            </w:pPr>
            <w:r>
              <w:rPr>
                <w:szCs w:val="24"/>
              </w:rPr>
              <w:t>Нова Телевизия</w:t>
            </w:r>
          </w:p>
          <w:p w:rsidR="00012A46" w:rsidRDefault="00836FCA">
            <w:pPr>
              <w:numPr>
                <w:ilvl w:val="0"/>
                <w:numId w:val="36"/>
              </w:numPr>
              <w:spacing w:before="0" w:after="0"/>
              <w:ind w:hanging="210"/>
              <w:jc w:val="left"/>
              <w:rPr>
                <w:szCs w:val="24"/>
              </w:rPr>
            </w:pPr>
            <w:r>
              <w:rPr>
                <w:szCs w:val="24"/>
              </w:rPr>
              <w:t>БТВ</w:t>
            </w:r>
          </w:p>
          <w:p w:rsidR="00012A46" w:rsidRDefault="00836FCA">
            <w:pPr>
              <w:numPr>
                <w:ilvl w:val="0"/>
                <w:numId w:val="36"/>
              </w:numPr>
              <w:spacing w:before="0" w:after="0"/>
              <w:ind w:hanging="210"/>
              <w:jc w:val="left"/>
              <w:rPr>
                <w:szCs w:val="24"/>
              </w:rPr>
            </w:pPr>
            <w:r>
              <w:rPr>
                <w:szCs w:val="24"/>
              </w:rPr>
              <w:t>Радио и Телевизия „Сити“, „БГ Радио“, „Радио 1“, „Радио Енерджи“ и „Радио Вероника“</w:t>
            </w:r>
          </w:p>
          <w:p w:rsidR="00012A46" w:rsidRDefault="00836FCA">
            <w:pPr>
              <w:numPr>
                <w:ilvl w:val="0"/>
                <w:numId w:val="36"/>
              </w:numPr>
              <w:spacing w:before="0" w:after="0"/>
              <w:ind w:hanging="210"/>
              <w:jc w:val="left"/>
              <w:rPr>
                <w:szCs w:val="24"/>
              </w:rPr>
            </w:pPr>
            <w:r>
              <w:rPr>
                <w:szCs w:val="24"/>
              </w:rPr>
              <w:t>Радио Фокус</w:t>
            </w:r>
          </w:p>
          <w:p w:rsidR="00012A46" w:rsidRDefault="00836FCA">
            <w:pPr>
              <w:numPr>
                <w:ilvl w:val="0"/>
                <w:numId w:val="36"/>
              </w:numPr>
              <w:spacing w:before="0" w:after="0"/>
              <w:ind w:hanging="210"/>
              <w:jc w:val="left"/>
              <w:rPr>
                <w:szCs w:val="24"/>
              </w:rPr>
            </w:pPr>
            <w:r>
              <w:rPr>
                <w:szCs w:val="24"/>
              </w:rPr>
              <w:t>Агро ТиВи</w:t>
            </w:r>
          </w:p>
          <w:p w:rsidR="00012A46" w:rsidRDefault="00836FCA">
            <w:pPr>
              <w:numPr>
                <w:ilvl w:val="0"/>
                <w:numId w:val="36"/>
              </w:numPr>
              <w:spacing w:before="0" w:after="0"/>
              <w:ind w:hanging="210"/>
              <w:jc w:val="left"/>
              <w:rPr>
                <w:szCs w:val="24"/>
              </w:rPr>
            </w:pPr>
            <w:r>
              <w:rPr>
                <w:szCs w:val="24"/>
              </w:rPr>
              <w:t>Дарик Радио</w:t>
            </w:r>
          </w:p>
          <w:p w:rsidR="00012A46" w:rsidRDefault="00836FCA">
            <w:pPr>
              <w:numPr>
                <w:ilvl w:val="0"/>
                <w:numId w:val="36"/>
              </w:numPr>
              <w:spacing w:before="0" w:after="0"/>
              <w:ind w:hanging="210"/>
              <w:jc w:val="left"/>
              <w:rPr>
                <w:szCs w:val="24"/>
              </w:rPr>
            </w:pPr>
            <w:r>
              <w:rPr>
                <w:szCs w:val="24"/>
              </w:rPr>
              <w:t>Актуално.ком</w:t>
            </w:r>
          </w:p>
          <w:p w:rsidR="00012A46" w:rsidRDefault="00836FCA">
            <w:pPr>
              <w:numPr>
                <w:ilvl w:val="0"/>
                <w:numId w:val="36"/>
              </w:numPr>
              <w:spacing w:before="0" w:after="0"/>
              <w:ind w:hanging="210"/>
              <w:jc w:val="left"/>
              <w:rPr>
                <w:szCs w:val="24"/>
              </w:rPr>
            </w:pPr>
            <w:r>
              <w:rPr>
                <w:szCs w:val="24"/>
              </w:rPr>
              <w:t>Новини.бг</w:t>
            </w:r>
          </w:p>
          <w:p w:rsidR="00012A46" w:rsidRDefault="00836FCA">
            <w:pPr>
              <w:numPr>
                <w:ilvl w:val="0"/>
                <w:numId w:val="36"/>
              </w:numPr>
              <w:spacing w:before="0" w:after="0"/>
              <w:ind w:hanging="210"/>
              <w:jc w:val="left"/>
              <w:rPr>
                <w:szCs w:val="24"/>
              </w:rPr>
            </w:pPr>
            <w:r>
              <w:rPr>
                <w:szCs w:val="24"/>
              </w:rPr>
              <w:t>В-к „Земя“</w:t>
            </w:r>
          </w:p>
          <w:p w:rsidR="00012A46" w:rsidRDefault="00836FCA">
            <w:pPr>
              <w:numPr>
                <w:ilvl w:val="0"/>
                <w:numId w:val="36"/>
              </w:numPr>
              <w:spacing w:before="0" w:after="240"/>
              <w:ind w:hanging="210"/>
              <w:jc w:val="left"/>
              <w:rPr>
                <w:szCs w:val="24"/>
              </w:rPr>
            </w:pPr>
            <w:r>
              <w:rPr>
                <w:szCs w:val="24"/>
              </w:rPr>
              <w:t>БГ нес.бг</w:t>
            </w:r>
          </w:p>
          <w:p w:rsidR="00012A46" w:rsidRDefault="00836FCA">
            <w:pPr>
              <w:spacing w:before="240" w:after="240"/>
              <w:ind w:left="720"/>
              <w:jc w:val="left"/>
              <w:rPr>
                <w:szCs w:val="24"/>
              </w:rPr>
            </w:pPr>
            <w:r>
              <w:rPr>
                <w:szCs w:val="24"/>
              </w:rPr>
              <w:t> </w:t>
            </w:r>
          </w:p>
          <w:p w:rsidR="00012A46" w:rsidRDefault="00836FCA">
            <w:pPr>
              <w:spacing w:before="240" w:after="240"/>
              <w:jc w:val="left"/>
              <w:rPr>
                <w:szCs w:val="24"/>
              </w:rPr>
            </w:pPr>
            <w:r>
              <w:rPr>
                <w:b/>
                <w:bCs/>
                <w:szCs w:val="24"/>
                <w:u w:val="single"/>
              </w:rPr>
              <w:t>Изпълнение:</w:t>
            </w:r>
            <w:r>
              <w:rPr>
                <w:szCs w:val="24"/>
              </w:rPr>
              <w:t xml:space="preserve"> 1. Излъчване на 5 мин. рубрики/репортажи за изпълнени проекти по ПРСР 2014-2020 г. с цел популяризиране приноса и значението на Програмата за съхранението и развитието на селските райони.</w:t>
            </w:r>
          </w:p>
          <w:p w:rsidR="00012A46" w:rsidRDefault="00836FCA">
            <w:pPr>
              <w:spacing w:before="240" w:after="240"/>
              <w:jc w:val="left"/>
              <w:rPr>
                <w:szCs w:val="24"/>
              </w:rPr>
            </w:pPr>
            <w:r>
              <w:rPr>
                <w:szCs w:val="24"/>
              </w:rPr>
              <w:t> 2. Излъчване на 4 мин. рубрики  с добри практики финансирани по подхода ВОМР от ПРСР (2014-2020 г.). Целта е да се популяризира приносът и значението на подхода ВОМР сред широката общественост за развитието и запазването на селските райони, местните общности.</w:t>
            </w:r>
          </w:p>
          <w:p w:rsidR="00012A46" w:rsidRDefault="00836FCA">
            <w:pPr>
              <w:spacing w:before="240" w:after="240"/>
              <w:jc w:val="left"/>
              <w:rPr>
                <w:szCs w:val="24"/>
              </w:rPr>
            </w:pPr>
            <w:r>
              <w:rPr>
                <w:szCs w:val="24"/>
              </w:rPr>
              <w:t>3. Поместване на информационни материали (PR публикации) с добри практики по ПРСР 2014-2020 г. във вестници и интернет сайтове.</w:t>
            </w:r>
          </w:p>
          <w:p w:rsidR="00012A46" w:rsidRDefault="00836FCA">
            <w:pPr>
              <w:spacing w:before="240" w:after="240"/>
              <w:jc w:val="left"/>
              <w:rPr>
                <w:szCs w:val="24"/>
              </w:rPr>
            </w:pPr>
            <w:r>
              <w:rPr>
                <w:b/>
                <w:bCs/>
                <w:szCs w:val="24"/>
              </w:rPr>
              <w:t>II.</w:t>
            </w:r>
            <w:r>
              <w:rPr>
                <w:szCs w:val="24"/>
              </w:rPr>
              <w:t xml:space="preserve"> Проучване на комуникационните техники използвани за информиране на широката общественост относно мерките на ПРСР (2014-2020) и разработване на визия за програмен период 2023-2027 г.</w:t>
            </w:r>
          </w:p>
          <w:p w:rsidR="00012A46" w:rsidRDefault="00836FCA">
            <w:pPr>
              <w:spacing w:before="240" w:after="240"/>
              <w:jc w:val="left"/>
              <w:rPr>
                <w:szCs w:val="24"/>
              </w:rPr>
            </w:pPr>
            <w:r>
              <w:rPr>
                <w:b/>
                <w:bCs/>
                <w:szCs w:val="24"/>
                <w:u w:val="single"/>
              </w:rPr>
              <w:t>Изпълнение</w:t>
            </w:r>
            <w:r>
              <w:rPr>
                <w:szCs w:val="24"/>
                <w:u w:val="single"/>
              </w:rPr>
              <w:t xml:space="preserve">: </w:t>
            </w:r>
            <w:r>
              <w:rPr>
                <w:szCs w:val="24"/>
              </w:rPr>
              <w:t>към 31.12.2023 г. договорът е изпълнен.</w:t>
            </w:r>
          </w:p>
          <w:p w:rsidR="00012A46" w:rsidRDefault="00012A46">
            <w:pPr>
              <w:pStyle w:val="BodyText"/>
            </w:pPr>
          </w:p>
        </w:tc>
      </w:tr>
    </w:tbl>
    <w:p w:rsidR="00012A46" w:rsidRDefault="00012A46">
      <w:pPr>
        <w:sectPr w:rsidR="00012A46">
          <w:pgSz w:w="12240" w:h="15840"/>
          <w:pgMar w:top="900" w:right="900" w:bottom="900" w:left="900" w:header="720" w:footer="720" w:gutter="0"/>
          <w:cols w:space="720"/>
        </w:sectPr>
      </w:pPr>
    </w:p>
    <w:p w:rsidR="00012A46" w:rsidRDefault="00836FCA">
      <w:pPr>
        <w:pStyle w:val="Heading1"/>
      </w:pPr>
      <w:bookmarkStart w:id="25" w:name="_Toc169016432"/>
      <w:r>
        <w:lastRenderedPageBreak/>
        <w:t>Действия, предприети за изпълнение на предварителните условия</w:t>
      </w:r>
      <w:bookmarkEnd w:id="25"/>
    </w:p>
    <w:p w:rsidR="00012A46" w:rsidRDefault="00836FCA">
      <w:r>
        <w:t>Този раздел се отнася само за годишния/ите доклад/и за изпълнението 2015, 2016</w:t>
      </w:r>
    </w:p>
    <w:p w:rsidR="00012A46" w:rsidRDefault="00012A46">
      <w:pPr>
        <w:sectPr w:rsidR="00012A46">
          <w:pgSz w:w="12240" w:h="15840"/>
          <w:pgMar w:top="900" w:right="900" w:bottom="900" w:left="900" w:header="720" w:footer="720" w:gutter="0"/>
          <w:cols w:space="720"/>
        </w:sectPr>
      </w:pPr>
    </w:p>
    <w:p w:rsidR="00012A46" w:rsidRDefault="00836FCA">
      <w:pPr>
        <w:pStyle w:val="Heading1"/>
      </w:pPr>
      <w:bookmarkStart w:id="26" w:name="_Toc169016433"/>
      <w:r>
        <w:lastRenderedPageBreak/>
        <w:t>Описание на изпълнението на подпрограмите</w:t>
      </w:r>
      <w:bookmarkEnd w:id="26"/>
    </w:p>
    <w:p w:rsidR="00012A46" w:rsidRDefault="00836FCA">
      <w:r>
        <w:t>Този раздел се отнася само за годишния/ите доклад/и за изпълнението 2016, 2018</w:t>
      </w:r>
    </w:p>
    <w:p w:rsidR="00012A46" w:rsidRDefault="00012A46">
      <w:pPr>
        <w:sectPr w:rsidR="00012A46">
          <w:pgSz w:w="12240" w:h="15840"/>
          <w:pgMar w:top="900" w:right="900" w:bottom="900" w:left="900" w:header="720" w:footer="720" w:gutter="0"/>
          <w:cols w:space="720"/>
        </w:sectPr>
      </w:pPr>
    </w:p>
    <w:p w:rsidR="00012A46" w:rsidRDefault="00836FCA">
      <w:pPr>
        <w:pStyle w:val="Heading1"/>
      </w:pPr>
      <w:bookmarkStart w:id="27" w:name="_Toc169016434"/>
      <w:r>
        <w:lastRenderedPageBreak/>
        <w:t>Оценка на информацията и напредъка в постигането на целите на програмата</w:t>
      </w:r>
      <w:bookmarkEnd w:id="27"/>
    </w:p>
    <w:p w:rsidR="00012A46" w:rsidRDefault="00836FCA">
      <w:r>
        <w:t>Този раздел се отнася само за годишния/ите доклад/и за изпълнението 2016, 2018</w:t>
      </w:r>
    </w:p>
    <w:p w:rsidR="00012A46" w:rsidRDefault="00012A46">
      <w:pPr>
        <w:sectPr w:rsidR="00012A46">
          <w:pgSz w:w="12240" w:h="15840"/>
          <w:pgMar w:top="900" w:right="900" w:bottom="900" w:left="900" w:header="720" w:footer="720" w:gutter="0"/>
          <w:cols w:space="720"/>
        </w:sectPr>
      </w:pPr>
    </w:p>
    <w:p w:rsidR="00012A46" w:rsidRDefault="00836FCA">
      <w:pPr>
        <w:pStyle w:val="Heading1"/>
      </w:pPr>
      <w:r>
        <w:lastRenderedPageBreak/>
        <w:t xml:space="preserve"> </w:t>
      </w:r>
      <w:bookmarkStart w:id="28" w:name="_Toc169016435"/>
      <w:r>
        <w:t>Изпълнение на дейности с цел отчитане на принципите, определени в членове 5, 7 и 8 от Регламент (ЕС) № 1303/2013</w:t>
      </w:r>
      <w:bookmarkEnd w:id="28"/>
    </w:p>
    <w:p w:rsidR="00012A46" w:rsidRDefault="00836FCA">
      <w:r>
        <w:t>Този раздел се отнася само за годишния/ите доклад/и за изпълнението 2016, 2018</w:t>
      </w:r>
    </w:p>
    <w:p w:rsidR="00012A46" w:rsidRDefault="00012A46">
      <w:pPr>
        <w:sectPr w:rsidR="00012A46">
          <w:pgSz w:w="12240" w:h="15840"/>
          <w:pgMar w:top="900" w:right="900" w:bottom="900" w:left="900" w:header="720" w:footer="720" w:gutter="0"/>
          <w:cols w:space="720"/>
        </w:sectPr>
      </w:pPr>
    </w:p>
    <w:p w:rsidR="00012A46" w:rsidRDefault="00836FCA">
      <w:pPr>
        <w:pStyle w:val="Heading1"/>
      </w:pPr>
      <w:r>
        <w:lastRenderedPageBreak/>
        <w:br w:type="page"/>
      </w:r>
      <w:bookmarkStart w:id="29" w:name="_Toc169016436"/>
      <w:r>
        <w:lastRenderedPageBreak/>
        <w:t>Напредък в осигуряването на интегриран подход при използването на ЕЗФРСР и на други финансови инструменти на ЕС</w:t>
      </w:r>
      <w:bookmarkEnd w:id="29"/>
    </w:p>
    <w:p w:rsidR="00012A46" w:rsidRDefault="00836FCA">
      <w:r>
        <w:t>Този раздел се отнася само за годишния/ите доклад/и за изпълнението 2018</w:t>
      </w:r>
    </w:p>
    <w:p w:rsidR="00012A46" w:rsidRDefault="00012A46">
      <w:pPr>
        <w:sectPr w:rsidR="00012A46">
          <w:pgSz w:w="12240" w:h="15840"/>
          <w:pgMar w:top="900" w:right="900" w:bottom="900" w:left="900" w:header="720" w:footer="720" w:gutter="0"/>
          <w:cols w:space="720"/>
        </w:sectPr>
      </w:pPr>
    </w:p>
    <w:p w:rsidR="00012A46" w:rsidRDefault="00836FCA">
      <w:pPr>
        <w:pStyle w:val="Heading1"/>
      </w:pPr>
      <w:bookmarkStart w:id="30" w:name="_Toc169016437"/>
      <w:r>
        <w:lastRenderedPageBreak/>
        <w:t>Доклад за изпълнението на финансовите инструменти (член 46 от Регламент (ЕС) № 1303/2013)</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3593"/>
      </w:tblGrid>
      <w:tr w:rsidR="00012A46">
        <w:tc>
          <w:tcPr>
            <w:tcW w:w="3300" w:type="pct"/>
            <w:shd w:val="clear" w:color="auto" w:fill="auto"/>
            <w:tcMar>
              <w:top w:w="20" w:type="dxa"/>
              <w:left w:w="20" w:type="dxa"/>
              <w:bottom w:w="20" w:type="dxa"/>
            </w:tcMar>
            <w:vAlign w:val="center"/>
          </w:tcPr>
          <w:p w:rsidR="00012A46" w:rsidRDefault="00836FCA">
            <w:pPr>
              <w:spacing w:before="20" w:after="20"/>
              <w:jc w:val="left"/>
            </w:pPr>
            <w:r>
              <w:t>30A. Започнала ли е предварителната оценка?</w:t>
            </w:r>
          </w:p>
        </w:tc>
        <w:tc>
          <w:tcPr>
            <w:tcW w:w="0" w:type="auto"/>
            <w:shd w:val="clear" w:color="auto" w:fill="auto"/>
            <w:tcMar>
              <w:top w:w="20" w:type="dxa"/>
              <w:left w:w="20" w:type="dxa"/>
              <w:bottom w:w="20" w:type="dxa"/>
            </w:tcMar>
            <w:vAlign w:val="center"/>
          </w:tcPr>
          <w:p w:rsidR="00012A46" w:rsidRDefault="00836FCA">
            <w:pPr>
              <w:spacing w:before="20" w:after="20"/>
              <w:jc w:val="left"/>
            </w:pPr>
            <w:r>
              <w:t>Да</w:t>
            </w:r>
          </w:p>
        </w:tc>
      </w:tr>
      <w:tr w:rsidR="00012A46">
        <w:tc>
          <w:tcPr>
            <w:tcW w:w="3300" w:type="pct"/>
            <w:shd w:val="clear" w:color="auto" w:fill="auto"/>
            <w:tcMar>
              <w:top w:w="20" w:type="dxa"/>
              <w:left w:w="20" w:type="dxa"/>
              <w:bottom w:w="20" w:type="dxa"/>
            </w:tcMar>
            <w:vAlign w:val="center"/>
          </w:tcPr>
          <w:p w:rsidR="00012A46" w:rsidRDefault="00836FCA">
            <w:pPr>
              <w:spacing w:before="20" w:after="20"/>
              <w:jc w:val="left"/>
            </w:pPr>
            <w:r>
              <w:t>30Б. Завършена ли е предварителната оценка?</w:t>
            </w:r>
          </w:p>
        </w:tc>
        <w:tc>
          <w:tcPr>
            <w:tcW w:w="0" w:type="auto"/>
            <w:shd w:val="clear" w:color="auto" w:fill="auto"/>
            <w:tcMar>
              <w:top w:w="20" w:type="dxa"/>
              <w:left w:w="20" w:type="dxa"/>
              <w:bottom w:w="20" w:type="dxa"/>
            </w:tcMar>
            <w:vAlign w:val="center"/>
          </w:tcPr>
          <w:p w:rsidR="00012A46" w:rsidRDefault="00836FCA">
            <w:pPr>
              <w:spacing w:before="20" w:after="20"/>
              <w:jc w:val="left"/>
            </w:pPr>
            <w:r>
              <w:t>Да</w:t>
            </w:r>
          </w:p>
        </w:tc>
      </w:tr>
      <w:tr w:rsidR="00012A46">
        <w:tc>
          <w:tcPr>
            <w:tcW w:w="3300" w:type="pct"/>
            <w:shd w:val="clear" w:color="auto" w:fill="auto"/>
            <w:tcMar>
              <w:top w:w="20" w:type="dxa"/>
              <w:left w:w="20" w:type="dxa"/>
              <w:bottom w:w="20" w:type="dxa"/>
            </w:tcMar>
            <w:vAlign w:val="center"/>
          </w:tcPr>
          <w:p w:rsidR="00012A46" w:rsidRDefault="00836FCA">
            <w:pPr>
              <w:spacing w:before="20" w:after="20"/>
              <w:jc w:val="left"/>
            </w:pPr>
            <w:r>
              <w:t>30. Дата на завършване на предварителната оценка</w:t>
            </w:r>
          </w:p>
        </w:tc>
        <w:tc>
          <w:tcPr>
            <w:tcW w:w="0" w:type="auto"/>
            <w:shd w:val="clear" w:color="auto" w:fill="auto"/>
            <w:tcMar>
              <w:top w:w="20" w:type="dxa"/>
              <w:left w:w="20" w:type="dxa"/>
              <w:bottom w:w="20" w:type="dxa"/>
            </w:tcMar>
            <w:vAlign w:val="center"/>
          </w:tcPr>
          <w:p w:rsidR="00012A46" w:rsidRDefault="00836FCA">
            <w:pPr>
              <w:spacing w:before="20" w:after="20"/>
              <w:jc w:val="left"/>
            </w:pPr>
            <w:r>
              <w:t>31-05-2018</w:t>
            </w:r>
          </w:p>
        </w:tc>
      </w:tr>
      <w:tr w:rsidR="00012A46">
        <w:tc>
          <w:tcPr>
            <w:tcW w:w="3300" w:type="pct"/>
            <w:shd w:val="clear" w:color="auto" w:fill="auto"/>
            <w:tcMar>
              <w:top w:w="20" w:type="dxa"/>
              <w:left w:w="20" w:type="dxa"/>
              <w:bottom w:w="20" w:type="dxa"/>
            </w:tcMar>
            <w:vAlign w:val="center"/>
          </w:tcPr>
          <w:p w:rsidR="00012A46" w:rsidRDefault="00836FCA">
            <w:pPr>
              <w:spacing w:before="20" w:after="20"/>
              <w:jc w:val="left"/>
            </w:pPr>
            <w:r>
              <w:t>31.1. Вече започнал ли е процес на избор или определяне?</w:t>
            </w:r>
          </w:p>
        </w:tc>
        <w:tc>
          <w:tcPr>
            <w:tcW w:w="0" w:type="auto"/>
            <w:shd w:val="clear" w:color="auto" w:fill="auto"/>
            <w:tcMar>
              <w:top w:w="20" w:type="dxa"/>
              <w:left w:w="20" w:type="dxa"/>
              <w:bottom w:w="20" w:type="dxa"/>
            </w:tcMar>
            <w:vAlign w:val="center"/>
          </w:tcPr>
          <w:p w:rsidR="00012A46" w:rsidRDefault="00836FCA">
            <w:pPr>
              <w:spacing w:before="20" w:after="20"/>
              <w:jc w:val="left"/>
            </w:pPr>
            <w:r>
              <w:t>Да</w:t>
            </w:r>
          </w:p>
        </w:tc>
      </w:tr>
      <w:tr w:rsidR="00012A46">
        <w:tc>
          <w:tcPr>
            <w:tcW w:w="3300" w:type="pct"/>
            <w:shd w:val="clear" w:color="auto" w:fill="auto"/>
            <w:tcMar>
              <w:top w:w="20" w:type="dxa"/>
              <w:left w:w="20" w:type="dxa"/>
              <w:bottom w:w="20" w:type="dxa"/>
            </w:tcMar>
            <w:vAlign w:val="center"/>
          </w:tcPr>
          <w:p w:rsidR="00012A46" w:rsidRDefault="00836FCA">
            <w:pPr>
              <w:spacing w:before="20" w:after="20"/>
              <w:jc w:val="left"/>
            </w:pPr>
            <w:r>
              <w:t>13A. Споразумението за финансиране подписано ли е?</w:t>
            </w:r>
          </w:p>
        </w:tc>
        <w:tc>
          <w:tcPr>
            <w:tcW w:w="0" w:type="auto"/>
            <w:shd w:val="clear" w:color="auto" w:fill="auto"/>
            <w:tcMar>
              <w:top w:w="20" w:type="dxa"/>
              <w:left w:w="20" w:type="dxa"/>
              <w:bottom w:w="20" w:type="dxa"/>
            </w:tcMar>
            <w:vAlign w:val="center"/>
          </w:tcPr>
          <w:p w:rsidR="00012A46" w:rsidRDefault="00836FCA">
            <w:pPr>
              <w:spacing w:before="20" w:after="20"/>
              <w:jc w:val="left"/>
            </w:pPr>
            <w:r>
              <w:t>Да</w:t>
            </w:r>
          </w:p>
        </w:tc>
      </w:tr>
      <w:tr w:rsidR="00012A46">
        <w:tc>
          <w:tcPr>
            <w:tcW w:w="3300" w:type="pct"/>
            <w:shd w:val="clear" w:color="auto" w:fill="auto"/>
            <w:tcMar>
              <w:top w:w="20" w:type="dxa"/>
              <w:left w:w="20" w:type="dxa"/>
              <w:bottom w:w="20" w:type="dxa"/>
            </w:tcMar>
            <w:vAlign w:val="center"/>
          </w:tcPr>
          <w:p w:rsidR="00012A46" w:rsidRDefault="00836FCA">
            <w:pPr>
              <w:spacing w:before="20" w:after="20"/>
              <w:jc w:val="left"/>
            </w:pPr>
            <w:r>
              <w:t>13. Дата на подписване на споразумението за финансиране с органа, изпълняващ финансовия инструмент</w:t>
            </w:r>
          </w:p>
        </w:tc>
        <w:tc>
          <w:tcPr>
            <w:tcW w:w="0" w:type="auto"/>
            <w:shd w:val="clear" w:color="auto" w:fill="auto"/>
            <w:tcMar>
              <w:top w:w="20" w:type="dxa"/>
              <w:left w:w="20" w:type="dxa"/>
              <w:bottom w:w="20" w:type="dxa"/>
            </w:tcMar>
            <w:vAlign w:val="center"/>
          </w:tcPr>
          <w:p w:rsidR="00012A46" w:rsidRDefault="00836FCA">
            <w:pPr>
              <w:spacing w:before="20" w:after="20"/>
              <w:jc w:val="left"/>
            </w:pPr>
            <w:r>
              <w:t>03-09-2020</w:t>
            </w:r>
          </w:p>
        </w:tc>
      </w:tr>
    </w:tbl>
    <w:p w:rsidR="00012A46" w:rsidRDefault="00012A46">
      <w:pPr>
        <w:rPr>
          <w:sz w:val="28"/>
        </w:rPr>
      </w:pPr>
    </w:p>
    <w:p w:rsidR="00012A46" w:rsidRDefault="00836FCA">
      <w:pPr>
        <w:rPr>
          <w:sz w:val="28"/>
        </w:rPr>
      </w:pPr>
      <w:r>
        <w:rPr>
          <w:sz w:val="28"/>
        </w:rPr>
        <w:t>Списък на финансовите инструменти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5"/>
        <w:gridCol w:w="2810"/>
        <w:gridCol w:w="4083"/>
      </w:tblGrid>
      <w:tr w:rsidR="00012A46">
        <w:tc>
          <w:tcPr>
            <w:tcW w:w="0" w:type="auto"/>
            <w:shd w:val="clear" w:color="auto" w:fill="C0C0C0"/>
            <w:tcMar>
              <w:top w:w="20" w:type="dxa"/>
              <w:left w:w="20" w:type="dxa"/>
              <w:bottom w:w="20" w:type="dxa"/>
            </w:tcMar>
            <w:vAlign w:val="center"/>
          </w:tcPr>
          <w:p w:rsidR="00012A46" w:rsidRDefault="00836FCA">
            <w:pPr>
              <w:jc w:val="center"/>
            </w:pPr>
            <w:r>
              <w:t>Наименование на финансовия инструмент</w:t>
            </w:r>
          </w:p>
        </w:tc>
        <w:tc>
          <w:tcPr>
            <w:tcW w:w="0" w:type="auto"/>
            <w:shd w:val="clear" w:color="auto" w:fill="C0C0C0"/>
            <w:tcMar>
              <w:top w:w="20" w:type="dxa"/>
              <w:left w:w="20" w:type="dxa"/>
              <w:bottom w:w="20" w:type="dxa"/>
            </w:tcMar>
            <w:vAlign w:val="center"/>
          </w:tcPr>
          <w:p w:rsidR="00012A46" w:rsidRDefault="00836FCA">
            <w:pPr>
              <w:jc w:val="center"/>
            </w:pPr>
            <w:r>
              <w:t>Вид на финансовия инструмент</w:t>
            </w:r>
          </w:p>
        </w:tc>
        <w:tc>
          <w:tcPr>
            <w:tcW w:w="0" w:type="auto"/>
            <w:shd w:val="clear" w:color="auto" w:fill="C0C0C0"/>
            <w:tcMar>
              <w:top w:w="20" w:type="dxa"/>
              <w:left w:w="20" w:type="dxa"/>
              <w:bottom w:w="20" w:type="dxa"/>
            </w:tcMar>
            <w:vAlign w:val="center"/>
          </w:tcPr>
          <w:p w:rsidR="00012A46" w:rsidRDefault="00836FCA">
            <w:pPr>
              <w:jc w:val="center"/>
              <w:rPr>
                <w:sz w:val="16"/>
              </w:rPr>
            </w:pPr>
            <w:r>
              <w:t>Свързани фондове — част от фондови структури</w:t>
            </w:r>
          </w:p>
        </w:tc>
      </w:tr>
      <w:tr w:rsidR="00012A46">
        <w:tc>
          <w:tcPr>
            <w:tcW w:w="0" w:type="auto"/>
            <w:shd w:val="clear" w:color="auto" w:fill="FFFFFF"/>
            <w:tcMar>
              <w:top w:w="20" w:type="dxa"/>
              <w:left w:w="20" w:type="dxa"/>
              <w:bottom w:w="20" w:type="dxa"/>
            </w:tcMar>
            <w:vAlign w:val="center"/>
          </w:tcPr>
          <w:p w:rsidR="00012A46" w:rsidRDefault="00836FCA">
            <w:pPr>
              <w:spacing w:before="20" w:after="20"/>
              <w:jc w:val="left"/>
            </w:pPr>
            <w:r>
              <w:t>Финансов инструмент по ПРСР 2014-2020</w:t>
            </w:r>
          </w:p>
        </w:tc>
        <w:tc>
          <w:tcPr>
            <w:tcW w:w="0" w:type="auto"/>
            <w:shd w:val="clear" w:color="auto" w:fill="FFFFFF"/>
            <w:tcMar>
              <w:top w:w="20" w:type="dxa"/>
              <w:left w:w="20" w:type="dxa"/>
              <w:bottom w:w="20" w:type="dxa"/>
            </w:tcMar>
            <w:vAlign w:val="center"/>
          </w:tcPr>
          <w:p w:rsidR="00012A46" w:rsidRDefault="00836FCA">
            <w:pPr>
              <w:spacing w:before="20" w:after="20"/>
              <w:jc w:val="left"/>
            </w:pPr>
            <w:r>
              <w:t>Fund of funds</w:t>
            </w:r>
          </w:p>
        </w:tc>
        <w:tc>
          <w:tcPr>
            <w:tcW w:w="0" w:type="auto"/>
            <w:shd w:val="clear" w:color="auto" w:fill="FFFFFF"/>
            <w:tcMar>
              <w:top w:w="20" w:type="dxa"/>
              <w:left w:w="20" w:type="dxa"/>
              <w:bottom w:w="20" w:type="dxa"/>
            </w:tcMar>
            <w:vAlign w:val="center"/>
          </w:tcPr>
          <w:p w:rsidR="00012A46" w:rsidRDefault="00012A46">
            <w:pPr>
              <w:spacing w:before="20" w:after="20"/>
              <w:jc w:val="left"/>
            </w:pPr>
          </w:p>
        </w:tc>
      </w:tr>
      <w:tr w:rsidR="00012A46">
        <w:tc>
          <w:tcPr>
            <w:tcW w:w="0" w:type="auto"/>
            <w:shd w:val="clear" w:color="auto" w:fill="FFFFFF"/>
            <w:tcMar>
              <w:top w:w="20" w:type="dxa"/>
              <w:left w:w="20" w:type="dxa"/>
              <w:bottom w:w="20" w:type="dxa"/>
            </w:tcMar>
            <w:vAlign w:val="center"/>
          </w:tcPr>
          <w:p w:rsidR="00012A46" w:rsidRDefault="00836FCA">
            <w:pPr>
              <w:spacing w:before="20" w:after="20"/>
              <w:jc w:val="left"/>
            </w:pPr>
            <w:r>
              <w:t>Финансов инструмент по ПРСР 2014-2020</w:t>
            </w:r>
          </w:p>
        </w:tc>
        <w:tc>
          <w:tcPr>
            <w:tcW w:w="0" w:type="auto"/>
            <w:shd w:val="clear" w:color="auto" w:fill="FFFFFF"/>
            <w:tcMar>
              <w:top w:w="20" w:type="dxa"/>
              <w:left w:w="20" w:type="dxa"/>
              <w:bottom w:w="20" w:type="dxa"/>
            </w:tcMar>
            <w:vAlign w:val="center"/>
          </w:tcPr>
          <w:p w:rsidR="00012A46" w:rsidRDefault="00836FCA">
            <w:pPr>
              <w:spacing w:before="20" w:after="20"/>
              <w:jc w:val="left"/>
            </w:pPr>
            <w:r>
              <w:t>Fund of funds specific fund</w:t>
            </w:r>
          </w:p>
        </w:tc>
        <w:tc>
          <w:tcPr>
            <w:tcW w:w="0" w:type="auto"/>
            <w:shd w:val="clear" w:color="auto" w:fill="FFFFFF"/>
            <w:tcMar>
              <w:top w:w="20" w:type="dxa"/>
              <w:left w:w="20" w:type="dxa"/>
              <w:bottom w:w="20" w:type="dxa"/>
            </w:tcMar>
            <w:vAlign w:val="center"/>
          </w:tcPr>
          <w:p w:rsidR="00012A46" w:rsidRDefault="00836FCA">
            <w:pPr>
              <w:spacing w:before="20" w:after="20"/>
              <w:jc w:val="left"/>
            </w:pPr>
            <w:r>
              <w:t>Финансов инструмент по ПРСР 2014-2020</w:t>
            </w:r>
          </w:p>
        </w:tc>
      </w:tr>
    </w:tbl>
    <w:p w:rsidR="00012A46" w:rsidRDefault="00012A46">
      <w:pPr>
        <w:rPr>
          <w:sz w:val="28"/>
        </w:rPr>
        <w:sectPr w:rsidR="00012A46">
          <w:pgSz w:w="12240" w:h="15840"/>
          <w:pgMar w:top="900" w:right="900" w:bottom="900" w:left="900" w:header="720" w:footer="720" w:gutter="0"/>
          <w:cols w:space="72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3593"/>
      </w:tblGrid>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lastRenderedPageBreak/>
              <w:t>I. Идентификация на програмата и приоритета или мярката, от които се предоставя подкрепа от ЕСИ фондовете (член 46, параграф 2, буква а) от Регламент (ЕС) № 1303/2013)</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1. Приоритетни оси или мерки в подкрепа на финансовия инструмент, включително фонд или фондове, по програмата на ЕСИ фондовете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1.1. Идентификатори (номер и наименование) на всяка приоритетна ос или мярка в подкрепа на финансовия инструмент по програма на ЕСИ фонд</w:t>
            </w:r>
          </w:p>
        </w:tc>
        <w:tc>
          <w:tcPr>
            <w:tcW w:w="0" w:type="auto"/>
            <w:shd w:val="clear" w:color="auto" w:fill="FFFFFF"/>
            <w:tcMar>
              <w:top w:w="20" w:type="dxa"/>
              <w:left w:w="20" w:type="dxa"/>
              <w:bottom w:w="20" w:type="dxa"/>
            </w:tcMar>
          </w:tcPr>
          <w:p w:rsidR="00012A46" w:rsidRDefault="00836FCA">
            <w:pPr>
              <w:spacing w:before="20" w:after="20"/>
              <w:jc w:val="left"/>
            </w:pPr>
            <w:r>
              <w:t>M04 — Инвестиции в материални активи (член 17)</w:t>
            </w:r>
          </w:p>
          <w:p w:rsidR="00012A46" w:rsidRDefault="00836FCA">
            <w:pPr>
              <w:spacing w:before="20" w:after="20"/>
              <w:jc w:val="left"/>
            </w:pPr>
            <w:r>
              <w:t>M06 — Развитие на стопанства и предприятия (член 19)</w:t>
            </w:r>
          </w:p>
          <w:p w:rsidR="00012A46" w:rsidRDefault="00836FCA">
            <w:pPr>
              <w:spacing w:before="20" w:after="20"/>
              <w:jc w:val="left"/>
            </w:pPr>
            <w:r>
              <w:t>M19 — Подкрепа за местно развитие по LEADER (ВОМР — водено от общностите местно развитие) (член 35 от Регламент (ЕС) № 1303/2013)</w:t>
            </w:r>
          </w:p>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 Наименование на ЕСИ фонда/фондовете, подкрепящ(и) финансовия инструмент по приоритетната ос или мярката</w:t>
            </w:r>
          </w:p>
        </w:tc>
        <w:tc>
          <w:tcPr>
            <w:tcW w:w="0" w:type="auto"/>
            <w:shd w:val="clear" w:color="auto" w:fill="FFFFFF"/>
            <w:tcMar>
              <w:top w:w="20" w:type="dxa"/>
              <w:left w:w="20" w:type="dxa"/>
              <w:bottom w:w="20" w:type="dxa"/>
            </w:tcMar>
          </w:tcPr>
          <w:p w:rsidR="00012A46" w:rsidRDefault="00836FCA">
            <w:pPr>
              <w:spacing w:before="20" w:after="20"/>
              <w:jc w:val="left"/>
            </w:pPr>
            <w:r>
              <w:t>Европейски земеделски фонд за развитие на селските райони (ЕЗФРСР)</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3.01 Сума по ЕСИ фондовете, за която е поето задължение в споразумението за финансиране по отношение на отделните акцентирани области, споменати в член 5 от Регламент (ЕС) № 1305/2013, по мерки</w:t>
            </w:r>
          </w:p>
        </w:tc>
        <w:tc>
          <w:tcPr>
            <w:tcW w:w="0" w:type="auto"/>
            <w:shd w:val="clear" w:color="auto" w:fill="FFFFFF"/>
            <w:tcMar>
              <w:top w:w="20" w:type="dxa"/>
              <w:left w:w="20" w:type="dxa"/>
              <w:bottom w:w="20" w:type="dxa"/>
            </w:tcMar>
          </w:tcPr>
          <w:p w:rsidR="00012A46" w:rsidRDefault="00836FCA">
            <w:pPr>
              <w:spacing w:before="20" w:after="20"/>
              <w:jc w:val="right"/>
            </w:pPr>
            <w:r>
              <w:t>M04 / 2A: 13 000 000,00</w:t>
            </w:r>
          </w:p>
          <w:p w:rsidR="00012A46" w:rsidRDefault="00836FCA">
            <w:pPr>
              <w:spacing w:before="20" w:after="20"/>
              <w:jc w:val="right"/>
            </w:pPr>
            <w:r>
              <w:t>M06 / 6A: 1 500 000,00</w:t>
            </w:r>
          </w:p>
          <w:p w:rsidR="00012A46" w:rsidRDefault="00836FCA">
            <w:pPr>
              <w:spacing w:before="20" w:after="20"/>
              <w:jc w:val="right"/>
            </w:pPr>
            <w:r>
              <w:t>M19 / 6B: 2 500 000,00</w:t>
            </w:r>
          </w:p>
          <w:p w:rsidR="00012A46" w:rsidRDefault="00836FCA">
            <w:pPr>
              <w:spacing w:before="20" w:after="20"/>
              <w:jc w:val="right"/>
            </w:pPr>
            <w:r>
              <w:t>Total: 17 000 000,00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3.1. Сума на средствата от ЕСИ фондове, ангажирани за тази тематична цел</w:t>
            </w:r>
          </w:p>
        </w:tc>
        <w:tc>
          <w:tcPr>
            <w:tcW w:w="0" w:type="auto"/>
            <w:shd w:val="clear" w:color="auto" w:fill="FFFFFF"/>
            <w:tcMar>
              <w:top w:w="20" w:type="dxa"/>
              <w:left w:w="20" w:type="dxa"/>
              <w:bottom w:w="20" w:type="dxa"/>
            </w:tcMar>
          </w:tcPr>
          <w:p w:rsidR="00012A46" w:rsidRDefault="00836FCA">
            <w:pPr>
              <w:spacing w:before="20" w:after="20"/>
              <w:jc w:val="right"/>
            </w:pPr>
            <w:r>
              <w:t>T03: 13 000 000,00</w:t>
            </w:r>
          </w:p>
          <w:p w:rsidR="00012A46" w:rsidRDefault="00836FCA">
            <w:pPr>
              <w:spacing w:before="20" w:after="20"/>
              <w:jc w:val="right"/>
            </w:pPr>
            <w:r>
              <w:t>T08: 1 500 000,00</w:t>
            </w:r>
          </w:p>
          <w:p w:rsidR="00012A46" w:rsidRDefault="00836FCA">
            <w:pPr>
              <w:spacing w:before="20" w:after="20"/>
              <w:jc w:val="right"/>
            </w:pPr>
            <w:r>
              <w:t>T09: 2 500 000,00</w:t>
            </w:r>
          </w:p>
          <w:p w:rsidR="00012A46" w:rsidRDefault="00836FCA">
            <w:pPr>
              <w:spacing w:before="20" w:after="20"/>
              <w:jc w:val="right"/>
            </w:pPr>
            <w:r>
              <w:t>Total: 17 000 000,00</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4. Други програми на ЕСИ фондовете, предоставящи принос към финансовия инструмент</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 Номер CCI на всяка друга програма по ЕСИ фондовете, предоставяща финансово участие във финансовия инструмент</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30. Дата на завършване на предварителната оценка</w:t>
            </w:r>
          </w:p>
        </w:tc>
        <w:tc>
          <w:tcPr>
            <w:tcW w:w="0" w:type="auto"/>
            <w:shd w:val="clear" w:color="auto" w:fill="FFFFFF"/>
            <w:tcMar>
              <w:top w:w="20" w:type="dxa"/>
              <w:left w:w="20" w:type="dxa"/>
              <w:bottom w:w="20" w:type="dxa"/>
            </w:tcMar>
          </w:tcPr>
          <w:p w:rsidR="00012A46" w:rsidRDefault="00836FCA">
            <w:pPr>
              <w:spacing w:before="20" w:after="20"/>
              <w:jc w:val="right"/>
            </w:pPr>
            <w:r>
              <w:t>31.05.2018</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31. Избор на организациите, прилагащи финансовия инструмент</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31.1. Вече започнал ли е процес на избор или определяне</w:t>
            </w:r>
          </w:p>
        </w:tc>
        <w:tc>
          <w:tcPr>
            <w:tcW w:w="0" w:type="auto"/>
            <w:shd w:val="clear" w:color="auto" w:fill="FFFFFF"/>
            <w:tcMar>
              <w:top w:w="20" w:type="dxa"/>
              <w:left w:w="20" w:type="dxa"/>
              <w:bottom w:w="20" w:type="dxa"/>
            </w:tcMar>
          </w:tcPr>
          <w:p w:rsidR="00012A46" w:rsidRDefault="00836FCA">
            <w:pPr>
              <w:spacing w:before="20" w:after="20"/>
              <w:jc w:val="right"/>
            </w:pPr>
            <w:r>
              <w:t>Да</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II. Описание на финансовия инструмент и уредбата за изпълнението му (член 46, параграф 2, буква б)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5. Наименование на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Финансов инструмент по ПРСР 2014-2020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6. Официален адрес/място на стопанска дейност на финансовия инструмент (държава и град)</w:t>
            </w:r>
          </w:p>
        </w:tc>
        <w:tc>
          <w:tcPr>
            <w:tcW w:w="0" w:type="auto"/>
            <w:shd w:val="clear" w:color="auto" w:fill="FFFFFF"/>
            <w:tcMar>
              <w:top w:w="20" w:type="dxa"/>
              <w:left w:w="20" w:type="dxa"/>
              <w:bottom w:w="20" w:type="dxa"/>
            </w:tcMar>
          </w:tcPr>
          <w:p w:rsidR="00012A46" w:rsidRDefault="00836FCA">
            <w:pPr>
              <w:spacing w:before="20" w:after="20"/>
              <w:jc w:val="left"/>
            </w:pPr>
            <w:r>
              <w:t>Република България, гр. София 1000, ул. "Кърниградска" № 19, ет. 3</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7. Уредба за изпълнение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 xml:space="preserve">7.1. Финансови инструменти, създадени на равнището на Съюза, </w:t>
            </w:r>
            <w:r>
              <w:lastRenderedPageBreak/>
              <w:t>управлявани пряко или косвено от Комисията, както е посочено в член 38, параграф 1, буква а) от Регламент (ЕС) № 1303/2013, подкрепяни с финансово участие на програми по ЕСИ фондовете</w:t>
            </w:r>
          </w:p>
        </w:tc>
        <w:tc>
          <w:tcPr>
            <w:tcW w:w="0" w:type="auto"/>
            <w:shd w:val="clear" w:color="auto" w:fill="FFFFFF"/>
            <w:tcMar>
              <w:top w:w="20" w:type="dxa"/>
              <w:left w:w="20" w:type="dxa"/>
              <w:bottom w:w="20" w:type="dxa"/>
            </w:tcMar>
          </w:tcPr>
          <w:p w:rsidR="00012A46" w:rsidRDefault="00836FCA">
            <w:pPr>
              <w:spacing w:before="20" w:after="20"/>
              <w:jc w:val="right"/>
            </w:pPr>
            <w:r>
              <w:lastRenderedPageBreak/>
              <w:t>Не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7.1.1. Наименование на финансовия инструмент на равнището на Съюза</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7.2. Финансов инструмент, създаден на национално, регионално, международно или трансгранично равнище, управляван от или на отговорността на управляващия орган, както е посочено в член 38, параграф 1, буква б), подкрепян с финансово участие от програма на европейските структурни и инвестиционни фондове съгласно член 38, параграф 4, букви а), б), в) и г) от Регламент (ЕС) № 1303/2013</w:t>
            </w:r>
          </w:p>
        </w:tc>
        <w:tc>
          <w:tcPr>
            <w:tcW w:w="0" w:type="auto"/>
            <w:shd w:val="clear" w:color="auto" w:fill="FFFFFF"/>
            <w:tcMar>
              <w:top w:w="20" w:type="dxa"/>
              <w:left w:w="20" w:type="dxa"/>
              <w:bottom w:w="20" w:type="dxa"/>
            </w:tcMar>
          </w:tcPr>
          <w:p w:rsidR="00012A46" w:rsidRDefault="00836FCA">
            <w:pPr>
              <w:spacing w:before="20" w:after="20"/>
              <w:jc w:val="left"/>
            </w:pPr>
            <w:r>
              <w:t>Поверяване на задачи по изпълнението чрез пряко възлагане на договор</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7.3. Финансов инструмент, съчетаващ финансово участие на УО с финансови продукти на ЕИБ в рамките на Европейския фонд за стратегически инвестиции в съответствие с член 39а, посочени в член 38, параграф 1, буква в)</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8. Вид на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Фондове — част от фондови структури</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10. Правен статут на финансовия инструмент съгласно член 38, параграф 6 и член 39а, параграф 5, буква б) от Регламент (ЕС) № 1303/2013 (само за финансови инструменти, посочени в член 38, параграф 1, букви б) и в): доверителна сметка, открита на името на изпълняващата организация и в полза на управляващия орган или отделен финансов блок в рамките на финансовата институция</w:t>
            </w:r>
          </w:p>
        </w:tc>
        <w:tc>
          <w:tcPr>
            <w:tcW w:w="0" w:type="auto"/>
            <w:shd w:val="clear" w:color="auto" w:fill="FFFFFF"/>
            <w:tcMar>
              <w:top w:w="20" w:type="dxa"/>
              <w:left w:w="20" w:type="dxa"/>
              <w:bottom w:w="20" w:type="dxa"/>
            </w:tcMar>
          </w:tcPr>
          <w:p w:rsidR="00012A46" w:rsidRDefault="00836FCA">
            <w:pPr>
              <w:spacing w:before="20" w:after="20"/>
              <w:jc w:val="left"/>
            </w:pPr>
            <w:r>
              <w:t>Доверителна сметка</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III. Идентификация на органа, изпълняващ финансовия инструмент, и на органа, изпълняващ фонд или фондове, където е приложимо, както е посочено в член 38, параграф 1), букви а), б) и в) от Регламент (ЕС) № 1303/2013 (член 46, параграф 2, буква в) от Регламент (ЕС) № 1303/2013)</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11. Орган, изпълняващ финансовия инструмент</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11.1. Вид на изпълняващия орган съгласно член 38, параграф 4 и член 39а, параграф 5 от Регламент (ЕС) № 1303/2013: съществуващ или новосъздаден правен субект, чиято функция е изпълнението на финансови инструменти; Европейската инвестиционна банка; Европейският инвестиционен фонд; международна финансова институция, в която дадена държава членка притежава дялове; банка или институция, която е публична собственост, учредена като правен субект, извършващ финансови дейности на професионална основа; публичноправен или частноправен орган; управляващ орган, който пряко предприема задачи по изпълнението (само за заеми и гаранции)</w:t>
            </w:r>
          </w:p>
        </w:tc>
        <w:tc>
          <w:tcPr>
            <w:tcW w:w="0" w:type="auto"/>
            <w:shd w:val="clear" w:color="auto" w:fill="FFFFFF"/>
            <w:tcMar>
              <w:top w:w="20" w:type="dxa"/>
              <w:left w:w="20" w:type="dxa"/>
              <w:bottom w:w="20" w:type="dxa"/>
            </w:tcMar>
          </w:tcPr>
          <w:p w:rsidR="00012A46" w:rsidRDefault="00836FCA">
            <w:pPr>
              <w:spacing w:before="20" w:after="20"/>
              <w:jc w:val="left"/>
            </w:pPr>
            <w:r>
              <w:t>Публична банка или институция</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11.1.1. Наименование на органа, изпълняващ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“Фонд мениджър на финансови инструменти в България” ЕАД</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11.1.2. Официален адрес/място на стопанска дейност (държава и град) на органа, изпълняващ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 xml:space="preserve">Република България, гр. София 1000, ул. "Кърниградска" № 19, </w:t>
            </w:r>
            <w:r>
              <w:lastRenderedPageBreak/>
              <w:t>ет. 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12. Процедура за избор на органа, изпълняващ финансовия инструмент: възлагане на обществена поръчка; друга процедура.</w:t>
            </w:r>
          </w:p>
        </w:tc>
        <w:tc>
          <w:tcPr>
            <w:tcW w:w="0" w:type="auto"/>
            <w:shd w:val="clear" w:color="auto" w:fill="FFFFFF"/>
            <w:tcMar>
              <w:top w:w="20" w:type="dxa"/>
              <w:left w:w="20" w:type="dxa"/>
              <w:bottom w:w="20" w:type="dxa"/>
            </w:tcMar>
          </w:tcPr>
          <w:p w:rsidR="00012A46" w:rsidRDefault="00836FCA">
            <w:pPr>
              <w:spacing w:before="20" w:after="20"/>
              <w:jc w:val="left"/>
            </w:pPr>
            <w:r>
              <w:t>Пряко възлагане на поръчка на публични банки или институции</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12.1. Описание на другата процедура за избор на органа, изпълняващ финансовия инструмент</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13. Дата на подписване на споразумението за финансиране с органа, изпълняващ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right"/>
            </w:pPr>
            <w:r>
              <w:t>03.09.2020</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IV. Общ размер на приноса от програмата, по приоритет или мярка, изплатен на финансовия инструмент, както и направени разходи за управление или платени такси за управление (член 46, параграф 2, букви г) и д)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 Общ размер на финансовото участие на програмата, за който е поето задължение в споразумението за финансиране (в евро)</w:t>
            </w:r>
          </w:p>
        </w:tc>
        <w:tc>
          <w:tcPr>
            <w:tcW w:w="0" w:type="auto"/>
            <w:shd w:val="clear" w:color="auto" w:fill="FFFFFF"/>
            <w:tcMar>
              <w:top w:w="20" w:type="dxa"/>
              <w:left w:w="20" w:type="dxa"/>
              <w:bottom w:w="20" w:type="dxa"/>
            </w:tcMar>
          </w:tcPr>
          <w:p w:rsidR="00012A46" w:rsidRDefault="00836FCA">
            <w:pPr>
              <w:spacing w:before="20" w:after="20"/>
              <w:jc w:val="right"/>
            </w:pPr>
            <w:r>
              <w:t>M04: 15 294 118,00</w:t>
            </w:r>
          </w:p>
          <w:p w:rsidR="00012A46" w:rsidRDefault="00836FCA">
            <w:pPr>
              <w:spacing w:before="20" w:after="20"/>
              <w:jc w:val="right"/>
            </w:pPr>
            <w:r>
              <w:t>M06: 1 764 706,00</w:t>
            </w:r>
          </w:p>
          <w:p w:rsidR="00012A46" w:rsidRDefault="00836FCA">
            <w:pPr>
              <w:spacing w:before="20" w:after="20"/>
              <w:jc w:val="right"/>
            </w:pPr>
            <w:r>
              <w:t>M19: 2 941 176,00</w:t>
            </w:r>
          </w:p>
          <w:p w:rsidR="00012A46" w:rsidRDefault="00836FCA">
            <w:pPr>
              <w:spacing w:before="20" w:after="20"/>
              <w:jc w:val="right"/>
            </w:pPr>
            <w:r>
              <w:t>Total: 20 000 000,00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 от които участие на ЕСИ фондове (в евро)</w:t>
            </w:r>
          </w:p>
        </w:tc>
        <w:tc>
          <w:tcPr>
            <w:tcW w:w="0" w:type="auto"/>
            <w:shd w:val="clear" w:color="auto" w:fill="FFFFFF"/>
            <w:tcMar>
              <w:top w:w="20" w:type="dxa"/>
              <w:left w:w="20" w:type="dxa"/>
              <w:bottom w:w="20" w:type="dxa"/>
            </w:tcMar>
          </w:tcPr>
          <w:p w:rsidR="00012A46" w:rsidRDefault="00836FCA">
            <w:pPr>
              <w:spacing w:before="20" w:after="20"/>
              <w:jc w:val="right"/>
            </w:pPr>
            <w:r>
              <w:t>M04: 13 000 000,00</w:t>
            </w:r>
          </w:p>
          <w:p w:rsidR="00012A46" w:rsidRDefault="00836FCA">
            <w:pPr>
              <w:spacing w:before="20" w:after="20"/>
              <w:jc w:val="right"/>
            </w:pPr>
            <w:r>
              <w:t>M06: 1 500 000,00</w:t>
            </w:r>
          </w:p>
          <w:p w:rsidR="00012A46" w:rsidRDefault="00836FCA">
            <w:pPr>
              <w:spacing w:before="20" w:after="20"/>
              <w:jc w:val="right"/>
            </w:pPr>
            <w:r>
              <w:t>M19: 2 500 000,00</w:t>
            </w:r>
          </w:p>
          <w:p w:rsidR="00012A46" w:rsidRDefault="00836FCA">
            <w:pPr>
              <w:spacing w:before="20" w:after="20"/>
              <w:jc w:val="right"/>
            </w:pPr>
            <w:r>
              <w:t>Total: 17 000 000,00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14.1.1. от които ЕФРР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14.1.2. от които Кохезионен фонд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14.1.3. от които ЕСФ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14.1.4. от които ЕЗФРСР (в евро) (незадължително)</w:t>
            </w:r>
          </w:p>
        </w:tc>
        <w:tc>
          <w:tcPr>
            <w:tcW w:w="0" w:type="auto"/>
            <w:shd w:val="clear" w:color="auto" w:fill="FFFFFF"/>
            <w:tcMar>
              <w:top w:w="20" w:type="dxa"/>
              <w:left w:w="20" w:type="dxa"/>
              <w:bottom w:w="20" w:type="dxa"/>
            </w:tcMar>
          </w:tcPr>
          <w:p w:rsidR="00012A46" w:rsidRDefault="00836FCA">
            <w:pPr>
              <w:spacing w:before="20" w:after="20"/>
              <w:jc w:val="right"/>
            </w:pPr>
            <w:r>
              <w:t>M04: 13 000 000,00</w:t>
            </w:r>
          </w:p>
          <w:p w:rsidR="00012A46" w:rsidRDefault="00836FCA">
            <w:pPr>
              <w:spacing w:before="20" w:after="20"/>
              <w:jc w:val="right"/>
            </w:pPr>
            <w:r>
              <w:t>M06: 1 500 000,00</w:t>
            </w:r>
          </w:p>
          <w:p w:rsidR="00012A46" w:rsidRDefault="00836FCA">
            <w:pPr>
              <w:spacing w:before="20" w:after="20"/>
              <w:jc w:val="right"/>
            </w:pPr>
            <w:r>
              <w:t>M19: 2 500 000,00</w:t>
            </w:r>
          </w:p>
          <w:p w:rsidR="00012A46" w:rsidRDefault="00836FCA">
            <w:pPr>
              <w:spacing w:before="20" w:after="20"/>
              <w:jc w:val="right"/>
            </w:pPr>
            <w:r>
              <w:t>Total: 17 000 000,00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14.1.5. от които ЕФМДР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 Общ размер на финансовото участие на програмата, изплатено на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M04: 3,823,529.00</w:t>
            </w:r>
          </w:p>
          <w:p w:rsidR="00012A46" w:rsidRDefault="00836FCA">
            <w:pPr>
              <w:spacing w:before="20" w:after="20"/>
              <w:jc w:val="right"/>
            </w:pPr>
            <w:r>
              <w:t>M06: 441,177.00</w:t>
            </w:r>
          </w:p>
          <w:p w:rsidR="00012A46" w:rsidRDefault="00836FCA">
            <w:pPr>
              <w:spacing w:before="20" w:after="20"/>
              <w:jc w:val="right"/>
            </w:pPr>
            <w:r>
              <w:t>M19: 735,294.00</w:t>
            </w:r>
          </w:p>
          <w:p w:rsidR="00012A46" w:rsidRDefault="00836FCA">
            <w:pPr>
              <w:spacing w:before="20" w:after="20"/>
              <w:jc w:val="right"/>
            </w:pPr>
            <w:r>
              <w:t>Total: 5,000,000.00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 от които стойност на участието на ЕСИ фондове (в евро)</w:t>
            </w:r>
          </w:p>
        </w:tc>
        <w:tc>
          <w:tcPr>
            <w:tcW w:w="0" w:type="auto"/>
            <w:shd w:val="clear" w:color="auto" w:fill="FFFFFF"/>
            <w:tcMar>
              <w:top w:w="20" w:type="dxa"/>
              <w:left w:w="20" w:type="dxa"/>
              <w:bottom w:w="20" w:type="dxa"/>
            </w:tcMar>
          </w:tcPr>
          <w:p w:rsidR="00012A46" w:rsidRDefault="00836FCA">
            <w:pPr>
              <w:spacing w:before="20" w:after="20"/>
              <w:jc w:val="right"/>
            </w:pPr>
            <w:r>
              <w:t>M04: 3,250,000.00</w:t>
            </w:r>
          </w:p>
          <w:p w:rsidR="00012A46" w:rsidRDefault="00836FCA">
            <w:pPr>
              <w:spacing w:before="20" w:after="20"/>
              <w:jc w:val="right"/>
            </w:pPr>
            <w:r>
              <w:t>M06: 375,000.00</w:t>
            </w:r>
          </w:p>
          <w:p w:rsidR="00012A46" w:rsidRDefault="00836FCA">
            <w:pPr>
              <w:spacing w:before="20" w:after="20"/>
              <w:jc w:val="right"/>
            </w:pPr>
            <w:r>
              <w:t>M19: 625,000.00</w:t>
            </w:r>
          </w:p>
          <w:p w:rsidR="00012A46" w:rsidRDefault="00836FCA">
            <w:pPr>
              <w:spacing w:before="20" w:after="20"/>
              <w:jc w:val="right"/>
            </w:pPr>
            <w:r>
              <w:t>Total: 4,250,000.00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15.1.1. от които ЕФРР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15.1.2. от които Кохезионен фонд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15.1.3. от които ЕСФ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15.1.4. от които ЕЗФРСР (в евро)</w:t>
            </w:r>
          </w:p>
        </w:tc>
        <w:tc>
          <w:tcPr>
            <w:tcW w:w="0" w:type="auto"/>
            <w:shd w:val="clear" w:color="auto" w:fill="FFFFFF"/>
            <w:tcMar>
              <w:top w:w="20" w:type="dxa"/>
              <w:left w:w="20" w:type="dxa"/>
              <w:bottom w:w="20" w:type="dxa"/>
            </w:tcMar>
          </w:tcPr>
          <w:p w:rsidR="00012A46" w:rsidRDefault="00836FCA">
            <w:pPr>
              <w:spacing w:before="20" w:after="20"/>
              <w:jc w:val="right"/>
            </w:pPr>
            <w:r>
              <w:t>M04: 3 250 000,00</w:t>
            </w:r>
          </w:p>
          <w:p w:rsidR="00012A46" w:rsidRDefault="00836FCA">
            <w:pPr>
              <w:spacing w:before="20" w:after="20"/>
              <w:jc w:val="right"/>
            </w:pPr>
            <w:r>
              <w:t>M06: 375 000,00</w:t>
            </w:r>
          </w:p>
          <w:p w:rsidR="00012A46" w:rsidRDefault="00836FCA">
            <w:pPr>
              <w:spacing w:before="20" w:after="20"/>
              <w:jc w:val="right"/>
            </w:pPr>
            <w:r>
              <w:t>M19: 625 000,00</w:t>
            </w:r>
          </w:p>
          <w:p w:rsidR="00012A46" w:rsidRDefault="00836FCA">
            <w:pPr>
              <w:spacing w:before="20" w:after="20"/>
              <w:jc w:val="right"/>
            </w:pPr>
            <w:r>
              <w:t>Total: 4 250 000,00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15.1.5. от които ЕФМДР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15.2. от които общ размер национално съфинансиране (в евро)</w:t>
            </w:r>
          </w:p>
        </w:tc>
        <w:tc>
          <w:tcPr>
            <w:tcW w:w="0" w:type="auto"/>
            <w:shd w:val="clear" w:color="auto" w:fill="FFFFFF"/>
            <w:tcMar>
              <w:top w:w="20" w:type="dxa"/>
              <w:left w:w="20" w:type="dxa"/>
              <w:bottom w:w="20" w:type="dxa"/>
            </w:tcMar>
          </w:tcPr>
          <w:p w:rsidR="00012A46" w:rsidRDefault="00836FCA">
            <w:pPr>
              <w:spacing w:before="20" w:after="20"/>
              <w:jc w:val="right"/>
            </w:pPr>
            <w:r>
              <w:t>M04: 573,529.00</w:t>
            </w:r>
          </w:p>
          <w:p w:rsidR="00012A46" w:rsidRDefault="00836FCA">
            <w:pPr>
              <w:spacing w:before="20" w:after="20"/>
              <w:jc w:val="right"/>
            </w:pPr>
            <w:r>
              <w:t>M06: 66,177.00</w:t>
            </w:r>
          </w:p>
          <w:p w:rsidR="00012A46" w:rsidRDefault="00836FCA">
            <w:pPr>
              <w:spacing w:before="20" w:after="20"/>
              <w:jc w:val="right"/>
            </w:pPr>
            <w:r>
              <w:t>M19: 110,294.00</w:t>
            </w:r>
          </w:p>
          <w:p w:rsidR="00012A46" w:rsidRDefault="00836FCA">
            <w:pPr>
              <w:spacing w:before="20" w:after="20"/>
              <w:jc w:val="right"/>
            </w:pPr>
            <w:r>
              <w:t>Other: 0.00</w:t>
            </w:r>
          </w:p>
          <w:p w:rsidR="00012A46" w:rsidRDefault="00836FCA">
            <w:pPr>
              <w:spacing w:before="20" w:after="20"/>
              <w:jc w:val="right"/>
            </w:pPr>
            <w:r>
              <w:t>Total: 750,000.00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15.2.1. от които общ размер национално публично финансиране (в евро)</w:t>
            </w:r>
          </w:p>
        </w:tc>
        <w:tc>
          <w:tcPr>
            <w:tcW w:w="0" w:type="auto"/>
            <w:shd w:val="clear" w:color="auto" w:fill="FFFFFF"/>
            <w:tcMar>
              <w:top w:w="20" w:type="dxa"/>
              <w:left w:w="20" w:type="dxa"/>
              <w:bottom w:w="20" w:type="dxa"/>
            </w:tcMar>
          </w:tcPr>
          <w:p w:rsidR="00012A46" w:rsidRDefault="00836FCA">
            <w:pPr>
              <w:spacing w:before="20" w:after="20"/>
              <w:jc w:val="right"/>
            </w:pPr>
            <w:r>
              <w:t>M04: 573 529,00</w:t>
            </w:r>
          </w:p>
          <w:p w:rsidR="00012A46" w:rsidRDefault="00836FCA">
            <w:pPr>
              <w:spacing w:before="20" w:after="20"/>
              <w:jc w:val="right"/>
            </w:pPr>
            <w:r>
              <w:t>M06: 66 177,00</w:t>
            </w:r>
          </w:p>
          <w:p w:rsidR="00012A46" w:rsidRDefault="00836FCA">
            <w:pPr>
              <w:spacing w:before="20" w:after="20"/>
              <w:jc w:val="right"/>
            </w:pPr>
            <w:r>
              <w:t>M19: 110 294,00</w:t>
            </w:r>
          </w:p>
          <w:p w:rsidR="00012A46" w:rsidRDefault="00836FCA">
            <w:pPr>
              <w:spacing w:before="20" w:after="20"/>
              <w:jc w:val="right"/>
            </w:pPr>
            <w:r>
              <w:t>Total: 750 000,00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15.2.2. от които общ размер национално частно финансиране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16. Общ размер на финансовото участие на програмата, изплатено на финансовия инструмент съгласно Инициативата за младежка заетост (ИМЗ)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17. Общ размер на разходите за управление и таксите за управление, платени със средства от програмата (в евро)</w:t>
            </w:r>
          </w:p>
        </w:tc>
        <w:tc>
          <w:tcPr>
            <w:tcW w:w="0" w:type="auto"/>
            <w:shd w:val="clear" w:color="auto" w:fill="FFFFFF"/>
            <w:tcMar>
              <w:top w:w="20" w:type="dxa"/>
              <w:left w:w="20" w:type="dxa"/>
              <w:bottom w:w="20" w:type="dxa"/>
            </w:tcMar>
          </w:tcPr>
          <w:p w:rsidR="00012A46" w:rsidRDefault="00836FCA">
            <w:pPr>
              <w:spacing w:before="20" w:after="20"/>
              <w:jc w:val="right"/>
            </w:pPr>
            <w:r>
              <w:t>M04: 178 169,00</w:t>
            </w:r>
          </w:p>
          <w:p w:rsidR="00012A46" w:rsidRDefault="00836FCA">
            <w:pPr>
              <w:spacing w:before="20" w:after="20"/>
              <w:jc w:val="right"/>
            </w:pPr>
            <w:r>
              <w:t>M06: 20 558,00</w:t>
            </w:r>
          </w:p>
          <w:p w:rsidR="00012A46" w:rsidRDefault="00836FCA">
            <w:pPr>
              <w:spacing w:before="20" w:after="20"/>
              <w:jc w:val="right"/>
            </w:pPr>
            <w:r>
              <w:t>M19: 34 263,00</w:t>
            </w:r>
          </w:p>
          <w:p w:rsidR="00012A46" w:rsidRDefault="00836FCA">
            <w:pPr>
              <w:spacing w:before="20" w:after="20"/>
              <w:jc w:val="right"/>
            </w:pPr>
            <w:r>
              <w:t>Total: 232 990,00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17.1. от които за основно възнаграждение (в евро)</w:t>
            </w:r>
          </w:p>
        </w:tc>
        <w:tc>
          <w:tcPr>
            <w:tcW w:w="0" w:type="auto"/>
            <w:shd w:val="clear" w:color="auto" w:fill="FFFFFF"/>
            <w:tcMar>
              <w:top w:w="20" w:type="dxa"/>
              <w:left w:w="20" w:type="dxa"/>
              <w:bottom w:w="20" w:type="dxa"/>
            </w:tcMar>
          </w:tcPr>
          <w:p w:rsidR="00012A46" w:rsidRDefault="00836FCA">
            <w:pPr>
              <w:spacing w:before="20" w:after="20"/>
              <w:jc w:val="right"/>
            </w:pPr>
            <w:r>
              <w:t>M04: 147 808,00</w:t>
            </w:r>
          </w:p>
          <w:p w:rsidR="00012A46" w:rsidRDefault="00836FCA">
            <w:pPr>
              <w:spacing w:before="20" w:after="20"/>
              <w:jc w:val="right"/>
            </w:pPr>
            <w:r>
              <w:t>M06: 17 055,00</w:t>
            </w:r>
          </w:p>
          <w:p w:rsidR="00012A46" w:rsidRDefault="00836FCA">
            <w:pPr>
              <w:spacing w:before="20" w:after="20"/>
              <w:jc w:val="right"/>
            </w:pPr>
            <w:r>
              <w:t>M19: 28 425,00</w:t>
            </w:r>
          </w:p>
          <w:p w:rsidR="00012A46" w:rsidRDefault="00836FCA">
            <w:pPr>
              <w:spacing w:before="20" w:after="20"/>
              <w:jc w:val="right"/>
            </w:pPr>
            <w:r>
              <w:t>Total: 193 288,00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17.2. от които за възнаграждение, обвързано с резултатите (в евро)</w:t>
            </w:r>
          </w:p>
        </w:tc>
        <w:tc>
          <w:tcPr>
            <w:tcW w:w="0" w:type="auto"/>
            <w:shd w:val="clear" w:color="auto" w:fill="FFFFFF"/>
            <w:tcMar>
              <w:top w:w="20" w:type="dxa"/>
              <w:left w:w="20" w:type="dxa"/>
              <w:bottom w:w="20" w:type="dxa"/>
            </w:tcMar>
          </w:tcPr>
          <w:p w:rsidR="00012A46" w:rsidRDefault="00836FCA">
            <w:pPr>
              <w:spacing w:before="20" w:after="20"/>
              <w:jc w:val="right"/>
            </w:pPr>
            <w:r>
              <w:t>M04: 30 360,00</w:t>
            </w:r>
          </w:p>
          <w:p w:rsidR="00012A46" w:rsidRDefault="00836FCA">
            <w:pPr>
              <w:spacing w:before="20" w:after="20"/>
              <w:jc w:val="right"/>
            </w:pPr>
            <w:r>
              <w:t>M06: 3 503,00</w:t>
            </w:r>
          </w:p>
          <w:p w:rsidR="00012A46" w:rsidRDefault="00836FCA">
            <w:pPr>
              <w:spacing w:before="20" w:after="20"/>
              <w:jc w:val="right"/>
            </w:pPr>
            <w:r>
              <w:t>M19: 5 839,00</w:t>
            </w:r>
          </w:p>
          <w:p w:rsidR="00012A46" w:rsidRDefault="00836FCA">
            <w:pPr>
              <w:spacing w:before="20" w:after="20"/>
              <w:jc w:val="right"/>
            </w:pPr>
            <w:r>
              <w:t>Total: 39 702,00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18. Капитализирани разходи за управление или такси за управление съгласно член 42, параграф 2 от Регламент (ЕС) № 1303/2013 (приложимо само за окончателния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19. Капитализирано субсидиране на лихвата или субсидиране на гаранционната такса съгласно член 42, параграф 1, буква в) от Регламент (ЕС) № 1303/2013 (отнася се само за окончателен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20. Размер на приноса от програмата за последващи инвестиции в крайни получатели съгласно член 42, параграф 3 от Регламент (ЕС) № 1303/2013 (отнася се само за окончателен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21. Принос за земя и/или недвижима собственост във финансовия инструмент съгласно член 37, параграф 10 от Регламент (ЕС) № 1303/2013 (отнася се само за окончателен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VI. Изпълнението на финансовия инструмент, включително на напредъка по отношение на неговото създаване и на избора на органите, изпълняващи финансовия инструмент (включително органа, прилагащ финансирането от фонд — част от фондова структура) (член 46, параграф 2, буква е)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 xml:space="preserve">32. Информация дали финансовият инструмент все още е </w:t>
            </w:r>
            <w:r>
              <w:lastRenderedPageBreak/>
              <w:t>функционирал в края на отчетната година</w:t>
            </w:r>
          </w:p>
        </w:tc>
        <w:tc>
          <w:tcPr>
            <w:tcW w:w="0" w:type="auto"/>
            <w:shd w:val="clear" w:color="auto" w:fill="FFFFFF"/>
            <w:tcMar>
              <w:top w:w="20" w:type="dxa"/>
              <w:left w:w="20" w:type="dxa"/>
              <w:bottom w:w="20" w:type="dxa"/>
            </w:tcMar>
          </w:tcPr>
          <w:p w:rsidR="00012A46" w:rsidRDefault="00836FCA">
            <w:pPr>
              <w:spacing w:before="20" w:after="20"/>
              <w:jc w:val="right"/>
            </w:pPr>
            <w:r>
              <w:lastRenderedPageBreak/>
              <w:t>Да</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32.1. Ако финансовият инструмент не е функционирал в края на отчетната година — датата на приключване</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VII. Лихви и други печалби, генерирани от подкрепата от европейските структурни и инвестиционни фондове за финансовия инструмент, програмни средства, възстановени на финансовия инструмент от инвестиции, както е посочено в членове 43 и 44, суми, използвани за диференцирано третиране, както е посочено в член 43а, и стойността на капиталовите инвестиции спрямо предходни години (член 46, параграф 2, букви ж) и и)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35. Лихви и други печалби, генерирани от плащания от ЕСИ фондове към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37. Размер на средствата, които могат да бъдат отнесени към европейските структурни и инвестиционни фондове и са използвани съгласно членове 44 и 43а</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37.1. от които — суми, платени за диференцирано третиране на инвеститори, работещи съгласно принципа на пазарната икономика, които предоставят насрещни ресурси към подкрепата от европейските структурни и инвестиционни фондове на финансовия инструмент или които инвестират съвместно на равнището на крайния получател (в EUR)</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37.2. от които суми за възстановяване на направени разходи за управление и заплащане на такси за управление на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37.3. от които — суми за покриване на загубите в номиналния размер на финансовото участие на европейските структурни и инвестиционни фондове за финансовия инструмент в резултат на отрицателни лихви, ако тези загуби възникнат въпреки активното управление на касовите наличности от структурите, изпълняващи финансови инструменти (в EUR)</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VIII. Напредък в постигането на очаквания лостов ефект на инвестициите, направени от финансовия инструмент, и стойност на инвестициите и участията (член 46, параграф 2, буква з) от Регламент (ЕС) № 1303/2013)</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38. Общ размер на другия принос, извън ЕСИ фондовете, набран от финансовия инструмент (в евро)</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38.1. Общ размер на другите участия (извън ЕСИ фондовете), за които е поет ангажимент в споразумението за финансиране с органа, изпълняващ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22 520 196,33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38.1A. Участие по финансовия продукт на ЕИБ, за което е поето задължение в рамките на споразумението за финансиране с органа, изпълняващ финансовия инструмент (само за инструменти по член 38, параграф 1, буква в) (в EUR)</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38.2. Общ размер на другите участия (извън ЕСИ фондовете), изплатени на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1 218 657,23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38.2.1. от които държавно участие (в евро)</w:t>
            </w:r>
          </w:p>
        </w:tc>
        <w:tc>
          <w:tcPr>
            <w:tcW w:w="0" w:type="auto"/>
            <w:shd w:val="clear" w:color="auto" w:fill="FFFFFF"/>
            <w:tcMar>
              <w:top w:w="20" w:type="dxa"/>
              <w:left w:w="20" w:type="dxa"/>
              <w:bottom w:w="20" w:type="dxa"/>
            </w:tcMar>
          </w:tcPr>
          <w:p w:rsidR="00012A46" w:rsidRDefault="00836FCA">
            <w:pPr>
              <w:spacing w:before="20" w:after="20"/>
              <w:jc w:val="right"/>
            </w:pPr>
            <w:r>
              <w:t>715 027,00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38.2.2. от които частни участия (в евро)</w:t>
            </w:r>
          </w:p>
        </w:tc>
        <w:tc>
          <w:tcPr>
            <w:tcW w:w="0" w:type="auto"/>
            <w:shd w:val="clear" w:color="auto" w:fill="FFFFFF"/>
            <w:tcMar>
              <w:top w:w="20" w:type="dxa"/>
              <w:left w:w="20" w:type="dxa"/>
              <w:bottom w:w="20" w:type="dxa"/>
            </w:tcMar>
          </w:tcPr>
          <w:p w:rsidR="00012A46" w:rsidRDefault="00836FCA">
            <w:pPr>
              <w:spacing w:before="20" w:after="20"/>
              <w:jc w:val="right"/>
            </w:pPr>
            <w:r>
              <w:t>503 630,23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38.2A. Участие по финансовия продукт на ЕИБ, изплатено към ФИ (само за инструменти по член 38, параграф 1, буква в) (в EUR)</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bl>
    <w:p w:rsidR="00012A46" w:rsidRDefault="00012A46">
      <w:pPr>
        <w:jc w:val="center"/>
        <w:rPr>
          <w:sz w:val="16"/>
        </w:rPr>
        <w:sectPr w:rsidR="00012A46">
          <w:pgSz w:w="12240" w:h="15840"/>
          <w:pgMar w:top="900" w:right="900" w:bottom="900" w:left="900" w:header="720" w:footer="720" w:gutter="0"/>
          <w:cols w:space="72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3593"/>
      </w:tblGrid>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1.1. Идентификатори (номер и наименование) на всяка приоритетна ос или мярка в подкрепа на финансовия инструмент по програма на ЕСИ фонд</w:t>
            </w:r>
          </w:p>
        </w:tc>
        <w:tc>
          <w:tcPr>
            <w:tcW w:w="0" w:type="auto"/>
            <w:shd w:val="clear" w:color="auto" w:fill="FFFFFF"/>
            <w:tcMar>
              <w:top w:w="20" w:type="dxa"/>
              <w:left w:w="20" w:type="dxa"/>
              <w:bottom w:w="20" w:type="dxa"/>
            </w:tcMar>
          </w:tcPr>
          <w:p w:rsidR="00012A46" w:rsidRDefault="00836FCA">
            <w:pPr>
              <w:spacing w:before="20" w:after="20"/>
              <w:jc w:val="left"/>
            </w:pPr>
            <w:r>
              <w:t>M04 — Инвестиции в материални активи (член 17)</w:t>
            </w:r>
          </w:p>
          <w:p w:rsidR="00012A46" w:rsidRDefault="00836FCA">
            <w:pPr>
              <w:spacing w:before="20" w:after="20"/>
              <w:jc w:val="left"/>
            </w:pPr>
            <w:r>
              <w:t>M06 — Развитие на стопанства и предприятия (член 19)</w:t>
            </w:r>
          </w:p>
          <w:p w:rsidR="00012A46" w:rsidRDefault="00836FCA">
            <w:pPr>
              <w:spacing w:before="20" w:after="20"/>
              <w:jc w:val="left"/>
            </w:pPr>
            <w:r>
              <w:t>M19 — Подкрепа за местно развитие по LEADER (ВОМР — водено от общностите местно развитие) (член 35 от Регламент (ЕС) № 1303/2013)</w:t>
            </w:r>
          </w:p>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3.01 Сума по ЕСИ фондовете, за която е поето задължение в споразумението за финансиране по отношение на отделните акцентирани области, споменати в член 5 от Регламент (ЕС) № 1305/2013, по мерки</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3.1. Сума на средствата от ЕСИ фондове, ангажирани за тази тематична цел</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II. Описание на финансовия инструмент и уредбата за изпълнението му (член 46, параграф 2, буква б)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5. Наименование на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Финансов инструмент по ПРСР 2014-2020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6. Официален адрес/място на стопанска дейност на финансовия инструмент (държава и град)</w:t>
            </w:r>
          </w:p>
        </w:tc>
        <w:tc>
          <w:tcPr>
            <w:tcW w:w="0" w:type="auto"/>
            <w:shd w:val="clear" w:color="auto" w:fill="FFFFFF"/>
            <w:tcMar>
              <w:top w:w="20" w:type="dxa"/>
              <w:left w:w="20" w:type="dxa"/>
              <w:bottom w:w="20" w:type="dxa"/>
            </w:tcMar>
          </w:tcPr>
          <w:p w:rsidR="00012A46" w:rsidRDefault="00836FCA">
            <w:pPr>
              <w:spacing w:before="20" w:after="20"/>
              <w:jc w:val="left"/>
            </w:pPr>
            <w:r>
              <w:t>Република България, гр. София 1000, ул. "Кърниградска" № 19, ет. 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8. Вид на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Специфичен фонд — част от фондови структури</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8.2. Свързани фондове — част от фондови структури</w:t>
            </w:r>
          </w:p>
        </w:tc>
        <w:tc>
          <w:tcPr>
            <w:tcW w:w="0" w:type="auto"/>
            <w:shd w:val="clear" w:color="auto" w:fill="FFFFFF"/>
            <w:tcMar>
              <w:top w:w="20" w:type="dxa"/>
              <w:left w:w="20" w:type="dxa"/>
              <w:bottom w:w="20" w:type="dxa"/>
            </w:tcMar>
          </w:tcPr>
          <w:p w:rsidR="00012A46" w:rsidRDefault="00836FCA">
            <w:pPr>
              <w:spacing w:before="20" w:after="20"/>
              <w:jc w:val="left"/>
            </w:pPr>
            <w:r>
              <w:t>Финансов инструмент по ПРСР 2014-2020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8.1. Специално съобразени финансови инструменти или финансови инструменти, отговарящи на стандартни условия, т.е. „готови инструменти“</w:t>
            </w:r>
          </w:p>
        </w:tc>
        <w:tc>
          <w:tcPr>
            <w:tcW w:w="0" w:type="auto"/>
            <w:shd w:val="clear" w:color="auto" w:fill="FFFFFF"/>
            <w:tcMar>
              <w:top w:w="20" w:type="dxa"/>
              <w:left w:w="20" w:type="dxa"/>
              <w:bottom w:w="20" w:type="dxa"/>
            </w:tcMar>
          </w:tcPr>
          <w:p w:rsidR="00012A46" w:rsidRDefault="00836FCA">
            <w:pPr>
              <w:spacing w:before="20" w:after="20"/>
              <w:jc w:val="right"/>
            </w:pPr>
            <w:r>
              <w:t>Индивидуализиран</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9. Вид на продуктите, предоставяни от финансовия инструмент: заеми, микрокредити, гаранции, дялови или квазидялови инвестиции, друг финансов продукт или друга подкрепа, комбинирани в рамките на финансовия инструмент съгласно член 37, параграф 7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9.0.1.  Кредити (≥ 25 000 евро)</w:t>
            </w:r>
          </w:p>
        </w:tc>
        <w:tc>
          <w:tcPr>
            <w:tcW w:w="0" w:type="auto"/>
            <w:shd w:val="clear" w:color="auto" w:fill="FFFFFF"/>
            <w:tcMar>
              <w:top w:w="20" w:type="dxa"/>
              <w:left w:w="20" w:type="dxa"/>
              <w:bottom w:w="20" w:type="dxa"/>
            </w:tcMar>
          </w:tcPr>
          <w:p w:rsidR="00012A46" w:rsidRDefault="00836FCA">
            <w:pPr>
              <w:spacing w:before="20" w:after="20"/>
              <w:jc w:val="right"/>
            </w:pPr>
            <w:r>
              <w:t>Да</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9.0.2. Микрокредити (&lt; 25 000 евро, предоставени на микропредприятия) според SEC/2011/1134 оконч.</w:t>
            </w:r>
          </w:p>
        </w:tc>
        <w:tc>
          <w:tcPr>
            <w:tcW w:w="0" w:type="auto"/>
            <w:shd w:val="clear" w:color="auto" w:fill="FFFFFF"/>
            <w:tcMar>
              <w:top w:w="20" w:type="dxa"/>
              <w:left w:w="20" w:type="dxa"/>
              <w:bottom w:w="20" w:type="dxa"/>
            </w:tcMar>
          </w:tcPr>
          <w:p w:rsidR="00012A46" w:rsidRDefault="00836FCA">
            <w:pPr>
              <w:spacing w:before="20" w:after="20"/>
              <w:jc w:val="right"/>
            </w:pPr>
            <w:r>
              <w:t>Да</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9.0.3. Гаранции</w:t>
            </w:r>
          </w:p>
        </w:tc>
        <w:tc>
          <w:tcPr>
            <w:tcW w:w="0" w:type="auto"/>
            <w:shd w:val="clear" w:color="auto" w:fill="FFFFFF"/>
            <w:tcMar>
              <w:top w:w="20" w:type="dxa"/>
              <w:left w:w="20" w:type="dxa"/>
              <w:bottom w:w="20" w:type="dxa"/>
            </w:tcMar>
          </w:tcPr>
          <w:p w:rsidR="00012A46" w:rsidRDefault="00836FCA">
            <w:pPr>
              <w:spacing w:before="20" w:after="20"/>
              <w:jc w:val="right"/>
            </w:pPr>
            <w:r>
              <w:t>Не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9.0.4. Дялова инвестиция</w:t>
            </w:r>
          </w:p>
        </w:tc>
        <w:tc>
          <w:tcPr>
            <w:tcW w:w="0" w:type="auto"/>
            <w:shd w:val="clear" w:color="auto" w:fill="FFFFFF"/>
            <w:tcMar>
              <w:top w:w="20" w:type="dxa"/>
              <w:left w:w="20" w:type="dxa"/>
              <w:bottom w:w="20" w:type="dxa"/>
            </w:tcMar>
          </w:tcPr>
          <w:p w:rsidR="00012A46" w:rsidRDefault="00836FCA">
            <w:pPr>
              <w:spacing w:before="20" w:after="20"/>
              <w:jc w:val="right"/>
            </w:pPr>
            <w:r>
              <w:t>Не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9.0.5. Квазидялова инвестиция</w:t>
            </w:r>
          </w:p>
        </w:tc>
        <w:tc>
          <w:tcPr>
            <w:tcW w:w="0" w:type="auto"/>
            <w:shd w:val="clear" w:color="auto" w:fill="FFFFFF"/>
            <w:tcMar>
              <w:top w:w="20" w:type="dxa"/>
              <w:left w:w="20" w:type="dxa"/>
              <w:bottom w:w="20" w:type="dxa"/>
            </w:tcMar>
          </w:tcPr>
          <w:p w:rsidR="00012A46" w:rsidRDefault="00836FCA">
            <w:pPr>
              <w:spacing w:before="20" w:after="20"/>
              <w:jc w:val="right"/>
            </w:pPr>
            <w:r>
              <w:t>Не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9.0.6. Други финансови продукти</w:t>
            </w:r>
          </w:p>
        </w:tc>
        <w:tc>
          <w:tcPr>
            <w:tcW w:w="0" w:type="auto"/>
            <w:shd w:val="clear" w:color="auto" w:fill="FFFFFF"/>
            <w:tcMar>
              <w:top w:w="20" w:type="dxa"/>
              <w:left w:w="20" w:type="dxa"/>
              <w:bottom w:w="20" w:type="dxa"/>
            </w:tcMar>
          </w:tcPr>
          <w:p w:rsidR="00012A46" w:rsidRDefault="00836FCA">
            <w:pPr>
              <w:spacing w:before="20" w:after="20"/>
              <w:jc w:val="right"/>
            </w:pPr>
            <w:r>
              <w:t>Не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9.0.7. Друга подкрепа, комбинирана с финансов инструмент</w:t>
            </w:r>
          </w:p>
        </w:tc>
        <w:tc>
          <w:tcPr>
            <w:tcW w:w="0" w:type="auto"/>
            <w:shd w:val="clear" w:color="auto" w:fill="FFFFFF"/>
            <w:tcMar>
              <w:top w:w="20" w:type="dxa"/>
              <w:left w:w="20" w:type="dxa"/>
              <w:bottom w:w="20" w:type="dxa"/>
            </w:tcMar>
          </w:tcPr>
          <w:p w:rsidR="00012A46" w:rsidRDefault="00836FCA">
            <w:pPr>
              <w:spacing w:before="20" w:after="20"/>
              <w:jc w:val="right"/>
            </w:pPr>
            <w:r>
              <w:t>Не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9.1. Описание на другия финансов продукт</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9.2. Друга подкрепа, комбинирана в рамките на финансовия инструмент: безвъзмездни средства, лихвени субсидии, субсидии за гаранционни такси съгласно член 37, параграф 7 от Регламент (ЕС) № 1303/2013</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10. Правен статут на финансовия инструмент съгласно член 38, параграф 6 и член 39а, параграф 5, буква б) от Регламент (ЕС) № 1303/2013 (само за финансови инструменти, посочени в член 38, параграф 1, букви б) и в): доверителна сметка, открита на името на изпълняващата организация и в полза на управляващия орган или отделен финансов блок в рамките на финансовата институция</w:t>
            </w:r>
          </w:p>
        </w:tc>
        <w:tc>
          <w:tcPr>
            <w:tcW w:w="0" w:type="auto"/>
            <w:shd w:val="clear" w:color="auto" w:fill="FFFFFF"/>
            <w:tcMar>
              <w:top w:w="20" w:type="dxa"/>
              <w:left w:w="20" w:type="dxa"/>
              <w:bottom w:w="20" w:type="dxa"/>
            </w:tcMar>
          </w:tcPr>
          <w:p w:rsidR="00012A46" w:rsidRDefault="00836FCA">
            <w:pPr>
              <w:spacing w:before="20" w:after="20"/>
              <w:jc w:val="left"/>
            </w:pPr>
            <w:r>
              <w:t>Доверителна сметка</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III. Идентификация на органа, изпълняващ финансовия инструмент, и на органа, изпълняващ фонд или фондове, където е приложимо, както е посочено в член 38, параграф 1), букви а), б) и в) от Регламент (ЕС) № 1303/2013 (член 46, параграф 2, буква в) от Регламент (ЕС) № 1303/2013)</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11. Орган, изпълняващ финансовия инструмент</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11.1. Вид на изпълняващия орган съгласно член 38, параграф 4 и член 39а, параграф 5 от Регламент (ЕС) № 1303/2013: съществуващ или новосъздаден правен субект, чиято функция е изпълнението на финансови инструменти; Европейската инвестиционна банка; Европейският инвестиционен фонд; международна финансова институция, в която дадена държава членка притежава дялове; банка или институция, която е публична собственост, учредена като правен субект, извършващ финансови дейности на професионална основа; публичноправен или частноправен орган; управляващ орган, който пряко предприема задачи по изпълнението (само за заеми и гаранции)</w:t>
            </w:r>
          </w:p>
        </w:tc>
        <w:tc>
          <w:tcPr>
            <w:tcW w:w="0" w:type="auto"/>
            <w:shd w:val="clear" w:color="auto" w:fill="FFFFFF"/>
            <w:tcMar>
              <w:top w:w="20" w:type="dxa"/>
              <w:left w:w="20" w:type="dxa"/>
              <w:bottom w:w="20" w:type="dxa"/>
            </w:tcMar>
          </w:tcPr>
          <w:p w:rsidR="00012A46" w:rsidRDefault="00836FCA">
            <w:pPr>
              <w:spacing w:before="20" w:after="20"/>
              <w:jc w:val="left"/>
            </w:pPr>
            <w:r>
              <w:t>Публичноправна или частноправна организация</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11.1.1. Наименование на органа, изпълняващ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“Фонд мениджър на финансови инструменти в България” ЕАД</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11.1.2. Официален адрес/място на стопанска дейност (държава и град) на органа, изпълняващ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„ПИБ"АД: София, България - бул. „Цариградско шосе“ № 111 П, гр. София 1784</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12. Процедура за избор на органа, изпълняващ финансовия инструмент: възлагане на обществена поръчка; друга процедура.</w:t>
            </w:r>
          </w:p>
        </w:tc>
        <w:tc>
          <w:tcPr>
            <w:tcW w:w="0" w:type="auto"/>
            <w:shd w:val="clear" w:color="auto" w:fill="FFFFFF"/>
            <w:tcMar>
              <w:top w:w="20" w:type="dxa"/>
              <w:left w:w="20" w:type="dxa"/>
              <w:bottom w:w="20" w:type="dxa"/>
            </w:tcMar>
          </w:tcPr>
          <w:p w:rsidR="00012A46" w:rsidRDefault="00836FCA">
            <w:pPr>
              <w:spacing w:before="20" w:after="20"/>
              <w:jc w:val="left"/>
            </w:pPr>
            <w:r>
              <w:t>Пряко възлагане на поръчка на публични банки или институции</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12.1. Описание на другата процедура за избор на органа, изпълняващ финансовия инструмент</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13. Дата на подписване на споразумението за финансиране с органа, изпълняващ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right"/>
            </w:pPr>
            <w:r>
              <w:t>25.11.2021</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IV. Общ размер на приноса от програмата, по приоритет или мярка, изплатен на финансовия инструмент, както и направени разходи за управление или платени такси за управление (член 46, параграф 2, букви г) и д)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 xml:space="preserve">14. Общ размер на финансовото участие на програмата, за който е </w:t>
            </w:r>
            <w:r>
              <w:lastRenderedPageBreak/>
              <w:t>поето задължение в споразумението за финансиране (в евро)</w:t>
            </w:r>
          </w:p>
        </w:tc>
        <w:tc>
          <w:tcPr>
            <w:tcW w:w="0" w:type="auto"/>
            <w:shd w:val="clear" w:color="auto" w:fill="FFFFFF"/>
            <w:tcMar>
              <w:top w:w="20" w:type="dxa"/>
              <w:left w:w="20" w:type="dxa"/>
              <w:bottom w:w="20" w:type="dxa"/>
            </w:tcMar>
          </w:tcPr>
          <w:p w:rsidR="00012A46" w:rsidRDefault="00836FCA">
            <w:pPr>
              <w:spacing w:before="20" w:after="20"/>
              <w:jc w:val="right"/>
            </w:pPr>
            <w:r>
              <w:lastRenderedPageBreak/>
              <w:t>M04: 14 975 066,00</w:t>
            </w:r>
          </w:p>
          <w:p w:rsidR="00012A46" w:rsidRDefault="00836FCA">
            <w:pPr>
              <w:spacing w:before="20" w:after="20"/>
              <w:jc w:val="right"/>
            </w:pPr>
            <w:r>
              <w:lastRenderedPageBreak/>
              <w:t>M06: 1 727 892,00</w:t>
            </w:r>
          </w:p>
          <w:p w:rsidR="00012A46" w:rsidRDefault="00836FCA">
            <w:pPr>
              <w:spacing w:before="20" w:after="20"/>
              <w:jc w:val="right"/>
            </w:pPr>
            <w:r>
              <w:t>M19: 2 879 820,00</w:t>
            </w:r>
          </w:p>
          <w:p w:rsidR="00012A46" w:rsidRDefault="00836FCA">
            <w:pPr>
              <w:spacing w:before="20" w:after="20"/>
              <w:jc w:val="right"/>
            </w:pPr>
            <w:r>
              <w:t>Total: 19 582 778,00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14.1. от които участие на ЕСИ фондове (в евро)</w:t>
            </w:r>
          </w:p>
        </w:tc>
        <w:tc>
          <w:tcPr>
            <w:tcW w:w="0" w:type="auto"/>
            <w:shd w:val="clear" w:color="auto" w:fill="FFFFFF"/>
            <w:tcMar>
              <w:top w:w="20" w:type="dxa"/>
              <w:left w:w="20" w:type="dxa"/>
              <w:bottom w:w="20" w:type="dxa"/>
            </w:tcMar>
          </w:tcPr>
          <w:p w:rsidR="00012A46" w:rsidRDefault="00836FCA">
            <w:pPr>
              <w:spacing w:before="20" w:after="20"/>
              <w:jc w:val="right"/>
            </w:pPr>
            <w:r>
              <w:t>M04: 12 728 806,00</w:t>
            </w:r>
          </w:p>
          <w:p w:rsidR="00012A46" w:rsidRDefault="00836FCA">
            <w:pPr>
              <w:spacing w:before="20" w:after="20"/>
              <w:jc w:val="right"/>
            </w:pPr>
            <w:r>
              <w:t>M06: 1 468 708,00</w:t>
            </w:r>
          </w:p>
          <w:p w:rsidR="00012A46" w:rsidRDefault="00836FCA">
            <w:pPr>
              <w:spacing w:before="20" w:after="20"/>
              <w:jc w:val="right"/>
            </w:pPr>
            <w:r>
              <w:t>M19: 2 447 847,00</w:t>
            </w:r>
          </w:p>
          <w:p w:rsidR="00012A46" w:rsidRDefault="00836FCA">
            <w:pPr>
              <w:spacing w:before="20" w:after="20"/>
              <w:jc w:val="right"/>
            </w:pPr>
            <w:r>
              <w:t>Total: 16 645 361,00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14.1.1. от които ЕФРР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14.1.2. от които Кохезионен фонд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14.1.3. от които ЕСФ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14.1.4. от които ЕЗФРСР (в евро) (незадължително)</w:t>
            </w:r>
          </w:p>
        </w:tc>
        <w:tc>
          <w:tcPr>
            <w:tcW w:w="0" w:type="auto"/>
            <w:shd w:val="clear" w:color="auto" w:fill="FFFFFF"/>
            <w:tcMar>
              <w:top w:w="20" w:type="dxa"/>
              <w:left w:w="20" w:type="dxa"/>
              <w:bottom w:w="20" w:type="dxa"/>
            </w:tcMar>
          </w:tcPr>
          <w:p w:rsidR="00012A46" w:rsidRDefault="00836FCA">
            <w:pPr>
              <w:spacing w:before="20" w:after="20"/>
              <w:jc w:val="right"/>
            </w:pPr>
            <w:r>
              <w:t>M04: 12 728 806,00</w:t>
            </w:r>
          </w:p>
          <w:p w:rsidR="00012A46" w:rsidRDefault="00836FCA">
            <w:pPr>
              <w:spacing w:before="20" w:after="20"/>
              <w:jc w:val="right"/>
            </w:pPr>
            <w:r>
              <w:t>M06: 1 468 708,00</w:t>
            </w:r>
          </w:p>
          <w:p w:rsidR="00012A46" w:rsidRDefault="00836FCA">
            <w:pPr>
              <w:spacing w:before="20" w:after="20"/>
              <w:jc w:val="right"/>
            </w:pPr>
            <w:r>
              <w:t>M19: 2 447 847,00</w:t>
            </w:r>
          </w:p>
          <w:p w:rsidR="00012A46" w:rsidRDefault="00836FCA">
            <w:pPr>
              <w:spacing w:before="20" w:after="20"/>
              <w:jc w:val="right"/>
            </w:pPr>
            <w:r>
              <w:t>Total: 16 645 361,00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14.1.5. от които ЕФМДР (в евро) (незадължително)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 Общ размер на финансовото участие на програмата, изплатено на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M04: 3,645,236.00</w:t>
            </w:r>
          </w:p>
          <w:p w:rsidR="00012A46" w:rsidRDefault="00836FCA">
            <w:pPr>
              <w:spacing w:before="20" w:after="20"/>
              <w:jc w:val="right"/>
            </w:pPr>
            <w:r>
              <w:t>M06: 420,605.00</w:t>
            </w:r>
          </w:p>
          <w:p w:rsidR="00012A46" w:rsidRDefault="00836FCA">
            <w:pPr>
              <w:spacing w:before="20" w:after="20"/>
              <w:jc w:val="right"/>
            </w:pPr>
            <w:r>
              <w:t>M19: 701,007.00</w:t>
            </w:r>
          </w:p>
          <w:p w:rsidR="00012A46" w:rsidRDefault="00836FCA">
            <w:pPr>
              <w:spacing w:before="20" w:after="20"/>
              <w:jc w:val="right"/>
            </w:pPr>
            <w:r>
              <w:t>Total: 4,766,848.00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 от които стойност на участието на ЕСИ фондове (в евро)</w:t>
            </w:r>
          </w:p>
        </w:tc>
        <w:tc>
          <w:tcPr>
            <w:tcW w:w="0" w:type="auto"/>
            <w:shd w:val="clear" w:color="auto" w:fill="FFFFFF"/>
            <w:tcMar>
              <w:top w:w="20" w:type="dxa"/>
              <w:left w:w="20" w:type="dxa"/>
              <w:bottom w:w="20" w:type="dxa"/>
            </w:tcMar>
          </w:tcPr>
          <w:p w:rsidR="00012A46" w:rsidRDefault="00836FCA">
            <w:pPr>
              <w:spacing w:before="20" w:after="20"/>
              <w:jc w:val="right"/>
            </w:pPr>
            <w:r>
              <w:t>M04: 3,098,451.00</w:t>
            </w:r>
          </w:p>
          <w:p w:rsidR="00012A46" w:rsidRDefault="00836FCA">
            <w:pPr>
              <w:spacing w:before="20" w:after="20"/>
              <w:jc w:val="right"/>
            </w:pPr>
            <w:r>
              <w:t>M06: 357,514.00</w:t>
            </w:r>
          </w:p>
          <w:p w:rsidR="00012A46" w:rsidRDefault="00836FCA">
            <w:pPr>
              <w:spacing w:before="20" w:after="20"/>
              <w:jc w:val="right"/>
            </w:pPr>
            <w:r>
              <w:t>M19: 595,856.00</w:t>
            </w:r>
          </w:p>
          <w:p w:rsidR="00012A46" w:rsidRDefault="00836FCA">
            <w:pPr>
              <w:spacing w:before="20" w:after="20"/>
              <w:jc w:val="right"/>
            </w:pPr>
            <w:r>
              <w:t>Total: 4,051,821.00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15.1.1. от които ЕФРР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15.1.2. от които Кохезионен фонд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15.1.3. от които ЕСФ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15.1.4. от които ЕЗФРСР (в евро)</w:t>
            </w:r>
          </w:p>
        </w:tc>
        <w:tc>
          <w:tcPr>
            <w:tcW w:w="0" w:type="auto"/>
            <w:shd w:val="clear" w:color="auto" w:fill="FFFFFF"/>
            <w:tcMar>
              <w:top w:w="20" w:type="dxa"/>
              <w:left w:w="20" w:type="dxa"/>
              <w:bottom w:w="20" w:type="dxa"/>
            </w:tcMar>
          </w:tcPr>
          <w:p w:rsidR="00012A46" w:rsidRDefault="00836FCA">
            <w:pPr>
              <w:spacing w:before="20" w:after="20"/>
              <w:jc w:val="right"/>
            </w:pPr>
            <w:r>
              <w:t>M04: 3 098 451,00</w:t>
            </w:r>
          </w:p>
          <w:p w:rsidR="00012A46" w:rsidRDefault="00836FCA">
            <w:pPr>
              <w:spacing w:before="20" w:after="20"/>
              <w:jc w:val="right"/>
            </w:pPr>
            <w:r>
              <w:t>M06: 357 514,00</w:t>
            </w:r>
          </w:p>
          <w:p w:rsidR="00012A46" w:rsidRDefault="00836FCA">
            <w:pPr>
              <w:spacing w:before="20" w:after="20"/>
              <w:jc w:val="right"/>
            </w:pPr>
            <w:r>
              <w:t>M19: 595 856,00</w:t>
            </w:r>
          </w:p>
          <w:p w:rsidR="00012A46" w:rsidRDefault="00836FCA">
            <w:pPr>
              <w:spacing w:before="20" w:after="20"/>
              <w:jc w:val="right"/>
            </w:pPr>
            <w:r>
              <w:t>Total: 4 051 821,00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15.1.5. от които ЕФМДР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15.2. от които общ размер национално съфинансиране (в евро)</w:t>
            </w:r>
          </w:p>
        </w:tc>
        <w:tc>
          <w:tcPr>
            <w:tcW w:w="0" w:type="auto"/>
            <w:shd w:val="clear" w:color="auto" w:fill="FFFFFF"/>
            <w:tcMar>
              <w:top w:w="20" w:type="dxa"/>
              <w:left w:w="20" w:type="dxa"/>
              <w:bottom w:w="20" w:type="dxa"/>
            </w:tcMar>
          </w:tcPr>
          <w:p w:rsidR="00012A46" w:rsidRDefault="00836FCA">
            <w:pPr>
              <w:spacing w:before="20" w:after="20"/>
              <w:jc w:val="right"/>
            </w:pPr>
            <w:r>
              <w:t>M04: 546,785.00</w:t>
            </w:r>
          </w:p>
          <w:p w:rsidR="00012A46" w:rsidRDefault="00836FCA">
            <w:pPr>
              <w:spacing w:before="20" w:after="20"/>
              <w:jc w:val="right"/>
            </w:pPr>
            <w:r>
              <w:t>M06: 63,091.00</w:t>
            </w:r>
          </w:p>
          <w:p w:rsidR="00012A46" w:rsidRDefault="00836FCA">
            <w:pPr>
              <w:spacing w:before="20" w:after="20"/>
              <w:jc w:val="right"/>
            </w:pPr>
            <w:r>
              <w:t>M19: 105,151.00</w:t>
            </w:r>
          </w:p>
          <w:p w:rsidR="00012A46" w:rsidRDefault="00836FCA">
            <w:pPr>
              <w:spacing w:before="20" w:after="20"/>
              <w:jc w:val="right"/>
            </w:pPr>
            <w:r>
              <w:t>Other: 0.00</w:t>
            </w:r>
          </w:p>
          <w:p w:rsidR="00012A46" w:rsidRDefault="00836FCA">
            <w:pPr>
              <w:spacing w:before="20" w:after="20"/>
              <w:jc w:val="right"/>
            </w:pPr>
            <w:r>
              <w:t>Total: 715,027.00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15.2.1. от които общ размер национално публично финансиране (в евро)</w:t>
            </w:r>
          </w:p>
        </w:tc>
        <w:tc>
          <w:tcPr>
            <w:tcW w:w="0" w:type="auto"/>
            <w:shd w:val="clear" w:color="auto" w:fill="FFFFFF"/>
            <w:tcMar>
              <w:top w:w="20" w:type="dxa"/>
              <w:left w:w="20" w:type="dxa"/>
              <w:bottom w:w="20" w:type="dxa"/>
            </w:tcMar>
          </w:tcPr>
          <w:p w:rsidR="00012A46" w:rsidRDefault="00836FCA">
            <w:pPr>
              <w:spacing w:before="20" w:after="20"/>
              <w:jc w:val="right"/>
            </w:pPr>
            <w:r>
              <w:t>M04: 546 785,00</w:t>
            </w:r>
          </w:p>
          <w:p w:rsidR="00012A46" w:rsidRDefault="00836FCA">
            <w:pPr>
              <w:spacing w:before="20" w:after="20"/>
              <w:jc w:val="right"/>
            </w:pPr>
            <w:r>
              <w:t>M06: 63 091,00</w:t>
            </w:r>
          </w:p>
          <w:p w:rsidR="00012A46" w:rsidRDefault="00836FCA">
            <w:pPr>
              <w:spacing w:before="20" w:after="20"/>
              <w:jc w:val="right"/>
            </w:pPr>
            <w:r>
              <w:t>M19: 105 151,00</w:t>
            </w:r>
          </w:p>
          <w:p w:rsidR="00012A46" w:rsidRDefault="00836FCA">
            <w:pPr>
              <w:spacing w:before="20" w:after="20"/>
              <w:jc w:val="right"/>
            </w:pPr>
            <w:r>
              <w:t>Total: 715 027,00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15.2.2. от които общ размер национално частно финансиране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16. Общ размер на финансовото участие на програмата, изплатено на финансовия инструмент съгласно Инициативата за младежка заетост (ИМЗ)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17. Общ размер на разходите за управление и таксите за управление, платени със средства от програмата (в евро)</w:t>
            </w:r>
          </w:p>
        </w:tc>
        <w:tc>
          <w:tcPr>
            <w:tcW w:w="0" w:type="auto"/>
            <w:shd w:val="clear" w:color="auto" w:fill="FFFFFF"/>
            <w:tcMar>
              <w:top w:w="20" w:type="dxa"/>
              <w:left w:w="20" w:type="dxa"/>
              <w:bottom w:w="20" w:type="dxa"/>
            </w:tcMar>
          </w:tcPr>
          <w:p w:rsidR="00012A46" w:rsidRDefault="00836FCA">
            <w:pPr>
              <w:spacing w:before="20" w:after="20"/>
              <w:jc w:val="right"/>
            </w:pPr>
            <w:r>
              <w:t>M04: 35 746,00</w:t>
            </w:r>
          </w:p>
          <w:p w:rsidR="00012A46" w:rsidRDefault="00836FCA">
            <w:pPr>
              <w:spacing w:before="20" w:after="20"/>
              <w:jc w:val="right"/>
            </w:pPr>
            <w:r>
              <w:t>M06: 4 125,00</w:t>
            </w:r>
          </w:p>
          <w:p w:rsidR="00012A46" w:rsidRDefault="00836FCA">
            <w:pPr>
              <w:spacing w:before="20" w:after="20"/>
              <w:jc w:val="right"/>
            </w:pPr>
            <w:r>
              <w:t>M19: 6 874,00</w:t>
            </w:r>
          </w:p>
          <w:p w:rsidR="00012A46" w:rsidRDefault="00836FCA">
            <w:pPr>
              <w:spacing w:before="20" w:after="20"/>
              <w:jc w:val="right"/>
            </w:pPr>
            <w:r>
              <w:t>Total: 46 745,00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17.1. от които за основно възнаграждение (в евро)</w:t>
            </w:r>
          </w:p>
        </w:tc>
        <w:tc>
          <w:tcPr>
            <w:tcW w:w="0" w:type="auto"/>
            <w:shd w:val="clear" w:color="auto" w:fill="FFFFFF"/>
            <w:tcMar>
              <w:top w:w="20" w:type="dxa"/>
              <w:left w:w="20" w:type="dxa"/>
              <w:bottom w:w="20" w:type="dxa"/>
            </w:tcMar>
          </w:tcPr>
          <w:p w:rsidR="00012A46" w:rsidRDefault="00836FCA">
            <w:pPr>
              <w:spacing w:before="20" w:after="20"/>
              <w:jc w:val="right"/>
            </w:pPr>
            <w:r>
              <w:t>M04: 30 236,00</w:t>
            </w:r>
          </w:p>
          <w:p w:rsidR="00012A46" w:rsidRDefault="00836FCA">
            <w:pPr>
              <w:spacing w:before="20" w:after="20"/>
              <w:jc w:val="right"/>
            </w:pPr>
            <w:r>
              <w:t>M06: 3 489,00</w:t>
            </w:r>
          </w:p>
          <w:p w:rsidR="00012A46" w:rsidRDefault="00836FCA">
            <w:pPr>
              <w:spacing w:before="20" w:after="20"/>
              <w:jc w:val="right"/>
            </w:pPr>
            <w:r>
              <w:t>M19: 5 815,00</w:t>
            </w:r>
          </w:p>
          <w:p w:rsidR="00012A46" w:rsidRDefault="00836FCA">
            <w:pPr>
              <w:spacing w:before="20" w:after="20"/>
              <w:jc w:val="right"/>
            </w:pPr>
            <w:r>
              <w:t>Total: 39 540,00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17.2. от които за възнаграждение, обвързано с резултатите (в евро)</w:t>
            </w:r>
          </w:p>
        </w:tc>
        <w:tc>
          <w:tcPr>
            <w:tcW w:w="0" w:type="auto"/>
            <w:shd w:val="clear" w:color="auto" w:fill="FFFFFF"/>
            <w:tcMar>
              <w:top w:w="20" w:type="dxa"/>
              <w:left w:w="20" w:type="dxa"/>
              <w:bottom w:w="20" w:type="dxa"/>
            </w:tcMar>
          </w:tcPr>
          <w:p w:rsidR="00012A46" w:rsidRDefault="00836FCA">
            <w:pPr>
              <w:spacing w:before="20" w:after="20"/>
              <w:jc w:val="right"/>
            </w:pPr>
            <w:r>
              <w:t>M04: 5 510,00</w:t>
            </w:r>
          </w:p>
          <w:p w:rsidR="00012A46" w:rsidRDefault="00836FCA">
            <w:pPr>
              <w:spacing w:before="20" w:after="20"/>
              <w:jc w:val="right"/>
            </w:pPr>
            <w:r>
              <w:t>M06: 636,00</w:t>
            </w:r>
          </w:p>
          <w:p w:rsidR="00012A46" w:rsidRDefault="00836FCA">
            <w:pPr>
              <w:spacing w:before="20" w:after="20"/>
              <w:jc w:val="right"/>
            </w:pPr>
            <w:r>
              <w:t>M19: 1 059,00</w:t>
            </w:r>
          </w:p>
          <w:p w:rsidR="00012A46" w:rsidRDefault="00836FCA">
            <w:pPr>
              <w:spacing w:before="20" w:after="20"/>
              <w:jc w:val="right"/>
            </w:pPr>
            <w:r>
              <w:t>Total: 7 205,00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18. Капитализирани разходи за управление или такси за управление съгласно член 42, параграф 2 от Регламент (ЕС) № 1303/2013 (приложимо само за окончателния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19. Капитализирано субсидиране на лихвата или субсидиране на гаранционната такса съгласно член 42, параграф 1, буква в) от Регламент (ЕС) № 1303/2013 (отнася се само за окончателен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20. Размер на приноса от програмата за последващи инвестиции в крайни получатели съгласно член 42, параграф 3 от Регламент (ЕС) № 1303/2013 (отнася се само за окончателен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21. Принос за земя и/или недвижима собственост във финансовия инструмент съгласно член 37, параграф 10 от Регламент (ЕС) № 1303/2013 (отнася се само за окончателен доклад)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V. Общ размер на подкрепата, платена на крайни получатели, или в полза на крайни получатели, или за която са поети задължения по договори за гаранция от финансовия инструмент за инвестиции в крайни получатели, по програма и приоритет или мярка на ЕСИ фондовете (член 46, параграф 2, буква д)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22. Наименование финансовия продукт, предлаган от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Финансов инструмент по ПРСР 2014-2020-заем</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22.1. Вид финансов продукт, предлаган от финансовия инструмент</w:t>
            </w:r>
          </w:p>
        </w:tc>
        <w:tc>
          <w:tcPr>
            <w:tcW w:w="0" w:type="auto"/>
            <w:shd w:val="clear" w:color="auto" w:fill="FFFFFF"/>
            <w:tcMar>
              <w:top w:w="20" w:type="dxa"/>
              <w:left w:w="20" w:type="dxa"/>
              <w:bottom w:w="20" w:type="dxa"/>
            </w:tcMar>
          </w:tcPr>
          <w:p w:rsidR="00012A46" w:rsidRDefault="00836FCA">
            <w:pPr>
              <w:spacing w:before="20" w:after="20"/>
              <w:jc w:val="left"/>
            </w:pPr>
            <w:r>
              <w:t>Заем</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24. Общ размер на финансовото участие на програмата, ангажирано за тези договори за заем, гаранция, дялова или квазидялова инвестиция или други финансови продукти с крайни получатели (в евро)</w:t>
            </w:r>
          </w:p>
        </w:tc>
        <w:tc>
          <w:tcPr>
            <w:tcW w:w="0" w:type="auto"/>
            <w:shd w:val="clear" w:color="auto" w:fill="FFFFFF"/>
            <w:tcMar>
              <w:top w:w="20" w:type="dxa"/>
              <w:left w:w="20" w:type="dxa"/>
              <w:bottom w:w="20" w:type="dxa"/>
            </w:tcMar>
          </w:tcPr>
          <w:p w:rsidR="00012A46" w:rsidRDefault="00836FCA">
            <w:pPr>
              <w:spacing w:before="20" w:after="20"/>
              <w:jc w:val="right"/>
            </w:pPr>
            <w:r>
              <w:t>Other: 503 630,00</w:t>
            </w:r>
          </w:p>
          <w:p w:rsidR="00012A46" w:rsidRDefault="00836FCA">
            <w:pPr>
              <w:spacing w:before="20" w:after="20"/>
              <w:jc w:val="right"/>
            </w:pPr>
            <w:r>
              <w:t>Total: 503 630,00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24.1. от които общ размер на финансовото участие на ЕСИ фондовете (в евро)</w:t>
            </w:r>
          </w:p>
        </w:tc>
        <w:tc>
          <w:tcPr>
            <w:tcW w:w="0" w:type="auto"/>
            <w:shd w:val="clear" w:color="auto" w:fill="FFFFFF"/>
            <w:tcMar>
              <w:top w:w="20" w:type="dxa"/>
              <w:left w:w="20" w:type="dxa"/>
              <w:bottom w:w="20" w:type="dxa"/>
            </w:tcMar>
          </w:tcPr>
          <w:p w:rsidR="00012A46" w:rsidRDefault="00836FCA">
            <w:pPr>
              <w:spacing w:before="20" w:after="20"/>
              <w:jc w:val="right"/>
            </w:pPr>
            <w:r>
              <w:t>Other: 428 086,00</w:t>
            </w:r>
          </w:p>
          <w:p w:rsidR="00012A46" w:rsidRDefault="00836FCA">
            <w:pPr>
              <w:spacing w:before="20" w:after="20"/>
              <w:jc w:val="right"/>
            </w:pPr>
            <w:r>
              <w:t>Total: 428 086,00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 xml:space="preserve">25. Обща размер на финансовото участие на програмата, платен на крайни получатели посредством заеми, микрокредити, дялов </w:t>
            </w:r>
            <w:r>
              <w:lastRenderedPageBreak/>
              <w:t>капитал или други продукти, а за гаранциите — ангажиран за заеми, платени на крайни получатели, по продукти (в евро)</w:t>
            </w:r>
          </w:p>
        </w:tc>
        <w:tc>
          <w:tcPr>
            <w:tcW w:w="0" w:type="auto"/>
            <w:shd w:val="clear" w:color="auto" w:fill="FFFFFF"/>
            <w:tcMar>
              <w:top w:w="20" w:type="dxa"/>
              <w:left w:w="20" w:type="dxa"/>
              <w:bottom w:w="20" w:type="dxa"/>
            </w:tcMar>
          </w:tcPr>
          <w:p w:rsidR="00012A46" w:rsidRDefault="00836FCA">
            <w:pPr>
              <w:spacing w:before="20" w:after="20"/>
              <w:jc w:val="right"/>
            </w:pPr>
            <w:r>
              <w:lastRenderedPageBreak/>
              <w:t>Other: 503 630,00</w:t>
            </w:r>
          </w:p>
          <w:p w:rsidR="00012A46" w:rsidRDefault="00836FCA">
            <w:pPr>
              <w:spacing w:before="20" w:after="20"/>
              <w:jc w:val="right"/>
            </w:pPr>
            <w:r>
              <w:t>Total: 503 630,00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25.1. от които общ размер на финансовото участие на ЕСИ фондовете (в евро)</w:t>
            </w:r>
          </w:p>
        </w:tc>
        <w:tc>
          <w:tcPr>
            <w:tcW w:w="0" w:type="auto"/>
            <w:shd w:val="clear" w:color="auto" w:fill="FFFFFF"/>
            <w:tcMar>
              <w:top w:w="20" w:type="dxa"/>
              <w:left w:w="20" w:type="dxa"/>
              <w:bottom w:w="20" w:type="dxa"/>
            </w:tcMar>
          </w:tcPr>
          <w:p w:rsidR="00012A46" w:rsidRDefault="00836FCA">
            <w:pPr>
              <w:spacing w:before="20" w:after="20"/>
              <w:jc w:val="right"/>
            </w:pPr>
            <w:r>
              <w:t>M04: 428,086.00</w:t>
            </w:r>
          </w:p>
          <w:p w:rsidR="00012A46" w:rsidRDefault="00836FCA">
            <w:pPr>
              <w:spacing w:before="20" w:after="20"/>
              <w:jc w:val="right"/>
            </w:pPr>
            <w:r>
              <w:t>Other: 0.00</w:t>
            </w:r>
          </w:p>
          <w:p w:rsidR="00012A46" w:rsidRDefault="00836FCA">
            <w:pPr>
              <w:spacing w:before="20" w:after="20"/>
              <w:jc w:val="right"/>
            </w:pPr>
            <w:r>
              <w:t>Total: 428,086.00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25.1.1. от които по ЕФРР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25.1.2. от които Кохезионен фонд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25.1.3. от които по ЕСФ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25.1.4. от които по ЕЗФРСР (в евро)</w:t>
            </w:r>
          </w:p>
        </w:tc>
        <w:tc>
          <w:tcPr>
            <w:tcW w:w="0" w:type="auto"/>
            <w:shd w:val="clear" w:color="auto" w:fill="FFFFFF"/>
            <w:tcMar>
              <w:top w:w="20" w:type="dxa"/>
              <w:left w:w="20" w:type="dxa"/>
              <w:bottom w:w="20" w:type="dxa"/>
            </w:tcMar>
          </w:tcPr>
          <w:p w:rsidR="00012A46" w:rsidRDefault="00836FCA">
            <w:pPr>
              <w:spacing w:before="20" w:after="20"/>
              <w:jc w:val="right"/>
            </w:pPr>
            <w:r>
              <w:t>M04: 428 086,00</w:t>
            </w:r>
          </w:p>
          <w:p w:rsidR="00012A46" w:rsidRDefault="00836FCA">
            <w:pPr>
              <w:spacing w:before="20" w:after="20"/>
              <w:jc w:val="right"/>
            </w:pPr>
            <w:r>
              <w:t>Total: 428 086,00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25.1.5. от които по ЕФМДР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25.2. от които общ размер национално публично съфинансиране (в евро)</w:t>
            </w:r>
          </w:p>
        </w:tc>
        <w:tc>
          <w:tcPr>
            <w:tcW w:w="0" w:type="auto"/>
            <w:shd w:val="clear" w:color="auto" w:fill="FFFFFF"/>
            <w:tcMar>
              <w:top w:w="20" w:type="dxa"/>
              <w:left w:w="20" w:type="dxa"/>
              <w:bottom w:w="20" w:type="dxa"/>
            </w:tcMar>
          </w:tcPr>
          <w:p w:rsidR="00012A46" w:rsidRDefault="00836FCA">
            <w:pPr>
              <w:spacing w:before="20" w:after="20"/>
              <w:jc w:val="right"/>
            </w:pPr>
            <w:r>
              <w:t>M04: 75 544,00</w:t>
            </w:r>
          </w:p>
          <w:p w:rsidR="00012A46" w:rsidRDefault="00836FCA">
            <w:pPr>
              <w:spacing w:before="20" w:after="20"/>
              <w:jc w:val="right"/>
            </w:pPr>
            <w:r>
              <w:t>Total: 75 544,00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25.3. от които общ размер национално частно съфинансиране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27. Брой договори за заем/гаранция/дялов капитал или квазидялов капитал/друг финансов продукт, подписани с крайни получатели, по продукти</w:t>
            </w:r>
          </w:p>
        </w:tc>
        <w:tc>
          <w:tcPr>
            <w:tcW w:w="0" w:type="auto"/>
            <w:shd w:val="clear" w:color="auto" w:fill="FFFFFF"/>
            <w:tcMar>
              <w:top w:w="20" w:type="dxa"/>
              <w:left w:w="20" w:type="dxa"/>
              <w:bottom w:w="20" w:type="dxa"/>
            </w:tcMar>
          </w:tcPr>
          <w:p w:rsidR="00012A46" w:rsidRDefault="00836FCA">
            <w:pPr>
              <w:spacing w:before="20" w:after="20"/>
              <w:jc w:val="right"/>
            </w:pPr>
            <w:r>
              <w:t>M04: 4,00</w:t>
            </w:r>
          </w:p>
          <w:p w:rsidR="00012A46" w:rsidRDefault="00836FCA">
            <w:pPr>
              <w:spacing w:before="20" w:after="20"/>
              <w:jc w:val="right"/>
            </w:pPr>
            <w:r>
              <w:t>Total: 4</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28. Брой инвестиции за заем/гаранция/дялов капитал или квазидялов капитал/друг финансов продукт, направени в крайни получатели, по продукти</w:t>
            </w:r>
          </w:p>
        </w:tc>
        <w:tc>
          <w:tcPr>
            <w:tcW w:w="0" w:type="auto"/>
            <w:shd w:val="clear" w:color="auto" w:fill="FFFFFF"/>
            <w:tcMar>
              <w:top w:w="20" w:type="dxa"/>
              <w:left w:w="20" w:type="dxa"/>
              <w:bottom w:w="20" w:type="dxa"/>
            </w:tcMar>
          </w:tcPr>
          <w:p w:rsidR="00012A46" w:rsidRDefault="00836FCA">
            <w:pPr>
              <w:spacing w:before="20" w:after="20"/>
              <w:jc w:val="right"/>
            </w:pPr>
            <w:r>
              <w:t>M04: 3,00</w:t>
            </w:r>
          </w:p>
          <w:p w:rsidR="00012A46" w:rsidRDefault="00836FCA">
            <w:pPr>
              <w:spacing w:before="20" w:after="20"/>
              <w:jc w:val="right"/>
            </w:pPr>
            <w:r>
              <w:t>Total: 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29. Брой крайни получатели, подпомагани от финансовия продукт</w:t>
            </w:r>
          </w:p>
        </w:tc>
        <w:tc>
          <w:tcPr>
            <w:tcW w:w="0" w:type="auto"/>
            <w:shd w:val="clear" w:color="auto" w:fill="FFFFFF"/>
            <w:tcMar>
              <w:top w:w="20" w:type="dxa"/>
              <w:left w:w="20" w:type="dxa"/>
              <w:bottom w:w="20" w:type="dxa"/>
            </w:tcMar>
          </w:tcPr>
          <w:p w:rsidR="00012A46" w:rsidRDefault="00836FCA">
            <w:pPr>
              <w:spacing w:before="20" w:after="20"/>
              <w:jc w:val="right"/>
            </w:pPr>
            <w:r>
              <w:t>M04: 3.00</w:t>
            </w:r>
          </w:p>
          <w:p w:rsidR="00012A46" w:rsidRDefault="00836FCA">
            <w:pPr>
              <w:spacing w:before="20" w:after="20"/>
              <w:jc w:val="right"/>
            </w:pPr>
            <w:r>
              <w:t>M06: 0.00</w:t>
            </w:r>
          </w:p>
          <w:p w:rsidR="00012A46" w:rsidRDefault="00836FCA">
            <w:pPr>
              <w:spacing w:before="20" w:after="20"/>
              <w:jc w:val="right"/>
            </w:pPr>
            <w:r>
              <w:t>M19: 0.00</w:t>
            </w:r>
          </w:p>
          <w:p w:rsidR="00012A46" w:rsidRDefault="00836FCA">
            <w:pPr>
              <w:spacing w:before="20" w:after="20"/>
              <w:jc w:val="right"/>
            </w:pPr>
            <w:r>
              <w:t>Total: 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29.1. от които големи предприятия</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29.2. от които МСП</w:t>
            </w:r>
          </w:p>
        </w:tc>
        <w:tc>
          <w:tcPr>
            <w:tcW w:w="0" w:type="auto"/>
            <w:shd w:val="clear" w:color="auto" w:fill="FFFFFF"/>
            <w:tcMar>
              <w:top w:w="20" w:type="dxa"/>
              <w:left w:w="20" w:type="dxa"/>
              <w:bottom w:w="20" w:type="dxa"/>
            </w:tcMar>
          </w:tcPr>
          <w:p w:rsidR="00012A46" w:rsidRDefault="00836FCA">
            <w:pPr>
              <w:spacing w:before="20" w:after="20"/>
              <w:jc w:val="right"/>
            </w:pPr>
            <w:r>
              <w:t>M04: 2,00</w:t>
            </w:r>
          </w:p>
          <w:p w:rsidR="00012A46" w:rsidRDefault="00836FCA">
            <w:pPr>
              <w:spacing w:before="20" w:after="20"/>
              <w:jc w:val="right"/>
            </w:pPr>
            <w:r>
              <w:t>Total: 2</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29.2.1. от които микропредприятия</w:t>
            </w:r>
          </w:p>
        </w:tc>
        <w:tc>
          <w:tcPr>
            <w:tcW w:w="0" w:type="auto"/>
            <w:shd w:val="clear" w:color="auto" w:fill="FFFFFF"/>
            <w:tcMar>
              <w:top w:w="20" w:type="dxa"/>
              <w:left w:w="20" w:type="dxa"/>
              <w:bottom w:w="20" w:type="dxa"/>
            </w:tcMar>
          </w:tcPr>
          <w:p w:rsidR="00012A46" w:rsidRDefault="00836FCA">
            <w:pPr>
              <w:spacing w:before="20" w:after="20"/>
              <w:jc w:val="right"/>
            </w:pPr>
            <w:r>
              <w:t>M04: 2,00</w:t>
            </w:r>
          </w:p>
          <w:p w:rsidR="00012A46" w:rsidRDefault="00836FCA">
            <w:pPr>
              <w:spacing w:before="20" w:after="20"/>
              <w:jc w:val="right"/>
            </w:pPr>
            <w:r>
              <w:t>Total: 2</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29.3. от които физически лица</w:t>
            </w:r>
          </w:p>
        </w:tc>
        <w:tc>
          <w:tcPr>
            <w:tcW w:w="0" w:type="auto"/>
            <w:shd w:val="clear" w:color="auto" w:fill="FFFFFF"/>
            <w:tcMar>
              <w:top w:w="20" w:type="dxa"/>
              <w:left w:w="20" w:type="dxa"/>
              <w:bottom w:w="20" w:type="dxa"/>
            </w:tcMar>
          </w:tcPr>
          <w:p w:rsidR="00012A46" w:rsidRDefault="00836FCA">
            <w:pPr>
              <w:spacing w:before="20" w:after="20"/>
              <w:jc w:val="right"/>
            </w:pPr>
            <w:r>
              <w:t>M04: 1,00</w:t>
            </w:r>
          </w:p>
          <w:p w:rsidR="00012A46" w:rsidRDefault="00836FCA">
            <w:pPr>
              <w:spacing w:before="20" w:after="20"/>
              <w:jc w:val="right"/>
            </w:pPr>
            <w:r>
              <w:t>Total: 1</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29.4. от които други видове подпомагани крайни получатели</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29.4.1. описание на другите видове подпомагани крайни получатели</w:t>
            </w:r>
          </w:p>
        </w:tc>
        <w:tc>
          <w:tcPr>
            <w:tcW w:w="0" w:type="auto"/>
            <w:shd w:val="clear" w:color="auto" w:fill="FFFFFF"/>
            <w:tcMar>
              <w:top w:w="20" w:type="dxa"/>
              <w:left w:w="20" w:type="dxa"/>
              <w:bottom w:w="20" w:type="dxa"/>
            </w:tcMar>
          </w:tcPr>
          <w:p w:rsidR="00012A46" w:rsidRDefault="00012A46">
            <w:pPr>
              <w:spacing w:before="20" w:after="20"/>
              <w:jc w:val="lef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33. Общ брой необслужвани изплатени кредити</w:t>
            </w:r>
          </w:p>
        </w:tc>
        <w:tc>
          <w:tcPr>
            <w:tcW w:w="0" w:type="auto"/>
            <w:shd w:val="clear" w:color="auto" w:fill="FFFFFF"/>
            <w:tcMar>
              <w:top w:w="20" w:type="dxa"/>
              <w:left w:w="20" w:type="dxa"/>
              <w:bottom w:w="20" w:type="dxa"/>
            </w:tcMar>
          </w:tcPr>
          <w:p w:rsidR="00012A46" w:rsidRDefault="00836FCA">
            <w:pPr>
              <w:spacing w:before="20" w:after="20"/>
              <w:jc w:val="right"/>
            </w:pPr>
            <w:r>
              <w:t>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34. Обща сума на изплатени, но необслужвани кредити (в евро)</w:t>
            </w:r>
          </w:p>
        </w:tc>
        <w:tc>
          <w:tcPr>
            <w:tcW w:w="0" w:type="auto"/>
            <w:shd w:val="clear" w:color="auto" w:fill="FFFFFF"/>
            <w:tcMar>
              <w:top w:w="20" w:type="dxa"/>
              <w:left w:w="20" w:type="dxa"/>
              <w:bottom w:w="20" w:type="dxa"/>
            </w:tcMar>
          </w:tcPr>
          <w:p w:rsidR="00012A46" w:rsidRDefault="00836FCA">
            <w:pPr>
              <w:spacing w:before="20" w:after="20"/>
              <w:jc w:val="right"/>
            </w:pPr>
            <w:r>
              <w:t>19 132,00</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38. Общ размер на другия принос, извън ЕСИ фондовете, набран от финансовия инструмент (в евро)</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38.3. Общ размер на другите участия (извън ЕСИ фондовете), мобилизирани на равнището на крайните получатели (в евро)</w:t>
            </w:r>
          </w:p>
        </w:tc>
        <w:tc>
          <w:tcPr>
            <w:tcW w:w="0" w:type="auto"/>
            <w:shd w:val="clear" w:color="auto" w:fill="FFFFFF"/>
            <w:tcMar>
              <w:top w:w="20" w:type="dxa"/>
              <w:left w:w="20" w:type="dxa"/>
              <w:bottom w:w="20" w:type="dxa"/>
            </w:tcMar>
          </w:tcPr>
          <w:p w:rsidR="00012A46" w:rsidRDefault="00836FCA">
            <w:pPr>
              <w:spacing w:before="20" w:after="20"/>
              <w:jc w:val="right"/>
            </w:pPr>
            <w:r>
              <w:t>579 174,00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lastRenderedPageBreak/>
              <w:t>38.3.1. от които публичен принос (в евро)</w:t>
            </w:r>
          </w:p>
        </w:tc>
        <w:tc>
          <w:tcPr>
            <w:tcW w:w="0" w:type="auto"/>
            <w:shd w:val="clear" w:color="auto" w:fill="FFFFFF"/>
            <w:tcMar>
              <w:top w:w="20" w:type="dxa"/>
              <w:left w:w="20" w:type="dxa"/>
              <w:bottom w:w="20" w:type="dxa"/>
            </w:tcMar>
          </w:tcPr>
          <w:p w:rsidR="00012A46" w:rsidRDefault="00836FCA">
            <w:pPr>
              <w:spacing w:before="20" w:after="20"/>
              <w:jc w:val="right"/>
            </w:pPr>
            <w:r>
              <w:t>75 544,00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38.3.2. от които частен принос (в евро)</w:t>
            </w:r>
          </w:p>
        </w:tc>
        <w:tc>
          <w:tcPr>
            <w:tcW w:w="0" w:type="auto"/>
            <w:shd w:val="clear" w:color="auto" w:fill="FFFFFF"/>
            <w:tcMar>
              <w:top w:w="20" w:type="dxa"/>
              <w:left w:w="20" w:type="dxa"/>
              <w:bottom w:w="20" w:type="dxa"/>
            </w:tcMar>
          </w:tcPr>
          <w:p w:rsidR="00012A46" w:rsidRDefault="00836FCA">
            <w:pPr>
              <w:spacing w:before="20" w:after="20"/>
              <w:jc w:val="right"/>
            </w:pPr>
            <w:r>
              <w:t>503 630,00</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39. Очакван и постигнат ефект на лоста, с посочване на споразумението за финансиране</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39.1. Очакван ефект на лоста за заем с позоваване на споразумението за финансиране</w:t>
            </w:r>
          </w:p>
        </w:tc>
        <w:tc>
          <w:tcPr>
            <w:tcW w:w="0" w:type="auto"/>
            <w:shd w:val="clear" w:color="auto" w:fill="FFFFFF"/>
            <w:tcMar>
              <w:top w:w="20" w:type="dxa"/>
              <w:left w:w="20" w:type="dxa"/>
              <w:bottom w:w="20" w:type="dxa"/>
            </w:tcMar>
          </w:tcPr>
          <w:p w:rsidR="00012A46" w:rsidRDefault="00836FCA">
            <w:pPr>
              <w:spacing w:before="20" w:after="20"/>
              <w:jc w:val="right"/>
            </w:pPr>
            <w:r>
              <w:t>2,34</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39.2. Постигнат ефект на лоста за заем в края на отчетната година</w:t>
            </w:r>
          </w:p>
        </w:tc>
        <w:tc>
          <w:tcPr>
            <w:tcW w:w="0" w:type="auto"/>
            <w:shd w:val="clear" w:color="auto" w:fill="FFFFFF"/>
            <w:tcMar>
              <w:top w:w="20" w:type="dxa"/>
              <w:left w:w="20" w:type="dxa"/>
              <w:bottom w:w="20" w:type="dxa"/>
            </w:tcMar>
          </w:tcPr>
          <w:p w:rsidR="00012A46" w:rsidRDefault="00836FCA">
            <w:pPr>
              <w:spacing w:before="20" w:after="20"/>
              <w:jc w:val="right"/>
            </w:pPr>
            <w:r>
              <w:t>2,28</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39.3. Инвестиции, мобилизирани чрез финансови инструменти по ЕСИФ за кредит (в евро) (незадължително)</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VI. Изпълнението на финансовия инструмент, включително на напредъка по отношение на неговото създаване и на избора на органите, изпълняващи финансовия инструмент (включително органа, прилагащ финансирането от фонд — част от фондова структура) (член 46, параграф 2, буква е)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32. Информация дали финансовият инструмент все още е функционирал в края на отчетната година</w:t>
            </w:r>
          </w:p>
        </w:tc>
        <w:tc>
          <w:tcPr>
            <w:tcW w:w="0" w:type="auto"/>
            <w:shd w:val="clear" w:color="auto" w:fill="FFFFFF"/>
            <w:tcMar>
              <w:top w:w="20" w:type="dxa"/>
              <w:left w:w="20" w:type="dxa"/>
              <w:bottom w:w="20" w:type="dxa"/>
            </w:tcMar>
          </w:tcPr>
          <w:p w:rsidR="00012A46" w:rsidRDefault="00836FCA">
            <w:pPr>
              <w:spacing w:before="20" w:after="20"/>
              <w:jc w:val="right"/>
            </w:pPr>
            <w:r>
              <w:t>Да</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32.1. Ако финансовият инструмент не е функционирал в края на отчетната година — датата на приключване</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VII. Лихви и други печалби, генерирани от подкрепата от европейските структурни и инвестиционни фондове за финансовия инструмент, програмни средства, възстановени на финансовия инструмент от инвестиции, както е посочено в членове 43 и 44, суми, използвани за диференцирано третиране, както е посочено в член 43а, и стойността на капиталовите инвестиции спрямо предходни години (член 46, параграф 2, букви ж) и и)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35. Лихви и други печалби, генерирани от плащания от ЕСИ фондове към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82 489,00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36. Суми, възстановени на финансовия инструмент, отнасящи се до подкрепа от ЕСИ фондове, до края на отчетната година (в евро)</w:t>
            </w:r>
          </w:p>
        </w:tc>
        <w:tc>
          <w:tcPr>
            <w:tcW w:w="0" w:type="auto"/>
            <w:shd w:val="clear" w:color="auto" w:fill="FFFFFF"/>
            <w:tcMar>
              <w:top w:w="20" w:type="dxa"/>
              <w:left w:w="20" w:type="dxa"/>
              <w:bottom w:w="20" w:type="dxa"/>
            </w:tcMar>
          </w:tcPr>
          <w:p w:rsidR="00012A46" w:rsidRDefault="00836FCA">
            <w:pPr>
              <w:spacing w:before="20" w:after="20"/>
              <w:jc w:val="right"/>
            </w:pPr>
            <w:r>
              <w:t>56 170,00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36.1. от които вноски по главница (в евро)</w:t>
            </w:r>
          </w:p>
        </w:tc>
        <w:tc>
          <w:tcPr>
            <w:tcW w:w="0" w:type="auto"/>
            <w:shd w:val="clear" w:color="auto" w:fill="FFFFFF"/>
            <w:tcMar>
              <w:top w:w="20" w:type="dxa"/>
              <w:left w:w="20" w:type="dxa"/>
              <w:bottom w:w="20" w:type="dxa"/>
            </w:tcMar>
          </w:tcPr>
          <w:p w:rsidR="00012A46" w:rsidRDefault="00836FCA">
            <w:pPr>
              <w:spacing w:before="20" w:after="20"/>
              <w:jc w:val="right"/>
            </w:pPr>
            <w:r>
              <w:t>56 007,00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36.2. от които печалби, други приходи и доходи (в евро)</w:t>
            </w:r>
          </w:p>
        </w:tc>
        <w:tc>
          <w:tcPr>
            <w:tcW w:w="0" w:type="auto"/>
            <w:shd w:val="clear" w:color="auto" w:fill="FFFFFF"/>
            <w:tcMar>
              <w:top w:w="20" w:type="dxa"/>
              <w:left w:w="20" w:type="dxa"/>
              <w:bottom w:w="20" w:type="dxa"/>
            </w:tcMar>
          </w:tcPr>
          <w:p w:rsidR="00012A46" w:rsidRDefault="00836FCA">
            <w:pPr>
              <w:spacing w:before="20" w:after="20"/>
              <w:jc w:val="right"/>
            </w:pPr>
            <w:r>
              <w:t>163,00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37. Размер на средствата, които могат да бъдат отнесени към европейските структурни и инвестиционни фондове и са използвани съгласно членове 44 и 43а</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37.1. от които — суми, платени за диференцирано третиране на инвеститори, работещи съгласно принципа на пазарната икономика, които предоставят насрещни ресурси към подкрепата от европейските структурни и инвестиционни фондове на финансовия инструмент или които инвестират съвместно на равнището на крайния получател (в EUR)</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37.2. от които суми за възстановяване на направени разходи за управление и заплащане на такси за управление на финансовия инструмент (в евро)</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 xml:space="preserve">37.3. от които — суми за покриване на загубите в номиналния </w:t>
            </w:r>
            <w:r>
              <w:lastRenderedPageBreak/>
              <w:t>размер на финансовото участие на европейските структурни и инвестиционни фондове за финансовия инструмент в резултат на отрицателни лихви, ако тези загуби възникнат въпреки активното управление на касовите наличности от структурите, изпълняващи финансови инструменти (в EUR)</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lastRenderedPageBreak/>
              <w:t>VIII. Напредък в постигането на очаквания лостов ефект на инвестициите, направени от финансовия инструмент, и стойност на инвестициите и участията (член 46, параграф 2, буква з) от Регламент (ЕС) № 1303/2013)</w:t>
            </w: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38. Общ размер на другия принос, извън ЕСИ фондовете, набран от финансовия инструмент (в евро)</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38.1. Общ размер на другите участия (извън ЕСИ фондовете), за които е поет ангажимент в споразумението за финансиране с органа, изпълняващ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22 520 196,00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38.1A. Участие по финансовия продукт на ЕИБ, за което е поето задължение в рамките на споразумението за финансиране с органа, изпълняващ финансовия инструмент (само за инструменти по член 38, параграф 1, буква в) (в EUR)</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38.2. Общ размер на другите участия (извън ЕСИ фондовете), изплатени на финансовия инструмент (в евро)</w:t>
            </w:r>
          </w:p>
        </w:tc>
        <w:tc>
          <w:tcPr>
            <w:tcW w:w="0" w:type="auto"/>
            <w:shd w:val="clear" w:color="auto" w:fill="FFFFFF"/>
            <w:tcMar>
              <w:top w:w="20" w:type="dxa"/>
              <w:left w:w="20" w:type="dxa"/>
              <w:bottom w:w="20" w:type="dxa"/>
            </w:tcMar>
          </w:tcPr>
          <w:p w:rsidR="00012A46" w:rsidRDefault="00836FCA">
            <w:pPr>
              <w:spacing w:before="20" w:after="20"/>
              <w:jc w:val="right"/>
            </w:pPr>
            <w:r>
              <w:t>1 237 984,00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38.2.1. от които държавно участие (в евро)</w:t>
            </w:r>
          </w:p>
        </w:tc>
        <w:tc>
          <w:tcPr>
            <w:tcW w:w="0" w:type="auto"/>
            <w:shd w:val="clear" w:color="auto" w:fill="FFFFFF"/>
            <w:tcMar>
              <w:top w:w="20" w:type="dxa"/>
              <w:left w:w="20" w:type="dxa"/>
              <w:bottom w:w="20" w:type="dxa"/>
            </w:tcMar>
          </w:tcPr>
          <w:p w:rsidR="00012A46" w:rsidRDefault="00836FCA">
            <w:pPr>
              <w:spacing w:before="20" w:after="20"/>
              <w:jc w:val="right"/>
            </w:pPr>
            <w:r>
              <w:t>734 354,00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38.2.2. от които частни участия (в евро)</w:t>
            </w:r>
          </w:p>
        </w:tc>
        <w:tc>
          <w:tcPr>
            <w:tcW w:w="0" w:type="auto"/>
            <w:shd w:val="clear" w:color="auto" w:fill="FFFFFF"/>
            <w:tcMar>
              <w:top w:w="20" w:type="dxa"/>
              <w:left w:w="20" w:type="dxa"/>
              <w:bottom w:w="20" w:type="dxa"/>
            </w:tcMar>
          </w:tcPr>
          <w:p w:rsidR="00012A46" w:rsidRDefault="00836FCA">
            <w:pPr>
              <w:spacing w:before="20" w:after="20"/>
              <w:jc w:val="right"/>
            </w:pPr>
            <w:r>
              <w:t>503 630,00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38.2A. Участие по финансовия продукт на ЕИБ, изплатено към ФИ (само за инструменти по член 38, параграф 1, буква в) (в EUR)</w:t>
            </w:r>
          </w:p>
        </w:tc>
        <w:tc>
          <w:tcPr>
            <w:tcW w:w="0" w:type="auto"/>
            <w:shd w:val="clear" w:color="auto" w:fill="FFFFFF"/>
            <w:tcMar>
              <w:top w:w="20" w:type="dxa"/>
              <w:left w:w="20" w:type="dxa"/>
              <w:bottom w:w="20" w:type="dxa"/>
            </w:tcMar>
          </w:tcPr>
          <w:p w:rsidR="00012A46" w:rsidRDefault="00012A46">
            <w:pPr>
              <w:spacing w:before="20" w:after="20"/>
              <w:jc w:val="right"/>
            </w:pPr>
          </w:p>
        </w:tc>
      </w:tr>
      <w:tr w:rsidR="00012A46">
        <w:tc>
          <w:tcPr>
            <w:tcW w:w="0" w:type="auto"/>
            <w:gridSpan w:val="2"/>
            <w:shd w:val="clear" w:color="auto" w:fill="FFFFFF"/>
            <w:tcMar>
              <w:top w:w="20" w:type="dxa"/>
              <w:left w:w="20" w:type="dxa"/>
              <w:bottom w:w="20" w:type="dxa"/>
            </w:tcMar>
            <w:vAlign w:val="center"/>
          </w:tcPr>
          <w:p w:rsidR="00012A46" w:rsidRDefault="00836FCA">
            <w:pPr>
              <w:rPr>
                <w:b/>
              </w:rPr>
            </w:pPr>
            <w:r>
              <w:rPr>
                <w:b/>
              </w:rPr>
              <w:t>IX. Принос на финансовия инструмент за постигането на показателите на засегнатия приоритет или мярка (член 46, параграф 2, буква й) от Регламент (ЕС) № 1303/2013)</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 Показател за изпълнението (кодов номер и наименование), за който допринася финансовият инструмент</w:t>
            </w:r>
          </w:p>
        </w:tc>
        <w:tc>
          <w:tcPr>
            <w:tcW w:w="0" w:type="auto"/>
            <w:shd w:val="clear" w:color="auto" w:fill="FFFFFF"/>
            <w:tcMar>
              <w:top w:w="20" w:type="dxa"/>
              <w:left w:w="20" w:type="dxa"/>
              <w:bottom w:w="20" w:type="dxa"/>
            </w:tcMar>
          </w:tcPr>
          <w:p w:rsidR="00012A46" w:rsidRDefault="00836FCA">
            <w:pPr>
              <w:spacing w:before="20" w:after="20"/>
              <w:jc w:val="right"/>
            </w:pPr>
            <w:r>
              <w:t>O2 - Общ размер на инвестициите (M04)</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41.1. Целева стойност на индикатора за изпълнението</w:t>
            </w:r>
          </w:p>
        </w:tc>
        <w:tc>
          <w:tcPr>
            <w:tcW w:w="0" w:type="auto"/>
            <w:shd w:val="clear" w:color="auto" w:fill="FFFFFF"/>
            <w:tcMar>
              <w:top w:w="20" w:type="dxa"/>
              <w:left w:w="20" w:type="dxa"/>
              <w:bottom w:w="20" w:type="dxa"/>
            </w:tcMar>
          </w:tcPr>
          <w:p w:rsidR="00012A46" w:rsidRDefault="00836FCA">
            <w:pPr>
              <w:spacing w:before="20" w:after="20"/>
              <w:jc w:val="right"/>
            </w:pPr>
            <w:r>
              <w:t>24 034 706,00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41.2. Стойност, постигната от финансовия инструмент по отношение на целевата стойност на индикатора за изпълнението</w:t>
            </w:r>
          </w:p>
        </w:tc>
        <w:tc>
          <w:tcPr>
            <w:tcW w:w="0" w:type="auto"/>
            <w:shd w:val="clear" w:color="auto" w:fill="FFFFFF"/>
            <w:tcMar>
              <w:top w:w="20" w:type="dxa"/>
              <w:left w:w="20" w:type="dxa"/>
              <w:bottom w:w="20" w:type="dxa"/>
            </w:tcMar>
          </w:tcPr>
          <w:p w:rsidR="00012A46" w:rsidRDefault="00836FCA">
            <w:pPr>
              <w:spacing w:before="20" w:after="20"/>
              <w:jc w:val="right"/>
            </w:pPr>
            <w:r>
              <w:t>1 010 000,00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 Показател за изпълнението (кодов номер и наименование), за който допринася финансовият инструмент</w:t>
            </w:r>
          </w:p>
        </w:tc>
        <w:tc>
          <w:tcPr>
            <w:tcW w:w="0" w:type="auto"/>
            <w:shd w:val="clear" w:color="auto" w:fill="FFFFFF"/>
            <w:tcMar>
              <w:top w:w="20" w:type="dxa"/>
              <w:left w:w="20" w:type="dxa"/>
              <w:bottom w:w="20" w:type="dxa"/>
            </w:tcMar>
          </w:tcPr>
          <w:p w:rsidR="00012A46" w:rsidRDefault="00836FCA">
            <w:pPr>
              <w:spacing w:before="20" w:after="20"/>
              <w:jc w:val="right"/>
            </w:pPr>
            <w:r>
              <w:t>O2 - Общ размер на инвестициите (M06)</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41.1. Целева стойност на индикатора за изпълнението</w:t>
            </w:r>
          </w:p>
        </w:tc>
        <w:tc>
          <w:tcPr>
            <w:tcW w:w="0" w:type="auto"/>
            <w:shd w:val="clear" w:color="auto" w:fill="FFFFFF"/>
            <w:tcMar>
              <w:top w:w="20" w:type="dxa"/>
              <w:left w:w="20" w:type="dxa"/>
              <w:bottom w:w="20" w:type="dxa"/>
            </w:tcMar>
          </w:tcPr>
          <w:p w:rsidR="00012A46" w:rsidRDefault="00836FCA">
            <w:pPr>
              <w:spacing w:before="20" w:after="20"/>
              <w:jc w:val="right"/>
            </w:pPr>
            <w:r>
              <w:t>2 773 235,00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41.2. Стойност, постигната от финансовия инструмент по отношение на целевата стойност на индикатора за изпълнението</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 Показател за изпълнението (кодов номер и наименование), за който допринася финансовият инструмент</w:t>
            </w:r>
          </w:p>
        </w:tc>
        <w:tc>
          <w:tcPr>
            <w:tcW w:w="0" w:type="auto"/>
            <w:shd w:val="clear" w:color="auto" w:fill="FFFFFF"/>
            <w:tcMar>
              <w:top w:w="20" w:type="dxa"/>
              <w:left w:w="20" w:type="dxa"/>
              <w:bottom w:w="20" w:type="dxa"/>
            </w:tcMar>
          </w:tcPr>
          <w:p w:rsidR="00012A46" w:rsidRDefault="00836FCA">
            <w:pPr>
              <w:spacing w:before="20" w:after="20"/>
              <w:jc w:val="right"/>
            </w:pPr>
            <w:r>
              <w:t>O2 - Общ размер на инвестициите (M19)</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41.1. Целева стойност на индикатора за изпълнението</w:t>
            </w:r>
          </w:p>
        </w:tc>
        <w:tc>
          <w:tcPr>
            <w:tcW w:w="0" w:type="auto"/>
            <w:shd w:val="clear" w:color="auto" w:fill="FFFFFF"/>
            <w:tcMar>
              <w:top w:w="20" w:type="dxa"/>
              <w:left w:w="20" w:type="dxa"/>
              <w:bottom w:w="20" w:type="dxa"/>
            </w:tcMar>
          </w:tcPr>
          <w:p w:rsidR="00012A46" w:rsidRDefault="00836FCA">
            <w:pPr>
              <w:spacing w:before="20" w:after="20"/>
              <w:jc w:val="right"/>
            </w:pPr>
            <w:r>
              <w:t>4 622 059,00</w:t>
            </w:r>
          </w:p>
        </w:tc>
      </w:tr>
      <w:tr w:rsidR="00012A46">
        <w:tc>
          <w:tcPr>
            <w:tcW w:w="3300" w:type="pct"/>
            <w:shd w:val="clear" w:color="auto" w:fill="FFFFFF"/>
            <w:tcMar>
              <w:top w:w="20" w:type="dxa"/>
              <w:left w:w="20" w:type="dxa"/>
              <w:bottom w:w="20" w:type="dxa"/>
            </w:tcMar>
          </w:tcPr>
          <w:p w:rsidR="00012A46" w:rsidRDefault="00836FCA">
            <w:pPr>
              <w:spacing w:before="20" w:after="20"/>
              <w:jc w:val="left"/>
            </w:pPr>
            <w:r>
              <w:t>41.2. Стойност, постигната от финансовия инструмент по отношение на целевата стойност на индикатора за изпълнението</w:t>
            </w:r>
          </w:p>
        </w:tc>
        <w:tc>
          <w:tcPr>
            <w:tcW w:w="0" w:type="auto"/>
            <w:shd w:val="clear" w:color="auto" w:fill="FFFFFF"/>
            <w:tcMar>
              <w:top w:w="20" w:type="dxa"/>
              <w:left w:w="20" w:type="dxa"/>
              <w:bottom w:w="20" w:type="dxa"/>
            </w:tcMar>
          </w:tcPr>
          <w:p w:rsidR="00012A46" w:rsidRDefault="00836FCA">
            <w:pPr>
              <w:spacing w:before="20" w:after="20"/>
              <w:jc w:val="right"/>
            </w:pPr>
            <w:r>
              <w:t>0,00</w:t>
            </w:r>
          </w:p>
        </w:tc>
      </w:tr>
    </w:tbl>
    <w:p w:rsidR="00012A46" w:rsidRDefault="00012A46">
      <w:pPr>
        <w:jc w:val="center"/>
        <w:rPr>
          <w:sz w:val="16"/>
        </w:rPr>
        <w:sectPr w:rsidR="00012A46">
          <w:pgSz w:w="12240" w:h="15840"/>
          <w:pgMar w:top="900" w:right="900" w:bottom="900" w:left="900" w:header="720" w:footer="720" w:gutter="0"/>
          <w:cols w:space="720"/>
        </w:sectPr>
      </w:pPr>
    </w:p>
    <w:p w:rsidR="00012A46" w:rsidRDefault="00836FCA">
      <w:pPr>
        <w:pStyle w:val="Heading1"/>
      </w:pPr>
      <w:bookmarkStart w:id="31" w:name="_Toc169016438"/>
      <w:r>
        <w:lastRenderedPageBreak/>
        <w:t>Кодиращи таблици за общи и специфични за програмата показатели и количествени целеви стойности</w:t>
      </w:r>
      <w:bookmarkEnd w:id="31"/>
    </w:p>
    <w:p w:rsidR="00012A46" w:rsidRDefault="00836FCA">
      <w:r>
        <w:t>Към приложението за мониторинг</w:t>
      </w:r>
    </w:p>
    <w:p w:rsidR="00012A46" w:rsidRDefault="00836FCA">
      <w:pPr>
        <w:pStyle w:val="Subtitle"/>
      </w:pPr>
      <w:r>
        <w:br w:type="page"/>
      </w:r>
      <w:bookmarkStart w:id="32" w:name="_Toc169016439"/>
      <w:r>
        <w:lastRenderedPageBreak/>
        <w:t>Приложение II</w:t>
      </w:r>
      <w:bookmarkEnd w:id="32"/>
    </w:p>
    <w:p w:rsidR="00012A46" w:rsidRDefault="00836FCA">
      <w:r>
        <w:t>Подробна таблица, представяща нивото на изпълнение за области с поставен акцент, включително показатели за изпълнение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012A46">
        <w:tc>
          <w:tcPr>
            <w:tcW w:w="0" w:type="auto"/>
            <w:gridSpan w:val="8"/>
            <w:shd w:val="clear" w:color="auto" w:fill="808080"/>
            <w:tcMar>
              <w:top w:w="20" w:type="dxa"/>
              <w:left w:w="20" w:type="dxa"/>
              <w:bottom w:w="20" w:type="dxa"/>
            </w:tcMar>
          </w:tcPr>
          <w:p w:rsidR="00012A46" w:rsidRDefault="00836FCA">
            <w:pPr>
              <w:keepNext/>
              <w:spacing w:before="60" w:after="60"/>
              <w:jc w:val="center"/>
              <w:rPr>
                <w:b/>
                <w:sz w:val="20"/>
              </w:rPr>
            </w:pPr>
            <w:r>
              <w:rPr>
                <w:b/>
                <w:sz w:val="20"/>
              </w:rPr>
              <w:t>Акцентирана област 1A</w:t>
            </w:r>
          </w:p>
        </w:tc>
      </w:tr>
      <w:tr w:rsidR="00012A46">
        <w:tc>
          <w:tcPr>
            <w:tcW w:w="20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1A</w:t>
            </w:r>
          </w:p>
        </w:tc>
        <w:tc>
          <w:tcPr>
            <w:tcW w:w="1050" w:type="pct"/>
            <w:vMerge w:val="restart"/>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0,43</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33,92</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1,27</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0,41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32,34</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26,03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18,14</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14,20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8,68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t>Акцентирана област 1B</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1B</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2,98</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470,00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1C</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1C</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2 280,00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52,17</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4 370,00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2 030,00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46,45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2A</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2A</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0,66</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122,26</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0,37</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68,54</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0,54</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0,26</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48,16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46,31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46,31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46,31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53,72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40,75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53,72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70,39</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57,43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57,43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55,57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20,38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0,16</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29,64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2A</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1 066 242 225,00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182,35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347 797 166,25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59,48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584 712 578,90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2 556 630,00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42,53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6 011 111,10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1 174 117,80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9 421 915,00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110,85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4 164 172,00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48,99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8 500 000,00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10 599,00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148,65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7 130,00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848 776 841,00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203,04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230 193 486,00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55,07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418 038 192,80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481 460 529,00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650 595 258,80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229 388 486,00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54,87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418 038 192,80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1 648,00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82,40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29 965 859,90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88 685 508,00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109,96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74 200 722,00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92,00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80 651 176,50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74 200 722,00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92,00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80 651 176,50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8 281,00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197,17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4 200,00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5 547 611,00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145,56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989 505,92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25,96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3 811 111,10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81 371 995,00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212,81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38 235 323,00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99,99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38 237 487,40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M22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29 881 725,00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101,42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29 463 500,00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M22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31 000,00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t>Акцентирана област 2B</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2B</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100,13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100,13</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0,98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98,13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0,97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97,13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0,97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97,13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0,97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97,13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101,13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0,99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99,13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18 864,81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1 888 979,31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0,94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94,12</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73,10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73,10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74,10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74,10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0,42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42,06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2B</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331 226 081,00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182,32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132 967 809,33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73,19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181 672 220,90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1 651 824,00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221,89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744 444,40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744 444,40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57,00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3 349 888,00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127,61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1 656 127,00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63,09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2 624 999,80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1 848,00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256,67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720,00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205 267 369,00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252,27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58 213 950,00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71,54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81 367 533,50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123 104 595,00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90,78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135 612 555,80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95,38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120 957 000,00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124,78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73 083 775,00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75,39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96 935 243,20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73 083 775,00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75,39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96 935 243,20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73 083 775,00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75,39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96 935 243,20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M06.1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3 690,00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99,73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3 700,00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2C+</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2C+</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Фирми, получили подпомагане  (брой)</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20,00</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2C+</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23 233 666,00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134,57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3 757 178,20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21,76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17 264 706,00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23 233 666,00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134,57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3 757 178,20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21,76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17 264 706,00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M08.6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3 757 178,20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21,76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17 264 706,00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3A</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3A</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0,13</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332,16</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0,12</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306,61</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0,04</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306,61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306,61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332,16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306,61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306,61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306,61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127,76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127,76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76,65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76,65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3A</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711 041 566,60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175,41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170 845 166,21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405 364 535,90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381 840,00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245,47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155 555,60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155 555,60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142,50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643 833,60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107,31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463 314,00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77,22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600 000,30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5 065,00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2 200,00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651 441 620,00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174,56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137 501 042,00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36,84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373 194 274,90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293 689 834,00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39,37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746 068 169,20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p w:rsidR="00012A46" w:rsidRDefault="00836FCA">
            <w:pPr>
              <w:keepNext/>
              <w:spacing w:before="60" w:after="60"/>
              <w:jc w:val="left"/>
              <w:rPr>
                <w:sz w:val="16"/>
              </w:rPr>
            </w:pPr>
            <w:r>
              <w:rPr>
                <w:sz w:val="16"/>
              </w:rPr>
              <w:t>M04.2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88,18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16 771 469,00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256,49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10 228 246,70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156,43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6 538 724,20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47,50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M09</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O9 - Брой земеделски стопанства, които участват в подпомаганите схеми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252,31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40 255 163,00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180,26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22 376 067,73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22 331 536,50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882,00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147,00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1 547 641,00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60,82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271 575,98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10,67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2 544 444,40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M16.4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O9 - Брой земеделски стопанства, които участват в подпомаганите схеми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15,00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3B</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3B</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T7: процент на стопанствата, които участват в схеми за управление на риска (област с поставен акцент 3Б)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0,02</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Брой на участниците в обучения по Мярка 1 "Трансфер на знания и действия за осведомяване " (number)</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114,00</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101,50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E6E6E6"/>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3B</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13 841 368,80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79,50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5 375 295,42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30,87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17 411 557,50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2 538 128,00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207,67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0,40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1 222 222,20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0,40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1 222 222,20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18,24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1 250,00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647 882,80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107,98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463 314,00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77,22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600 000,30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4 931,00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2 143,91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M05</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10 655 358,00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68,35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4 907 061,62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31,48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15 589 335,00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M05.1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24,00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40,00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60,00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Приоритет P4</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P4</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303,43</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1,32</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160,06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172,95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188,12</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2,46</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186,61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102,41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303,43</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1,32</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160,06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169,16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172,95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188,12</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2,46</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186,61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102,41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17,97</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148,11</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12,13</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13,03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107,40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14,19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116,96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13,82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113,91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13,94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114,90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13,60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112,09</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16,47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135,75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14,79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121,90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P4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2 266 706 930,50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203,84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1 034 450 093,21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93,03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1 111 994 290,40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1 563 482,00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52,90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13 856,69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0,47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2 955 556,00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13 856,69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636 504,00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53,02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4 080 503,50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111,79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2 656 150,00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72,77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3 650 000,00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8 008,00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234,15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3 420,00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66 731 049,00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118,74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14 050 132,00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56 200 240,00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22 184 581,00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23,68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93 667 066,00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280,00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36 022 347,00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214,52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14 153 680,81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84,29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16 791 949,40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14 153 680,81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84,29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16 791 949,40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70,00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M10</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572 001 672,00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245,44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219 088 852,95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94,01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233 051 283,00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19 894,00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17,61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113 000,00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425 387 577,00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198,83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201 631 619,34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94,25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213 943 439,00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4 163,00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18,10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M11.2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44 852,00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154,66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419 660 772,00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211,65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198 169 179,79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99,95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198 276 037,00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385 000,00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738 044 891,00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192,29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383 889 275,15</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100,02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383 814 675,00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M13.1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310 000,00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M13.2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M13.3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3 214 637,00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97,09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797 346,48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24,08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3 311 111,00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5A</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5A</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38,72</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6,82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17,62</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5A</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36 513 363,20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32,97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8 253 474,94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110 731 534,10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1 772 974,00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111,59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0,88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1 588 888,90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13 957,33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857 053,30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26,51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467 089,20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108,63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295 743,00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68,78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429 999,90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7 788,00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811,25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33 419 225,00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31,06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7 810 610,00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7,26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107 579 312,00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10 894 264,00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10,13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107 579 312,00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35 000,00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p w:rsidR="00012A46" w:rsidRDefault="00836FCA">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140,00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854 075,00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75,36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133 164,61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11,75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1 133 333,30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5B</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5B</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T15: общи инвестиции за енергийна ефективност (в евро) (област с поставен акцент 5Б)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394 456 616,00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134,00</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228 186 819,00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77,52</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294 373 873,60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269 485 411,00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91,55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183 167 962,00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62,22</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233 163 689,00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79,21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157 799 514,37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53,61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156 313 715,13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53,10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100 171 594,00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34,03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86 645 751,01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29,43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18 659 464,00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6,34</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55 240 936,00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18,77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7 750 600,00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2,63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13 557 418,00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8 612 674,23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3 442 239,96</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442 716,77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5B</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220 702 074,00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134,79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108 501 661,08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66,27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163 737 773,20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234 478,00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70,34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333 333,30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6,52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75 467,80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285,00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156,02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99,93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1 000 000,00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8 777,00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828,02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1 060,00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218 417 093,00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134,84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107 426 120,00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66,32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161 982 217,70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228 186 819,00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78,54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290 552 105,60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p w:rsidR="00012A46" w:rsidRDefault="00836FCA">
            <w:pPr>
              <w:keepNext/>
              <w:spacing w:before="60" w:after="60"/>
              <w:jc w:val="left"/>
              <w:rPr>
                <w:sz w:val="16"/>
              </w:rPr>
            </w:pPr>
            <w:r>
              <w:rPr>
                <w:sz w:val="16"/>
              </w:rPr>
              <w:t>M04.2</w:t>
            </w:r>
          </w:p>
          <w:p w:rsidR="00012A46" w:rsidRDefault="00836FCA">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92,00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490 351,00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116,14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71 315,28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16,89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422 222,20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5C</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5C</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11 723 342,00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10,12</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12 309 767,00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10,62</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115 887 288,00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6 015 773,22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2 658 229,00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2,29</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10 207 875,38</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8,81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10 207 875,00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8,81</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13 126 087,93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11,33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8 971 153,00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7,74</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430 701,00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430 701,00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4 445 644,00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298 382,00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0,26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3 679 321,00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2 616 176,94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435 866,93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435 866,93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0,38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5C</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49 211 796,00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58,12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7 497 220,81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8,85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84 673 649,30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300 596,00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245,94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122 222,20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122 222,20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175,38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136,71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87,57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1 141 202,90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9 233,00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1 742,08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44 839 105,00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90,11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5 772 628,00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11,60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49 760 307,00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11 858 207,00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12,11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97 901 920,90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p w:rsidR="00012A46" w:rsidRDefault="00836FCA">
            <w:pPr>
              <w:keepNext/>
              <w:spacing w:before="60" w:after="60"/>
              <w:jc w:val="left"/>
              <w:rPr>
                <w:sz w:val="16"/>
              </w:rPr>
            </w:pPr>
            <w:r>
              <w:rPr>
                <w:sz w:val="16"/>
              </w:rPr>
              <w:t>M04.3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34,00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1 508 549,00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4,59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451 560,00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32 894 361,60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M07.2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8,33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M07.2</w:t>
            </w:r>
          </w:p>
          <w:p w:rsidR="00012A46" w:rsidRDefault="00836FCA">
            <w:pPr>
              <w:keepNext/>
              <w:spacing w:before="60" w:after="60"/>
              <w:jc w:val="left"/>
              <w:rPr>
                <w:sz w:val="16"/>
              </w:rPr>
            </w:pPr>
            <w:r>
              <w:rPr>
                <w:sz w:val="16"/>
              </w:rPr>
              <w:t>M07.3</w:t>
            </w:r>
          </w:p>
          <w:p w:rsidR="00012A46" w:rsidRDefault="00836FCA">
            <w:pPr>
              <w:keepNext/>
              <w:spacing w:before="60" w:after="60"/>
              <w:jc w:val="left"/>
              <w:rPr>
                <w:sz w:val="16"/>
              </w:rPr>
            </w:pPr>
            <w:r>
              <w:rPr>
                <w:sz w:val="16"/>
              </w:rPr>
              <w:t>M07.4</w:t>
            </w:r>
          </w:p>
          <w:p w:rsidR="00012A46" w:rsidRDefault="00836FCA">
            <w:pPr>
              <w:keepNext/>
              <w:spacing w:before="60" w:after="60"/>
              <w:jc w:val="left"/>
              <w:rPr>
                <w:sz w:val="16"/>
              </w:rPr>
            </w:pPr>
            <w:r>
              <w:rPr>
                <w:sz w:val="16"/>
              </w:rPr>
              <w:t>M07.5</w:t>
            </w:r>
          </w:p>
          <w:p w:rsidR="00012A46" w:rsidRDefault="00836FCA">
            <w:pPr>
              <w:keepNext/>
              <w:spacing w:before="60" w:after="60"/>
              <w:jc w:val="left"/>
              <w:rPr>
                <w:sz w:val="16"/>
              </w:rPr>
            </w:pPr>
            <w:r>
              <w:rPr>
                <w:sz w:val="16"/>
              </w:rPr>
              <w:t>M07.6</w:t>
            </w:r>
          </w:p>
          <w:p w:rsidR="00012A46" w:rsidRDefault="00836FCA">
            <w:pPr>
              <w:keepNext/>
              <w:spacing w:before="60" w:after="60"/>
              <w:jc w:val="left"/>
              <w:rPr>
                <w:sz w:val="16"/>
              </w:rPr>
            </w:pPr>
            <w:r>
              <w:rPr>
                <w:sz w:val="16"/>
              </w:rPr>
              <w:t>M07.7</w:t>
            </w:r>
          </w:p>
          <w:p w:rsidR="00012A46" w:rsidRDefault="00836FCA">
            <w:pPr>
              <w:keepNext/>
              <w:spacing w:before="60" w:after="60"/>
              <w:jc w:val="left"/>
              <w:rPr>
                <w:sz w:val="16"/>
              </w:rPr>
            </w:pPr>
            <w:r>
              <w:rPr>
                <w:sz w:val="16"/>
              </w:rPr>
              <w:t>M07.8</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903 120,00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32 894 361,60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1 003 394,00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132,80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268 807,01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35,58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755 555,60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5D</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5D</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447,55</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0,16</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447,55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447,55</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0,62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396,40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0,64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409,19</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0,67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428,37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0,63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402,80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0,54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345,26</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0,09</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51,73</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0,17</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51,73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5D</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75 020 020,00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171,92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36 831 986,99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84,41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43 636 751,80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419 488,00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104,87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2,44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201 541,10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108,57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136,71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87,57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1 141 202,90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9 233,00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366,39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2 520,00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3 574 152,00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273,53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685 071,00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52,43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1 306 660,00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1 378 954,00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63,32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2 177 766,10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p w:rsidR="00012A46" w:rsidRDefault="00836FCA">
            <w:pPr>
              <w:keepNext/>
              <w:spacing w:before="60" w:after="60"/>
              <w:jc w:val="left"/>
              <w:rPr>
                <w:sz w:val="16"/>
              </w:rPr>
            </w:pPr>
            <w:r>
              <w:rPr>
                <w:sz w:val="16"/>
              </w:rPr>
              <w:t>M04.3</w:t>
            </w:r>
          </w:p>
          <w:p w:rsidR="00012A46" w:rsidRDefault="00836FCA">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70,00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M04.1</w:t>
            </w:r>
          </w:p>
          <w:p w:rsidR="00012A46" w:rsidRDefault="00836FCA">
            <w:pPr>
              <w:keepNext/>
              <w:spacing w:before="60" w:after="60"/>
              <w:jc w:val="left"/>
              <w:rPr>
                <w:sz w:val="16"/>
              </w:rPr>
            </w:pPr>
            <w:r>
              <w:rPr>
                <w:sz w:val="16"/>
              </w:rPr>
              <w:t>M04.3</w:t>
            </w:r>
          </w:p>
          <w:p w:rsidR="00012A46" w:rsidRDefault="00836FCA">
            <w:pPr>
              <w:keepNext/>
              <w:spacing w:before="60" w:after="60"/>
              <w:jc w:val="left"/>
              <w:rPr>
                <w:sz w:val="16"/>
              </w:rPr>
            </w:pPr>
            <w:r>
              <w:rPr>
                <w:sz w:val="16"/>
              </w:rPr>
              <w:t>M04.4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O8 - Брой на подпомаганите животински единици (ЖЕ)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1 000,00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50,00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M10</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68 942 657,00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172,36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34 997 550,59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87,49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40 000 000,00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31 212,00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445,89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lastRenderedPageBreak/>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523 571,00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66,37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145 139,60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18,40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788 888,90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t>Акцентирана област 5E</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5E</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5E</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6 234 541,00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119,48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2 679 529,17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51,35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5 218 262,70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1 011 664,00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154,32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0,75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655 555,60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4 919,80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377 178,90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M01.1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O12 - Брой на участниците в обучения</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91,20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1 560 152,00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136,71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999 306,00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87,57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1 141 202,90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O13 - Брой на консултираните бенефициери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9 233,00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366,39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2 520,00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3 619 671,00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114,01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1 675 303,37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52,77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3 174 837,50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607 181,00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78,07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777 778,70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O5 - Обща площ (ha)</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M08.4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1 068 122,37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44,56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2 397 058,80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M16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43 054,00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17,45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246 666,70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6A</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6A</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T20: работни места, разкрити в подпомогнатите проекти (област с поставен акцент 6А)</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3 296,00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94,17</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3 500,00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2 094,00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59,83</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1 882,00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53,77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1 224,00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34,97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972,00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27,77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706,00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20,17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6,69</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6A</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79 987 494,00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116,12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18 145 314,87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26,34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68 884 895,10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74 098 097,00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120,48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14 264 956,87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61 504 537,60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O2 - Общ размер на инвестициите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28 939 013,00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22,77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127 103 281,50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M06.2</w:t>
            </w:r>
          </w:p>
          <w:p w:rsidR="00012A46" w:rsidRDefault="00836FCA">
            <w:pPr>
              <w:keepNext/>
              <w:spacing w:before="60" w:after="60"/>
              <w:jc w:val="left"/>
              <w:rPr>
                <w:sz w:val="16"/>
              </w:rPr>
            </w:pPr>
            <w:r>
              <w:rPr>
                <w:sz w:val="16"/>
              </w:rPr>
              <w:t>M06.4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25,71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3 890 357,00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100,26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3 880 358,00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100,00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3 880 357,50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M21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M22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1 999 040,00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57,12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3 500 000,00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M22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120,00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lastRenderedPageBreak/>
              <w:t>Акцентирана област 6B</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6B</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143,00</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23,83</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36,00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76,79</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230,20</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33,36</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70,34</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210,87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46,09</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138,17</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38,06</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114,10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16,21</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48,59</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4,57</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13,70</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T21: процент от населението в селските райони, обхванато от стратегии за местно развитие (област с поставен акцент 6Б)</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27,53</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120,18</w:t>
            </w: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22,91</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27,53</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120,18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16,42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71,68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16,42</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71,68</w:t>
            </w: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center"/>
              <w:rPr>
                <w:sz w:val="16"/>
              </w:rPr>
            </w:pPr>
          </w:p>
        </w:tc>
      </w:tr>
      <w:tr w:rsidR="00012A46">
        <w:tc>
          <w:tcPr>
            <w:tcW w:w="2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Показател за изпълнението</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Поети ангажименти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500" w:type="pct"/>
            <w:tcBorders>
              <w:bottom w:val="single" w:sz="4" w:space="0" w:color="auto"/>
            </w:tcBorders>
            <w:shd w:val="clear" w:color="auto" w:fill="C0C0C0"/>
            <w:tcMar>
              <w:top w:w="20" w:type="dxa"/>
              <w:left w:w="20" w:type="dxa"/>
              <w:bottom w:w="20" w:type="dxa"/>
            </w:tcMar>
            <w:vAlign w:val="center"/>
          </w:tcPr>
          <w:p w:rsidR="00012A46" w:rsidRDefault="00836FCA">
            <w:pPr>
              <w:keepNext/>
              <w:spacing w:before="60" w:after="60"/>
              <w:jc w:val="center"/>
              <w:rPr>
                <w:sz w:val="16"/>
              </w:rPr>
            </w:pPr>
            <w:r>
              <w:rPr>
                <w:sz w:val="16"/>
              </w:rPr>
              <w:t>Планирано за 2023 г.</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b/>
                <w:sz w:val="16"/>
              </w:rPr>
              <w:t>6B</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1 618 564 656,10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174,36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611 658 738,00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65,89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928 309 960,60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M07</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1 294 352 655,00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170,54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540 342 425,00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71,20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758 953 788,20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M07.1</w:t>
            </w:r>
          </w:p>
          <w:p w:rsidR="00012A46" w:rsidRDefault="00836FCA">
            <w:pPr>
              <w:keepNext/>
              <w:spacing w:before="60" w:after="60"/>
              <w:jc w:val="left"/>
              <w:rPr>
                <w:sz w:val="16"/>
              </w:rPr>
            </w:pPr>
            <w:r>
              <w:rPr>
                <w:sz w:val="16"/>
              </w:rPr>
              <w:t>M07.2</w:t>
            </w:r>
          </w:p>
          <w:p w:rsidR="00012A46" w:rsidRDefault="00836FCA">
            <w:pPr>
              <w:keepNext/>
              <w:spacing w:before="60" w:after="60"/>
              <w:jc w:val="left"/>
              <w:rPr>
                <w:sz w:val="16"/>
              </w:rPr>
            </w:pPr>
            <w:r>
              <w:rPr>
                <w:sz w:val="16"/>
              </w:rPr>
              <w:t>M07.4</w:t>
            </w:r>
          </w:p>
          <w:p w:rsidR="00012A46" w:rsidRDefault="00836FCA">
            <w:pPr>
              <w:keepNext/>
              <w:spacing w:before="60" w:after="60"/>
              <w:jc w:val="left"/>
              <w:rPr>
                <w:sz w:val="16"/>
              </w:rPr>
            </w:pPr>
            <w:r>
              <w:rPr>
                <w:sz w:val="16"/>
              </w:rPr>
              <w:t>M07.5</w:t>
            </w:r>
          </w:p>
          <w:p w:rsidR="00012A46" w:rsidRDefault="00836FCA">
            <w:pPr>
              <w:keepNext/>
              <w:spacing w:before="60" w:after="60"/>
              <w:jc w:val="left"/>
              <w:rPr>
                <w:sz w:val="16"/>
              </w:rPr>
            </w:pPr>
            <w:r>
              <w:rPr>
                <w:sz w:val="16"/>
              </w:rPr>
              <w:t>M07.6</w:t>
            </w:r>
          </w:p>
          <w:p w:rsidR="00012A46" w:rsidRDefault="00836FCA">
            <w:pPr>
              <w:keepNext/>
              <w:spacing w:before="60" w:after="60"/>
              <w:jc w:val="left"/>
              <w:rPr>
                <w:sz w:val="16"/>
              </w:rPr>
            </w:pPr>
            <w:r>
              <w:rPr>
                <w:sz w:val="16"/>
              </w:rPr>
              <w:t>M07.7</w:t>
            </w:r>
          </w:p>
          <w:p w:rsidR="00012A46" w:rsidRDefault="00836FCA">
            <w:pPr>
              <w:keepNext/>
              <w:spacing w:before="60" w:after="60"/>
              <w:jc w:val="left"/>
              <w:rPr>
                <w:sz w:val="16"/>
              </w:rPr>
            </w:pPr>
            <w:r>
              <w:rPr>
                <w:sz w:val="16"/>
              </w:rPr>
              <w:t>M07.8</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O15 - Брой на жителите, които се ползват от подобрени услуги/инфраструктура (ИТ или други)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4 592 423,00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230,20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1 995 000,00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lastRenderedPageBreak/>
              <w:t>M07.2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659,00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82,38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M07.6</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99,00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49,50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324 212 001,10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191,44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71 316 313,00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42,11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169 356 172,40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O18 - Брой на жителите, обхванати от местните групи за действие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1 646 588,00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1 370 000,00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M19</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O19 - Брой на избраните местни групи за действие</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106,67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M19.1</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4 188 071,00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52,20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8 023 392,00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M19.2</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36 011 626,00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29,83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120 714 739,10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M19.3</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2 127 884,00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32,74</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6 500 000,00</w:t>
            </w:r>
          </w:p>
        </w:tc>
      </w:tr>
      <w:tr w:rsidR="00012A46">
        <w:tc>
          <w:tcPr>
            <w:tcW w:w="2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M19.4</w:t>
            </w:r>
          </w:p>
        </w:tc>
        <w:tc>
          <w:tcPr>
            <w:tcW w:w="10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left"/>
              <w:rPr>
                <w:sz w:val="16"/>
              </w:rPr>
            </w:pPr>
            <w:r>
              <w:rPr>
                <w:sz w:val="16"/>
              </w:rPr>
              <w:t>O1 - Общо публични разходи</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2014-2023</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28 988 732,00</w:t>
            </w: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84,97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right"/>
              <w:rPr>
                <w:sz w:val="16"/>
              </w:rPr>
            </w:pPr>
            <w:r>
              <w:rPr>
                <w:sz w:val="16"/>
              </w:rPr>
              <w:t>34 118 041,30</w:t>
            </w:r>
          </w:p>
        </w:tc>
      </w:tr>
    </w:tbl>
    <w:p w:rsidR="00012A46" w:rsidRDefault="00012A46">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012A46">
        <w:tc>
          <w:tcPr>
            <w:tcW w:w="750" w:type="pct"/>
            <w:gridSpan w:val="8"/>
            <w:tcBorders>
              <w:bottom w:val="single" w:sz="4" w:space="0" w:color="auto"/>
            </w:tcBorders>
            <w:shd w:val="clear" w:color="auto" w:fill="808080"/>
            <w:tcMar>
              <w:top w:w="20" w:type="dxa"/>
              <w:left w:w="20" w:type="dxa"/>
              <w:bottom w:w="20" w:type="dxa"/>
            </w:tcMar>
            <w:vAlign w:val="center"/>
          </w:tcPr>
          <w:p w:rsidR="00012A46" w:rsidRDefault="00836FCA">
            <w:pPr>
              <w:keepNext/>
              <w:spacing w:before="60" w:after="60"/>
              <w:jc w:val="center"/>
              <w:rPr>
                <w:b/>
                <w:sz w:val="20"/>
              </w:rPr>
            </w:pPr>
            <w:r>
              <w:rPr>
                <w:b/>
                <w:sz w:val="20"/>
              </w:rPr>
              <w:t>Акцентирана област 6C</w:t>
            </w:r>
          </w:p>
        </w:tc>
      </w:tr>
      <w:tr w:rsidR="00012A46">
        <w:tc>
          <w:tcPr>
            <w:tcW w:w="2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FA/M</w:t>
            </w:r>
          </w:p>
        </w:tc>
        <w:tc>
          <w:tcPr>
            <w:tcW w:w="10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Наименование на целевия показател</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Период</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Въз основа на одобреното (ако е приложимо)</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Реализирани</w:t>
            </w:r>
          </w:p>
        </w:tc>
        <w:tc>
          <w:tcPr>
            <w:tcW w:w="50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Усвояване (%)</w:t>
            </w:r>
          </w:p>
        </w:tc>
        <w:tc>
          <w:tcPr>
            <w:tcW w:w="750" w:type="pct"/>
            <w:tcBorders>
              <w:bottom w:val="single" w:sz="4" w:space="0" w:color="auto"/>
            </w:tcBorders>
            <w:shd w:val="clear" w:color="auto" w:fill="E6E6E6"/>
            <w:tcMar>
              <w:top w:w="20" w:type="dxa"/>
              <w:left w:w="20" w:type="dxa"/>
              <w:bottom w:w="20" w:type="dxa"/>
            </w:tcMar>
            <w:vAlign w:val="center"/>
          </w:tcPr>
          <w:p w:rsidR="00012A46" w:rsidRDefault="00836FCA">
            <w:pPr>
              <w:keepNext/>
              <w:spacing w:before="60" w:after="60"/>
              <w:jc w:val="center"/>
              <w:rPr>
                <w:sz w:val="16"/>
              </w:rPr>
            </w:pPr>
            <w:r>
              <w:rPr>
                <w:sz w:val="16"/>
              </w:rPr>
              <w:t>Цел за 2025 г.</w:t>
            </w:r>
          </w:p>
        </w:tc>
      </w:tr>
      <w:tr w:rsidR="00012A46">
        <w:tc>
          <w:tcPr>
            <w:tcW w:w="20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6C</w:t>
            </w:r>
          </w:p>
        </w:tc>
        <w:tc>
          <w:tcPr>
            <w:tcW w:w="10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left"/>
              <w:rPr>
                <w:sz w:val="16"/>
              </w:rPr>
            </w:pPr>
            <w:r>
              <w:rPr>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2014-2023</w:t>
            </w: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dashSmallGap"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val="restar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right"/>
              <w:rPr>
                <w:sz w:val="16"/>
              </w:rPr>
            </w:pPr>
            <w:r>
              <w:rPr>
                <w:sz w:val="16"/>
              </w:rPr>
              <w:t>0,00</w:t>
            </w: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2014-2022</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2014-2021</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2014-2020</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2014-2019</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2014-2018</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2014-2017</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keepNext/>
              <w:spacing w:before="60" w:after="60"/>
              <w:jc w:val="center"/>
              <w:rPr>
                <w:sz w:val="16"/>
              </w:rPr>
            </w:pPr>
            <w:r>
              <w:rPr>
                <w:sz w:val="16"/>
              </w:rPr>
              <w:t>2014-2016</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keepNext/>
              <w:spacing w:before="60" w:after="60"/>
              <w:jc w:val="right"/>
              <w:rPr>
                <w:sz w:val="16"/>
              </w:rPr>
            </w:pPr>
          </w:p>
        </w:tc>
      </w:tr>
      <w:tr w:rsidR="00012A46">
        <w:tc>
          <w:tcPr>
            <w:tcW w:w="20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10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lef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836FCA">
            <w:pPr>
              <w:spacing w:before="60" w:after="60"/>
              <w:jc w:val="center"/>
              <w:rPr>
                <w:sz w:val="16"/>
              </w:rPr>
            </w:pPr>
            <w:r>
              <w:rPr>
                <w:sz w:val="16"/>
              </w:rPr>
              <w:t>2014-2015</w:t>
            </w: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500" w:type="pct"/>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c>
          <w:tcPr>
            <w:tcW w:w="750" w:type="pct"/>
            <w:vMerge/>
            <w:tcBorders>
              <w:bottom w:val="single" w:sz="4" w:space="0" w:color="auto"/>
            </w:tcBorders>
            <w:shd w:val="clear" w:color="auto" w:fill="FFFFFF"/>
            <w:tcMar>
              <w:top w:w="20" w:type="dxa"/>
              <w:left w:w="20" w:type="dxa"/>
              <w:bottom w:w="20" w:type="dxa"/>
            </w:tcMar>
            <w:vAlign w:val="center"/>
          </w:tcPr>
          <w:p w:rsidR="00012A46" w:rsidRDefault="00012A46">
            <w:pPr>
              <w:spacing w:before="60" w:after="60"/>
              <w:jc w:val="right"/>
              <w:rPr>
                <w:sz w:val="16"/>
              </w:rPr>
            </w:pPr>
          </w:p>
        </w:tc>
      </w:tr>
    </w:tbl>
    <w:p w:rsidR="00012A46" w:rsidRDefault="00012A46">
      <w:pPr>
        <w:spacing w:before="60" w:after="60"/>
        <w:jc w:val="center"/>
        <w:rPr>
          <w:b/>
          <w:sz w:val="20"/>
        </w:rPr>
      </w:pPr>
    </w:p>
    <w:p w:rsidR="00012A46" w:rsidRDefault="00012A46">
      <w:pPr>
        <w:spacing w:before="60" w:after="60"/>
        <w:jc w:val="center"/>
        <w:sectPr w:rsidR="00012A46">
          <w:pgSz w:w="12240" w:h="15840"/>
          <w:pgMar w:top="900" w:right="900" w:bottom="900" w:left="900" w:header="720" w:footer="720" w:gutter="0"/>
          <w:cols w:space="720"/>
        </w:sectPr>
      </w:pPr>
    </w:p>
    <w:p w:rsidR="00012A46" w:rsidRDefault="00836FCA">
      <w:pPr>
        <w:pStyle w:val="Subtitle"/>
      </w:pPr>
      <w:bookmarkStart w:id="33" w:name="_Toc169016440"/>
      <w:r>
        <w:lastRenderedPageBreak/>
        <w:t>Документи</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254"/>
        <w:gridCol w:w="1420"/>
        <w:gridCol w:w="1421"/>
        <w:gridCol w:w="1421"/>
        <w:gridCol w:w="1421"/>
        <w:gridCol w:w="3341"/>
        <w:gridCol w:w="1211"/>
        <w:gridCol w:w="1181"/>
      </w:tblGrid>
      <w:tr w:rsidR="00012A46">
        <w:tc>
          <w:tcPr>
            <w:tcW w:w="750" w:type="pct"/>
            <w:shd w:val="clear" w:color="auto" w:fill="C0C0C0"/>
            <w:tcMar>
              <w:top w:w="60" w:type="dxa"/>
            </w:tcMar>
          </w:tcPr>
          <w:p w:rsidR="00012A46" w:rsidRDefault="00836FCA">
            <w:pPr>
              <w:jc w:val="center"/>
              <w:rPr>
                <w:b/>
                <w:sz w:val="20"/>
              </w:rPr>
            </w:pPr>
            <w:r>
              <w:rPr>
                <w:b/>
                <w:sz w:val="20"/>
              </w:rPr>
              <w:t>Заглавие на документа</w:t>
            </w:r>
          </w:p>
        </w:tc>
        <w:tc>
          <w:tcPr>
            <w:tcW w:w="750" w:type="pct"/>
            <w:shd w:val="clear" w:color="auto" w:fill="C0C0C0"/>
            <w:tcMar>
              <w:top w:w="60" w:type="dxa"/>
            </w:tcMar>
          </w:tcPr>
          <w:p w:rsidR="00012A46" w:rsidRDefault="00836FCA">
            <w:pPr>
              <w:jc w:val="center"/>
              <w:rPr>
                <w:b/>
                <w:sz w:val="20"/>
              </w:rPr>
            </w:pPr>
            <w:r>
              <w:rPr>
                <w:b/>
                <w:sz w:val="20"/>
              </w:rPr>
              <w:t>Вид документ</w:t>
            </w:r>
          </w:p>
        </w:tc>
        <w:tc>
          <w:tcPr>
            <w:tcW w:w="750" w:type="pct"/>
            <w:shd w:val="clear" w:color="auto" w:fill="C0C0C0"/>
            <w:tcMar>
              <w:top w:w="60" w:type="dxa"/>
            </w:tcMar>
          </w:tcPr>
          <w:p w:rsidR="00012A46" w:rsidRDefault="00836FCA">
            <w:pPr>
              <w:jc w:val="center"/>
              <w:rPr>
                <w:b/>
                <w:sz w:val="20"/>
              </w:rPr>
            </w:pPr>
            <w:r>
              <w:rPr>
                <w:b/>
                <w:sz w:val="20"/>
              </w:rPr>
              <w:t>Дата на документа</w:t>
            </w:r>
          </w:p>
        </w:tc>
        <w:tc>
          <w:tcPr>
            <w:tcW w:w="750" w:type="pct"/>
            <w:shd w:val="clear" w:color="auto" w:fill="C0C0C0"/>
            <w:tcMar>
              <w:top w:w="60" w:type="dxa"/>
            </w:tcMar>
          </w:tcPr>
          <w:p w:rsidR="00012A46" w:rsidRDefault="00836FCA">
            <w:pPr>
              <w:jc w:val="center"/>
              <w:rPr>
                <w:b/>
                <w:sz w:val="20"/>
              </w:rPr>
            </w:pPr>
            <w:r>
              <w:rPr>
                <w:b/>
                <w:sz w:val="20"/>
              </w:rPr>
              <w:t>Локален референтен номер</w:t>
            </w:r>
          </w:p>
        </w:tc>
        <w:tc>
          <w:tcPr>
            <w:tcW w:w="750" w:type="pct"/>
            <w:shd w:val="clear" w:color="auto" w:fill="C0C0C0"/>
            <w:tcMar>
              <w:top w:w="60" w:type="dxa"/>
            </w:tcMar>
          </w:tcPr>
          <w:p w:rsidR="00012A46" w:rsidRDefault="00836FCA">
            <w:pPr>
              <w:jc w:val="center"/>
              <w:rPr>
                <w:b/>
                <w:sz w:val="20"/>
              </w:rPr>
            </w:pPr>
            <w:r>
              <w:rPr>
                <w:b/>
                <w:sz w:val="20"/>
              </w:rPr>
              <w:t>Референтен номер на Комисията</w:t>
            </w:r>
          </w:p>
        </w:tc>
        <w:tc>
          <w:tcPr>
            <w:tcW w:w="750" w:type="pct"/>
            <w:shd w:val="clear" w:color="auto" w:fill="C0C0C0"/>
            <w:tcMar>
              <w:top w:w="60" w:type="dxa"/>
            </w:tcMar>
          </w:tcPr>
          <w:p w:rsidR="00012A46" w:rsidRDefault="00836FCA">
            <w:pPr>
              <w:jc w:val="center"/>
              <w:rPr>
                <w:b/>
                <w:sz w:val="20"/>
              </w:rPr>
            </w:pPr>
            <w:r>
              <w:rPr>
                <w:b/>
                <w:sz w:val="20"/>
              </w:rPr>
              <w:t>Контролна сума</w:t>
            </w:r>
          </w:p>
        </w:tc>
        <w:tc>
          <w:tcPr>
            <w:tcW w:w="750" w:type="pct"/>
            <w:shd w:val="clear" w:color="auto" w:fill="C0C0C0"/>
            <w:tcMar>
              <w:top w:w="60" w:type="dxa"/>
            </w:tcMar>
          </w:tcPr>
          <w:p w:rsidR="00012A46" w:rsidRDefault="00836FCA">
            <w:pPr>
              <w:jc w:val="center"/>
              <w:rPr>
                <w:b/>
                <w:sz w:val="20"/>
              </w:rPr>
            </w:pPr>
            <w:r>
              <w:rPr>
                <w:b/>
                <w:sz w:val="20"/>
              </w:rPr>
              <w:t>Файлове</w:t>
            </w:r>
          </w:p>
        </w:tc>
        <w:tc>
          <w:tcPr>
            <w:tcW w:w="750" w:type="pct"/>
            <w:shd w:val="clear" w:color="auto" w:fill="C0C0C0"/>
            <w:tcMar>
              <w:top w:w="60" w:type="dxa"/>
            </w:tcMar>
          </w:tcPr>
          <w:p w:rsidR="00012A46" w:rsidRDefault="00836FCA">
            <w:pPr>
              <w:jc w:val="center"/>
              <w:rPr>
                <w:b/>
                <w:sz w:val="20"/>
              </w:rPr>
            </w:pPr>
            <w:r>
              <w:rPr>
                <w:b/>
                <w:sz w:val="20"/>
              </w:rPr>
              <w:t>Дата на изпращане</w:t>
            </w:r>
          </w:p>
        </w:tc>
        <w:tc>
          <w:tcPr>
            <w:tcW w:w="750" w:type="pct"/>
            <w:shd w:val="clear" w:color="auto" w:fill="C0C0C0"/>
            <w:tcMar>
              <w:top w:w="60" w:type="dxa"/>
            </w:tcMar>
          </w:tcPr>
          <w:p w:rsidR="00012A46" w:rsidRDefault="00836FCA">
            <w:pPr>
              <w:jc w:val="center"/>
              <w:rPr>
                <w:sz w:val="20"/>
              </w:rPr>
            </w:pPr>
            <w:r>
              <w:rPr>
                <w:b/>
                <w:sz w:val="20"/>
              </w:rPr>
              <w:t>Изпратено от</w:t>
            </w:r>
          </w:p>
        </w:tc>
      </w:tr>
      <w:tr w:rsidR="00012A46">
        <w:tc>
          <w:tcPr>
            <w:tcW w:w="750" w:type="pct"/>
            <w:shd w:val="clear" w:color="auto" w:fill="FFFFFF"/>
            <w:tcMar>
              <w:top w:w="60" w:type="dxa"/>
            </w:tcMar>
          </w:tcPr>
          <w:p w:rsidR="00012A46" w:rsidRDefault="00836FCA">
            <w:pPr>
              <w:jc w:val="left"/>
              <w:rPr>
                <w:sz w:val="16"/>
              </w:rPr>
            </w:pPr>
            <w:r>
              <w:rPr>
                <w:sz w:val="16"/>
              </w:rPr>
              <w:t>AIR Financial Annex 2014BG06RDNP001</w:t>
            </w:r>
          </w:p>
        </w:tc>
        <w:tc>
          <w:tcPr>
            <w:tcW w:w="750" w:type="pct"/>
            <w:shd w:val="clear" w:color="auto" w:fill="FFFFFF"/>
            <w:tcMar>
              <w:top w:w="60" w:type="dxa"/>
            </w:tcMar>
          </w:tcPr>
          <w:p w:rsidR="00012A46" w:rsidRDefault="00836FCA">
            <w:pPr>
              <w:jc w:val="left"/>
              <w:rPr>
                <w:sz w:val="16"/>
              </w:rPr>
            </w:pPr>
            <w:r>
              <w:rPr>
                <w:sz w:val="16"/>
              </w:rPr>
              <w:t>Финансово приложение (системно)</w:t>
            </w:r>
          </w:p>
        </w:tc>
        <w:tc>
          <w:tcPr>
            <w:tcW w:w="750" w:type="pct"/>
            <w:shd w:val="clear" w:color="auto" w:fill="FFFFFF"/>
            <w:tcMar>
              <w:top w:w="60" w:type="dxa"/>
            </w:tcMar>
          </w:tcPr>
          <w:p w:rsidR="00012A46" w:rsidRDefault="00836FCA">
            <w:pPr>
              <w:jc w:val="left"/>
              <w:rPr>
                <w:sz w:val="16"/>
              </w:rPr>
            </w:pPr>
            <w:r>
              <w:rPr>
                <w:sz w:val="16"/>
              </w:rPr>
              <w:t>22-05-2024</w:t>
            </w:r>
          </w:p>
        </w:tc>
        <w:tc>
          <w:tcPr>
            <w:tcW w:w="750" w:type="pct"/>
            <w:shd w:val="clear" w:color="auto" w:fill="FFFFFF"/>
            <w:tcMar>
              <w:top w:w="60" w:type="dxa"/>
            </w:tcMar>
          </w:tcPr>
          <w:p w:rsidR="00012A46" w:rsidRDefault="00012A46">
            <w:pPr>
              <w:jc w:val="left"/>
              <w:rPr>
                <w:sz w:val="16"/>
              </w:rPr>
            </w:pPr>
          </w:p>
        </w:tc>
        <w:tc>
          <w:tcPr>
            <w:tcW w:w="750" w:type="pct"/>
            <w:shd w:val="clear" w:color="auto" w:fill="FFFFFF"/>
            <w:tcMar>
              <w:top w:w="60" w:type="dxa"/>
            </w:tcMar>
          </w:tcPr>
          <w:p w:rsidR="00012A46" w:rsidRDefault="00012A46">
            <w:pPr>
              <w:jc w:val="left"/>
              <w:rPr>
                <w:sz w:val="16"/>
              </w:rPr>
            </w:pPr>
          </w:p>
        </w:tc>
        <w:tc>
          <w:tcPr>
            <w:tcW w:w="750" w:type="pct"/>
            <w:shd w:val="clear" w:color="auto" w:fill="FFFFFF"/>
            <w:tcMar>
              <w:top w:w="60" w:type="dxa"/>
            </w:tcMar>
          </w:tcPr>
          <w:p w:rsidR="00012A46" w:rsidRDefault="00836FCA">
            <w:pPr>
              <w:jc w:val="left"/>
              <w:rPr>
                <w:sz w:val="16"/>
              </w:rPr>
            </w:pPr>
            <w:r>
              <w:rPr>
                <w:sz w:val="16"/>
              </w:rPr>
              <w:t>903309512</w:t>
            </w:r>
          </w:p>
        </w:tc>
        <w:tc>
          <w:tcPr>
            <w:tcW w:w="750" w:type="pct"/>
            <w:shd w:val="clear" w:color="auto" w:fill="FFFFFF"/>
            <w:tcMar>
              <w:top w:w="60" w:type="dxa"/>
            </w:tcMar>
          </w:tcPr>
          <w:p w:rsidR="00012A46" w:rsidRDefault="00836FCA">
            <w:pPr>
              <w:jc w:val="left"/>
              <w:rPr>
                <w:sz w:val="16"/>
              </w:rPr>
            </w:pPr>
            <w:r>
              <w:rPr>
                <w:sz w:val="16"/>
              </w:rPr>
              <w:t>AIRfinancialAnnex2014BG06RDNP001_bg.pdf</w:t>
            </w:r>
          </w:p>
        </w:tc>
        <w:tc>
          <w:tcPr>
            <w:tcW w:w="750" w:type="pct"/>
            <w:shd w:val="clear" w:color="auto" w:fill="FFFFFF"/>
            <w:tcMar>
              <w:top w:w="60" w:type="dxa"/>
            </w:tcMar>
          </w:tcPr>
          <w:p w:rsidR="00012A46" w:rsidRDefault="00012A46">
            <w:pPr>
              <w:jc w:val="left"/>
              <w:rPr>
                <w:sz w:val="16"/>
              </w:rPr>
            </w:pPr>
          </w:p>
        </w:tc>
        <w:tc>
          <w:tcPr>
            <w:tcW w:w="750" w:type="pct"/>
            <w:shd w:val="clear" w:color="auto" w:fill="FFFFFF"/>
            <w:tcMar>
              <w:top w:w="60" w:type="dxa"/>
            </w:tcMar>
          </w:tcPr>
          <w:p w:rsidR="00012A46" w:rsidRDefault="00012A46">
            <w:pPr>
              <w:jc w:val="left"/>
              <w:rPr>
                <w:sz w:val="16"/>
              </w:rPr>
            </w:pPr>
          </w:p>
        </w:tc>
      </w:tr>
      <w:tr w:rsidR="00012A46">
        <w:tc>
          <w:tcPr>
            <w:tcW w:w="750" w:type="pct"/>
            <w:shd w:val="clear" w:color="auto" w:fill="FFFFFF"/>
            <w:tcMar>
              <w:top w:w="60" w:type="dxa"/>
            </w:tcMar>
          </w:tcPr>
          <w:p w:rsidR="00012A46" w:rsidRDefault="00836FCA">
            <w:pPr>
              <w:jc w:val="left"/>
              <w:rPr>
                <w:sz w:val="16"/>
              </w:rPr>
            </w:pPr>
            <w:r>
              <w:rPr>
                <w:sz w:val="16"/>
              </w:rPr>
              <w:t>Citizens summary 2023</w:t>
            </w:r>
          </w:p>
        </w:tc>
        <w:tc>
          <w:tcPr>
            <w:tcW w:w="750" w:type="pct"/>
            <w:shd w:val="clear" w:color="auto" w:fill="FFFFFF"/>
            <w:tcMar>
              <w:top w:w="60" w:type="dxa"/>
            </w:tcMar>
          </w:tcPr>
          <w:p w:rsidR="00012A46" w:rsidRDefault="00836FCA">
            <w:pPr>
              <w:jc w:val="left"/>
              <w:rPr>
                <w:sz w:val="16"/>
              </w:rPr>
            </w:pPr>
            <w:r>
              <w:rPr>
                <w:sz w:val="16"/>
              </w:rPr>
              <w:t>Резюме за гражданите</w:t>
            </w:r>
          </w:p>
        </w:tc>
        <w:tc>
          <w:tcPr>
            <w:tcW w:w="750" w:type="pct"/>
            <w:shd w:val="clear" w:color="auto" w:fill="FFFFFF"/>
            <w:tcMar>
              <w:top w:w="60" w:type="dxa"/>
            </w:tcMar>
          </w:tcPr>
          <w:p w:rsidR="00012A46" w:rsidRDefault="00836FCA">
            <w:pPr>
              <w:jc w:val="left"/>
              <w:rPr>
                <w:sz w:val="16"/>
              </w:rPr>
            </w:pPr>
            <w:r>
              <w:rPr>
                <w:sz w:val="16"/>
              </w:rPr>
              <w:t>28-05-2024</w:t>
            </w:r>
          </w:p>
        </w:tc>
        <w:tc>
          <w:tcPr>
            <w:tcW w:w="750" w:type="pct"/>
            <w:shd w:val="clear" w:color="auto" w:fill="FFFFFF"/>
            <w:tcMar>
              <w:top w:w="60" w:type="dxa"/>
            </w:tcMar>
          </w:tcPr>
          <w:p w:rsidR="00012A46" w:rsidRDefault="00012A46">
            <w:pPr>
              <w:jc w:val="left"/>
              <w:rPr>
                <w:sz w:val="16"/>
              </w:rPr>
            </w:pPr>
          </w:p>
        </w:tc>
        <w:tc>
          <w:tcPr>
            <w:tcW w:w="750" w:type="pct"/>
            <w:shd w:val="clear" w:color="auto" w:fill="FFFFFF"/>
            <w:tcMar>
              <w:top w:w="60" w:type="dxa"/>
            </w:tcMar>
          </w:tcPr>
          <w:p w:rsidR="00012A46" w:rsidRDefault="00012A46">
            <w:pPr>
              <w:jc w:val="left"/>
              <w:rPr>
                <w:sz w:val="16"/>
              </w:rPr>
            </w:pPr>
          </w:p>
        </w:tc>
        <w:tc>
          <w:tcPr>
            <w:tcW w:w="750" w:type="pct"/>
            <w:shd w:val="clear" w:color="auto" w:fill="FFFFFF"/>
            <w:tcMar>
              <w:top w:w="60" w:type="dxa"/>
            </w:tcMar>
          </w:tcPr>
          <w:p w:rsidR="00012A46" w:rsidRDefault="00836FCA">
            <w:pPr>
              <w:jc w:val="left"/>
              <w:rPr>
                <w:sz w:val="16"/>
              </w:rPr>
            </w:pPr>
            <w:r>
              <w:rPr>
                <w:sz w:val="16"/>
              </w:rPr>
              <w:t>1527270333</w:t>
            </w:r>
          </w:p>
        </w:tc>
        <w:tc>
          <w:tcPr>
            <w:tcW w:w="750" w:type="pct"/>
            <w:shd w:val="clear" w:color="auto" w:fill="FFFFFF"/>
            <w:tcMar>
              <w:top w:w="60" w:type="dxa"/>
            </w:tcMar>
          </w:tcPr>
          <w:p w:rsidR="00012A46" w:rsidRDefault="00836FCA">
            <w:pPr>
              <w:jc w:val="left"/>
              <w:rPr>
                <w:sz w:val="16"/>
              </w:rPr>
            </w:pPr>
            <w:r>
              <w:rPr>
                <w:sz w:val="16"/>
              </w:rPr>
              <w:t>Citizens summary 2023</w:t>
            </w:r>
          </w:p>
        </w:tc>
        <w:tc>
          <w:tcPr>
            <w:tcW w:w="750" w:type="pct"/>
            <w:shd w:val="clear" w:color="auto" w:fill="FFFFFF"/>
            <w:tcMar>
              <w:top w:w="60" w:type="dxa"/>
            </w:tcMar>
          </w:tcPr>
          <w:p w:rsidR="00012A46" w:rsidRDefault="00012A46">
            <w:pPr>
              <w:jc w:val="left"/>
              <w:rPr>
                <w:sz w:val="16"/>
              </w:rPr>
            </w:pPr>
          </w:p>
        </w:tc>
        <w:tc>
          <w:tcPr>
            <w:tcW w:w="750" w:type="pct"/>
            <w:shd w:val="clear" w:color="auto" w:fill="FFFFFF"/>
            <w:tcMar>
              <w:top w:w="60" w:type="dxa"/>
            </w:tcMar>
          </w:tcPr>
          <w:p w:rsidR="00012A46" w:rsidRDefault="00012A46">
            <w:pPr>
              <w:jc w:val="left"/>
              <w:rPr>
                <w:sz w:val="16"/>
              </w:rPr>
            </w:pPr>
          </w:p>
        </w:tc>
      </w:tr>
    </w:tbl>
    <w:p w:rsidR="00012A46" w:rsidRDefault="00012A46">
      <w:pPr>
        <w:rPr>
          <w:b/>
        </w:rPr>
        <w:sectPr w:rsidR="00012A46">
          <w:pgSz w:w="15840" w:h="12240" w:orient="landscape"/>
          <w:pgMar w:top="900" w:right="900" w:bottom="900" w:left="900" w:header="720" w:footer="720" w:gutter="0"/>
          <w:cols w:space="720"/>
        </w:sectPr>
      </w:pPr>
    </w:p>
    <w:p w:rsidR="00012A46" w:rsidRDefault="00012A46">
      <w:pPr>
        <w:rPr>
          <w:b/>
        </w:rPr>
      </w:pPr>
    </w:p>
    <w:sectPr w:rsidR="00012A46">
      <w:pgSz w:w="15840" w:h="12240" w:orient="landscape"/>
      <w:pgMar w:top="900" w:right="900" w:bottom="900" w:left="9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16CF" w:rsidRDefault="003016CF">
      <w:pPr>
        <w:spacing w:before="0" w:after="0"/>
      </w:pPr>
      <w:r>
        <w:separator/>
      </w:r>
    </w:p>
  </w:endnote>
  <w:endnote w:type="continuationSeparator" w:id="0">
    <w:p w:rsidR="003016CF" w:rsidRDefault="003016C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4A9345ED-7069-4727-97C4-5910199D2949}"/>
  </w:font>
  <w:font w:name="Times New Roman">
    <w:panose1 w:val="02020603050405020304"/>
    <w:charset w:val="CC"/>
    <w:family w:val="roman"/>
    <w:pitch w:val="variable"/>
    <w:sig w:usb0="20002A87" w:usb1="00000000" w:usb2="00000000" w:usb3="00000000" w:csb0="000001FF" w:csb1="00000000"/>
    <w:embedRegular r:id="rId2" w:fontKey="{53485FF4-7CBF-4A47-8A87-D21ECFB00EA6}"/>
    <w:embedBold r:id="rId3" w:fontKey="{B5115029-2266-4060-8A39-58530CCEE7D7}"/>
    <w:embedItalic r:id="rId4" w:fontKey="{CDE6E496-0DF3-4F42-B9AF-1A994AEA2B5A}"/>
    <w:embedBoldItalic r:id="rId5" w:fontKey="{B23B9A96-C7A3-4A31-8CBE-F8ED95C41CE8}"/>
  </w:font>
  <w:font w:name="Courier New">
    <w:panose1 w:val="02070309020205020404"/>
    <w:charset w:val="CC"/>
    <w:family w:val="modern"/>
    <w:pitch w:val="fixed"/>
    <w:sig w:usb0="E0002EFF" w:usb1="C0007843" w:usb2="00000009" w:usb3="00000000" w:csb0="000001FF" w:csb1="00000000"/>
    <w:embedRegular r:id="rId6" w:fontKey="{D777420E-6B9E-4ECC-B6BA-973701445192}"/>
  </w:font>
  <w:font w:name="Wingdings">
    <w:panose1 w:val="05000000000000000000"/>
    <w:charset w:val="02"/>
    <w:family w:val="auto"/>
    <w:pitch w:val="variable"/>
    <w:sig w:usb0="00000000" w:usb1="10000000" w:usb2="00000000" w:usb3="00000000" w:csb0="80000000" w:csb1="00000000"/>
    <w:embedRegular r:id="rId7" w:fontKey="{71390F7F-1D14-484F-9462-77F3F3952495}"/>
  </w:font>
  <w:font w:name="Arial">
    <w:panose1 w:val="020B0604020202020204"/>
    <w:charset w:val="CC"/>
    <w:family w:val="swiss"/>
    <w:pitch w:val="variable"/>
    <w:sig w:usb0="20002A87" w:usb1="00000000" w:usb2="00000000" w:usb3="00000000" w:csb0="000001FF" w:csb1="00000000"/>
    <w:embedRegular r:id="rId8" w:fontKey="{7B43F843-B829-4834-BB2B-E29EF1CAA3B6}"/>
    <w:embedBold r:id="rId9" w:fontKey="{3A5FFD73-D18B-4720-B80B-96F90D49E6C8}"/>
    <w:embedItalic r:id="rId10" w:fontKey="{7F54098E-48A0-4538-99A4-51C13EA7D275}"/>
  </w:font>
  <w:font w:name="Calibri">
    <w:panose1 w:val="020F0502020204030204"/>
    <w:charset w:val="CC"/>
    <w:family w:val="swiss"/>
    <w:pitch w:val="variable"/>
    <w:sig w:usb0="E4002EFF" w:usb1="C000247B" w:usb2="00000009" w:usb3="00000000" w:csb0="000001FF" w:csb1="00000000"/>
    <w:embedRegular r:id="rId11" w:fontKey="{FA77A95D-648B-4768-AF68-AA2F4A14C3F2}"/>
    <w:embedBold r:id="rId12" w:fontKey="{D392A4B6-C4C3-45F6-86EC-B7EAC7E4CBD2}"/>
  </w:font>
  <w:font w:name="Tahoma">
    <w:panose1 w:val="020B0604030504040204"/>
    <w:charset w:val="CC"/>
    <w:family w:val="swiss"/>
    <w:pitch w:val="variable"/>
    <w:sig w:usb0="E1002EFF" w:usb1="C000605B" w:usb2="00000029" w:usb3="00000000" w:csb0="000101FF" w:csb1="00000000"/>
    <w:embedRegular r:id="rId13" w:fontKey="{7BC47E93-B6A9-42E9-B7E5-8A066BAE6554}"/>
  </w:font>
  <w:font w:name="Cambria">
    <w:panose1 w:val="02040503050406030204"/>
    <w:charset w:val="CC"/>
    <w:family w:val="roman"/>
    <w:pitch w:val="variable"/>
    <w:sig w:usb0="E00006FF" w:usb1="420024FF" w:usb2="02000000" w:usb3="00000000" w:csb0="0000019F" w:csb1="00000000"/>
    <w:embedRegular r:id="rId14" w:fontKey="{3B8E01DB-A941-4B01-AA5B-7F7C8A3CE91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FCA" w:rsidRDefault="00836FCA">
    <w:pPr>
      <w:pStyle w:val="Footer"/>
      <w:jc w:val="center"/>
    </w:pPr>
    <w:r>
      <w:fldChar w:fldCharType="begin"/>
    </w:r>
    <w:r>
      <w:instrText>PAGE</w:instrText>
    </w:r>
    <w:r>
      <w:fldChar w:fldCharType="separate"/>
    </w:r>
    <w:r w:rsidR="00BD4D88">
      <w:rPr>
        <w:noProof/>
      </w:rPr>
      <w:t>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FCA" w:rsidRDefault="00836FCA">
    <w:pPr>
      <w:pStyle w:val="Footer"/>
      <w:jc w:val="center"/>
    </w:pPr>
    <w:r>
      <w:fldChar w:fldCharType="begin"/>
    </w:r>
    <w:r>
      <w:instrText xml:space="preserve"> PAGE   \* MERGEFORMAT </w:instrText>
    </w:r>
    <w:r>
      <w:fldChar w:fldCharType="separate"/>
    </w:r>
    <w:r>
      <w:rPr>
        <w:noProof/>
      </w:rPr>
      <w:t>1</w:t>
    </w:r>
    <w:r>
      <w:rPr>
        <w:noProof/>
      </w:rPr>
      <w:fldChar w:fldCharType="end"/>
    </w:r>
  </w:p>
  <w:p w:rsidR="00836FCA" w:rsidRDefault="00836FC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16CF" w:rsidRDefault="003016CF">
      <w:pPr>
        <w:spacing w:before="0" w:after="0"/>
      </w:pPr>
      <w:r>
        <w:separator/>
      </w:r>
    </w:p>
  </w:footnote>
  <w:footnote w:type="continuationSeparator" w:id="0">
    <w:p w:rsidR="003016CF" w:rsidRDefault="003016CF">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FCA" w:rsidRPr="004551CD" w:rsidRDefault="00836FCA">
    <w:pPr>
      <w:pStyle w:val="Header"/>
      <w:spacing w:after="0"/>
      <w:rPr>
        <w:lang w:val="fr-B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47E67F57"/>
    <w:multiLevelType w:val="hybridMultilevel"/>
    <w:tmpl w:val="15665BA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5">
    <w:nsid w:val="52264AB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53436603"/>
    <w:multiLevelType w:val="multilevel"/>
    <w:tmpl w:val="C23052C8"/>
    <w:lvl w:ilvl="0">
      <w:start w:val="1"/>
      <w:numFmt w:val="decimal"/>
      <w:pStyle w:val="Heading1"/>
      <w:suff w:val="space"/>
      <w:lvlText w:val="%1."/>
      <w:lvlJc w:val="left"/>
      <w:pPr>
        <w:ind w:left="0" w:firstLine="0"/>
      </w:pPr>
      <w:rPr>
        <w:rFonts w:hint="default"/>
      </w:rPr>
    </w:lvl>
    <w:lvl w:ilvl="1">
      <w:start w:val="1"/>
      <w:numFmt w:val="lowerLetter"/>
      <w:pStyle w:val="Heading2"/>
      <w:suff w:val="space"/>
      <w:lvlText w:val="%1.%2)"/>
      <w:lvlJc w:val="left"/>
      <w:pPr>
        <w:ind w:left="993"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lowerLetter"/>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lowerLetter"/>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lowerLetter"/>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8">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993"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9">
    <w:nsid w:val="5B8B1E96"/>
    <w:multiLevelType w:val="multilevel"/>
    <w:tmpl w:val="C3AAD27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C405D49"/>
    <w:multiLevelType w:val="multilevel"/>
    <w:tmpl w:val="A09AD310"/>
    <w:numStyleLink w:val="Headings"/>
  </w:abstractNum>
  <w:abstractNum w:abstractNumId="21">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2">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3">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4">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5">
    <w:nsid w:val="6E19044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722304D8"/>
    <w:multiLevelType w:val="hybridMultilevel"/>
    <w:tmpl w:val="722304D8"/>
    <w:lvl w:ilvl="0" w:tplc="BC966582">
      <w:start w:val="1"/>
      <w:numFmt w:val="bullet"/>
      <w:lvlText w:val=""/>
      <w:lvlJc w:val="left"/>
      <w:pPr>
        <w:ind w:left="720" w:hanging="360"/>
      </w:pPr>
      <w:rPr>
        <w:rFonts w:ascii="Symbol" w:hAnsi="Symbol"/>
      </w:rPr>
    </w:lvl>
    <w:lvl w:ilvl="1" w:tplc="89D65656">
      <w:start w:val="1"/>
      <w:numFmt w:val="bullet"/>
      <w:lvlText w:val="o"/>
      <w:lvlJc w:val="left"/>
      <w:pPr>
        <w:tabs>
          <w:tab w:val="num" w:pos="1440"/>
        </w:tabs>
        <w:ind w:left="1440" w:hanging="360"/>
      </w:pPr>
      <w:rPr>
        <w:rFonts w:ascii="Courier New" w:hAnsi="Courier New"/>
      </w:rPr>
    </w:lvl>
    <w:lvl w:ilvl="2" w:tplc="724AFF60">
      <w:start w:val="1"/>
      <w:numFmt w:val="bullet"/>
      <w:lvlText w:val=""/>
      <w:lvlJc w:val="left"/>
      <w:pPr>
        <w:tabs>
          <w:tab w:val="num" w:pos="2160"/>
        </w:tabs>
        <w:ind w:left="2160" w:hanging="360"/>
      </w:pPr>
      <w:rPr>
        <w:rFonts w:ascii="Wingdings" w:hAnsi="Wingdings"/>
      </w:rPr>
    </w:lvl>
    <w:lvl w:ilvl="3" w:tplc="B114D174">
      <w:start w:val="1"/>
      <w:numFmt w:val="bullet"/>
      <w:lvlText w:val=""/>
      <w:lvlJc w:val="left"/>
      <w:pPr>
        <w:tabs>
          <w:tab w:val="num" w:pos="2880"/>
        </w:tabs>
        <w:ind w:left="2880" w:hanging="360"/>
      </w:pPr>
      <w:rPr>
        <w:rFonts w:ascii="Symbol" w:hAnsi="Symbol"/>
      </w:rPr>
    </w:lvl>
    <w:lvl w:ilvl="4" w:tplc="DCB6C006">
      <w:start w:val="1"/>
      <w:numFmt w:val="bullet"/>
      <w:lvlText w:val="o"/>
      <w:lvlJc w:val="left"/>
      <w:pPr>
        <w:tabs>
          <w:tab w:val="num" w:pos="3600"/>
        </w:tabs>
        <w:ind w:left="3600" w:hanging="360"/>
      </w:pPr>
      <w:rPr>
        <w:rFonts w:ascii="Courier New" w:hAnsi="Courier New"/>
      </w:rPr>
    </w:lvl>
    <w:lvl w:ilvl="5" w:tplc="17487426">
      <w:start w:val="1"/>
      <w:numFmt w:val="bullet"/>
      <w:lvlText w:val=""/>
      <w:lvlJc w:val="left"/>
      <w:pPr>
        <w:tabs>
          <w:tab w:val="num" w:pos="4320"/>
        </w:tabs>
        <w:ind w:left="4320" w:hanging="360"/>
      </w:pPr>
      <w:rPr>
        <w:rFonts w:ascii="Wingdings" w:hAnsi="Wingdings"/>
      </w:rPr>
    </w:lvl>
    <w:lvl w:ilvl="6" w:tplc="726AC87A">
      <w:start w:val="1"/>
      <w:numFmt w:val="bullet"/>
      <w:lvlText w:val=""/>
      <w:lvlJc w:val="left"/>
      <w:pPr>
        <w:tabs>
          <w:tab w:val="num" w:pos="5040"/>
        </w:tabs>
        <w:ind w:left="5040" w:hanging="360"/>
      </w:pPr>
      <w:rPr>
        <w:rFonts w:ascii="Symbol" w:hAnsi="Symbol"/>
      </w:rPr>
    </w:lvl>
    <w:lvl w:ilvl="7" w:tplc="73A4C46E">
      <w:start w:val="1"/>
      <w:numFmt w:val="bullet"/>
      <w:lvlText w:val="o"/>
      <w:lvlJc w:val="left"/>
      <w:pPr>
        <w:tabs>
          <w:tab w:val="num" w:pos="5760"/>
        </w:tabs>
        <w:ind w:left="5760" w:hanging="360"/>
      </w:pPr>
      <w:rPr>
        <w:rFonts w:ascii="Courier New" w:hAnsi="Courier New"/>
      </w:rPr>
    </w:lvl>
    <w:lvl w:ilvl="8" w:tplc="42F63FB8">
      <w:start w:val="1"/>
      <w:numFmt w:val="bullet"/>
      <w:lvlText w:val=""/>
      <w:lvlJc w:val="left"/>
      <w:pPr>
        <w:tabs>
          <w:tab w:val="num" w:pos="6480"/>
        </w:tabs>
        <w:ind w:left="6480" w:hanging="360"/>
      </w:pPr>
      <w:rPr>
        <w:rFonts w:ascii="Wingdings" w:hAnsi="Wingdings"/>
      </w:rPr>
    </w:lvl>
  </w:abstractNum>
  <w:abstractNum w:abstractNumId="28">
    <w:nsid w:val="722304D9"/>
    <w:multiLevelType w:val="hybridMultilevel"/>
    <w:tmpl w:val="722304D9"/>
    <w:lvl w:ilvl="0" w:tplc="58505610">
      <w:start w:val="1"/>
      <w:numFmt w:val="bullet"/>
      <w:lvlText w:val=""/>
      <w:lvlJc w:val="left"/>
      <w:pPr>
        <w:ind w:left="720" w:hanging="360"/>
      </w:pPr>
      <w:rPr>
        <w:rFonts w:ascii="Symbol" w:hAnsi="Symbol"/>
      </w:rPr>
    </w:lvl>
    <w:lvl w:ilvl="1" w:tplc="13BEA90C">
      <w:start w:val="1"/>
      <w:numFmt w:val="bullet"/>
      <w:lvlText w:val="o"/>
      <w:lvlJc w:val="left"/>
      <w:pPr>
        <w:tabs>
          <w:tab w:val="num" w:pos="1440"/>
        </w:tabs>
        <w:ind w:left="1440" w:hanging="360"/>
      </w:pPr>
      <w:rPr>
        <w:rFonts w:ascii="Courier New" w:hAnsi="Courier New"/>
      </w:rPr>
    </w:lvl>
    <w:lvl w:ilvl="2" w:tplc="AA306CC0">
      <w:start w:val="1"/>
      <w:numFmt w:val="bullet"/>
      <w:lvlText w:val=""/>
      <w:lvlJc w:val="left"/>
      <w:pPr>
        <w:tabs>
          <w:tab w:val="num" w:pos="2160"/>
        </w:tabs>
        <w:ind w:left="2160" w:hanging="360"/>
      </w:pPr>
      <w:rPr>
        <w:rFonts w:ascii="Wingdings" w:hAnsi="Wingdings"/>
      </w:rPr>
    </w:lvl>
    <w:lvl w:ilvl="3" w:tplc="67CA1A04">
      <w:start w:val="1"/>
      <w:numFmt w:val="bullet"/>
      <w:lvlText w:val=""/>
      <w:lvlJc w:val="left"/>
      <w:pPr>
        <w:tabs>
          <w:tab w:val="num" w:pos="2880"/>
        </w:tabs>
        <w:ind w:left="2880" w:hanging="360"/>
      </w:pPr>
      <w:rPr>
        <w:rFonts w:ascii="Symbol" w:hAnsi="Symbol"/>
      </w:rPr>
    </w:lvl>
    <w:lvl w:ilvl="4" w:tplc="7ACEC980">
      <w:start w:val="1"/>
      <w:numFmt w:val="bullet"/>
      <w:lvlText w:val="o"/>
      <w:lvlJc w:val="left"/>
      <w:pPr>
        <w:tabs>
          <w:tab w:val="num" w:pos="3600"/>
        </w:tabs>
        <w:ind w:left="3600" w:hanging="360"/>
      </w:pPr>
      <w:rPr>
        <w:rFonts w:ascii="Courier New" w:hAnsi="Courier New"/>
      </w:rPr>
    </w:lvl>
    <w:lvl w:ilvl="5" w:tplc="BA4C79A0">
      <w:start w:val="1"/>
      <w:numFmt w:val="bullet"/>
      <w:lvlText w:val=""/>
      <w:lvlJc w:val="left"/>
      <w:pPr>
        <w:tabs>
          <w:tab w:val="num" w:pos="4320"/>
        </w:tabs>
        <w:ind w:left="4320" w:hanging="360"/>
      </w:pPr>
      <w:rPr>
        <w:rFonts w:ascii="Wingdings" w:hAnsi="Wingdings"/>
      </w:rPr>
    </w:lvl>
    <w:lvl w:ilvl="6" w:tplc="4FC46942">
      <w:start w:val="1"/>
      <w:numFmt w:val="bullet"/>
      <w:lvlText w:val=""/>
      <w:lvlJc w:val="left"/>
      <w:pPr>
        <w:tabs>
          <w:tab w:val="num" w:pos="5040"/>
        </w:tabs>
        <w:ind w:left="5040" w:hanging="360"/>
      </w:pPr>
      <w:rPr>
        <w:rFonts w:ascii="Symbol" w:hAnsi="Symbol"/>
      </w:rPr>
    </w:lvl>
    <w:lvl w:ilvl="7" w:tplc="91B2F9B4">
      <w:start w:val="1"/>
      <w:numFmt w:val="bullet"/>
      <w:lvlText w:val="o"/>
      <w:lvlJc w:val="left"/>
      <w:pPr>
        <w:tabs>
          <w:tab w:val="num" w:pos="5760"/>
        </w:tabs>
        <w:ind w:left="5760" w:hanging="360"/>
      </w:pPr>
      <w:rPr>
        <w:rFonts w:ascii="Courier New" w:hAnsi="Courier New"/>
      </w:rPr>
    </w:lvl>
    <w:lvl w:ilvl="8" w:tplc="30D24B3C">
      <w:start w:val="1"/>
      <w:numFmt w:val="bullet"/>
      <w:lvlText w:val=""/>
      <w:lvlJc w:val="left"/>
      <w:pPr>
        <w:tabs>
          <w:tab w:val="num" w:pos="6480"/>
        </w:tabs>
        <w:ind w:left="6480" w:hanging="360"/>
      </w:pPr>
      <w:rPr>
        <w:rFonts w:ascii="Wingdings" w:hAnsi="Wingdings"/>
      </w:rPr>
    </w:lvl>
  </w:abstractNum>
  <w:abstractNum w:abstractNumId="29">
    <w:nsid w:val="722304DA"/>
    <w:multiLevelType w:val="hybridMultilevel"/>
    <w:tmpl w:val="722304DA"/>
    <w:lvl w:ilvl="0" w:tplc="10F283F4">
      <w:start w:val="1"/>
      <w:numFmt w:val="bullet"/>
      <w:lvlText w:val=""/>
      <w:lvlJc w:val="left"/>
      <w:pPr>
        <w:ind w:left="720" w:hanging="360"/>
      </w:pPr>
      <w:rPr>
        <w:rFonts w:ascii="Symbol" w:hAnsi="Symbol"/>
      </w:rPr>
    </w:lvl>
    <w:lvl w:ilvl="1" w:tplc="95FA2394">
      <w:start w:val="1"/>
      <w:numFmt w:val="bullet"/>
      <w:lvlText w:val="o"/>
      <w:lvlJc w:val="left"/>
      <w:pPr>
        <w:tabs>
          <w:tab w:val="num" w:pos="1440"/>
        </w:tabs>
        <w:ind w:left="1440" w:hanging="360"/>
      </w:pPr>
      <w:rPr>
        <w:rFonts w:ascii="Courier New" w:hAnsi="Courier New"/>
      </w:rPr>
    </w:lvl>
    <w:lvl w:ilvl="2" w:tplc="35765BD0">
      <w:start w:val="1"/>
      <w:numFmt w:val="bullet"/>
      <w:lvlText w:val=""/>
      <w:lvlJc w:val="left"/>
      <w:pPr>
        <w:tabs>
          <w:tab w:val="num" w:pos="2160"/>
        </w:tabs>
        <w:ind w:left="2160" w:hanging="360"/>
      </w:pPr>
      <w:rPr>
        <w:rFonts w:ascii="Wingdings" w:hAnsi="Wingdings"/>
      </w:rPr>
    </w:lvl>
    <w:lvl w:ilvl="3" w:tplc="CFAC8906">
      <w:start w:val="1"/>
      <w:numFmt w:val="bullet"/>
      <w:lvlText w:val=""/>
      <w:lvlJc w:val="left"/>
      <w:pPr>
        <w:tabs>
          <w:tab w:val="num" w:pos="2880"/>
        </w:tabs>
        <w:ind w:left="2880" w:hanging="360"/>
      </w:pPr>
      <w:rPr>
        <w:rFonts w:ascii="Symbol" w:hAnsi="Symbol"/>
      </w:rPr>
    </w:lvl>
    <w:lvl w:ilvl="4" w:tplc="12E89B8E">
      <w:start w:val="1"/>
      <w:numFmt w:val="bullet"/>
      <w:lvlText w:val="o"/>
      <w:lvlJc w:val="left"/>
      <w:pPr>
        <w:tabs>
          <w:tab w:val="num" w:pos="3600"/>
        </w:tabs>
        <w:ind w:left="3600" w:hanging="360"/>
      </w:pPr>
      <w:rPr>
        <w:rFonts w:ascii="Courier New" w:hAnsi="Courier New"/>
      </w:rPr>
    </w:lvl>
    <w:lvl w:ilvl="5" w:tplc="284EBB20">
      <w:start w:val="1"/>
      <w:numFmt w:val="bullet"/>
      <w:lvlText w:val=""/>
      <w:lvlJc w:val="left"/>
      <w:pPr>
        <w:tabs>
          <w:tab w:val="num" w:pos="4320"/>
        </w:tabs>
        <w:ind w:left="4320" w:hanging="360"/>
      </w:pPr>
      <w:rPr>
        <w:rFonts w:ascii="Wingdings" w:hAnsi="Wingdings"/>
      </w:rPr>
    </w:lvl>
    <w:lvl w:ilvl="6" w:tplc="64FEF0DA">
      <w:start w:val="1"/>
      <w:numFmt w:val="bullet"/>
      <w:lvlText w:val=""/>
      <w:lvlJc w:val="left"/>
      <w:pPr>
        <w:tabs>
          <w:tab w:val="num" w:pos="5040"/>
        </w:tabs>
        <w:ind w:left="5040" w:hanging="360"/>
      </w:pPr>
      <w:rPr>
        <w:rFonts w:ascii="Symbol" w:hAnsi="Symbol"/>
      </w:rPr>
    </w:lvl>
    <w:lvl w:ilvl="7" w:tplc="86AE51D8">
      <w:start w:val="1"/>
      <w:numFmt w:val="bullet"/>
      <w:lvlText w:val="o"/>
      <w:lvlJc w:val="left"/>
      <w:pPr>
        <w:tabs>
          <w:tab w:val="num" w:pos="5760"/>
        </w:tabs>
        <w:ind w:left="5760" w:hanging="360"/>
      </w:pPr>
      <w:rPr>
        <w:rFonts w:ascii="Courier New" w:hAnsi="Courier New"/>
      </w:rPr>
    </w:lvl>
    <w:lvl w:ilvl="8" w:tplc="1E1672A6">
      <w:start w:val="1"/>
      <w:numFmt w:val="bullet"/>
      <w:lvlText w:val=""/>
      <w:lvlJc w:val="left"/>
      <w:pPr>
        <w:tabs>
          <w:tab w:val="num" w:pos="6480"/>
        </w:tabs>
        <w:ind w:left="6480" w:hanging="360"/>
      </w:pPr>
      <w:rPr>
        <w:rFonts w:ascii="Wingdings" w:hAnsi="Wingdings"/>
      </w:rPr>
    </w:lvl>
  </w:abstractNum>
  <w:abstractNum w:abstractNumId="30">
    <w:nsid w:val="722304DB"/>
    <w:multiLevelType w:val="hybridMultilevel"/>
    <w:tmpl w:val="722304DB"/>
    <w:lvl w:ilvl="0" w:tplc="324C10B8">
      <w:start w:val="1"/>
      <w:numFmt w:val="bullet"/>
      <w:lvlText w:val=""/>
      <w:lvlJc w:val="left"/>
      <w:pPr>
        <w:ind w:left="720" w:hanging="360"/>
      </w:pPr>
      <w:rPr>
        <w:rFonts w:ascii="Symbol" w:hAnsi="Symbol"/>
      </w:rPr>
    </w:lvl>
    <w:lvl w:ilvl="1" w:tplc="BA2CC7FE">
      <w:start w:val="1"/>
      <w:numFmt w:val="bullet"/>
      <w:lvlText w:val="o"/>
      <w:lvlJc w:val="left"/>
      <w:pPr>
        <w:tabs>
          <w:tab w:val="num" w:pos="1440"/>
        </w:tabs>
        <w:ind w:left="1440" w:hanging="360"/>
      </w:pPr>
      <w:rPr>
        <w:rFonts w:ascii="Courier New" w:hAnsi="Courier New"/>
      </w:rPr>
    </w:lvl>
    <w:lvl w:ilvl="2" w:tplc="FA427D1E">
      <w:start w:val="1"/>
      <w:numFmt w:val="bullet"/>
      <w:lvlText w:val=""/>
      <w:lvlJc w:val="left"/>
      <w:pPr>
        <w:tabs>
          <w:tab w:val="num" w:pos="2160"/>
        </w:tabs>
        <w:ind w:left="2160" w:hanging="360"/>
      </w:pPr>
      <w:rPr>
        <w:rFonts w:ascii="Wingdings" w:hAnsi="Wingdings"/>
      </w:rPr>
    </w:lvl>
    <w:lvl w:ilvl="3" w:tplc="868E8E18">
      <w:start w:val="1"/>
      <w:numFmt w:val="bullet"/>
      <w:lvlText w:val=""/>
      <w:lvlJc w:val="left"/>
      <w:pPr>
        <w:tabs>
          <w:tab w:val="num" w:pos="2880"/>
        </w:tabs>
        <w:ind w:left="2880" w:hanging="360"/>
      </w:pPr>
      <w:rPr>
        <w:rFonts w:ascii="Symbol" w:hAnsi="Symbol"/>
      </w:rPr>
    </w:lvl>
    <w:lvl w:ilvl="4" w:tplc="96FA625A">
      <w:start w:val="1"/>
      <w:numFmt w:val="bullet"/>
      <w:lvlText w:val="o"/>
      <w:lvlJc w:val="left"/>
      <w:pPr>
        <w:tabs>
          <w:tab w:val="num" w:pos="3600"/>
        </w:tabs>
        <w:ind w:left="3600" w:hanging="360"/>
      </w:pPr>
      <w:rPr>
        <w:rFonts w:ascii="Courier New" w:hAnsi="Courier New"/>
      </w:rPr>
    </w:lvl>
    <w:lvl w:ilvl="5" w:tplc="715064F4">
      <w:start w:val="1"/>
      <w:numFmt w:val="bullet"/>
      <w:lvlText w:val=""/>
      <w:lvlJc w:val="left"/>
      <w:pPr>
        <w:tabs>
          <w:tab w:val="num" w:pos="4320"/>
        </w:tabs>
        <w:ind w:left="4320" w:hanging="360"/>
      </w:pPr>
      <w:rPr>
        <w:rFonts w:ascii="Wingdings" w:hAnsi="Wingdings"/>
      </w:rPr>
    </w:lvl>
    <w:lvl w:ilvl="6" w:tplc="79566668">
      <w:start w:val="1"/>
      <w:numFmt w:val="bullet"/>
      <w:lvlText w:val=""/>
      <w:lvlJc w:val="left"/>
      <w:pPr>
        <w:tabs>
          <w:tab w:val="num" w:pos="5040"/>
        </w:tabs>
        <w:ind w:left="5040" w:hanging="360"/>
      </w:pPr>
      <w:rPr>
        <w:rFonts w:ascii="Symbol" w:hAnsi="Symbol"/>
      </w:rPr>
    </w:lvl>
    <w:lvl w:ilvl="7" w:tplc="15C2341E">
      <w:start w:val="1"/>
      <w:numFmt w:val="bullet"/>
      <w:lvlText w:val="o"/>
      <w:lvlJc w:val="left"/>
      <w:pPr>
        <w:tabs>
          <w:tab w:val="num" w:pos="5760"/>
        </w:tabs>
        <w:ind w:left="5760" w:hanging="360"/>
      </w:pPr>
      <w:rPr>
        <w:rFonts w:ascii="Courier New" w:hAnsi="Courier New"/>
      </w:rPr>
    </w:lvl>
    <w:lvl w:ilvl="8" w:tplc="F1D2C30C">
      <w:start w:val="1"/>
      <w:numFmt w:val="bullet"/>
      <w:lvlText w:val=""/>
      <w:lvlJc w:val="left"/>
      <w:pPr>
        <w:tabs>
          <w:tab w:val="num" w:pos="6480"/>
        </w:tabs>
        <w:ind w:left="6480" w:hanging="360"/>
      </w:pPr>
      <w:rPr>
        <w:rFonts w:ascii="Wingdings" w:hAnsi="Wingdings"/>
      </w:rPr>
    </w:lvl>
  </w:abstractNum>
  <w:abstractNum w:abstractNumId="31">
    <w:nsid w:val="722304DC"/>
    <w:multiLevelType w:val="hybridMultilevel"/>
    <w:tmpl w:val="722304DC"/>
    <w:lvl w:ilvl="0" w:tplc="E3D87456">
      <w:start w:val="1"/>
      <w:numFmt w:val="bullet"/>
      <w:lvlText w:val=""/>
      <w:lvlJc w:val="left"/>
      <w:pPr>
        <w:ind w:left="720" w:hanging="360"/>
      </w:pPr>
      <w:rPr>
        <w:rFonts w:ascii="Symbol" w:hAnsi="Symbol"/>
      </w:rPr>
    </w:lvl>
    <w:lvl w:ilvl="1" w:tplc="9CE458F8">
      <w:start w:val="1"/>
      <w:numFmt w:val="bullet"/>
      <w:lvlText w:val="o"/>
      <w:lvlJc w:val="left"/>
      <w:pPr>
        <w:tabs>
          <w:tab w:val="num" w:pos="1440"/>
        </w:tabs>
        <w:ind w:left="1440" w:hanging="360"/>
      </w:pPr>
      <w:rPr>
        <w:rFonts w:ascii="Courier New" w:hAnsi="Courier New"/>
      </w:rPr>
    </w:lvl>
    <w:lvl w:ilvl="2" w:tplc="B6847C3A">
      <w:start w:val="1"/>
      <w:numFmt w:val="bullet"/>
      <w:lvlText w:val=""/>
      <w:lvlJc w:val="left"/>
      <w:pPr>
        <w:tabs>
          <w:tab w:val="num" w:pos="2160"/>
        </w:tabs>
        <w:ind w:left="2160" w:hanging="360"/>
      </w:pPr>
      <w:rPr>
        <w:rFonts w:ascii="Wingdings" w:hAnsi="Wingdings"/>
      </w:rPr>
    </w:lvl>
    <w:lvl w:ilvl="3" w:tplc="1A2428B6">
      <w:start w:val="1"/>
      <w:numFmt w:val="bullet"/>
      <w:lvlText w:val=""/>
      <w:lvlJc w:val="left"/>
      <w:pPr>
        <w:tabs>
          <w:tab w:val="num" w:pos="2880"/>
        </w:tabs>
        <w:ind w:left="2880" w:hanging="360"/>
      </w:pPr>
      <w:rPr>
        <w:rFonts w:ascii="Symbol" w:hAnsi="Symbol"/>
      </w:rPr>
    </w:lvl>
    <w:lvl w:ilvl="4" w:tplc="28F48894">
      <w:start w:val="1"/>
      <w:numFmt w:val="bullet"/>
      <w:lvlText w:val="o"/>
      <w:lvlJc w:val="left"/>
      <w:pPr>
        <w:tabs>
          <w:tab w:val="num" w:pos="3600"/>
        </w:tabs>
        <w:ind w:left="3600" w:hanging="360"/>
      </w:pPr>
      <w:rPr>
        <w:rFonts w:ascii="Courier New" w:hAnsi="Courier New"/>
      </w:rPr>
    </w:lvl>
    <w:lvl w:ilvl="5" w:tplc="26887164">
      <w:start w:val="1"/>
      <w:numFmt w:val="bullet"/>
      <w:lvlText w:val=""/>
      <w:lvlJc w:val="left"/>
      <w:pPr>
        <w:tabs>
          <w:tab w:val="num" w:pos="4320"/>
        </w:tabs>
        <w:ind w:left="4320" w:hanging="360"/>
      </w:pPr>
      <w:rPr>
        <w:rFonts w:ascii="Wingdings" w:hAnsi="Wingdings"/>
      </w:rPr>
    </w:lvl>
    <w:lvl w:ilvl="6" w:tplc="AC5A6C10">
      <w:start w:val="1"/>
      <w:numFmt w:val="bullet"/>
      <w:lvlText w:val=""/>
      <w:lvlJc w:val="left"/>
      <w:pPr>
        <w:tabs>
          <w:tab w:val="num" w:pos="5040"/>
        </w:tabs>
        <w:ind w:left="5040" w:hanging="360"/>
      </w:pPr>
      <w:rPr>
        <w:rFonts w:ascii="Symbol" w:hAnsi="Symbol"/>
      </w:rPr>
    </w:lvl>
    <w:lvl w:ilvl="7" w:tplc="43EC1540">
      <w:start w:val="1"/>
      <w:numFmt w:val="bullet"/>
      <w:lvlText w:val="o"/>
      <w:lvlJc w:val="left"/>
      <w:pPr>
        <w:tabs>
          <w:tab w:val="num" w:pos="5760"/>
        </w:tabs>
        <w:ind w:left="5760" w:hanging="360"/>
      </w:pPr>
      <w:rPr>
        <w:rFonts w:ascii="Courier New" w:hAnsi="Courier New"/>
      </w:rPr>
    </w:lvl>
    <w:lvl w:ilvl="8" w:tplc="968261A4">
      <w:start w:val="1"/>
      <w:numFmt w:val="bullet"/>
      <w:lvlText w:val=""/>
      <w:lvlJc w:val="left"/>
      <w:pPr>
        <w:tabs>
          <w:tab w:val="num" w:pos="6480"/>
        </w:tabs>
        <w:ind w:left="6480" w:hanging="360"/>
      </w:pPr>
      <w:rPr>
        <w:rFonts w:ascii="Wingdings" w:hAnsi="Wingdings"/>
      </w:rPr>
    </w:lvl>
  </w:abstractNum>
  <w:abstractNum w:abstractNumId="32">
    <w:nsid w:val="722304DD"/>
    <w:multiLevelType w:val="hybridMultilevel"/>
    <w:tmpl w:val="722304DD"/>
    <w:lvl w:ilvl="0" w:tplc="23863DC4">
      <w:start w:val="1"/>
      <w:numFmt w:val="bullet"/>
      <w:lvlText w:val=""/>
      <w:lvlJc w:val="left"/>
      <w:pPr>
        <w:ind w:left="720" w:hanging="360"/>
      </w:pPr>
      <w:rPr>
        <w:rFonts w:ascii="Symbol" w:hAnsi="Symbol"/>
      </w:rPr>
    </w:lvl>
    <w:lvl w:ilvl="1" w:tplc="E1F62FE0">
      <w:start w:val="1"/>
      <w:numFmt w:val="bullet"/>
      <w:lvlText w:val="o"/>
      <w:lvlJc w:val="left"/>
      <w:pPr>
        <w:tabs>
          <w:tab w:val="num" w:pos="1440"/>
        </w:tabs>
        <w:ind w:left="1440" w:hanging="360"/>
      </w:pPr>
      <w:rPr>
        <w:rFonts w:ascii="Courier New" w:hAnsi="Courier New"/>
      </w:rPr>
    </w:lvl>
    <w:lvl w:ilvl="2" w:tplc="15DABF76">
      <w:start w:val="1"/>
      <w:numFmt w:val="bullet"/>
      <w:lvlText w:val=""/>
      <w:lvlJc w:val="left"/>
      <w:pPr>
        <w:tabs>
          <w:tab w:val="num" w:pos="2160"/>
        </w:tabs>
        <w:ind w:left="2160" w:hanging="360"/>
      </w:pPr>
      <w:rPr>
        <w:rFonts w:ascii="Wingdings" w:hAnsi="Wingdings"/>
      </w:rPr>
    </w:lvl>
    <w:lvl w:ilvl="3" w:tplc="A1EA08EE">
      <w:start w:val="1"/>
      <w:numFmt w:val="bullet"/>
      <w:lvlText w:val=""/>
      <w:lvlJc w:val="left"/>
      <w:pPr>
        <w:tabs>
          <w:tab w:val="num" w:pos="2880"/>
        </w:tabs>
        <w:ind w:left="2880" w:hanging="360"/>
      </w:pPr>
      <w:rPr>
        <w:rFonts w:ascii="Symbol" w:hAnsi="Symbol"/>
      </w:rPr>
    </w:lvl>
    <w:lvl w:ilvl="4" w:tplc="0FF466F0">
      <w:start w:val="1"/>
      <w:numFmt w:val="bullet"/>
      <w:lvlText w:val="o"/>
      <w:lvlJc w:val="left"/>
      <w:pPr>
        <w:tabs>
          <w:tab w:val="num" w:pos="3600"/>
        </w:tabs>
        <w:ind w:left="3600" w:hanging="360"/>
      </w:pPr>
      <w:rPr>
        <w:rFonts w:ascii="Courier New" w:hAnsi="Courier New"/>
      </w:rPr>
    </w:lvl>
    <w:lvl w:ilvl="5" w:tplc="5DE20972">
      <w:start w:val="1"/>
      <w:numFmt w:val="bullet"/>
      <w:lvlText w:val=""/>
      <w:lvlJc w:val="left"/>
      <w:pPr>
        <w:tabs>
          <w:tab w:val="num" w:pos="4320"/>
        </w:tabs>
        <w:ind w:left="4320" w:hanging="360"/>
      </w:pPr>
      <w:rPr>
        <w:rFonts w:ascii="Wingdings" w:hAnsi="Wingdings"/>
      </w:rPr>
    </w:lvl>
    <w:lvl w:ilvl="6" w:tplc="C32ACE44">
      <w:start w:val="1"/>
      <w:numFmt w:val="bullet"/>
      <w:lvlText w:val=""/>
      <w:lvlJc w:val="left"/>
      <w:pPr>
        <w:tabs>
          <w:tab w:val="num" w:pos="5040"/>
        </w:tabs>
        <w:ind w:left="5040" w:hanging="360"/>
      </w:pPr>
      <w:rPr>
        <w:rFonts w:ascii="Symbol" w:hAnsi="Symbol"/>
      </w:rPr>
    </w:lvl>
    <w:lvl w:ilvl="7" w:tplc="7CB21B34">
      <w:start w:val="1"/>
      <w:numFmt w:val="bullet"/>
      <w:lvlText w:val="o"/>
      <w:lvlJc w:val="left"/>
      <w:pPr>
        <w:tabs>
          <w:tab w:val="num" w:pos="5760"/>
        </w:tabs>
        <w:ind w:left="5760" w:hanging="360"/>
      </w:pPr>
      <w:rPr>
        <w:rFonts w:ascii="Courier New" w:hAnsi="Courier New"/>
      </w:rPr>
    </w:lvl>
    <w:lvl w:ilvl="8" w:tplc="03A8BC6E">
      <w:start w:val="1"/>
      <w:numFmt w:val="bullet"/>
      <w:lvlText w:val=""/>
      <w:lvlJc w:val="left"/>
      <w:pPr>
        <w:tabs>
          <w:tab w:val="num" w:pos="6480"/>
        </w:tabs>
        <w:ind w:left="6480" w:hanging="360"/>
      </w:pPr>
      <w:rPr>
        <w:rFonts w:ascii="Wingdings" w:hAnsi="Wingdings"/>
      </w:rPr>
    </w:lvl>
  </w:abstractNum>
  <w:abstractNum w:abstractNumId="33">
    <w:nsid w:val="722304DE"/>
    <w:multiLevelType w:val="hybridMultilevel"/>
    <w:tmpl w:val="722304DE"/>
    <w:lvl w:ilvl="0" w:tplc="004CC6A4">
      <w:start w:val="1"/>
      <w:numFmt w:val="bullet"/>
      <w:lvlText w:val=""/>
      <w:lvlJc w:val="left"/>
      <w:pPr>
        <w:ind w:left="720" w:hanging="360"/>
      </w:pPr>
      <w:rPr>
        <w:rFonts w:ascii="Symbol" w:hAnsi="Symbol"/>
      </w:rPr>
    </w:lvl>
    <w:lvl w:ilvl="1" w:tplc="373C457A">
      <w:start w:val="1"/>
      <w:numFmt w:val="bullet"/>
      <w:lvlText w:val="o"/>
      <w:lvlJc w:val="left"/>
      <w:pPr>
        <w:tabs>
          <w:tab w:val="num" w:pos="1440"/>
        </w:tabs>
        <w:ind w:left="1440" w:hanging="360"/>
      </w:pPr>
      <w:rPr>
        <w:rFonts w:ascii="Courier New" w:hAnsi="Courier New"/>
      </w:rPr>
    </w:lvl>
    <w:lvl w:ilvl="2" w:tplc="EC484DD0">
      <w:start w:val="1"/>
      <w:numFmt w:val="bullet"/>
      <w:lvlText w:val=""/>
      <w:lvlJc w:val="left"/>
      <w:pPr>
        <w:tabs>
          <w:tab w:val="num" w:pos="2160"/>
        </w:tabs>
        <w:ind w:left="2160" w:hanging="360"/>
      </w:pPr>
      <w:rPr>
        <w:rFonts w:ascii="Wingdings" w:hAnsi="Wingdings"/>
      </w:rPr>
    </w:lvl>
    <w:lvl w:ilvl="3" w:tplc="BD18F4DE">
      <w:start w:val="1"/>
      <w:numFmt w:val="bullet"/>
      <w:lvlText w:val=""/>
      <w:lvlJc w:val="left"/>
      <w:pPr>
        <w:tabs>
          <w:tab w:val="num" w:pos="2880"/>
        </w:tabs>
        <w:ind w:left="2880" w:hanging="360"/>
      </w:pPr>
      <w:rPr>
        <w:rFonts w:ascii="Symbol" w:hAnsi="Symbol"/>
      </w:rPr>
    </w:lvl>
    <w:lvl w:ilvl="4" w:tplc="A3D6B588">
      <w:start w:val="1"/>
      <w:numFmt w:val="bullet"/>
      <w:lvlText w:val="o"/>
      <w:lvlJc w:val="left"/>
      <w:pPr>
        <w:tabs>
          <w:tab w:val="num" w:pos="3600"/>
        </w:tabs>
        <w:ind w:left="3600" w:hanging="360"/>
      </w:pPr>
      <w:rPr>
        <w:rFonts w:ascii="Courier New" w:hAnsi="Courier New"/>
      </w:rPr>
    </w:lvl>
    <w:lvl w:ilvl="5" w:tplc="CF9E609E">
      <w:start w:val="1"/>
      <w:numFmt w:val="bullet"/>
      <w:lvlText w:val=""/>
      <w:lvlJc w:val="left"/>
      <w:pPr>
        <w:tabs>
          <w:tab w:val="num" w:pos="4320"/>
        </w:tabs>
        <w:ind w:left="4320" w:hanging="360"/>
      </w:pPr>
      <w:rPr>
        <w:rFonts w:ascii="Wingdings" w:hAnsi="Wingdings"/>
      </w:rPr>
    </w:lvl>
    <w:lvl w:ilvl="6" w:tplc="13BC9934">
      <w:start w:val="1"/>
      <w:numFmt w:val="bullet"/>
      <w:lvlText w:val=""/>
      <w:lvlJc w:val="left"/>
      <w:pPr>
        <w:tabs>
          <w:tab w:val="num" w:pos="5040"/>
        </w:tabs>
        <w:ind w:left="5040" w:hanging="360"/>
      </w:pPr>
      <w:rPr>
        <w:rFonts w:ascii="Symbol" w:hAnsi="Symbol"/>
      </w:rPr>
    </w:lvl>
    <w:lvl w:ilvl="7" w:tplc="F3A20DEC">
      <w:start w:val="1"/>
      <w:numFmt w:val="bullet"/>
      <w:lvlText w:val="o"/>
      <w:lvlJc w:val="left"/>
      <w:pPr>
        <w:tabs>
          <w:tab w:val="num" w:pos="5760"/>
        </w:tabs>
        <w:ind w:left="5760" w:hanging="360"/>
      </w:pPr>
      <w:rPr>
        <w:rFonts w:ascii="Courier New" w:hAnsi="Courier New"/>
      </w:rPr>
    </w:lvl>
    <w:lvl w:ilvl="8" w:tplc="636459EA">
      <w:start w:val="1"/>
      <w:numFmt w:val="bullet"/>
      <w:lvlText w:val=""/>
      <w:lvlJc w:val="left"/>
      <w:pPr>
        <w:tabs>
          <w:tab w:val="num" w:pos="6480"/>
        </w:tabs>
        <w:ind w:left="6480" w:hanging="360"/>
      </w:pPr>
      <w:rPr>
        <w:rFonts w:ascii="Wingdings" w:hAnsi="Wingdings"/>
      </w:rPr>
    </w:lvl>
  </w:abstractNum>
  <w:abstractNum w:abstractNumId="34">
    <w:nsid w:val="722304DF"/>
    <w:multiLevelType w:val="hybridMultilevel"/>
    <w:tmpl w:val="722304DF"/>
    <w:lvl w:ilvl="0" w:tplc="DAEE76EA">
      <w:start w:val="1"/>
      <w:numFmt w:val="bullet"/>
      <w:lvlText w:val=""/>
      <w:lvlJc w:val="left"/>
      <w:pPr>
        <w:ind w:left="720" w:hanging="360"/>
      </w:pPr>
      <w:rPr>
        <w:rFonts w:ascii="Symbol" w:hAnsi="Symbol"/>
      </w:rPr>
    </w:lvl>
    <w:lvl w:ilvl="1" w:tplc="74CE91F6">
      <w:start w:val="1"/>
      <w:numFmt w:val="bullet"/>
      <w:lvlText w:val="o"/>
      <w:lvlJc w:val="left"/>
      <w:pPr>
        <w:tabs>
          <w:tab w:val="num" w:pos="1440"/>
        </w:tabs>
        <w:ind w:left="1440" w:hanging="360"/>
      </w:pPr>
      <w:rPr>
        <w:rFonts w:ascii="Courier New" w:hAnsi="Courier New"/>
      </w:rPr>
    </w:lvl>
    <w:lvl w:ilvl="2" w:tplc="0BCE19CE">
      <w:start w:val="1"/>
      <w:numFmt w:val="bullet"/>
      <w:lvlText w:val=""/>
      <w:lvlJc w:val="left"/>
      <w:pPr>
        <w:tabs>
          <w:tab w:val="num" w:pos="2160"/>
        </w:tabs>
        <w:ind w:left="2160" w:hanging="360"/>
      </w:pPr>
      <w:rPr>
        <w:rFonts w:ascii="Wingdings" w:hAnsi="Wingdings"/>
      </w:rPr>
    </w:lvl>
    <w:lvl w:ilvl="3" w:tplc="6040EA38">
      <w:start w:val="1"/>
      <w:numFmt w:val="bullet"/>
      <w:lvlText w:val=""/>
      <w:lvlJc w:val="left"/>
      <w:pPr>
        <w:tabs>
          <w:tab w:val="num" w:pos="2880"/>
        </w:tabs>
        <w:ind w:left="2880" w:hanging="360"/>
      </w:pPr>
      <w:rPr>
        <w:rFonts w:ascii="Symbol" w:hAnsi="Symbol"/>
      </w:rPr>
    </w:lvl>
    <w:lvl w:ilvl="4" w:tplc="2C38BEA4">
      <w:start w:val="1"/>
      <w:numFmt w:val="bullet"/>
      <w:lvlText w:val="o"/>
      <w:lvlJc w:val="left"/>
      <w:pPr>
        <w:tabs>
          <w:tab w:val="num" w:pos="3600"/>
        </w:tabs>
        <w:ind w:left="3600" w:hanging="360"/>
      </w:pPr>
      <w:rPr>
        <w:rFonts w:ascii="Courier New" w:hAnsi="Courier New"/>
      </w:rPr>
    </w:lvl>
    <w:lvl w:ilvl="5" w:tplc="536811DA">
      <w:start w:val="1"/>
      <w:numFmt w:val="bullet"/>
      <w:lvlText w:val=""/>
      <w:lvlJc w:val="left"/>
      <w:pPr>
        <w:tabs>
          <w:tab w:val="num" w:pos="4320"/>
        </w:tabs>
        <w:ind w:left="4320" w:hanging="360"/>
      </w:pPr>
      <w:rPr>
        <w:rFonts w:ascii="Wingdings" w:hAnsi="Wingdings"/>
      </w:rPr>
    </w:lvl>
    <w:lvl w:ilvl="6" w:tplc="3746DC38">
      <w:start w:val="1"/>
      <w:numFmt w:val="bullet"/>
      <w:lvlText w:val=""/>
      <w:lvlJc w:val="left"/>
      <w:pPr>
        <w:tabs>
          <w:tab w:val="num" w:pos="5040"/>
        </w:tabs>
        <w:ind w:left="5040" w:hanging="360"/>
      </w:pPr>
      <w:rPr>
        <w:rFonts w:ascii="Symbol" w:hAnsi="Symbol"/>
      </w:rPr>
    </w:lvl>
    <w:lvl w:ilvl="7" w:tplc="DBF2815E">
      <w:start w:val="1"/>
      <w:numFmt w:val="bullet"/>
      <w:lvlText w:val="o"/>
      <w:lvlJc w:val="left"/>
      <w:pPr>
        <w:tabs>
          <w:tab w:val="num" w:pos="5760"/>
        </w:tabs>
        <w:ind w:left="5760" w:hanging="360"/>
      </w:pPr>
      <w:rPr>
        <w:rFonts w:ascii="Courier New" w:hAnsi="Courier New"/>
      </w:rPr>
    </w:lvl>
    <w:lvl w:ilvl="8" w:tplc="61D80212">
      <w:start w:val="1"/>
      <w:numFmt w:val="bullet"/>
      <w:lvlText w:val=""/>
      <w:lvlJc w:val="left"/>
      <w:pPr>
        <w:tabs>
          <w:tab w:val="num" w:pos="6480"/>
        </w:tabs>
        <w:ind w:left="6480" w:hanging="360"/>
      </w:pPr>
      <w:rPr>
        <w:rFonts w:ascii="Wingdings" w:hAnsi="Wingdings"/>
      </w:rPr>
    </w:lvl>
  </w:abstractNum>
  <w:abstractNum w:abstractNumId="35">
    <w:nsid w:val="722304E0"/>
    <w:multiLevelType w:val="hybridMultilevel"/>
    <w:tmpl w:val="722304E0"/>
    <w:lvl w:ilvl="0" w:tplc="0F268A90">
      <w:start w:val="1"/>
      <w:numFmt w:val="bullet"/>
      <w:lvlText w:val=""/>
      <w:lvlJc w:val="left"/>
      <w:pPr>
        <w:ind w:left="720" w:hanging="360"/>
      </w:pPr>
      <w:rPr>
        <w:rFonts w:ascii="Symbol" w:hAnsi="Symbol"/>
      </w:rPr>
    </w:lvl>
    <w:lvl w:ilvl="1" w:tplc="4AF64ECE">
      <w:start w:val="1"/>
      <w:numFmt w:val="bullet"/>
      <w:lvlText w:val="o"/>
      <w:lvlJc w:val="left"/>
      <w:pPr>
        <w:tabs>
          <w:tab w:val="num" w:pos="1440"/>
        </w:tabs>
        <w:ind w:left="1440" w:hanging="360"/>
      </w:pPr>
      <w:rPr>
        <w:rFonts w:ascii="Courier New" w:hAnsi="Courier New"/>
      </w:rPr>
    </w:lvl>
    <w:lvl w:ilvl="2" w:tplc="8FFAEE68">
      <w:start w:val="1"/>
      <w:numFmt w:val="bullet"/>
      <w:lvlText w:val=""/>
      <w:lvlJc w:val="left"/>
      <w:pPr>
        <w:tabs>
          <w:tab w:val="num" w:pos="2160"/>
        </w:tabs>
        <w:ind w:left="2160" w:hanging="360"/>
      </w:pPr>
      <w:rPr>
        <w:rFonts w:ascii="Wingdings" w:hAnsi="Wingdings"/>
      </w:rPr>
    </w:lvl>
    <w:lvl w:ilvl="3" w:tplc="B7223308">
      <w:start w:val="1"/>
      <w:numFmt w:val="bullet"/>
      <w:lvlText w:val=""/>
      <w:lvlJc w:val="left"/>
      <w:pPr>
        <w:tabs>
          <w:tab w:val="num" w:pos="2880"/>
        </w:tabs>
        <w:ind w:left="2880" w:hanging="360"/>
      </w:pPr>
      <w:rPr>
        <w:rFonts w:ascii="Symbol" w:hAnsi="Symbol"/>
      </w:rPr>
    </w:lvl>
    <w:lvl w:ilvl="4" w:tplc="332448B0">
      <w:start w:val="1"/>
      <w:numFmt w:val="bullet"/>
      <w:lvlText w:val="o"/>
      <w:lvlJc w:val="left"/>
      <w:pPr>
        <w:tabs>
          <w:tab w:val="num" w:pos="3600"/>
        </w:tabs>
        <w:ind w:left="3600" w:hanging="360"/>
      </w:pPr>
      <w:rPr>
        <w:rFonts w:ascii="Courier New" w:hAnsi="Courier New"/>
      </w:rPr>
    </w:lvl>
    <w:lvl w:ilvl="5" w:tplc="DC3EF30E">
      <w:start w:val="1"/>
      <w:numFmt w:val="bullet"/>
      <w:lvlText w:val=""/>
      <w:lvlJc w:val="left"/>
      <w:pPr>
        <w:tabs>
          <w:tab w:val="num" w:pos="4320"/>
        </w:tabs>
        <w:ind w:left="4320" w:hanging="360"/>
      </w:pPr>
      <w:rPr>
        <w:rFonts w:ascii="Wingdings" w:hAnsi="Wingdings"/>
      </w:rPr>
    </w:lvl>
    <w:lvl w:ilvl="6" w:tplc="1DA80814">
      <w:start w:val="1"/>
      <w:numFmt w:val="bullet"/>
      <w:lvlText w:val=""/>
      <w:lvlJc w:val="left"/>
      <w:pPr>
        <w:tabs>
          <w:tab w:val="num" w:pos="5040"/>
        </w:tabs>
        <w:ind w:left="5040" w:hanging="360"/>
      </w:pPr>
      <w:rPr>
        <w:rFonts w:ascii="Symbol" w:hAnsi="Symbol"/>
      </w:rPr>
    </w:lvl>
    <w:lvl w:ilvl="7" w:tplc="550ABB30">
      <w:start w:val="1"/>
      <w:numFmt w:val="bullet"/>
      <w:lvlText w:val="o"/>
      <w:lvlJc w:val="left"/>
      <w:pPr>
        <w:tabs>
          <w:tab w:val="num" w:pos="5760"/>
        </w:tabs>
        <w:ind w:left="5760" w:hanging="360"/>
      </w:pPr>
      <w:rPr>
        <w:rFonts w:ascii="Courier New" w:hAnsi="Courier New"/>
      </w:rPr>
    </w:lvl>
    <w:lvl w:ilvl="8" w:tplc="A1583E0C">
      <w:start w:val="1"/>
      <w:numFmt w:val="bullet"/>
      <w:lvlText w:val=""/>
      <w:lvlJc w:val="left"/>
      <w:pPr>
        <w:tabs>
          <w:tab w:val="num" w:pos="6480"/>
        </w:tabs>
        <w:ind w:left="6480" w:hanging="360"/>
      </w:pPr>
      <w:rPr>
        <w:rFonts w:ascii="Wingdings" w:hAnsi="Wingdings"/>
      </w:rPr>
    </w:lvl>
  </w:abstractNum>
  <w:abstractNum w:abstractNumId="36">
    <w:nsid w:val="722304E1"/>
    <w:multiLevelType w:val="hybridMultilevel"/>
    <w:tmpl w:val="722304E1"/>
    <w:lvl w:ilvl="0" w:tplc="63147DA8">
      <w:start w:val="1"/>
      <w:numFmt w:val="bullet"/>
      <w:lvlText w:val=""/>
      <w:lvlJc w:val="left"/>
      <w:pPr>
        <w:ind w:left="720" w:hanging="360"/>
      </w:pPr>
      <w:rPr>
        <w:rFonts w:ascii="Symbol" w:hAnsi="Symbol"/>
      </w:rPr>
    </w:lvl>
    <w:lvl w:ilvl="1" w:tplc="2FC02CD2">
      <w:start w:val="1"/>
      <w:numFmt w:val="bullet"/>
      <w:lvlText w:val="o"/>
      <w:lvlJc w:val="left"/>
      <w:pPr>
        <w:tabs>
          <w:tab w:val="num" w:pos="1440"/>
        </w:tabs>
        <w:ind w:left="1440" w:hanging="360"/>
      </w:pPr>
      <w:rPr>
        <w:rFonts w:ascii="Courier New" w:hAnsi="Courier New"/>
      </w:rPr>
    </w:lvl>
    <w:lvl w:ilvl="2" w:tplc="C8DEA9B4">
      <w:start w:val="1"/>
      <w:numFmt w:val="bullet"/>
      <w:lvlText w:val=""/>
      <w:lvlJc w:val="left"/>
      <w:pPr>
        <w:tabs>
          <w:tab w:val="num" w:pos="2160"/>
        </w:tabs>
        <w:ind w:left="2160" w:hanging="360"/>
      </w:pPr>
      <w:rPr>
        <w:rFonts w:ascii="Wingdings" w:hAnsi="Wingdings"/>
      </w:rPr>
    </w:lvl>
    <w:lvl w:ilvl="3" w:tplc="D540B96E">
      <w:start w:val="1"/>
      <w:numFmt w:val="bullet"/>
      <w:lvlText w:val=""/>
      <w:lvlJc w:val="left"/>
      <w:pPr>
        <w:tabs>
          <w:tab w:val="num" w:pos="2880"/>
        </w:tabs>
        <w:ind w:left="2880" w:hanging="360"/>
      </w:pPr>
      <w:rPr>
        <w:rFonts w:ascii="Symbol" w:hAnsi="Symbol"/>
      </w:rPr>
    </w:lvl>
    <w:lvl w:ilvl="4" w:tplc="270C4102">
      <w:start w:val="1"/>
      <w:numFmt w:val="bullet"/>
      <w:lvlText w:val="o"/>
      <w:lvlJc w:val="left"/>
      <w:pPr>
        <w:tabs>
          <w:tab w:val="num" w:pos="3600"/>
        </w:tabs>
        <w:ind w:left="3600" w:hanging="360"/>
      </w:pPr>
      <w:rPr>
        <w:rFonts w:ascii="Courier New" w:hAnsi="Courier New"/>
      </w:rPr>
    </w:lvl>
    <w:lvl w:ilvl="5" w:tplc="77C678A4">
      <w:start w:val="1"/>
      <w:numFmt w:val="bullet"/>
      <w:lvlText w:val=""/>
      <w:lvlJc w:val="left"/>
      <w:pPr>
        <w:tabs>
          <w:tab w:val="num" w:pos="4320"/>
        </w:tabs>
        <w:ind w:left="4320" w:hanging="360"/>
      </w:pPr>
      <w:rPr>
        <w:rFonts w:ascii="Wingdings" w:hAnsi="Wingdings"/>
      </w:rPr>
    </w:lvl>
    <w:lvl w:ilvl="6" w:tplc="935E1126">
      <w:start w:val="1"/>
      <w:numFmt w:val="bullet"/>
      <w:lvlText w:val=""/>
      <w:lvlJc w:val="left"/>
      <w:pPr>
        <w:tabs>
          <w:tab w:val="num" w:pos="5040"/>
        </w:tabs>
        <w:ind w:left="5040" w:hanging="360"/>
      </w:pPr>
      <w:rPr>
        <w:rFonts w:ascii="Symbol" w:hAnsi="Symbol"/>
      </w:rPr>
    </w:lvl>
    <w:lvl w:ilvl="7" w:tplc="3EBE566A">
      <w:start w:val="1"/>
      <w:numFmt w:val="bullet"/>
      <w:lvlText w:val="o"/>
      <w:lvlJc w:val="left"/>
      <w:pPr>
        <w:tabs>
          <w:tab w:val="num" w:pos="5760"/>
        </w:tabs>
        <w:ind w:left="5760" w:hanging="360"/>
      </w:pPr>
      <w:rPr>
        <w:rFonts w:ascii="Courier New" w:hAnsi="Courier New"/>
      </w:rPr>
    </w:lvl>
    <w:lvl w:ilvl="8" w:tplc="B91CF7DE">
      <w:start w:val="1"/>
      <w:numFmt w:val="bullet"/>
      <w:lvlText w:val=""/>
      <w:lvlJc w:val="left"/>
      <w:pPr>
        <w:tabs>
          <w:tab w:val="num" w:pos="6480"/>
        </w:tabs>
        <w:ind w:left="6480" w:hanging="360"/>
      </w:pPr>
      <w:rPr>
        <w:rFonts w:ascii="Wingdings" w:hAnsi="Wingdings"/>
      </w:rPr>
    </w:lvl>
  </w:abstractNum>
  <w:abstractNum w:abstractNumId="37">
    <w:nsid w:val="722304E2"/>
    <w:multiLevelType w:val="hybridMultilevel"/>
    <w:tmpl w:val="722304E2"/>
    <w:lvl w:ilvl="0" w:tplc="B8EE1776">
      <w:start w:val="1"/>
      <w:numFmt w:val="bullet"/>
      <w:lvlText w:val=""/>
      <w:lvlJc w:val="left"/>
      <w:pPr>
        <w:ind w:left="720" w:hanging="360"/>
      </w:pPr>
      <w:rPr>
        <w:rFonts w:ascii="Symbol" w:hAnsi="Symbol"/>
      </w:rPr>
    </w:lvl>
    <w:lvl w:ilvl="1" w:tplc="91F0089C">
      <w:start w:val="1"/>
      <w:numFmt w:val="bullet"/>
      <w:lvlText w:val="o"/>
      <w:lvlJc w:val="left"/>
      <w:pPr>
        <w:tabs>
          <w:tab w:val="num" w:pos="1440"/>
        </w:tabs>
        <w:ind w:left="1440" w:hanging="360"/>
      </w:pPr>
      <w:rPr>
        <w:rFonts w:ascii="Courier New" w:hAnsi="Courier New"/>
      </w:rPr>
    </w:lvl>
    <w:lvl w:ilvl="2" w:tplc="A9303E44">
      <w:start w:val="1"/>
      <w:numFmt w:val="bullet"/>
      <w:lvlText w:val=""/>
      <w:lvlJc w:val="left"/>
      <w:pPr>
        <w:tabs>
          <w:tab w:val="num" w:pos="2160"/>
        </w:tabs>
        <w:ind w:left="2160" w:hanging="360"/>
      </w:pPr>
      <w:rPr>
        <w:rFonts w:ascii="Wingdings" w:hAnsi="Wingdings"/>
      </w:rPr>
    </w:lvl>
    <w:lvl w:ilvl="3" w:tplc="133C3C3C">
      <w:start w:val="1"/>
      <w:numFmt w:val="bullet"/>
      <w:lvlText w:val=""/>
      <w:lvlJc w:val="left"/>
      <w:pPr>
        <w:tabs>
          <w:tab w:val="num" w:pos="2880"/>
        </w:tabs>
        <w:ind w:left="2880" w:hanging="360"/>
      </w:pPr>
      <w:rPr>
        <w:rFonts w:ascii="Symbol" w:hAnsi="Symbol"/>
      </w:rPr>
    </w:lvl>
    <w:lvl w:ilvl="4" w:tplc="183651F6">
      <w:start w:val="1"/>
      <w:numFmt w:val="bullet"/>
      <w:lvlText w:val="o"/>
      <w:lvlJc w:val="left"/>
      <w:pPr>
        <w:tabs>
          <w:tab w:val="num" w:pos="3600"/>
        </w:tabs>
        <w:ind w:left="3600" w:hanging="360"/>
      </w:pPr>
      <w:rPr>
        <w:rFonts w:ascii="Courier New" w:hAnsi="Courier New"/>
      </w:rPr>
    </w:lvl>
    <w:lvl w:ilvl="5" w:tplc="CB482DD8">
      <w:start w:val="1"/>
      <w:numFmt w:val="bullet"/>
      <w:lvlText w:val=""/>
      <w:lvlJc w:val="left"/>
      <w:pPr>
        <w:tabs>
          <w:tab w:val="num" w:pos="4320"/>
        </w:tabs>
        <w:ind w:left="4320" w:hanging="360"/>
      </w:pPr>
      <w:rPr>
        <w:rFonts w:ascii="Wingdings" w:hAnsi="Wingdings"/>
      </w:rPr>
    </w:lvl>
    <w:lvl w:ilvl="6" w:tplc="436A9382">
      <w:start w:val="1"/>
      <w:numFmt w:val="bullet"/>
      <w:lvlText w:val=""/>
      <w:lvlJc w:val="left"/>
      <w:pPr>
        <w:tabs>
          <w:tab w:val="num" w:pos="5040"/>
        </w:tabs>
        <w:ind w:left="5040" w:hanging="360"/>
      </w:pPr>
      <w:rPr>
        <w:rFonts w:ascii="Symbol" w:hAnsi="Symbol"/>
      </w:rPr>
    </w:lvl>
    <w:lvl w:ilvl="7" w:tplc="87149A58">
      <w:start w:val="1"/>
      <w:numFmt w:val="bullet"/>
      <w:lvlText w:val="o"/>
      <w:lvlJc w:val="left"/>
      <w:pPr>
        <w:tabs>
          <w:tab w:val="num" w:pos="5760"/>
        </w:tabs>
        <w:ind w:left="5760" w:hanging="360"/>
      </w:pPr>
      <w:rPr>
        <w:rFonts w:ascii="Courier New" w:hAnsi="Courier New"/>
      </w:rPr>
    </w:lvl>
    <w:lvl w:ilvl="8" w:tplc="CB74C8B6">
      <w:start w:val="1"/>
      <w:numFmt w:val="bullet"/>
      <w:lvlText w:val=""/>
      <w:lvlJc w:val="left"/>
      <w:pPr>
        <w:tabs>
          <w:tab w:val="num" w:pos="6480"/>
        </w:tabs>
        <w:ind w:left="6480" w:hanging="360"/>
      </w:pPr>
      <w:rPr>
        <w:rFonts w:ascii="Wingdings" w:hAnsi="Wingdings"/>
      </w:rPr>
    </w:lvl>
  </w:abstractNum>
  <w:abstractNum w:abstractNumId="38">
    <w:nsid w:val="722304E3"/>
    <w:multiLevelType w:val="hybridMultilevel"/>
    <w:tmpl w:val="722304E3"/>
    <w:lvl w:ilvl="0" w:tplc="C6D204D0">
      <w:start w:val="1"/>
      <w:numFmt w:val="bullet"/>
      <w:lvlText w:val=""/>
      <w:lvlJc w:val="left"/>
      <w:pPr>
        <w:ind w:left="720" w:hanging="360"/>
      </w:pPr>
      <w:rPr>
        <w:rFonts w:ascii="Symbol" w:hAnsi="Symbol"/>
      </w:rPr>
    </w:lvl>
    <w:lvl w:ilvl="1" w:tplc="D83AA458">
      <w:start w:val="1"/>
      <w:numFmt w:val="bullet"/>
      <w:lvlText w:val="o"/>
      <w:lvlJc w:val="left"/>
      <w:pPr>
        <w:tabs>
          <w:tab w:val="num" w:pos="1440"/>
        </w:tabs>
        <w:ind w:left="1440" w:hanging="360"/>
      </w:pPr>
      <w:rPr>
        <w:rFonts w:ascii="Courier New" w:hAnsi="Courier New"/>
      </w:rPr>
    </w:lvl>
    <w:lvl w:ilvl="2" w:tplc="7162308C">
      <w:start w:val="1"/>
      <w:numFmt w:val="bullet"/>
      <w:lvlText w:val=""/>
      <w:lvlJc w:val="left"/>
      <w:pPr>
        <w:tabs>
          <w:tab w:val="num" w:pos="2160"/>
        </w:tabs>
        <w:ind w:left="2160" w:hanging="360"/>
      </w:pPr>
      <w:rPr>
        <w:rFonts w:ascii="Wingdings" w:hAnsi="Wingdings"/>
      </w:rPr>
    </w:lvl>
    <w:lvl w:ilvl="3" w:tplc="DFF20A54">
      <w:start w:val="1"/>
      <w:numFmt w:val="bullet"/>
      <w:lvlText w:val=""/>
      <w:lvlJc w:val="left"/>
      <w:pPr>
        <w:tabs>
          <w:tab w:val="num" w:pos="2880"/>
        </w:tabs>
        <w:ind w:left="2880" w:hanging="360"/>
      </w:pPr>
      <w:rPr>
        <w:rFonts w:ascii="Symbol" w:hAnsi="Symbol"/>
      </w:rPr>
    </w:lvl>
    <w:lvl w:ilvl="4" w:tplc="7EB4349A">
      <w:start w:val="1"/>
      <w:numFmt w:val="bullet"/>
      <w:lvlText w:val="o"/>
      <w:lvlJc w:val="left"/>
      <w:pPr>
        <w:tabs>
          <w:tab w:val="num" w:pos="3600"/>
        </w:tabs>
        <w:ind w:left="3600" w:hanging="360"/>
      </w:pPr>
      <w:rPr>
        <w:rFonts w:ascii="Courier New" w:hAnsi="Courier New"/>
      </w:rPr>
    </w:lvl>
    <w:lvl w:ilvl="5" w:tplc="70B2C480">
      <w:start w:val="1"/>
      <w:numFmt w:val="bullet"/>
      <w:lvlText w:val=""/>
      <w:lvlJc w:val="left"/>
      <w:pPr>
        <w:tabs>
          <w:tab w:val="num" w:pos="4320"/>
        </w:tabs>
        <w:ind w:left="4320" w:hanging="360"/>
      </w:pPr>
      <w:rPr>
        <w:rFonts w:ascii="Wingdings" w:hAnsi="Wingdings"/>
      </w:rPr>
    </w:lvl>
    <w:lvl w:ilvl="6" w:tplc="FAA2C96A">
      <w:start w:val="1"/>
      <w:numFmt w:val="bullet"/>
      <w:lvlText w:val=""/>
      <w:lvlJc w:val="left"/>
      <w:pPr>
        <w:tabs>
          <w:tab w:val="num" w:pos="5040"/>
        </w:tabs>
        <w:ind w:left="5040" w:hanging="360"/>
      </w:pPr>
      <w:rPr>
        <w:rFonts w:ascii="Symbol" w:hAnsi="Symbol"/>
      </w:rPr>
    </w:lvl>
    <w:lvl w:ilvl="7" w:tplc="6F98BD04">
      <w:start w:val="1"/>
      <w:numFmt w:val="bullet"/>
      <w:lvlText w:val="o"/>
      <w:lvlJc w:val="left"/>
      <w:pPr>
        <w:tabs>
          <w:tab w:val="num" w:pos="5760"/>
        </w:tabs>
        <w:ind w:left="5760" w:hanging="360"/>
      </w:pPr>
      <w:rPr>
        <w:rFonts w:ascii="Courier New" w:hAnsi="Courier New"/>
      </w:rPr>
    </w:lvl>
    <w:lvl w:ilvl="8" w:tplc="DE085686">
      <w:start w:val="1"/>
      <w:numFmt w:val="bullet"/>
      <w:lvlText w:val=""/>
      <w:lvlJc w:val="left"/>
      <w:pPr>
        <w:tabs>
          <w:tab w:val="num" w:pos="6480"/>
        </w:tabs>
        <w:ind w:left="6480" w:hanging="360"/>
      </w:pPr>
      <w:rPr>
        <w:rFonts w:ascii="Wingdings" w:hAnsi="Wingdings"/>
      </w:rPr>
    </w:lvl>
  </w:abstractNum>
  <w:abstractNum w:abstractNumId="39">
    <w:nsid w:val="722304E4"/>
    <w:multiLevelType w:val="hybridMultilevel"/>
    <w:tmpl w:val="722304E4"/>
    <w:lvl w:ilvl="0" w:tplc="A54E276C">
      <w:start w:val="1"/>
      <w:numFmt w:val="bullet"/>
      <w:lvlText w:val=""/>
      <w:lvlJc w:val="left"/>
      <w:pPr>
        <w:ind w:left="720" w:hanging="360"/>
      </w:pPr>
      <w:rPr>
        <w:rFonts w:ascii="Symbol" w:hAnsi="Symbol"/>
      </w:rPr>
    </w:lvl>
    <w:lvl w:ilvl="1" w:tplc="DEBA40B8">
      <w:start w:val="1"/>
      <w:numFmt w:val="bullet"/>
      <w:lvlText w:val="o"/>
      <w:lvlJc w:val="left"/>
      <w:pPr>
        <w:tabs>
          <w:tab w:val="num" w:pos="1440"/>
        </w:tabs>
        <w:ind w:left="1440" w:hanging="360"/>
      </w:pPr>
      <w:rPr>
        <w:rFonts w:ascii="Courier New" w:hAnsi="Courier New"/>
      </w:rPr>
    </w:lvl>
    <w:lvl w:ilvl="2" w:tplc="412A6CD4">
      <w:start w:val="1"/>
      <w:numFmt w:val="bullet"/>
      <w:lvlText w:val=""/>
      <w:lvlJc w:val="left"/>
      <w:pPr>
        <w:tabs>
          <w:tab w:val="num" w:pos="2160"/>
        </w:tabs>
        <w:ind w:left="2160" w:hanging="360"/>
      </w:pPr>
      <w:rPr>
        <w:rFonts w:ascii="Wingdings" w:hAnsi="Wingdings"/>
      </w:rPr>
    </w:lvl>
    <w:lvl w:ilvl="3" w:tplc="8A60053C">
      <w:start w:val="1"/>
      <w:numFmt w:val="bullet"/>
      <w:lvlText w:val=""/>
      <w:lvlJc w:val="left"/>
      <w:pPr>
        <w:tabs>
          <w:tab w:val="num" w:pos="2880"/>
        </w:tabs>
        <w:ind w:left="2880" w:hanging="360"/>
      </w:pPr>
      <w:rPr>
        <w:rFonts w:ascii="Symbol" w:hAnsi="Symbol"/>
      </w:rPr>
    </w:lvl>
    <w:lvl w:ilvl="4" w:tplc="18DE5582">
      <w:start w:val="1"/>
      <w:numFmt w:val="bullet"/>
      <w:lvlText w:val="o"/>
      <w:lvlJc w:val="left"/>
      <w:pPr>
        <w:tabs>
          <w:tab w:val="num" w:pos="3600"/>
        </w:tabs>
        <w:ind w:left="3600" w:hanging="360"/>
      </w:pPr>
      <w:rPr>
        <w:rFonts w:ascii="Courier New" w:hAnsi="Courier New"/>
      </w:rPr>
    </w:lvl>
    <w:lvl w:ilvl="5" w:tplc="ED6017BA">
      <w:start w:val="1"/>
      <w:numFmt w:val="bullet"/>
      <w:lvlText w:val=""/>
      <w:lvlJc w:val="left"/>
      <w:pPr>
        <w:tabs>
          <w:tab w:val="num" w:pos="4320"/>
        </w:tabs>
        <w:ind w:left="4320" w:hanging="360"/>
      </w:pPr>
      <w:rPr>
        <w:rFonts w:ascii="Wingdings" w:hAnsi="Wingdings"/>
      </w:rPr>
    </w:lvl>
    <w:lvl w:ilvl="6" w:tplc="9DF2B656">
      <w:start w:val="1"/>
      <w:numFmt w:val="bullet"/>
      <w:lvlText w:val=""/>
      <w:lvlJc w:val="left"/>
      <w:pPr>
        <w:tabs>
          <w:tab w:val="num" w:pos="5040"/>
        </w:tabs>
        <w:ind w:left="5040" w:hanging="360"/>
      </w:pPr>
      <w:rPr>
        <w:rFonts w:ascii="Symbol" w:hAnsi="Symbol"/>
      </w:rPr>
    </w:lvl>
    <w:lvl w:ilvl="7" w:tplc="89144DAC">
      <w:start w:val="1"/>
      <w:numFmt w:val="bullet"/>
      <w:lvlText w:val="o"/>
      <w:lvlJc w:val="left"/>
      <w:pPr>
        <w:tabs>
          <w:tab w:val="num" w:pos="5760"/>
        </w:tabs>
        <w:ind w:left="5760" w:hanging="360"/>
      </w:pPr>
      <w:rPr>
        <w:rFonts w:ascii="Courier New" w:hAnsi="Courier New"/>
      </w:rPr>
    </w:lvl>
    <w:lvl w:ilvl="8" w:tplc="38C68204">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3"/>
  </w:num>
  <w:num w:numId="7">
    <w:abstractNumId w:val="24"/>
  </w:num>
  <w:num w:numId="8">
    <w:abstractNumId w:val="7"/>
  </w:num>
  <w:num w:numId="9">
    <w:abstractNumId w:val="22"/>
  </w:num>
  <w:num w:numId="10">
    <w:abstractNumId w:val="21"/>
  </w:num>
  <w:num w:numId="11">
    <w:abstractNumId w:val="13"/>
  </w:num>
  <w:num w:numId="12">
    <w:abstractNumId w:val="17"/>
  </w:num>
  <w:num w:numId="13">
    <w:abstractNumId w:val="4"/>
  </w:num>
  <w:num w:numId="14">
    <w:abstractNumId w:val="8"/>
  </w:num>
  <w:num w:numId="15">
    <w:abstractNumId w:val="2"/>
  </w:num>
  <w:num w:numId="16">
    <w:abstractNumId w:val="6"/>
  </w:num>
  <w:num w:numId="17">
    <w:abstractNumId w:val="26"/>
  </w:num>
  <w:num w:numId="18">
    <w:abstractNumId w:val="18"/>
  </w:num>
  <w:num w:numId="19">
    <w:abstractNumId w:val="20"/>
  </w:num>
  <w:num w:numId="20">
    <w:abstractNumId w:val="16"/>
  </w:num>
  <w:num w:numId="21">
    <w:abstractNumId w:val="19"/>
  </w:num>
  <w:num w:numId="22">
    <w:abstractNumId w:val="15"/>
  </w:num>
  <w:num w:numId="23">
    <w:abstractNumId w:val="25"/>
  </w:num>
  <w:num w:numId="24">
    <w:abstractNumId w:val="27"/>
  </w:num>
  <w:num w:numId="25">
    <w:abstractNumId w:val="28"/>
  </w:num>
  <w:num w:numId="26">
    <w:abstractNumId w:val="29"/>
  </w:num>
  <w:num w:numId="27">
    <w:abstractNumId w:val="30"/>
  </w:num>
  <w:num w:numId="28">
    <w:abstractNumId w:val="31"/>
  </w:num>
  <w:num w:numId="29">
    <w:abstractNumId w:val="32"/>
  </w:num>
  <w:num w:numId="30">
    <w:abstractNumId w:val="33"/>
  </w:num>
  <w:num w:numId="31">
    <w:abstractNumId w:val="34"/>
  </w:num>
  <w:num w:numId="32">
    <w:abstractNumId w:val="35"/>
  </w:num>
  <w:num w:numId="33">
    <w:abstractNumId w:val="36"/>
  </w:num>
  <w:num w:numId="34">
    <w:abstractNumId w:val="37"/>
  </w:num>
  <w:num w:numId="35">
    <w:abstractNumId w:val="38"/>
  </w:num>
  <w:num w:numId="36">
    <w:abstractNumId w:val="39"/>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TrueTypeFonts/>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REP"/>
  </w:docVars>
  <w:rsids>
    <w:rsidRoot w:val="00B538D8"/>
    <w:rsid w:val="00001E6E"/>
    <w:rsid w:val="000025C7"/>
    <w:rsid w:val="00002B97"/>
    <w:rsid w:val="00011C15"/>
    <w:rsid w:val="00012A46"/>
    <w:rsid w:val="00013F30"/>
    <w:rsid w:val="000161D2"/>
    <w:rsid w:val="00027B3A"/>
    <w:rsid w:val="000465D1"/>
    <w:rsid w:val="000509CF"/>
    <w:rsid w:val="00052488"/>
    <w:rsid w:val="0005270A"/>
    <w:rsid w:val="000567D8"/>
    <w:rsid w:val="000610F9"/>
    <w:rsid w:val="000619C8"/>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612B"/>
    <w:rsid w:val="000B40D7"/>
    <w:rsid w:val="000B66B5"/>
    <w:rsid w:val="000B76DA"/>
    <w:rsid w:val="000C0F34"/>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0687C"/>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460F"/>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0A1"/>
    <w:rsid w:val="00213D61"/>
    <w:rsid w:val="00213F7E"/>
    <w:rsid w:val="00214CBA"/>
    <w:rsid w:val="0022049F"/>
    <w:rsid w:val="002217EF"/>
    <w:rsid w:val="002249E9"/>
    <w:rsid w:val="00230797"/>
    <w:rsid w:val="002318C0"/>
    <w:rsid w:val="00231B5F"/>
    <w:rsid w:val="002349C3"/>
    <w:rsid w:val="00236422"/>
    <w:rsid w:val="00252B51"/>
    <w:rsid w:val="0025435C"/>
    <w:rsid w:val="002559D7"/>
    <w:rsid w:val="00256893"/>
    <w:rsid w:val="0025740D"/>
    <w:rsid w:val="002643D8"/>
    <w:rsid w:val="002652D4"/>
    <w:rsid w:val="00270303"/>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16CF"/>
    <w:rsid w:val="003039ED"/>
    <w:rsid w:val="00305BA4"/>
    <w:rsid w:val="00310935"/>
    <w:rsid w:val="0031284E"/>
    <w:rsid w:val="00313DB4"/>
    <w:rsid w:val="00314BC7"/>
    <w:rsid w:val="00317EAC"/>
    <w:rsid w:val="00320947"/>
    <w:rsid w:val="003269DC"/>
    <w:rsid w:val="003315A0"/>
    <w:rsid w:val="00335A6C"/>
    <w:rsid w:val="00341479"/>
    <w:rsid w:val="00344C66"/>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1191E"/>
    <w:rsid w:val="0042065A"/>
    <w:rsid w:val="004247C1"/>
    <w:rsid w:val="004256BD"/>
    <w:rsid w:val="00426DE9"/>
    <w:rsid w:val="004333F7"/>
    <w:rsid w:val="00433748"/>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62EC"/>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166B9"/>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0037"/>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208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6FCA"/>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CDC"/>
    <w:rsid w:val="00955D0B"/>
    <w:rsid w:val="00956014"/>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1CC3"/>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4D88"/>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4584"/>
    <w:rsid w:val="00C97CD8"/>
    <w:rsid w:val="00C97FEA"/>
    <w:rsid w:val="00CA254E"/>
    <w:rsid w:val="00CA3805"/>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22C8"/>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2CB"/>
    <w:rsid w:val="00E27E99"/>
    <w:rsid w:val="00E350C5"/>
    <w:rsid w:val="00E36839"/>
    <w:rsid w:val="00E36CFE"/>
    <w:rsid w:val="00E376EB"/>
    <w:rsid w:val="00E416F7"/>
    <w:rsid w:val="00E43039"/>
    <w:rsid w:val="00E433A3"/>
    <w:rsid w:val="00E44E08"/>
    <w:rsid w:val="00E539EA"/>
    <w:rsid w:val="00E56C80"/>
    <w:rsid w:val="00E72017"/>
    <w:rsid w:val="00E74C34"/>
    <w:rsid w:val="00E75314"/>
    <w:rsid w:val="00E80DA9"/>
    <w:rsid w:val="00E837D9"/>
    <w:rsid w:val="00E840BF"/>
    <w:rsid w:val="00E908F6"/>
    <w:rsid w:val="00E90F32"/>
    <w:rsid w:val="00E9195D"/>
    <w:rsid w:val="00E92EA6"/>
    <w:rsid w:val="00E96710"/>
    <w:rsid w:val="00E97D08"/>
    <w:rsid w:val="00E97EDE"/>
    <w:rsid w:val="00EA1D65"/>
    <w:rsid w:val="00EA4436"/>
    <w:rsid w:val="00EB1612"/>
    <w:rsid w:val="00EB1A85"/>
    <w:rsid w:val="00EB41E9"/>
    <w:rsid w:val="00EC30C6"/>
    <w:rsid w:val="00EC46D1"/>
    <w:rsid w:val="00ED13A4"/>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0AEC"/>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152"/>
    <w:rsid w:val="00FE23A0"/>
    <w:rsid w:val="00FE3D9F"/>
    <w:rsid w:val="00FE549C"/>
    <w:rsid w:val="00FE668E"/>
    <w:rsid w:val="00FE7349"/>
    <w:rsid w:val="00FF0F7B"/>
    <w:rsid w:val="00FF7BFC"/>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eastAsia="en-US"/>
    </w:rPr>
  </w:style>
  <w:style w:type="paragraph" w:styleId="Heading1">
    <w:name w:val="heading 1"/>
    <w:basedOn w:val="Normal"/>
    <w:next w:val="Normal"/>
    <w:qFormat/>
    <w:rsid w:val="00162E7B"/>
    <w:pPr>
      <w:keepNext/>
      <w:numPr>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E272CB"/>
    <w:pPr>
      <w:numPr>
        <w:ilvl w:val="1"/>
      </w:numPr>
      <w:ind w:left="0"/>
      <w:outlineLvl w:val="1"/>
    </w:pPr>
    <w:rPr>
      <w:smallCaps w:val="0"/>
      <w:sz w:val="24"/>
    </w:rPr>
  </w:style>
  <w:style w:type="paragraph" w:styleId="Heading3">
    <w:name w:val="heading 3"/>
    <w:basedOn w:val="Heading2"/>
    <w:next w:val="Normal"/>
    <w:link w:val="Heading3Char"/>
    <w:autoRedefine/>
    <w:qFormat/>
    <w:rsid w:val="00F235A7"/>
    <w:pPr>
      <w:numPr>
        <w:ilvl w:val="2"/>
      </w:numPr>
      <w:outlineLvl w:val="2"/>
    </w:pPr>
    <w:rPr>
      <w:b w:val="0"/>
      <w:color w:val="000000"/>
    </w:rPr>
  </w:style>
  <w:style w:type="paragraph" w:styleId="Heading4">
    <w:name w:val="heading 4"/>
    <w:basedOn w:val="Heading3"/>
    <w:next w:val="Normal"/>
    <w:link w:val="Heading4Char"/>
    <w:qFormat/>
    <w:rsid w:val="00554619"/>
    <w:pPr>
      <w:numPr>
        <w:ilvl w:val="3"/>
      </w:numPr>
      <w:outlineLvl w:val="3"/>
    </w:pPr>
    <w:rPr>
      <w:i/>
    </w:rPr>
  </w:style>
  <w:style w:type="paragraph" w:styleId="Heading5">
    <w:name w:val="heading 5"/>
    <w:basedOn w:val="Heading4"/>
    <w:next w:val="Normal"/>
    <w:qFormat/>
    <w:rsid w:val="001D534D"/>
    <w:pPr>
      <w:numPr>
        <w:ilvl w:val="4"/>
      </w:numPr>
      <w:jc w:val="left"/>
      <w:outlineLvl w:val="4"/>
    </w:pPr>
    <w:rPr>
      <w:rFonts w:ascii="Arial" w:hAnsi="Arial"/>
      <w:b/>
      <w:i w:val="0"/>
      <w:noProof/>
      <w:sz w:val="22"/>
    </w:rPr>
  </w:style>
  <w:style w:type="paragraph" w:styleId="Heading6">
    <w:name w:val="heading 6"/>
    <w:basedOn w:val="Heading5"/>
    <w:next w:val="Normal"/>
    <w:qFormat/>
    <w:rsid w:val="00F235A7"/>
    <w:pPr>
      <w:numPr>
        <w:ilvl w:val="5"/>
      </w:numPr>
      <w:spacing w:after="60"/>
      <w:outlineLvl w:val="5"/>
    </w:pPr>
    <w:rPr>
      <w:b w:val="0"/>
    </w:rPr>
  </w:style>
  <w:style w:type="paragraph" w:styleId="Heading7">
    <w:name w:val="heading 7"/>
    <w:basedOn w:val="Heading6"/>
    <w:next w:val="Normal"/>
    <w:qFormat/>
    <w:rsid w:val="00F235A7"/>
    <w:pPr>
      <w:numPr>
        <w:ilvl w:val="6"/>
      </w:numPr>
      <w:outlineLvl w:val="6"/>
    </w:pPr>
    <w:rPr>
      <w:i/>
    </w:rPr>
  </w:style>
  <w:style w:type="paragraph" w:styleId="Heading8">
    <w:name w:val="heading 8"/>
    <w:basedOn w:val="Heading7"/>
    <w:next w:val="Normal"/>
    <w:qFormat/>
    <w:rsid w:val="001D534D"/>
    <w:pPr>
      <w:numPr>
        <w:ilvl w:val="7"/>
      </w:numPr>
      <w:outlineLvl w:val="7"/>
    </w:pPr>
    <w:rPr>
      <w:rFonts w:ascii="Calibri" w:hAnsi="Calibri"/>
      <w:b/>
      <w:i w:val="0"/>
      <w:sz w:val="24"/>
    </w:rPr>
  </w:style>
  <w:style w:type="paragraph" w:styleId="Heading9">
    <w:name w:val="heading 9"/>
    <w:basedOn w:val="Heading8"/>
    <w:next w:val="Normal"/>
    <w:qFormat/>
    <w:rsid w:val="00F235A7"/>
    <w:pPr>
      <w:numPr>
        <w:ilvl w:val="8"/>
      </w:numPr>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ind w:left="1440" w:right="1440"/>
    </w:pPr>
  </w:style>
  <w:style w:type="paragraph" w:styleId="BodyText">
    <w:name w:val="Body Text"/>
    <w:basedOn w:val="Normal"/>
  </w:style>
  <w:style w:type="paragraph" w:styleId="BodyText2">
    <w:name w:val="Body Text 2"/>
    <w:basedOn w:val="Normal"/>
    <w:pPr>
      <w:spacing w:line="480" w:lineRule="auto"/>
    </w:pPr>
  </w:style>
  <w:style w:type="paragraph" w:styleId="BodyText3">
    <w:name w:val="Body Text 3"/>
    <w:basedOn w:val="Normal"/>
    <w:rPr>
      <w:sz w:val="16"/>
    </w:rPr>
  </w:style>
  <w:style w:type="paragraph" w:styleId="BodyTextFirstIndent">
    <w:name w:val="Body Text First Indent"/>
    <w:basedOn w:val="BodyText"/>
    <w:pPr>
      <w:ind w:firstLine="210"/>
    </w:pPr>
  </w:style>
  <w:style w:type="paragraph" w:styleId="BodyTextIndent">
    <w:name w:val="Body Text Indent"/>
    <w:basedOn w:val="Normal"/>
    <w:pPr>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line="480" w:lineRule="auto"/>
      <w:ind w:left="283"/>
    </w:pPr>
  </w:style>
  <w:style w:type="paragraph" w:styleId="BodyTextIndent3">
    <w:name w:val="Body Text Indent 3"/>
    <w:basedOn w:val="Normal"/>
    <w:pPr>
      <w:ind w:left="283"/>
    </w:pPr>
    <w:rPr>
      <w:sz w:val="16"/>
    </w:rPr>
  </w:style>
  <w:style w:type="paragraph" w:styleId="Caption">
    <w:name w:val="caption"/>
    <w:basedOn w:val="Normal"/>
    <w:next w:val="Normal"/>
    <w:qFormat/>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3"/>
      </w:numPr>
    </w:pPr>
  </w:style>
  <w:style w:type="paragraph" w:styleId="ListBullet2">
    <w:name w:val="List Bullet 2"/>
    <w:basedOn w:val="Text2"/>
    <w:pPr>
      <w:numPr>
        <w:numId w:val="5"/>
      </w:numPr>
      <w:tabs>
        <w:tab w:val="clear" w:pos="2302"/>
      </w:tabs>
    </w:pPr>
  </w:style>
  <w:style w:type="paragraph" w:styleId="ListBullet3">
    <w:name w:val="List Bullet 3"/>
    <w:basedOn w:val="Text3"/>
    <w:pPr>
      <w:numPr>
        <w:numId w:val="6"/>
      </w:numPr>
      <w:tabs>
        <w:tab w:val="clear" w:pos="2302"/>
      </w:tabs>
    </w:pPr>
  </w:style>
  <w:style w:type="paragraph" w:styleId="ListBullet4">
    <w:name w:val="List Bullet 4"/>
    <w:basedOn w:val="Text4"/>
    <w:pPr>
      <w:numPr>
        <w:numId w:val="7"/>
      </w:numPr>
      <w:tabs>
        <w:tab w:val="clear" w:pos="2302"/>
      </w:tabs>
    </w:pPr>
  </w:style>
  <w:style w:type="paragraph" w:styleId="ListBullet5">
    <w:name w:val="List Bullet 5"/>
    <w:basedOn w:val="Normal"/>
    <w:autoRedefine/>
    <w:pPr>
      <w:numPr>
        <w:numId w:val="1"/>
      </w:numPr>
    </w:pPr>
  </w:style>
  <w:style w:type="paragraph" w:styleId="ListContinue">
    <w:name w:val="List Continue"/>
    <w:basedOn w:val="Normal"/>
    <w:pPr>
      <w:ind w:left="283"/>
    </w:pPr>
  </w:style>
  <w:style w:type="paragraph" w:styleId="ListContinue2">
    <w:name w:val="List Continue 2"/>
    <w:basedOn w:val="Normal"/>
    <w:pPr>
      <w:ind w:left="566"/>
    </w:pPr>
  </w:style>
  <w:style w:type="paragraph" w:styleId="ListContinue3">
    <w:name w:val="List Continue 3"/>
    <w:basedOn w:val="Normal"/>
    <w:pPr>
      <w:ind w:left="849"/>
    </w:pPr>
  </w:style>
  <w:style w:type="paragraph" w:styleId="ListContinue4">
    <w:name w:val="List Continue 4"/>
    <w:basedOn w:val="Normal"/>
    <w:pPr>
      <w:ind w:left="1132"/>
    </w:pPr>
  </w:style>
  <w:style w:type="paragraph" w:styleId="ListContinue5">
    <w:name w:val="List Continue 5"/>
    <w:basedOn w:val="Normal"/>
    <w:pPr>
      <w:ind w:left="1415"/>
    </w:pPr>
  </w:style>
  <w:style w:type="paragraph" w:styleId="ListNumber">
    <w:name w:val="List Number"/>
    <w:basedOn w:val="Normal"/>
    <w:pPr>
      <w:numPr>
        <w:numId w:val="13"/>
      </w:numPr>
    </w:pPr>
  </w:style>
  <w:style w:type="paragraph" w:styleId="ListNumber2">
    <w:name w:val="List Number 2"/>
    <w:basedOn w:val="Text2"/>
    <w:pPr>
      <w:numPr>
        <w:numId w:val="15"/>
      </w:numPr>
      <w:tabs>
        <w:tab w:val="clear" w:pos="2302"/>
      </w:tabs>
    </w:pPr>
  </w:style>
  <w:style w:type="paragraph" w:styleId="ListNumber3">
    <w:name w:val="List Number 3"/>
    <w:basedOn w:val="Text3"/>
    <w:pPr>
      <w:numPr>
        <w:numId w:val="16"/>
      </w:numPr>
      <w:tabs>
        <w:tab w:val="clear" w:pos="2302"/>
      </w:tabs>
    </w:pPr>
  </w:style>
  <w:style w:type="paragraph" w:styleId="ListNumber4">
    <w:name w:val="List Number 4"/>
    <w:basedOn w:val="Text4"/>
    <w:pPr>
      <w:numPr>
        <w:numId w:val="17"/>
      </w:numPr>
      <w:tabs>
        <w:tab w:val="clear" w:pos="2302"/>
      </w:tabs>
    </w:p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al"/>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272CB"/>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Table">
    <w:name w:val="Table"/>
    <w:basedOn w:val="TableNormal"/>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eastAsia="en-US"/>
    </w:rPr>
  </w:style>
  <w:style w:type="paragraph" w:styleId="Heading1">
    <w:name w:val="heading 1"/>
    <w:basedOn w:val="Normal"/>
    <w:next w:val="Normal"/>
    <w:qFormat/>
    <w:rsid w:val="00162E7B"/>
    <w:pPr>
      <w:keepNext/>
      <w:numPr>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E272CB"/>
    <w:pPr>
      <w:numPr>
        <w:ilvl w:val="1"/>
      </w:numPr>
      <w:ind w:left="0"/>
      <w:outlineLvl w:val="1"/>
    </w:pPr>
    <w:rPr>
      <w:smallCaps w:val="0"/>
      <w:sz w:val="24"/>
    </w:rPr>
  </w:style>
  <w:style w:type="paragraph" w:styleId="Heading3">
    <w:name w:val="heading 3"/>
    <w:basedOn w:val="Heading2"/>
    <w:next w:val="Normal"/>
    <w:link w:val="Heading3Char"/>
    <w:autoRedefine/>
    <w:qFormat/>
    <w:rsid w:val="00F235A7"/>
    <w:pPr>
      <w:numPr>
        <w:ilvl w:val="2"/>
      </w:numPr>
      <w:outlineLvl w:val="2"/>
    </w:pPr>
    <w:rPr>
      <w:b w:val="0"/>
      <w:color w:val="000000"/>
    </w:rPr>
  </w:style>
  <w:style w:type="paragraph" w:styleId="Heading4">
    <w:name w:val="heading 4"/>
    <w:basedOn w:val="Heading3"/>
    <w:next w:val="Normal"/>
    <w:link w:val="Heading4Char"/>
    <w:qFormat/>
    <w:rsid w:val="00554619"/>
    <w:pPr>
      <w:numPr>
        <w:ilvl w:val="3"/>
      </w:numPr>
      <w:outlineLvl w:val="3"/>
    </w:pPr>
    <w:rPr>
      <w:i/>
    </w:rPr>
  </w:style>
  <w:style w:type="paragraph" w:styleId="Heading5">
    <w:name w:val="heading 5"/>
    <w:basedOn w:val="Heading4"/>
    <w:next w:val="Normal"/>
    <w:qFormat/>
    <w:rsid w:val="001D534D"/>
    <w:pPr>
      <w:numPr>
        <w:ilvl w:val="4"/>
      </w:numPr>
      <w:jc w:val="left"/>
      <w:outlineLvl w:val="4"/>
    </w:pPr>
    <w:rPr>
      <w:rFonts w:ascii="Arial" w:hAnsi="Arial"/>
      <w:b/>
      <w:i w:val="0"/>
      <w:noProof/>
      <w:sz w:val="22"/>
    </w:rPr>
  </w:style>
  <w:style w:type="paragraph" w:styleId="Heading6">
    <w:name w:val="heading 6"/>
    <w:basedOn w:val="Heading5"/>
    <w:next w:val="Normal"/>
    <w:qFormat/>
    <w:rsid w:val="00F235A7"/>
    <w:pPr>
      <w:numPr>
        <w:ilvl w:val="5"/>
      </w:numPr>
      <w:spacing w:after="60"/>
      <w:outlineLvl w:val="5"/>
    </w:pPr>
    <w:rPr>
      <w:b w:val="0"/>
    </w:rPr>
  </w:style>
  <w:style w:type="paragraph" w:styleId="Heading7">
    <w:name w:val="heading 7"/>
    <w:basedOn w:val="Heading6"/>
    <w:next w:val="Normal"/>
    <w:qFormat/>
    <w:rsid w:val="00F235A7"/>
    <w:pPr>
      <w:numPr>
        <w:ilvl w:val="6"/>
      </w:numPr>
      <w:outlineLvl w:val="6"/>
    </w:pPr>
    <w:rPr>
      <w:i/>
    </w:rPr>
  </w:style>
  <w:style w:type="paragraph" w:styleId="Heading8">
    <w:name w:val="heading 8"/>
    <w:basedOn w:val="Heading7"/>
    <w:next w:val="Normal"/>
    <w:qFormat/>
    <w:rsid w:val="001D534D"/>
    <w:pPr>
      <w:numPr>
        <w:ilvl w:val="7"/>
      </w:numPr>
      <w:outlineLvl w:val="7"/>
    </w:pPr>
    <w:rPr>
      <w:rFonts w:ascii="Calibri" w:hAnsi="Calibri"/>
      <w:b/>
      <w:i w:val="0"/>
      <w:sz w:val="24"/>
    </w:rPr>
  </w:style>
  <w:style w:type="paragraph" w:styleId="Heading9">
    <w:name w:val="heading 9"/>
    <w:basedOn w:val="Heading8"/>
    <w:next w:val="Normal"/>
    <w:qFormat/>
    <w:rsid w:val="00F235A7"/>
    <w:pPr>
      <w:numPr>
        <w:ilvl w:val="8"/>
      </w:numPr>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ind w:left="1440" w:right="1440"/>
    </w:pPr>
  </w:style>
  <w:style w:type="paragraph" w:styleId="BodyText">
    <w:name w:val="Body Text"/>
    <w:basedOn w:val="Normal"/>
  </w:style>
  <w:style w:type="paragraph" w:styleId="BodyText2">
    <w:name w:val="Body Text 2"/>
    <w:basedOn w:val="Normal"/>
    <w:pPr>
      <w:spacing w:line="480" w:lineRule="auto"/>
    </w:pPr>
  </w:style>
  <w:style w:type="paragraph" w:styleId="BodyText3">
    <w:name w:val="Body Text 3"/>
    <w:basedOn w:val="Normal"/>
    <w:rPr>
      <w:sz w:val="16"/>
    </w:rPr>
  </w:style>
  <w:style w:type="paragraph" w:styleId="BodyTextFirstIndent">
    <w:name w:val="Body Text First Indent"/>
    <w:basedOn w:val="BodyText"/>
    <w:pPr>
      <w:ind w:firstLine="210"/>
    </w:pPr>
  </w:style>
  <w:style w:type="paragraph" w:styleId="BodyTextIndent">
    <w:name w:val="Body Text Indent"/>
    <w:basedOn w:val="Normal"/>
    <w:pPr>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line="480" w:lineRule="auto"/>
      <w:ind w:left="283"/>
    </w:pPr>
  </w:style>
  <w:style w:type="paragraph" w:styleId="BodyTextIndent3">
    <w:name w:val="Body Text Indent 3"/>
    <w:basedOn w:val="Normal"/>
    <w:pPr>
      <w:ind w:left="283"/>
    </w:pPr>
    <w:rPr>
      <w:sz w:val="16"/>
    </w:rPr>
  </w:style>
  <w:style w:type="paragraph" w:styleId="Caption">
    <w:name w:val="caption"/>
    <w:basedOn w:val="Normal"/>
    <w:next w:val="Normal"/>
    <w:qFormat/>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3"/>
      </w:numPr>
    </w:pPr>
  </w:style>
  <w:style w:type="paragraph" w:styleId="ListBullet2">
    <w:name w:val="List Bullet 2"/>
    <w:basedOn w:val="Text2"/>
    <w:pPr>
      <w:numPr>
        <w:numId w:val="5"/>
      </w:numPr>
      <w:tabs>
        <w:tab w:val="clear" w:pos="2302"/>
      </w:tabs>
    </w:pPr>
  </w:style>
  <w:style w:type="paragraph" w:styleId="ListBullet3">
    <w:name w:val="List Bullet 3"/>
    <w:basedOn w:val="Text3"/>
    <w:pPr>
      <w:numPr>
        <w:numId w:val="6"/>
      </w:numPr>
      <w:tabs>
        <w:tab w:val="clear" w:pos="2302"/>
      </w:tabs>
    </w:pPr>
  </w:style>
  <w:style w:type="paragraph" w:styleId="ListBullet4">
    <w:name w:val="List Bullet 4"/>
    <w:basedOn w:val="Text4"/>
    <w:pPr>
      <w:numPr>
        <w:numId w:val="7"/>
      </w:numPr>
      <w:tabs>
        <w:tab w:val="clear" w:pos="2302"/>
      </w:tabs>
    </w:pPr>
  </w:style>
  <w:style w:type="paragraph" w:styleId="ListBullet5">
    <w:name w:val="List Bullet 5"/>
    <w:basedOn w:val="Normal"/>
    <w:autoRedefine/>
    <w:pPr>
      <w:numPr>
        <w:numId w:val="1"/>
      </w:numPr>
    </w:pPr>
  </w:style>
  <w:style w:type="paragraph" w:styleId="ListContinue">
    <w:name w:val="List Continue"/>
    <w:basedOn w:val="Normal"/>
    <w:pPr>
      <w:ind w:left="283"/>
    </w:pPr>
  </w:style>
  <w:style w:type="paragraph" w:styleId="ListContinue2">
    <w:name w:val="List Continue 2"/>
    <w:basedOn w:val="Normal"/>
    <w:pPr>
      <w:ind w:left="566"/>
    </w:pPr>
  </w:style>
  <w:style w:type="paragraph" w:styleId="ListContinue3">
    <w:name w:val="List Continue 3"/>
    <w:basedOn w:val="Normal"/>
    <w:pPr>
      <w:ind w:left="849"/>
    </w:pPr>
  </w:style>
  <w:style w:type="paragraph" w:styleId="ListContinue4">
    <w:name w:val="List Continue 4"/>
    <w:basedOn w:val="Normal"/>
    <w:pPr>
      <w:ind w:left="1132"/>
    </w:pPr>
  </w:style>
  <w:style w:type="paragraph" w:styleId="ListContinue5">
    <w:name w:val="List Continue 5"/>
    <w:basedOn w:val="Normal"/>
    <w:pPr>
      <w:ind w:left="1415"/>
    </w:pPr>
  </w:style>
  <w:style w:type="paragraph" w:styleId="ListNumber">
    <w:name w:val="List Number"/>
    <w:basedOn w:val="Normal"/>
    <w:pPr>
      <w:numPr>
        <w:numId w:val="13"/>
      </w:numPr>
    </w:pPr>
  </w:style>
  <w:style w:type="paragraph" w:styleId="ListNumber2">
    <w:name w:val="List Number 2"/>
    <w:basedOn w:val="Text2"/>
    <w:pPr>
      <w:numPr>
        <w:numId w:val="15"/>
      </w:numPr>
      <w:tabs>
        <w:tab w:val="clear" w:pos="2302"/>
      </w:tabs>
    </w:pPr>
  </w:style>
  <w:style w:type="paragraph" w:styleId="ListNumber3">
    <w:name w:val="List Number 3"/>
    <w:basedOn w:val="Text3"/>
    <w:pPr>
      <w:numPr>
        <w:numId w:val="16"/>
      </w:numPr>
      <w:tabs>
        <w:tab w:val="clear" w:pos="2302"/>
      </w:tabs>
    </w:pPr>
  </w:style>
  <w:style w:type="paragraph" w:styleId="ListNumber4">
    <w:name w:val="List Number 4"/>
    <w:basedOn w:val="Text4"/>
    <w:pPr>
      <w:numPr>
        <w:numId w:val="17"/>
      </w:numPr>
      <w:tabs>
        <w:tab w:val="clear" w:pos="2302"/>
      </w:tabs>
    </w:p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al"/>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272CB"/>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Table">
    <w:name w:val="Table"/>
    <w:basedOn w:val="TableNorma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8719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mzh.government.bg/media/filer_public/2024/04/09/t_3_igrp_2024.doc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3EED22-0AC7-4934-978E-BFDA6BF73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Template>
  <TotalTime>53</TotalTime>
  <Pages>114</Pages>
  <Words>34217</Words>
  <Characters>195041</Characters>
  <Application>Microsoft Office Word</Application>
  <DocSecurity>0</DocSecurity>
  <Lines>1625</Lines>
  <Paragraphs>457</Paragraphs>
  <ScaleCrop>false</ScaleCrop>
  <HeadingPairs>
    <vt:vector size="2" baseType="variant">
      <vt:variant>
        <vt:lpstr>Title</vt:lpstr>
      </vt:variant>
      <vt:variant>
        <vt:i4>1</vt:i4>
      </vt:variant>
    </vt:vector>
  </HeadingPairs>
  <TitlesOfParts>
    <vt:vector size="1" baseType="lpstr">
      <vt:lpstr>Title of the RDP</vt:lpstr>
    </vt:vector>
  </TitlesOfParts>
  <Company>Member State Name</Company>
  <LinksUpToDate>false</LinksUpToDate>
  <CharactersWithSpaces>228801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the RDP</dc:title>
  <dc:creator>Member State Authority</dc:creator>
  <cp:keywords>EL4</cp:keywords>
  <cp:lastModifiedBy>Elena A. Ivanova</cp:lastModifiedBy>
  <cp:revision>5</cp:revision>
  <cp:lastPrinted>2013-05-31T11:39:00Z</cp:lastPrinted>
  <dcterms:created xsi:type="dcterms:W3CDTF">2024-06-11T12:43:00Z</dcterms:created>
  <dcterms:modified xsi:type="dcterms:W3CDTF">2024-06-11T13:40:00Z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
  </property>
  <property fmtid="{D5CDD505-2E9C-101B-9397-08002B2CF9AE}" pid="3" name="Contributor">
    <vt:lpwstr/>
  </property>
  <property fmtid="{D5CDD505-2E9C-101B-9397-08002B2CF9AE}" pid="4" name="Created using">
    <vt:lpwstr>EL 4.6 Build 21000</vt:lpwstr>
  </property>
  <property fmtid="{D5CDD505-2E9C-101B-9397-08002B2CF9AE}" pid="5" name="Creator">
    <vt:lpwstr/>
  </property>
  <property fmtid="{D5CDD505-2E9C-101B-9397-08002B2CF9AE}" pid="6" name="DateAlarm">
    <vt:lpwstr/>
  </property>
  <property fmtid="{D5CDD505-2E9C-101B-9397-08002B2CF9AE}" pid="7" name="DatePublication">
    <vt:lpwstr/>
  </property>
  <property fmtid="{D5CDD505-2E9C-101B-9397-08002B2CF9AE}" pid="8" name="Description">
    <vt:lpwstr/>
  </property>
  <property fmtid="{D5CDD505-2E9C-101B-9397-08002B2CF9AE}" pid="9" name="DocID_EU">
    <vt:lpwstr> </vt:lpwstr>
  </property>
  <property fmtid="{D5CDD505-2E9C-101B-9397-08002B2CF9AE}" pid="10" name="ELDocType">
    <vt:lpwstr>rep.dot</vt:lpwstr>
  </property>
  <property fmtid="{D5CDD505-2E9C-101B-9397-08002B2CF9AE}" pid="11" name="EL_Author">
    <vt:lpwstr>Vallet Marc (Everis)</vt:lpwstr>
  </property>
  <property fmtid="{D5CDD505-2E9C-101B-9397-08002B2CF9AE}" pid="12" name="EL_Language">
    <vt:lpwstr>EN</vt:lpwstr>
  </property>
  <property fmtid="{D5CDD505-2E9C-101B-9397-08002B2CF9AE}" pid="13" name="EurolookVersion">
    <vt:lpwstr>4.5</vt:lpwstr>
  </property>
  <property fmtid="{D5CDD505-2E9C-101B-9397-08002B2CF9AE}" pid="14" name="Formatting">
    <vt:lpwstr>4.1</vt:lpwstr>
  </property>
  <property fmtid="{D5CDD505-2E9C-101B-9397-08002B2CF9AE}" pid="15" name="Language">
    <vt:lpwstr>EN</vt:lpwstr>
  </property>
  <property fmtid="{D5CDD505-2E9C-101B-9397-08002B2CF9AE}" pid="16" name="Last edited using">
    <vt:lpwstr>EL 4.6 Build 34000</vt:lpwstr>
  </property>
  <property fmtid="{D5CDD505-2E9C-101B-9397-08002B2CF9AE}" pid="17" name="Publisher">
    <vt:lpwstr/>
  </property>
  <property fmtid="{D5CDD505-2E9C-101B-9397-08002B2CF9AE}" pid="18" name="Reference">
    <vt:lpwstr/>
  </property>
  <property fmtid="{D5CDD505-2E9C-101B-9397-08002B2CF9AE}" pid="19" name="Rights">
    <vt:lpwstr/>
  </property>
  <property fmtid="{D5CDD505-2E9C-101B-9397-08002B2CF9AE}" pid="20" name="TemplateVersion">
    <vt:lpwstr>4.5.0.2</vt:lpwstr>
  </property>
  <property fmtid="{D5CDD505-2E9C-101B-9397-08002B2CF9AE}" pid="21" name="Type">
    <vt:lpwstr>Eurolook Report</vt:lpwstr>
  </property>
</Properties>
</file>