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21.1.0 -->
  <w:body>
    <w:tbl>
      <w:tblPr>
        <w:tblW w:w="5000" w:type="pct"/>
        <w:tblCellMar>
          <w:left w:w="108" w:type="dxa"/>
          <w:right w:w="108" w:type="dxa"/>
        </w:tblCellMar>
      </w:tblPr>
      <w:tblGrid>
        <w:gridCol w:w="10440"/>
      </w:tblGrid>
      <w:tr>
        <w:tblPrEx>
          <w:tblW w:w="5000" w:type="pct"/>
          <w:tblCellMar>
            <w:left w:w="108" w:type="dxa"/>
            <w:right w:w="108" w:type="dxa"/>
          </w:tblCellMar>
        </w:tblPrEx>
        <w:tc>
          <w:tcPr/>
          <w:p>
            <w:r>
              <w:drawing>
                <wp:anchor simplePos="0" relativeHeight="251658240" behindDoc="0" locked="0" layoutInCell="1" allowOverlap="1">
                  <wp:simplePos x="0" y="0"/>
                  <wp:positionH relativeFrom="column">
                    <wp:align>left</wp:align>
                  </wp:positionH>
                  <wp:positionV relativeFrom="paragraph">
                    <wp:align>top</wp:align>
                  </wp:positionV>
                  <wp:extent cx="2723810" cy="1038095"/>
                  <wp:wrapTopAndBottom/>
                  <wp:docPr id="100002" nam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2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3810" cy="1038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drawing>
                <wp:anchor simplePos="0" relativeHeight="251659264" behindDoc="0" locked="0" layoutInCell="1" allowOverlap="1">
                  <wp:simplePos x="0" y="0"/>
                  <wp:positionH relativeFrom="column">
                    <wp:align>right</wp:align>
                  </wp:positionH>
                  <wp:positionV relativeFrom="paragraph">
                    <wp:align>top</wp:align>
                  </wp:positionV>
                  <wp:extent cx="2857899" cy="962159"/>
                  <wp:wrapTopAndBottom/>
                  <wp:docPr id="100004" name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4" name="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7899" cy="9621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/>
          <w:p>
            <w:pPr>
              <w:pStyle w:val="Title"/>
              <w:jc w:val="center"/>
            </w:pPr>
            <w:r>
              <w:t>Годишен доклад за изпълнението</w:t>
            </w:r>
          </w:p>
          <w:p>
            <w:pPr>
              <w:pStyle w:val="Title"/>
              <w:jc w:val="center"/>
            </w:pPr>
            <w:r>
              <w:t>Приложение за мониторинг</w:t>
            </w:r>
          </w:p>
          <w:p>
            <w:pPr>
              <w:pStyle w:val="Title"/>
              <w:jc w:val="center"/>
            </w:pPr>
            <w:r>
              <w:t>Bulgaria - Rural Development Programme (National)</w:t>
            </w:r>
          </w:p>
          <w:p/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/>
          <w:tbl>
            <w:tblPr>
              <w:tblW w:w="5000" w:type="pct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CellMar>
                <w:left w:w="108" w:type="dxa"/>
                <w:right w:w="108" w:type="dxa"/>
              </w:tblCellMar>
            </w:tblPr>
            <w:tblGrid>
              <w:gridCol w:w="5107"/>
              <w:gridCol w:w="5107"/>
            </w:tblGrid>
            <w:tr>
              <w:tblPrEx>
                <w:tblW w:w="5000" w:type="pct"/>
                <w:tbl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  <w:insideH w:val="single" w:sz="4" w:space="0" w:color="auto"/>
                  <w:insideV w:val="single" w:sz="4" w:space="0" w:color="auto"/>
                </w:tblBorders>
                <w:tblCellMar>
                  <w:left w:w="108" w:type="dxa"/>
                  <w:right w:w="108" w:type="dxa"/>
                </w:tblCellMar>
              </w:tblPrEx>
              <w:tc>
                <w:tcPr>
                  <w:gridSpan w:val="2"/>
                  <w:shd w:val="clear" w:color="auto" w:fill="C0C0C0"/>
                </w:tcPr>
                <w:p>
                  <w:pPr>
                    <w:jc w:val="center"/>
                    <w:rPr>
                      <w:b/>
                      <w:sz w:val="24"/>
                    </w:rPr>
                  </w:pPr>
                  <w:r>
                    <w:rPr>
                      <w:b/>
                      <w:sz w:val="24"/>
                    </w:rPr>
                    <w:t>Годишен доклад за изпълнението</w:t>
                  </w:r>
                </w:p>
              </w:tc>
            </w:tr>
            <w:tr>
              <w:tblPrEx>
                <w:tblW w:w="5000" w:type="pct"/>
                <w:tblCellMar>
                  <w:left w:w="108" w:type="dxa"/>
                  <w:right w:w="108" w:type="dxa"/>
                </w:tblCellMar>
              </w:tblPrEx>
              <w:tc>
                <w:tcPr>
                  <w:shd w:val="clear" w:color="auto" w:fill="FFFFFF"/>
                  <w:vAlign w:val="center"/>
                </w:tcPr>
                <w:p>
                  <w:pPr>
                    <w:pStyle w:val="Caption"/>
                    <w:spacing w:before="40" w:after="40"/>
                    <w:jc w:val="center"/>
                  </w:pPr>
                  <w:r>
                    <w:t>Период</w:t>
                  </w:r>
                </w:p>
              </w:tc>
              <w:tc>
                <w:tcPr>
                  <w:shd w:val="clear" w:color="auto" w:fill="FFFFFF"/>
                  <w:vAlign w:val="center"/>
                </w:tcPr>
                <w:p>
                  <w:pPr>
                    <w:spacing w:before="40" w:after="40"/>
                    <w:jc w:val="center"/>
                  </w:pPr>
                  <w:r>
                    <w:t>01/01/2023 - 31/12/2023</w:t>
                  </w:r>
                </w:p>
              </w:tc>
            </w:tr>
            <w:tr>
              <w:tblPrEx>
                <w:tblW w:w="5000" w:type="pct"/>
                <w:tblCellMar>
                  <w:left w:w="108" w:type="dxa"/>
                  <w:right w:w="108" w:type="dxa"/>
                </w:tblCellMar>
              </w:tblPrEx>
              <w:tc>
                <w:tcPr>
                  <w:tcW w:w="2500" w:type="pct"/>
                  <w:shd w:val="clear" w:color="auto" w:fill="FFFFFF"/>
                  <w:vAlign w:val="center"/>
                </w:tcPr>
                <w:p>
                  <w:pPr>
                    <w:pStyle w:val="Caption"/>
                    <w:spacing w:before="40" w:after="40"/>
                    <w:jc w:val="center"/>
                  </w:pPr>
                  <w:r>
                    <w:t>Версия</w:t>
                  </w:r>
                </w:p>
              </w:tc>
              <w:tc>
                <w:tcPr>
                  <w:tcW w:w="2500" w:type="pct"/>
                  <w:shd w:val="clear" w:color="auto" w:fill="FFFFFF"/>
                  <w:vAlign w:val="center"/>
                </w:tcPr>
                <w:p>
                  <w:pPr>
                    <w:spacing w:before="40" w:after="40"/>
                    <w:jc w:val="center"/>
                  </w:pPr>
                  <w:r>
                    <w:t>2023.0</w:t>
                  </w:r>
                </w:p>
              </w:tc>
            </w:tr>
            <w:tr>
              <w:tblPrEx>
                <w:tblW w:w="5000" w:type="pct"/>
                <w:tblCellMar>
                  <w:left w:w="108" w:type="dxa"/>
                  <w:right w:w="108" w:type="dxa"/>
                </w:tblCellMar>
              </w:tblPrEx>
              <w:tc>
                <w:tcPr>
                  <w:tcW w:w="2500" w:type="pct"/>
                  <w:shd w:val="clear" w:color="auto" w:fill="FFFFFF"/>
                  <w:vAlign w:val="center"/>
                </w:tcPr>
                <w:p>
                  <w:pPr>
                    <w:pStyle w:val="Caption"/>
                    <w:spacing w:before="40" w:after="40"/>
                    <w:jc w:val="center"/>
                  </w:pPr>
                  <w:r>
                    <w:t>Статус — настоящ възел</w:t>
                  </w:r>
                </w:p>
              </w:tc>
              <w:tc>
                <w:tcPr>
                  <w:tcW w:w="2500" w:type="pct"/>
                  <w:shd w:val="clear" w:color="auto" w:fill="FFFFFF"/>
                  <w:vAlign w:val="center"/>
                </w:tcPr>
                <w:p>
                  <w:pPr>
                    <w:spacing w:before="40" w:after="40"/>
                    <w:jc w:val="center"/>
                  </w:pPr>
                  <w:r>
                    <w:t>Готово за изпращане - Balgarija</w:t>
                  </w:r>
                </w:p>
              </w:tc>
            </w:tr>
            <w:tr>
              <w:tblPrEx>
                <w:tblW w:w="5000" w:type="pct"/>
                <w:tblCellMar>
                  <w:left w:w="108" w:type="dxa"/>
                  <w:right w:w="108" w:type="dxa"/>
                </w:tblCellMar>
              </w:tblPrEx>
              <w:tc>
                <w:tcPr>
                  <w:tcW w:w="2500" w:type="pct"/>
                  <w:shd w:val="clear" w:color="auto" w:fill="FFFFFF"/>
                  <w:vAlign w:val="center"/>
                </w:tcPr>
                <w:p>
                  <w:pPr>
                    <w:pStyle w:val="Caption"/>
                    <w:spacing w:before="40" w:after="40"/>
                    <w:jc w:val="center"/>
                  </w:pPr>
                  <w:r>
                    <w:t>Национален референтен номер</w:t>
                  </w:r>
                </w:p>
              </w:tc>
              <w:tc>
                <w:tcPr>
                  <w:tcW w:w="2500" w:type="pct"/>
                  <w:shd w:val="clear" w:color="auto" w:fill="FFFFFF"/>
                  <w:vAlign w:val="center"/>
                </w:tcPr>
                <w:p>
                  <w:pPr>
                    <w:spacing w:before="40" w:after="40"/>
                    <w:jc w:val="center"/>
                  </w:pPr>
                </w:p>
              </w:tc>
            </w:tr>
            <w:tr>
              <w:tblPrEx>
                <w:tblW w:w="5000" w:type="pct"/>
                <w:tblCellMar>
                  <w:left w:w="108" w:type="dxa"/>
                  <w:right w:w="108" w:type="dxa"/>
                </w:tblCellMar>
              </w:tblPrEx>
              <w:tc>
                <w:tcPr>
                  <w:tcW w:w="2500" w:type="pct"/>
                  <w:shd w:val="clear" w:color="auto" w:fill="FFFFFF"/>
                  <w:vAlign w:val="center"/>
                </w:tcPr>
                <w:p>
                  <w:pPr>
                    <w:pStyle w:val="Caption"/>
                    <w:spacing w:before="40" w:after="40"/>
                    <w:jc w:val="center"/>
                  </w:pPr>
                  <w:r>
                    <w:t>Дата на одобряване на комитет за наблюдение</w:t>
                  </w:r>
                </w:p>
              </w:tc>
              <w:tc>
                <w:tcPr>
                  <w:tcW w:w="2500" w:type="pct"/>
                  <w:shd w:val="clear" w:color="auto" w:fill="FFFFFF"/>
                  <w:vAlign w:val="center"/>
                </w:tcPr>
                <w:p>
                  <w:pPr>
                    <w:spacing w:before="40" w:after="40"/>
                    <w:jc w:val="center"/>
                  </w:pPr>
                </w:p>
              </w:tc>
            </w:tr>
          </w:tbl>
          <w:p/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/>
          <w:tbl>
            <w:tblPr>
              <w:tblW w:w="5000" w:type="pct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CellMar>
                <w:left w:w="108" w:type="dxa"/>
                <w:right w:w="108" w:type="dxa"/>
              </w:tblCellMar>
            </w:tblPr>
            <w:tblGrid>
              <w:gridCol w:w="5107"/>
              <w:gridCol w:w="5107"/>
            </w:tblGrid>
            <w:tr>
              <w:tblPrEx>
                <w:tblW w:w="5000" w:type="pct"/>
                <w:tbl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  <w:insideH w:val="single" w:sz="4" w:space="0" w:color="auto"/>
                  <w:insideV w:val="single" w:sz="4" w:space="0" w:color="auto"/>
                </w:tblBorders>
                <w:tblCellMar>
                  <w:left w:w="108" w:type="dxa"/>
                  <w:right w:w="108" w:type="dxa"/>
                </w:tblCellMar>
              </w:tblPrEx>
              <w:tc>
                <w:tcPr>
                  <w:gridSpan w:val="2"/>
                  <w:shd w:val="clear" w:color="auto" w:fill="C0C0C0"/>
                </w:tcPr>
                <w:p>
                  <w:pPr>
                    <w:jc w:val="center"/>
                    <w:rPr>
                      <w:b/>
                      <w:sz w:val="24"/>
                    </w:rPr>
                  </w:pPr>
                  <w:r>
                    <w:rPr>
                      <w:b/>
                      <w:sz w:val="24"/>
                    </w:rPr>
                    <w:t>Версия на програмата в сила</w:t>
                  </w:r>
                </w:p>
              </w:tc>
            </w:tr>
            <w:tr>
              <w:tblPrEx>
                <w:tblW w:w="5000" w:type="pct"/>
                <w:tblCellMar>
                  <w:left w:w="108" w:type="dxa"/>
                  <w:right w:w="108" w:type="dxa"/>
                </w:tblCellMar>
              </w:tblPrEx>
              <w:tc>
                <w:tcPr>
                  <w:tcW w:w="2500" w:type="pct"/>
                  <w:shd w:val="clear" w:color="auto" w:fill="FFFFFF"/>
                  <w:vAlign w:val="center"/>
                </w:tcPr>
                <w:p>
                  <w:pPr>
                    <w:pStyle w:val="Caption"/>
                    <w:spacing w:before="40" w:after="40"/>
                    <w:jc w:val="center"/>
                  </w:pPr>
                  <w:r>
                    <w:t>CCI</w:t>
                  </w:r>
                </w:p>
              </w:tc>
              <w:tc>
                <w:tcPr>
                  <w:tcW w:w="2500" w:type="pct"/>
                  <w:shd w:val="clear" w:color="auto" w:fill="FFFFFF"/>
                  <w:vAlign w:val="center"/>
                </w:tcPr>
                <w:p>
                  <w:pPr>
                    <w:spacing w:before="40" w:after="40"/>
                    <w:jc w:val="center"/>
                  </w:pPr>
                  <w:r>
                    <w:t>2014BG06RDNP001</w:t>
                  </w:r>
                </w:p>
              </w:tc>
            </w:tr>
            <w:tr>
              <w:tblPrEx>
                <w:tblW w:w="5000" w:type="pct"/>
                <w:tblCellMar>
                  <w:left w:w="108" w:type="dxa"/>
                  <w:right w:w="108" w:type="dxa"/>
                </w:tblCellMar>
              </w:tblPrEx>
              <w:tc>
                <w:tcPr>
                  <w:tcW w:w="2500" w:type="pct"/>
                  <w:shd w:val="clear" w:color="auto" w:fill="FFFFFF"/>
                  <w:vAlign w:val="center"/>
                </w:tcPr>
                <w:p>
                  <w:pPr>
                    <w:pStyle w:val="Caption"/>
                    <w:spacing w:before="40" w:after="40"/>
                    <w:jc w:val="center"/>
                  </w:pPr>
                  <w:r>
                    <w:t>Вид на програмата</w:t>
                  </w:r>
                </w:p>
              </w:tc>
              <w:tc>
                <w:tcPr>
                  <w:tcW w:w="2500" w:type="pct"/>
                  <w:shd w:val="clear" w:color="auto" w:fill="FFFFFF"/>
                  <w:vAlign w:val="center"/>
                </w:tcPr>
                <w:p>
                  <w:pPr>
                    <w:spacing w:before="40" w:after="40"/>
                    <w:jc w:val="center"/>
                  </w:pPr>
                  <w:r>
                    <w:t>Програма за развитие на селските райони</w:t>
                  </w:r>
                </w:p>
              </w:tc>
            </w:tr>
            <w:tr>
              <w:tblPrEx>
                <w:tblW w:w="5000" w:type="pct"/>
                <w:tblCellMar>
                  <w:left w:w="108" w:type="dxa"/>
                  <w:right w:w="108" w:type="dxa"/>
                </w:tblCellMar>
              </w:tblPrEx>
              <w:tc>
                <w:tcPr>
                  <w:tcW w:w="2500" w:type="pct"/>
                  <w:shd w:val="clear" w:color="auto" w:fill="FFFFFF"/>
                  <w:vAlign w:val="center"/>
                </w:tcPr>
                <w:p>
                  <w:pPr>
                    <w:pStyle w:val="Caption"/>
                    <w:spacing w:before="40" w:after="40"/>
                    <w:jc w:val="center"/>
                  </w:pPr>
                  <w:r>
                    <w:t>Държава</w:t>
                  </w:r>
                </w:p>
              </w:tc>
              <w:tc>
                <w:tcPr>
                  <w:tcW w:w="2500" w:type="pct"/>
                  <w:shd w:val="clear" w:color="auto" w:fill="FFFFFF"/>
                  <w:vAlign w:val="center"/>
                </w:tcPr>
                <w:p>
                  <w:pPr>
                    <w:spacing w:before="40" w:after="40"/>
                    <w:jc w:val="center"/>
                  </w:pPr>
                  <w:r>
                    <w:t>България</w:t>
                  </w:r>
                </w:p>
              </w:tc>
            </w:tr>
            <w:tr>
              <w:tblPrEx>
                <w:tblW w:w="5000" w:type="pct"/>
                <w:tblCellMar>
                  <w:left w:w="108" w:type="dxa"/>
                  <w:right w:w="108" w:type="dxa"/>
                </w:tblCellMar>
              </w:tblPrEx>
              <w:tc>
                <w:tcPr>
                  <w:tcW w:w="2500" w:type="pct"/>
                  <w:shd w:val="clear" w:color="auto" w:fill="FFFFFF"/>
                  <w:vAlign w:val="center"/>
                </w:tcPr>
                <w:p>
                  <w:pPr>
                    <w:pStyle w:val="Caption"/>
                    <w:spacing w:before="40" w:after="40"/>
                    <w:jc w:val="center"/>
                  </w:pPr>
                  <w:r>
                    <w:t>Регион</w:t>
                  </w:r>
                </w:p>
              </w:tc>
              <w:tc>
                <w:tcPr>
                  <w:tcW w:w="2500" w:type="pct"/>
                  <w:shd w:val="clear" w:color="auto" w:fill="FFFFFF"/>
                  <w:vAlign w:val="center"/>
                </w:tcPr>
                <w:p>
                  <w:pPr>
                    <w:spacing w:before="40" w:after="40"/>
                    <w:jc w:val="center"/>
                  </w:pPr>
                  <w:r>
                    <w:t>BG - National</w:t>
                  </w:r>
                </w:p>
              </w:tc>
            </w:tr>
            <w:tr>
              <w:tblPrEx>
                <w:tblW w:w="5000" w:type="pct"/>
                <w:tblCellMar>
                  <w:left w:w="108" w:type="dxa"/>
                  <w:right w:w="108" w:type="dxa"/>
                </w:tblCellMar>
              </w:tblPrEx>
              <w:tc>
                <w:tcPr>
                  <w:tcW w:w="2500" w:type="pct"/>
                  <w:shd w:val="clear" w:color="auto" w:fill="FFFFFF"/>
                  <w:vAlign w:val="center"/>
                </w:tcPr>
                <w:p>
                  <w:pPr>
                    <w:pStyle w:val="Caption"/>
                    <w:spacing w:before="40" w:after="40"/>
                    <w:jc w:val="center"/>
                  </w:pPr>
                  <w:r>
                    <w:t>Програмен период</w:t>
                  </w:r>
                </w:p>
              </w:tc>
              <w:tc>
                <w:tcPr>
                  <w:tcW w:w="2500" w:type="pct"/>
                  <w:shd w:val="clear" w:color="auto" w:fill="FFFFFF"/>
                  <w:vAlign w:val="center"/>
                </w:tcPr>
                <w:p>
                  <w:pPr>
                    <w:spacing w:before="40" w:after="40"/>
                    <w:jc w:val="center"/>
                  </w:pPr>
                  <w:r>
                    <w:t>2014 - 2022</w:t>
                  </w:r>
                </w:p>
              </w:tc>
            </w:tr>
            <w:tr>
              <w:tblPrEx>
                <w:tblW w:w="5000" w:type="pct"/>
                <w:tblCellMar>
                  <w:left w:w="108" w:type="dxa"/>
                  <w:right w:w="108" w:type="dxa"/>
                </w:tblCellMar>
              </w:tblPrEx>
              <w:tc>
                <w:tcPr>
                  <w:tcW w:w="2500" w:type="pct"/>
                  <w:shd w:val="clear" w:color="auto" w:fill="FFFFFF"/>
                  <w:vAlign w:val="center"/>
                </w:tcPr>
                <w:p>
                  <w:pPr>
                    <w:pStyle w:val="Caption"/>
                    <w:spacing w:before="40" w:after="40"/>
                    <w:jc w:val="center"/>
                  </w:pPr>
                  <w:r>
                    <w:t>Версия</w:t>
                  </w:r>
                </w:p>
              </w:tc>
              <w:tc>
                <w:tcPr>
                  <w:tcW w:w="2500" w:type="pct"/>
                  <w:shd w:val="clear" w:color="auto" w:fill="FFFFFF"/>
                  <w:vAlign w:val="center"/>
                </w:tcPr>
                <w:p>
                  <w:pPr>
                    <w:spacing w:before="40" w:after="40"/>
                    <w:jc w:val="center"/>
                  </w:pPr>
                  <w:r>
                    <w:t>17.2</w:t>
                  </w:r>
                </w:p>
              </w:tc>
            </w:tr>
            <w:tr>
              <w:tblPrEx>
                <w:tblW w:w="5000" w:type="pct"/>
                <w:tblCellMar>
                  <w:left w:w="108" w:type="dxa"/>
                  <w:right w:w="108" w:type="dxa"/>
                </w:tblCellMar>
              </w:tblPrEx>
              <w:tc>
                <w:tcPr>
                  <w:tcW w:w="2500" w:type="pct"/>
                  <w:shd w:val="clear" w:color="auto" w:fill="FFFFFF"/>
                  <w:vAlign w:val="center"/>
                </w:tcPr>
                <w:p>
                  <w:pPr>
                    <w:pStyle w:val="Caption"/>
                    <w:spacing w:before="40" w:after="40"/>
                    <w:jc w:val="center"/>
                  </w:pPr>
                  <w:r>
                    <w:t>Номер на решението</w:t>
                  </w:r>
                </w:p>
              </w:tc>
              <w:tc>
                <w:tcPr>
                  <w:tcW w:w="2500" w:type="pct"/>
                  <w:shd w:val="clear" w:color="auto" w:fill="FFFFFF"/>
                  <w:vAlign w:val="center"/>
                </w:tcPr>
                <w:p>
                  <w:pPr>
                    <w:spacing w:before="40" w:after="40"/>
                    <w:jc w:val="center"/>
                  </w:pPr>
                  <w:r>
                    <w:t>C(2023)8650</w:t>
                  </w:r>
                </w:p>
              </w:tc>
            </w:tr>
            <w:tr>
              <w:tblPrEx>
                <w:tblW w:w="5000" w:type="pct"/>
                <w:tblCellMar>
                  <w:left w:w="108" w:type="dxa"/>
                  <w:right w:w="108" w:type="dxa"/>
                </w:tblCellMar>
              </w:tblPrEx>
              <w:tc>
                <w:tcPr>
                  <w:tcW w:w="2500" w:type="pct"/>
                  <w:shd w:val="clear" w:color="auto" w:fill="FFFFFF"/>
                  <w:vAlign w:val="center"/>
                </w:tcPr>
                <w:p>
                  <w:pPr>
                    <w:pStyle w:val="Caption"/>
                    <w:spacing w:before="40" w:after="40"/>
                    <w:jc w:val="center"/>
                  </w:pPr>
                  <w:r>
                    <w:t>Дата на решението</w:t>
                  </w:r>
                </w:p>
              </w:tc>
              <w:tc>
                <w:tcPr>
                  <w:tcW w:w="2500" w:type="pct"/>
                  <w:shd w:val="clear" w:color="auto" w:fill="FFFFFF"/>
                  <w:vAlign w:val="center"/>
                </w:tcPr>
                <w:p>
                  <w:pPr>
                    <w:spacing w:before="40" w:after="40"/>
                    <w:jc w:val="center"/>
                  </w:pPr>
                  <w:r>
                    <w:t>06/12/2023</w:t>
                  </w:r>
                </w:p>
              </w:tc>
            </w:tr>
            <w:tr>
              <w:tblPrEx>
                <w:tblW w:w="5000" w:type="pct"/>
                <w:tblCellMar>
                  <w:left w:w="108" w:type="dxa"/>
                  <w:right w:w="108" w:type="dxa"/>
                </w:tblCellMar>
              </w:tblPrEx>
              <w:tc>
                <w:tcPr>
                  <w:tcW w:w="2500" w:type="pct"/>
                  <w:shd w:val="clear" w:color="auto" w:fill="FFFFFF"/>
                  <w:vAlign w:val="center"/>
                </w:tcPr>
                <w:p>
                  <w:pPr>
                    <w:pStyle w:val="Caption"/>
                    <w:spacing w:before="40" w:after="40"/>
                    <w:jc w:val="center"/>
                  </w:pPr>
                  <w:r>
                    <w:t>Управляващ орган</w:t>
                  </w:r>
                </w:p>
              </w:tc>
              <w:tc>
                <w:tcPr>
                  <w:tcW w:w="2500" w:type="pct"/>
                  <w:shd w:val="clear" w:color="auto" w:fill="FFFFFF"/>
                  <w:vAlign w:val="center"/>
                </w:tcPr>
                <w:p>
                  <w:pPr>
                    <w:spacing w:before="40" w:after="40"/>
                    <w:jc w:val="center"/>
                  </w:pPr>
                  <w:r>
                    <w:t>Дирекция "Развитие на селските райони" (РСР) в Министерство на земеделието</w:t>
                  </w:r>
                </w:p>
              </w:tc>
            </w:tr>
          </w:tbl>
          <w:p/>
        </w:tc>
      </w:tr>
    </w:tbl>
    <w:p>
      <w:pPr>
        <w:sectPr>
          <w:footerReference w:type="default" r:id="rId7"/>
          <w:headerReference w:type="first" r:id="rId8"/>
          <w:footerReference w:type="first" r:id="rId9"/>
          <w:pgMar w:top="900" w:right="900" w:bottom="900" w:left="900" w:header="720" w:footer="720"/>
          <w:pgNumType w:start="1"/>
          <w:cols w:space="720"/>
          <w:vAlign w:val="both"/>
        </w:sectPr>
      </w:pPr>
    </w:p>
    <w:p>
      <w:pPr>
        <w:jc w:val="center"/>
        <w:rPr>
          <w:b/>
          <w:sz w:val="32"/>
        </w:rPr>
      </w:pPr>
      <w:r>
        <w:rPr>
          <w:b/>
          <w:sz w:val="32"/>
        </w:rPr>
        <w:t>Съдържание</w:t>
      </w:r>
    </w:p>
    <w:p>
      <w:pPr>
        <w:jc w:val="center"/>
        <w:rPr>
          <w:b/>
          <w:sz w:val="32"/>
        </w:rPr>
      </w:pPr>
    </w:p>
    <w:p>
      <w:pPr>
        <w:pStyle w:val="TOC1"/>
        <w:rPr>
          <w:rFonts w:asciiTheme="minorHAnsi" w:hAnsiTheme="minorHAnsi"/>
          <w:noProof/>
          <w:sz w:val="22"/>
        </w:rPr>
      </w:pPr>
      <w:r>
        <w:fldChar w:fldCharType="begin"/>
      </w:r>
      <w:r>
        <w:instrText>TOC \o "1-3" \h \z \u</w:instrText>
      </w:r>
      <w:r>
        <w:fldChar w:fldCharType="separate"/>
      </w:r>
      <w:hyperlink w:anchor="_Toc256000000" w:history="1">
        <w:r>
          <w:rPr>
            <w:rStyle w:val="Hyperlink"/>
          </w:rPr>
          <w:t>1.</w:t>
        </w:r>
        <w:r>
          <w:rPr>
            <w:rStyle w:val="Hyperlink"/>
          </w:rPr>
          <w:t xml:space="preserve"> </w:t>
        </w:r>
        <w:r>
          <w:rPr>
            <w:rStyle w:val="Hyperlink"/>
          </w:rPr>
          <w:t>Кодиращи таблици за общи и специфични за програмата показатели и количествени целеви стойности</w:t>
        </w:r>
        <w:r>
          <w:tab/>
        </w:r>
        <w:r>
          <w:fldChar w:fldCharType="begin"/>
        </w:r>
        <w:r>
          <w:instrText xml:space="preserve"> PAGEREF _Toc256000000 \h </w:instrText>
        </w:r>
        <w:r>
          <w:fldChar w:fldCharType="separate"/>
        </w:r>
        <w:r>
          <w:t>3</w:t>
        </w:r>
        <w:r>
          <w:fldChar w:fldCharType="end"/>
        </w:r>
      </w:hyperlink>
    </w:p>
    <w:p>
      <w:pPr>
        <w:pStyle w:val="TOC2"/>
        <w:rPr>
          <w:rFonts w:asciiTheme="minorHAnsi" w:hAnsiTheme="minorHAnsi"/>
          <w:noProof/>
          <w:sz w:val="22"/>
        </w:rPr>
      </w:pPr>
      <w:hyperlink w:anchor="_Toc256000001" w:history="1">
        <w:r>
          <w:rPr>
            <w:rStyle w:val="Hyperlink"/>
          </w:rPr>
          <w:t>1.a)</w:t>
        </w:r>
        <w:r>
          <w:rPr>
            <w:rStyle w:val="Hyperlink"/>
          </w:rPr>
          <w:t xml:space="preserve"> </w:t>
        </w:r>
        <w:r>
          <w:rPr>
            <w:rStyle w:val="Hyperlink"/>
          </w:rPr>
          <w:t>Таблица А: Поети разходни задължения по мерки и акцентирани области — НА ГОДИШНА БАЗА</w:t>
        </w:r>
        <w:r>
          <w:tab/>
        </w:r>
        <w:r>
          <w:fldChar w:fldCharType="begin"/>
        </w:r>
        <w:r>
          <w:instrText xml:space="preserve"> PAGEREF _Toc256000001 \h </w:instrText>
        </w:r>
        <w:r>
          <w:fldChar w:fldCharType="separate"/>
        </w:r>
        <w:r>
          <w:t>3</w:t>
        </w:r>
        <w:r>
          <w:fldChar w:fldCharType="end"/>
        </w:r>
      </w:hyperlink>
    </w:p>
    <w:p>
      <w:pPr>
        <w:pStyle w:val="TOC2"/>
        <w:rPr>
          <w:rFonts w:asciiTheme="minorHAnsi" w:hAnsiTheme="minorHAnsi"/>
          <w:noProof/>
          <w:sz w:val="22"/>
        </w:rPr>
      </w:pPr>
      <w:hyperlink w:anchor="_Toc256000002" w:history="1">
        <w:r>
          <w:rPr>
            <w:rStyle w:val="Hyperlink"/>
          </w:rPr>
          <w:t>1.b)</w:t>
        </w:r>
        <w:r>
          <w:rPr>
            <w:rStyle w:val="Hyperlink"/>
          </w:rPr>
          <w:t xml:space="preserve"> </w:t>
        </w:r>
        <w:r>
          <w:rPr>
            <w:rStyle w:val="Hyperlink"/>
          </w:rPr>
          <w:t>Таблица Б: Показатели за реализирани резултати по мерки и области с поставен акцент</w:t>
        </w:r>
        <w:r>
          <w:tab/>
        </w:r>
        <w:r>
          <w:fldChar w:fldCharType="begin"/>
        </w:r>
        <w:r>
          <w:instrText xml:space="preserve"> PAGEREF _Toc256000002 \h </w:instrText>
        </w:r>
        <w:r>
          <w:fldChar w:fldCharType="separate"/>
        </w:r>
        <w:r>
          <w:t>11</w:t>
        </w:r>
        <w:r>
          <w:fldChar w:fldCharType="end"/>
        </w:r>
      </w:hyperlink>
    </w:p>
    <w:p>
      <w:pPr>
        <w:pStyle w:val="TOC2"/>
        <w:rPr>
          <w:rFonts w:asciiTheme="minorHAnsi" w:hAnsiTheme="minorHAnsi"/>
          <w:noProof/>
          <w:sz w:val="22"/>
        </w:rPr>
      </w:pPr>
      <w:hyperlink w:anchor="_Toc256000003" w:history="1">
        <w:r>
          <w:rPr>
            <w:rStyle w:val="Hyperlink"/>
          </w:rPr>
          <w:t>1.c)</w:t>
        </w:r>
        <w:r>
          <w:rPr>
            <w:rStyle w:val="Hyperlink"/>
          </w:rPr>
          <w:t xml:space="preserve"> </w:t>
        </w:r>
        <w:r>
          <w:rPr>
            <w:rStyle w:val="Hyperlink"/>
          </w:rPr>
          <w:t>Таблица В: Разбивка за съответните резултати и мерки по типове области, пол и/или възраст — КУМУЛАТИВНИ ДАННИ</w:t>
        </w:r>
        <w:r>
          <w:tab/>
        </w:r>
        <w:r>
          <w:fldChar w:fldCharType="begin"/>
        </w:r>
        <w:r>
          <w:instrText xml:space="preserve"> PAGEREF _Toc256000003 \h </w:instrText>
        </w:r>
        <w:r>
          <w:fldChar w:fldCharType="separate"/>
        </w:r>
        <w:r>
          <w:t>88</w:t>
        </w:r>
        <w:r>
          <w:fldChar w:fldCharType="end"/>
        </w:r>
      </w:hyperlink>
    </w:p>
    <w:p>
      <w:pPr>
        <w:pStyle w:val="TOC2"/>
        <w:rPr>
          <w:rFonts w:asciiTheme="minorHAnsi" w:hAnsiTheme="minorHAnsi"/>
          <w:noProof/>
          <w:sz w:val="22"/>
        </w:rPr>
      </w:pPr>
      <w:hyperlink w:anchor="_Toc256000004" w:history="1">
        <w:r>
          <w:rPr>
            <w:rStyle w:val="Hyperlink"/>
          </w:rPr>
          <w:t>1.d)</w:t>
        </w:r>
        <w:r>
          <w:rPr>
            <w:rStyle w:val="Hyperlink"/>
          </w:rPr>
          <w:t xml:space="preserve"> </w:t>
        </w:r>
        <w:r>
          <w:rPr>
            <w:rStyle w:val="Hyperlink"/>
          </w:rPr>
          <w:t>Таблица Г: Напредък към постигане на целите</w:t>
        </w:r>
        <w:r>
          <w:tab/>
        </w:r>
        <w:r>
          <w:fldChar w:fldCharType="begin"/>
        </w:r>
        <w:r>
          <w:instrText xml:space="preserve"> PAGEREF _Toc256000004 \h </w:instrText>
        </w:r>
        <w:r>
          <w:fldChar w:fldCharType="separate"/>
        </w:r>
        <w:r>
          <w:t>120</w:t>
        </w:r>
        <w:r>
          <w:fldChar w:fldCharType="end"/>
        </w:r>
      </w:hyperlink>
    </w:p>
    <w:p>
      <w:pPr>
        <w:pStyle w:val="TOC2"/>
        <w:rPr>
          <w:rFonts w:asciiTheme="minorHAnsi" w:hAnsiTheme="minorHAnsi"/>
          <w:noProof/>
          <w:sz w:val="22"/>
        </w:rPr>
      </w:pPr>
      <w:hyperlink w:anchor="_Toc256000005" w:history="1">
        <w:r>
          <w:rPr>
            <w:rStyle w:val="Hyperlink"/>
          </w:rPr>
          <w:t>1.e)</w:t>
        </w:r>
        <w:r>
          <w:rPr>
            <w:rStyle w:val="Hyperlink"/>
          </w:rPr>
          <w:t xml:space="preserve"> </w:t>
        </w:r>
        <w:r>
          <w:rPr>
            <w:rStyle w:val="Hyperlink"/>
          </w:rPr>
          <w:t>Таблица Д: Мониторинг на преходните мерки — ГОДИШНИ ДАННИ</w:t>
        </w:r>
        <w:r>
          <w:tab/>
        </w:r>
        <w:r>
          <w:fldChar w:fldCharType="begin"/>
        </w:r>
        <w:r>
          <w:instrText xml:space="preserve"> PAGEREF _Toc256000005 \h </w:instrText>
        </w:r>
        <w:r>
          <w:fldChar w:fldCharType="separate"/>
        </w:r>
        <w:r>
          <w:t>124</w:t>
        </w:r>
        <w:r>
          <w:fldChar w:fldCharType="end"/>
        </w:r>
      </w:hyperlink>
    </w:p>
    <w:p>
      <w:pPr>
        <w:pStyle w:val="TOC2"/>
        <w:rPr>
          <w:rFonts w:asciiTheme="minorHAnsi" w:hAnsiTheme="minorHAnsi"/>
          <w:noProof/>
          <w:sz w:val="22"/>
        </w:rPr>
      </w:pPr>
      <w:hyperlink w:anchor="_Toc256000006" w:history="1">
        <w:r>
          <w:rPr>
            <w:rStyle w:val="Hyperlink"/>
          </w:rPr>
          <w:t>1.f)</w:t>
        </w:r>
        <w:r>
          <w:rPr>
            <w:rStyle w:val="Hyperlink"/>
          </w:rPr>
          <w:t xml:space="preserve"> </w:t>
        </w:r>
        <w:r>
          <w:rPr>
            <w:rStyle w:val="Hyperlink"/>
          </w:rPr>
          <w:t>Таблица Е: Постигане на показателите от рамката на изпълнението</w:t>
        </w:r>
        <w:r>
          <w:tab/>
        </w:r>
        <w:r>
          <w:fldChar w:fldCharType="begin"/>
        </w:r>
        <w:r>
          <w:instrText xml:space="preserve"> PAGEREF _Toc256000006 \h </w:instrText>
        </w:r>
        <w:r>
          <w:fldChar w:fldCharType="separate"/>
        </w:r>
        <w:r>
          <w:t>126</w:t>
        </w:r>
        <w:r>
          <w:fldChar w:fldCharType="end"/>
        </w:r>
      </w:hyperlink>
    </w:p>
    <w:p>
      <w:pPr>
        <w:pStyle w:val="TOC2"/>
        <w:rPr>
          <w:rFonts w:asciiTheme="minorHAnsi" w:hAnsiTheme="minorHAnsi"/>
          <w:noProof/>
          <w:sz w:val="22"/>
        </w:rPr>
      </w:pPr>
      <w:hyperlink w:anchor="_Toc256000007" w:history="1">
        <w:r>
          <w:rPr>
            <w:rStyle w:val="Hyperlink"/>
          </w:rPr>
          <w:t>1.g)</w:t>
        </w:r>
        <w:r>
          <w:rPr>
            <w:rStyle w:val="Hyperlink"/>
          </w:rPr>
          <w:t xml:space="preserve"> </w:t>
        </w:r>
        <w:r>
          <w:rPr>
            <w:rStyle w:val="Hyperlink"/>
          </w:rPr>
          <w:t>Таблица Ж: Специфични за програмата показатели</w:t>
        </w:r>
        <w:r>
          <w:tab/>
        </w:r>
        <w:r>
          <w:fldChar w:fldCharType="begin"/>
        </w:r>
        <w:r>
          <w:instrText xml:space="preserve"> PAGEREF _Toc256000007 \h </w:instrText>
        </w:r>
        <w:r>
          <w:fldChar w:fldCharType="separate"/>
        </w:r>
        <w:r>
          <w:t>130</w:t>
        </w:r>
        <w:r>
          <w:fldChar w:fldCharType="end"/>
        </w:r>
      </w:hyperlink>
    </w:p>
    <w:p>
      <w:pPr>
        <w:pStyle w:val="TOC1"/>
        <w:rPr>
          <w:rFonts w:asciiTheme="minorHAnsi" w:hAnsiTheme="minorHAnsi"/>
          <w:noProof/>
          <w:sz w:val="22"/>
        </w:rPr>
      </w:pPr>
      <w:hyperlink w:anchor="_Toc256000008" w:history="1">
        <w:r>
          <w:rPr>
            <w:rStyle w:val="Hyperlink"/>
          </w:rPr>
          <w:t>2.</w:t>
        </w:r>
        <w:r>
          <w:rPr>
            <w:rStyle w:val="Hyperlink"/>
          </w:rPr>
          <w:t xml:space="preserve"> </w:t>
        </w:r>
        <w:r>
          <w:rPr>
            <w:rStyle w:val="Hyperlink"/>
          </w:rPr>
          <w:t>Легенда</w:t>
        </w:r>
        <w:r>
          <w:tab/>
        </w:r>
        <w:r>
          <w:fldChar w:fldCharType="begin"/>
        </w:r>
        <w:r>
          <w:instrText xml:space="preserve"> PAGEREF _Toc256000008 \h </w:instrText>
        </w:r>
        <w:r>
          <w:fldChar w:fldCharType="separate"/>
        </w:r>
        <w:r>
          <w:t>133</w:t>
        </w:r>
        <w:r>
          <w:fldChar w:fldCharType="end"/>
        </w:r>
      </w:hyperlink>
    </w:p>
    <w:p>
      <w:pPr>
        <w:sectPr>
          <w:pgMar w:top="900" w:right="900" w:bottom="900" w:left="900" w:header="720" w:footer="720"/>
          <w:cols w:space="720"/>
        </w:sectPr>
      </w:pPr>
      <w:r>
        <w:fldChar w:fldCharType="end"/>
      </w:r>
    </w:p>
    <w:p>
      <w:pPr>
        <w:rPr>
          <w:sz w:val="28"/>
        </w:rPr>
      </w:pPr>
      <w:r>
        <w:rPr>
          <w:sz w:val="28"/>
        </w:rPr>
        <w:t>РАЗДЕЛ 11</w:t>
      </w:r>
    </w:p>
    <w:p>
      <w:pPr>
        <w:pStyle w:val="Heading1"/>
        <w:rPr>
          <w:sz w:val="28"/>
        </w:rPr>
      </w:pPr>
      <w:bookmarkStart w:id="0" w:name="_Toc256000000"/>
      <w:r>
        <w:rPr>
          <w:sz w:val="28"/>
        </w:rPr>
        <w:t>Кодиращи таблици за общи и специфични за програмата показатели и количествени целеви стойности</w:t>
      </w:r>
      <w:bookmarkEnd w:id="0"/>
    </w:p>
    <w:p>
      <w:pPr>
        <w:pStyle w:val="Heading2"/>
        <w:rPr>
          <w:sz w:val="28"/>
        </w:rPr>
      </w:pPr>
      <w:bookmarkStart w:id="1" w:name="_Toc256000001"/>
      <w:r>
        <w:rPr>
          <w:sz w:val="28"/>
        </w:rPr>
        <w:t>Таблица А: Поети разходни задължения по мерки и акцентирани области — НА ГОДИШНА БАЗА</w:t>
      </w:r>
      <w:bookmarkEnd w:id="1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8" w:type="dxa"/>
          <w:right w:w="108" w:type="dxa"/>
        </w:tblCellMar>
      </w:tblPr>
      <w:tblGrid>
        <w:gridCol w:w="1046"/>
        <w:gridCol w:w="1184"/>
        <w:gridCol w:w="1908"/>
        <w:gridCol w:w="1702"/>
        <w:gridCol w:w="1218"/>
        <w:gridCol w:w="1143"/>
        <w:gridCol w:w="1175"/>
        <w:gridCol w:w="1044"/>
      </w:tblGrid>
      <w:tr>
        <w:tblPrEx>
          <w:tblW w:w="5000" w:type="pc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c>
          <w:tcPr>
            <w:tcW w:w="250" w:type="pct"/>
            <w:shd w:val="clear" w:color="auto" w:fill="C0C0C0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Мярка</w:t>
            </w:r>
          </w:p>
        </w:tc>
        <w:tc>
          <w:tcPr>
            <w:tcW w:w="750" w:type="pct"/>
            <w:shd w:val="clear" w:color="auto" w:fill="C0C0C0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Подмярка </w:t>
            </w:r>
          </w:p>
        </w:tc>
        <w:tc>
          <w:tcPr>
            <w:tcW w:w="1250" w:type="pct"/>
            <w:shd w:val="clear" w:color="auto" w:fill="C0C0C0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Показател</w:t>
            </w:r>
          </w:p>
        </w:tc>
        <w:tc>
          <w:tcPr>
            <w:tcW w:w="1000" w:type="pct"/>
            <w:shd w:val="clear" w:color="auto" w:fill="C0C0C0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Размер 1</w:t>
            </w:r>
          </w:p>
        </w:tc>
        <w:tc>
          <w:tcPr>
            <w:tcW w:w="250" w:type="pct"/>
            <w:shd w:val="clear" w:color="auto" w:fill="C0C0C0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Приоритет</w:t>
            </w:r>
          </w:p>
        </w:tc>
        <w:tc>
          <w:tcPr>
            <w:tcW w:w="250" w:type="pct"/>
            <w:shd w:val="clear" w:color="auto" w:fill="C0C0C0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Област с поставен акцент</w:t>
            </w:r>
          </w:p>
        </w:tc>
        <w:tc>
          <w:tcPr>
            <w:tcW w:w="750" w:type="pct"/>
            <w:shd w:val="clear" w:color="auto" w:fill="C0C0C0"/>
          </w:tcPr>
          <w:p>
            <w:pPr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Общо публични разходи</w:t>
            </w:r>
          </w:p>
        </w:tc>
        <w:tc>
          <w:tcPr>
            <w:tcW w:w="750" w:type="pct"/>
            <w:shd w:val="clear" w:color="auto" w:fill="C0C0C0"/>
          </w:tcPr>
          <w:p>
            <w:pPr>
              <w:jc w:val="right"/>
            </w:pPr>
            <w:r>
              <w:rPr>
                <w:b w:val="0"/>
                <w:sz w:val="16"/>
              </w:rPr>
              <w:t>от които по линия на EURI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154 358 341,00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154 358 341,00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финансовия инструмент в Споразумението за финансиране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23 663 319,00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23 663 319,00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финансовия инструмент в Споразумението за финансиране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210 291 884,00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1 613 077,91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210 291 884,00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1 613 077,91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финансовия инструмент в Споразумението за финансиране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38 987 877,00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4 591 628,00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38 987 877,00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4 591 628,00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финансовия инструмент в Споразумението за финансиране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21 927 747,00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3 002 775,00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21 927 747,00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3 002 775,00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финансовия инструмент в Споразумението за финансиране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12 171 259,00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435 669,00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12 171 259,00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435 669,00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финансовия инструмент в Споразумението за финансиране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38 896 260,00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3 793 161,18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38 896 260,00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3 793 161,18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финансовия инструмент в Споразумението за финансиране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финансовия инструмент в Споразумението за финансиране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500 296 687,00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13 436 311,09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Сума, предвидена за безвъзмездни помощи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500 296 687,00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13 436 311,09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Сума, предвидена за финансовия инструмент в Споразумението за финансиране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финансовия инструмент в Споразумението за финансиране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Сума, предвидена за безвъзмездни помощи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Сума, предвидена за финансовия инструмент в Споразумението за финансиране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финансовия инструмент в Споразумението за финансиране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финансовия инструмент в Споразумението за финансиране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финансовия инструмент в Споразумението за финансиране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финансовия инструмент в Споразумението за финансиране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Сума, предвидена за безвъзмездни помощи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Сума, предвидена за финансовия инструмент в Споразумението за финансиране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финансовия инструмент в Споразумението за финансиране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финансовия инструмент в Споразумението за финансиране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6C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финансовия инструмент в Споразумението за финансиране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Сума, предвидена за безвъзмездни помощи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Сума, предвидена за финансовия инструмент в Споразумението за финансиране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финансовия инструмент в Споразумението за финансиране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534 238,00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534 238,00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финансовия инструмент в Споразумението за финансиране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2 782 562,00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2 782 562,00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финансовия инструмент в Споразумението за финансиране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3 316 800,00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Сума, предвидена за безвъзмездни помощи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3 316 800,00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Сума, предвидена за финансовия инструмент в Споразумението за финансиране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534 238,00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M08.1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534 238,00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M08.2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M08.3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M08.4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M08.5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2 782 562,00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M08.6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2 782 562,00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M09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16 507 123,00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8 000 000,00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16 507 123,00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8 000 000,00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6 175 595,00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6 175 595,00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549 235,00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549 235,00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финансовия инструмент в Споразумението за финансиране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122 543,00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122 543,00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финансовия инструмент в Споразумението за финансиране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395 511,00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395 511,00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финансовия инструмент в Споразумението за финансиране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61 578,00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61 578,00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финансовия инструмент в Споразумението за финансиране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32 739,00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32 739,00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финансовия инструмент в Споразумението за финансиране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129 384,00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129 384,00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финансовия инструмент в Споразумението за финансиране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65 701,00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65 701,00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финансовия инструмент в Споразумението за финансиране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финансовия инструмент в Споразумението за финансиране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1 356 691,00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Сума, предвидена за безвъзмездни помощи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1 356 691,00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Сума, предвидена за финансовия инструмент в Споразумението за финансиране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финансовия инструмент в Споразумението за финансиране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Сума, предвидена за безвъзмездни помощи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Сума, предвидена за финансовия инструмент в Споразумението за финансиране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O20 - Брой на подпомогнатите проекти в рамките на LEADER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с финансов инструмент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2 164 658,00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37 932 474,00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подкрепа за земеделските стопани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подкрепа за МСП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подкрепа за земеделските стопани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подкрепа за МСП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M21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M21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подкрепа за земеделските стопани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M21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подкрепа за МСП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подкрепа за земеделските стопани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6 597 157,00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подкрепа за МСП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подкрепа за земеделските стопани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подкрепа за МСП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1 999 040,00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M22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8 596 197,00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M22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подкрепа за земеделските стопани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6 597 157,00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M22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подкрепа за МСП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1 999 040,00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11 264 337,00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</w:tbl>
    <w:p>
      <w:pPr>
        <w:pStyle w:val="Heading2"/>
      </w:pPr>
      <w:r>
        <w:br w:type="page"/>
      </w:r>
      <w:bookmarkStart w:id="2" w:name="_Toc256000002"/>
      <w:r>
        <w:t>Таблица Б: Показатели за реализирани резултати по мерки и области с поставен акцент</w:t>
      </w:r>
      <w:bookmarkEnd w:id="2"/>
    </w:p>
    <w:p>
      <w:r>
        <w:t>Таблица Б1: Реализирани резултати (годишен доклад за изпълнението) — КУМУЛАТИВНИ ДАННИ</w:t>
      </w:r>
    </w:p>
    <w:p>
      <w:r>
        <w:t>М01 — Трансфер на знания и действия за осведомяване (член 14)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8" w:type="dxa"/>
          <w:right w:w="108" w:type="dxa"/>
        </w:tblCellMar>
      </w:tblPr>
      <w:tblGrid>
        <w:gridCol w:w="1274"/>
        <w:gridCol w:w="1351"/>
        <w:gridCol w:w="2399"/>
        <w:gridCol w:w="1370"/>
        <w:gridCol w:w="1328"/>
        <w:gridCol w:w="1436"/>
        <w:gridCol w:w="1262"/>
      </w:tblGrid>
      <w:tr>
        <w:tblPrEx>
          <w:tblW w:w="5000" w:type="pc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Мярка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Подмярка </w:t>
            </w:r>
          </w:p>
        </w:tc>
        <w:tc>
          <w:tcPr>
            <w:tcW w:w="1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Показател</w:t>
            </w:r>
          </w:p>
        </w:tc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Приоритет</w:t>
            </w:r>
          </w:p>
        </w:tc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Област с поставен акцент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Б1: реализирано изпълнение (кумулативно за 2014-2023 г.)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right"/>
            </w:pPr>
            <w:r>
              <w:rPr>
                <w:b w:val="0"/>
                <w:sz w:val="16"/>
              </w:rPr>
              <w:t>от които по линия на EURI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13 957,33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13 957,33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4 919,80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4 919,80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13 856,69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13 957,33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4 919,80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4 919,80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4 919,80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4 919,80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85 247,48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13 957,33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13 957,33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4 919,80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4 919,80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13 856,69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13 957,33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4 919,80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4 919,80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4 919,80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4 919,80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M01.1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85 247,48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M01.1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25,00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O11 - Брой на дните проведено обучение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324,00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O11 - Брой на дните проведено обучение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324,00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O11 - Брой на дните проведено обучение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184,00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O11 - Брой на дните проведено обучение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184,00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O11 - Брой на дните проведено обучение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165,00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O11 - Брой на дните проведено обучение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324,00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O11 - Брой на дните проведено обучение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184,00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O11 - Брой на дните проведено обучение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184,00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O11 - Брой на дните проведено обучение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184,00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O11 - Брой на дните проведено обучение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184,00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M01.1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O11 - Брой на дните проведено обучение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2 241,00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O12 - Брой на участниците в обучения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228,00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O12 - Брой на участниците в обучения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228,00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O12 - Брой на участниците в обучения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228,00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O12 - Брой на участниците в обучения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228,00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O12 - Брой на участниците в обучения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228,00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O12 - Брой на участниците в обучения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228,00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O12 - Брой на участниците в обучения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228,00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O12 - Брой на участниците в обучения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228,00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O12 - Брой на участниците в обучения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228,00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O12 - Брой на участниците в обучения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228,00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M01.1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O12 - Брой на участниците в обучения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2 280,00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M01.2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M01.3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M01.3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M01.3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M01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M01.3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</w:tbl>
    <w:p>
      <w:r>
        <w:br w:type="page"/>
      </w:r>
      <w:r>
        <w:t>М02 —  Консултантски услуги, услуги по управление на стопанство и услуги по заместване в стопанство (член 15)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8" w:type="dxa"/>
          <w:right w:w="108" w:type="dxa"/>
        </w:tblCellMar>
      </w:tblPr>
      <w:tblGrid>
        <w:gridCol w:w="1274"/>
        <w:gridCol w:w="1351"/>
        <w:gridCol w:w="2399"/>
        <w:gridCol w:w="1370"/>
        <w:gridCol w:w="1328"/>
        <w:gridCol w:w="1436"/>
        <w:gridCol w:w="1262"/>
      </w:tblGrid>
      <w:tr>
        <w:tblPrEx>
          <w:tblW w:w="5000" w:type="pc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Мярка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Подмярка </w:t>
            </w:r>
          </w:p>
        </w:tc>
        <w:tc>
          <w:tcPr>
            <w:tcW w:w="1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Показател</w:t>
            </w:r>
          </w:p>
        </w:tc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Приоритет</w:t>
            </w:r>
          </w:p>
        </w:tc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Област с поставен акцент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Б1: реализирано изпълнение (кумулативно за 2014-2023 г.)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right"/>
            </w:pPr>
            <w:r>
              <w:rPr>
                <w:b w:val="0"/>
                <w:sz w:val="16"/>
              </w:rPr>
              <w:t>от които по линия на EURI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4 164 172,00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1 656 127,00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463 314,00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463 314,00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2 656 150,00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295 743,00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999 306,00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999 306,00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999 306,00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999 306,00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13 696 044,00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10 599,00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1 848,00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5 065,00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4 931,00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8 008,00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7 788,00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8 777,00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9 233,00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9 233,00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9 233,00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M02.1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74 715,00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O13 - Брой на консултираните бенефициери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10 599,00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O13 - Брой на консултираните бенефициери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1 848,00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O13 - Брой на консултираните бенефициери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5 065,00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O13 - Брой на консултираните бенефициери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4 931,00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O13 - Брой на консултираните бенефициери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8 008,00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O13 - Брой на консултираните бенефициери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7 788,00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O13 - Брой на консултираните бенефициери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8 777,00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O13 - Брой на консултираните бенефициери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9 233,00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O13 - Брой на консултираните бенефициери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9 233,00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O13 - Брой на консултираните бенефициери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9 233,00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M02.1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O13 - Брой на консултираните бенефициери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74 715,00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M02.2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M02.3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O14 - Брой на обучените консултанти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O14 - Брой на обучените консултанти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O14 - Брой на обучените консултанти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O14 - Брой на обучените консултанти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O14 - Брой на обучените консултанти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O14 - Брой на обучените консултанти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O14 - Брой на обучените консултанти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M02.3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O14 - Брой на обучените консултанти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M02.3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O14 - Брой на обучените консултанти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M02.3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O14 - Брой на обучените консултанти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M02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M02.3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O14 - Брой на обучените консултанти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</w:tbl>
    <w:p>
      <w:r>
        <w:br w:type="page"/>
      </w:r>
      <w:r>
        <w:t>M04 — Инвестиции в материални активи (член 17)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8" w:type="dxa"/>
          <w:right w:w="108" w:type="dxa"/>
        </w:tblCellMar>
      </w:tblPr>
      <w:tblGrid>
        <w:gridCol w:w="880"/>
        <w:gridCol w:w="1062"/>
        <w:gridCol w:w="2440"/>
        <w:gridCol w:w="1784"/>
        <w:gridCol w:w="1107"/>
        <w:gridCol w:w="1008"/>
        <w:gridCol w:w="1263"/>
        <w:gridCol w:w="876"/>
      </w:tblGrid>
      <w:tr>
        <w:tblPrEx>
          <w:tblW w:w="5000" w:type="pc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Мярка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Подмярка </w:t>
            </w:r>
          </w:p>
        </w:tc>
        <w:tc>
          <w:tcPr>
            <w:tcW w:w="1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Показател</w:t>
            </w:r>
          </w:p>
        </w:tc>
        <w:tc>
          <w:tcPr>
            <w:tcW w:w="100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Размер 1</w:t>
            </w:r>
          </w:p>
        </w:tc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Приоритет</w:t>
            </w:r>
          </w:p>
        </w:tc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Област с поставен акцент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Б1: реализирано изпълнение (кумулативно за 2014-2023 г.)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right"/>
            </w:pPr>
            <w:r>
              <w:rPr>
                <w:b w:val="0"/>
                <w:sz w:val="16"/>
              </w:rPr>
              <w:t>от които по линия на EURI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230 193 486,00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805 000,00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229 388 486,00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58 213 950,00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58 213 950,00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137 501 042,00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1 604 392,00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137 501 042,00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1 604 392,00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14 050 132,00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3 203 673,00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14 050 132,00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3 203 673,00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7 810 610,00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2 397 177,00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7 810 610,00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2 397 177,00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107 426 120,00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368 027,00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107 426 120,00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368 027,00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5 772 628,00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1 527 116,00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180 000,00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5 592 628,00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1 527 116,00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685 071,00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685 071,00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561 653 039,00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9 100 385,00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985 000,00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560 668 039,00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9 100 385,00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481 460 529,00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479 784 784,00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от финансов инструмент (включително финансирането за оборотни средства и безвъзмездните помощи, ако е приложимо)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1 675 745,00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123 104 595,00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123 104 595,00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от финансов инструмент (включително финансирането за оборотни средства и безвъзмездните помощи, ако е приложимо)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293 689 834,00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293 689 834,00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от финансов инструмент (включително финансирането за оборотни средства и безвъзмездните помощи, ако е приложимо)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22 184 581,00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22 184 581,00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от финансов инструмент (включително финансирането за оборотни средства и безвъзмездните помощи, ако е приложимо)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10 894 264,00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10 894 264,00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от финансов инструмент (включително финансирането за оборотни средства и безвъзмездните помощи, ако е приложимо)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228 186 819,00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224 808 824,00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от финансов инструмент (включително финансирането за оборотни средства и безвъзмездните помощи, ако е приложимо)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3 377 995,00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11 858 207,00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11 858 207,00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от финансов инструмент (включително финансирането за оборотни средства и безвъзмездните помощи, ако е приложимо)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1 378 954,00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1 378 954,00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от финансов инструмент (включително финансирането за оборотни средства и безвъзмездните помощи, ако е приложимо)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1 172 757 783,00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1 167 704 043,00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Действия/операции, подпомогнати от финансов инструмент (включително финансирането за оборотни средства и безвъзмездните помощи, ако е приложимо)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5 053 740,00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1 648,00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финансов инструмент (брой договори, подписани с крайни получатели (или в полза на крайния получател чрез гаранция)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1 648,00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248,00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финансов инструмент (брой договори, подписани с крайни получатели (или в полза на крайния получател чрез гаранция)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248,00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291,00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9,00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финансов инструмент (брой договори, подписани с крайни получатели (или в полза на крайния получател чрез гаранция)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291,00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9,00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105,00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53,00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финансов инструмент (брой договори, подписани с крайни получатели (или в полза на крайния получател чрез гаранция)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105,00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53,00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84,00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19,00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финансов инструмент (брой договори, подписани с крайни получатели (или в полза на крайния получател чрез гаранция)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84,00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19,00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368,00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6,00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финансов инструмент (брой договори, подписани с крайни получатели (или в полза на крайния получател чрез гаранция)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368,00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53,00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11,00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финансов инструмент (брой договори, подписани с крайни получатели (или в полза на крайния получател чрез гаранция)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53,00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11,00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21,00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финансов инструмент (брой договори, подписани с крайни получатели (или в полза на крайния получател чрез гаранция)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21,00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2 818,00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98,00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с финансов инструмент (брой договори, подписани с крайни получатели (или в полза на крайния получател чрез гаранция)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с безвъзмездни помощи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2 818,00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98,00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1 648,00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крайни получатели, подпомогнати с финансов инструмент (подписали договор)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1 648,00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248,00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крайни получатели, подпомогнати с финансов инструмент (подписали договор)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248,00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крайни получатели, подпомогнати с финансов инструмент (подписали договор)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105,00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53,00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крайни получатели, подпомогнати с финансов инструмент (подписали договор)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105,00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53,00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84,00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19,00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крайни получатели, подпомогнати с финансов инструмент (подписали договор)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84,00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19,00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253,00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6,00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крайни получатели, подпомогнати с финансов инструмент (подписали договор)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253,00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17,00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крайни получатели, подпомогнати с финансов инструмент (подписали договор)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17,00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21,00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крайни получатели, подпомогнати с финансов инструмент (подписали договор)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21,00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2 376,00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78,00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Брой крайни получатели, подпомогнати с финансов инструмент (подписали договор)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с безвъзмездни помощи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2 376,00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78,00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229 388 486,00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58 213 950,00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14 050 132,00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3 203 673,00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7 810 610,00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2 397 177,00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68 018 342,00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368 027,00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1 334 293,00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685 071,00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379 500 884,00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5 968 877,00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1 648,00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248,00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105,00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53,00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84,00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19,00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253,00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17,00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21,00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2 376,00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78,00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1 648,00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248,00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105,00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53,00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84,00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19,00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253,00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17,00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21,00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2 376,00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78,00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M04.3;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O8 - Брой на подпомаганите животински единици (ЖЕ)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1 000,00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137 501 042,00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1 604 392,00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39 407 778,00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4 258 335,00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1 527 116,00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181 167 155,00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3 131 508,00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291,00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9,00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115,00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36,00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11,00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442,00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M04.4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M04.4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M04.4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M04.4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</w:tbl>
    <w:p>
      <w:r>
        <w:br w:type="page"/>
      </w:r>
      <w:r>
        <w:t xml:space="preserve">M05 Възстановяване на потенциала за селскостопанска продукция, претърпял щети в резултат на природни бедствия или катастрофични събития, и въвеждане на подходящи превантивни мерки (член 18)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8" w:type="dxa"/>
          <w:right w:w="108" w:type="dxa"/>
        </w:tblCellMar>
      </w:tblPr>
      <w:tblGrid>
        <w:gridCol w:w="884"/>
        <w:gridCol w:w="1065"/>
        <w:gridCol w:w="2441"/>
        <w:gridCol w:w="1786"/>
        <w:gridCol w:w="1109"/>
        <w:gridCol w:w="1011"/>
        <w:gridCol w:w="1265"/>
        <w:gridCol w:w="857"/>
      </w:tblGrid>
      <w:tr>
        <w:tblPrEx>
          <w:tblW w:w="5000" w:type="pc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Мярка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Подмярка </w:t>
            </w:r>
          </w:p>
        </w:tc>
        <w:tc>
          <w:tcPr>
            <w:tcW w:w="1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Показател</w:t>
            </w:r>
          </w:p>
        </w:tc>
        <w:tc>
          <w:tcPr>
            <w:tcW w:w="100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Размер 1</w:t>
            </w:r>
          </w:p>
        </w:tc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Приоритет</w:t>
            </w:r>
          </w:p>
        </w:tc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Област с поставен акцент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Б1: реализирано изпълнение (кумулативно за 2014-2023 г.)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right"/>
            </w:pPr>
            <w:r>
              <w:rPr>
                <w:b w:val="0"/>
                <w:sz w:val="16"/>
              </w:rPr>
              <w:t>от които по линия на EURI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4 907 061,62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4 907 061,62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4 907 061,62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4 907 061,62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9 228 254,71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9 228 254,71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от финансов инструмент (включително финансирането за оборотни средства и безвъзмездните помощи, ако е приложимо)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9 228 254,71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9 228 254,71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Действия/операции, подпомогнати от финансов инструмент (включително финансирането за оборотни средства и безвъзмездните помощи, ако е приложимо)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26,00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крайни получатели, подпомогнати с финансов инструмент (подписали договор)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26,00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26,00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Брой крайни получатели, подпомогнати с финансов инструмент (подписали договор)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с безвъзмездни помощи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26,00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M05.1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други (публични органи)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M05.1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земеделски стопани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M05.1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 xml:space="preserve">други (публични органи) 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24,00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M05.1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 xml:space="preserve">земеделски стопани 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M05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M05.2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други (публични органи) 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2,00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M05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M05.2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земеделски стопани 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M05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M05.2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 xml:space="preserve">други (публични органи) 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2,00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M05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M05.2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 xml:space="preserve">земеделски стопани 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</w:tbl>
    <w:p>
      <w:r>
        <w:br w:type="page"/>
      </w:r>
      <w:r>
        <w:t>M06 — Развитие на стопанства и предприятия (член 19)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8" w:type="dxa"/>
          <w:right w:w="108" w:type="dxa"/>
        </w:tblCellMar>
      </w:tblPr>
      <w:tblGrid>
        <w:gridCol w:w="884"/>
        <w:gridCol w:w="1065"/>
        <w:gridCol w:w="2441"/>
        <w:gridCol w:w="1786"/>
        <w:gridCol w:w="1109"/>
        <w:gridCol w:w="1011"/>
        <w:gridCol w:w="1265"/>
        <w:gridCol w:w="857"/>
      </w:tblGrid>
      <w:tr>
        <w:tblPrEx>
          <w:tblW w:w="5000" w:type="pc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Мярка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Подмярка </w:t>
            </w:r>
          </w:p>
        </w:tc>
        <w:tc>
          <w:tcPr>
            <w:tcW w:w="1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Показател</w:t>
            </w:r>
          </w:p>
        </w:tc>
        <w:tc>
          <w:tcPr>
            <w:tcW w:w="100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Размер 1</w:t>
            </w:r>
          </w:p>
        </w:tc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Приоритет</w:t>
            </w:r>
          </w:p>
        </w:tc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Област с поставен акцент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Б1: реализирано изпълнение (кумулативно за 2014-2023 г.)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right"/>
            </w:pPr>
            <w:r>
              <w:rPr>
                <w:b w:val="0"/>
                <w:sz w:val="16"/>
              </w:rPr>
              <w:t>от които по линия на EURI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74 200 722,00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74 200 722,00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73 083 775,00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73 083 775,00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14 264 956,87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14 264 956,87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161 549 453,87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161 549 453,87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74 200 722,00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74 200 722,00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от финансов инструмент (включително финансирането за оборотни средства и безвъзмездните помощи, ако е приложимо)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73 083 775,00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73 083 775,00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от финансов инструмент (включително финансирането за оборотни средства и безвъзмездните помощи, ако е приложимо)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от финансов инструмент (включително финансирането за оборотни средства и безвъзмездните помощи, ако е приложимо)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28 939 013,00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28 939 013,00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от финансов инструмент (включително финансирането за оборотни средства и безвъзмездните помощи, ако е приложимо)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176 223 510,00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176 223 510,00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Действия/операции, подпомогнати от финансов инструмент (включително финансирането за оборотни средства и безвъзмездните помощи, ако е приложимо)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8 281,00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8 281,00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от финансов инструмент (включително финансирането за оборотни средства и безвъзмездните помощи, ако е приложимо)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3 690,00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3 690,00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от финансов инструмент (включително финансирането за оборотни средства и безвъзмездните помощи, ако е приложимо)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от финансов инструмент (включително финансирането за оборотни средства и безвъзмездните помощи, ако е приложимо)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108,00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108,00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от финансов инструмент (включително финансирането за оборотни средства и безвъзмездните помощи, ако е приложимо)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12 079,00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12 079,00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Действия/операции, подпомогнати от финансов инструмент (включително финансирането за оборотни средства и безвъзмездните помощи, ако е приложимо)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8 281,00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крайни получатели, подпомогнати с финансов инструмент (подписали договор)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8 281,00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3 690,00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крайни получатели, подпомогнати с финансов инструмент (подписали договор)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3 690,00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крайни получатели, подпомогнати с финансов инструмент (подписали договор)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108,00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крайни получатели, подпомогнати с финансов инструмент (подписали договор)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108,00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12 079,00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Брой крайни получатели, подпомогнати с финансов инструмент (подписали договор)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с безвъзмездни помощи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12 079,00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73 083 775,00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73 083 775,00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3 690,00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3 690,00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74 200 722,00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74 200 722,00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8 281,00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8 281,00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14 264 956,87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14 264 956,87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108,00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108,00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M06.5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M06.5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M06.5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M06.5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</w:tbl>
    <w:p>
      <w:r>
        <w:br w:type="page"/>
      </w:r>
      <w:r>
        <w:t>М07 — Основни услуги и обновяване на селата в селските райони (член 20)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8" w:type="dxa"/>
          <w:right w:w="108" w:type="dxa"/>
        </w:tblCellMar>
      </w:tblPr>
      <w:tblGrid>
        <w:gridCol w:w="908"/>
        <w:gridCol w:w="1083"/>
        <w:gridCol w:w="2139"/>
        <w:gridCol w:w="1974"/>
        <w:gridCol w:w="1126"/>
        <w:gridCol w:w="1031"/>
        <w:gridCol w:w="1276"/>
        <w:gridCol w:w="883"/>
      </w:tblGrid>
      <w:tr>
        <w:tblPrEx>
          <w:tblW w:w="5000" w:type="pc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Мярка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Подмярка </w:t>
            </w:r>
          </w:p>
        </w:tc>
        <w:tc>
          <w:tcPr>
            <w:tcW w:w="1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Показател</w:t>
            </w:r>
          </w:p>
        </w:tc>
        <w:tc>
          <w:tcPr>
            <w:tcW w:w="100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Размер 1</w:t>
            </w:r>
          </w:p>
        </w:tc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Приоритет</w:t>
            </w:r>
          </w:p>
        </w:tc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Област с поставен акцент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Б1: реализирано изпълнение (кумулативно за 2014-2023 г.)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right"/>
            </w:pPr>
            <w:r>
              <w:rPr>
                <w:b w:val="0"/>
                <w:sz w:val="16"/>
              </w:rPr>
              <w:t>от които по линия на EURI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451 560,00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451 560,00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540 342 425,00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540 342 425,00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6C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540 793 985,00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540 793 985,00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451 560,00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451 560,00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от финансов инструмент (включително финансирането за оборотни средства и безвъзмездните помощи, ако е приложимо)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552 715 372,00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552 715 372,00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от финансов инструмент (включително финансирането за оборотни средства и безвъзмездните помощи, ако е приложимо)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6C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от финансов инструмент (включително финансирането за оборотни средства и безвъзмездните помощи, ако е приложимо)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553 166 932,00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553 166 932,00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Действия/операции, подпомогнати от финансов инструмент (включително финансирането за оборотни средства и безвъзмездните помощи, ако е приложимо)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5,00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финансов инструмент (брой договори, подписани с крайни получатели (или в полза на крайния получател чрез гаранция)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758,00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финансов инструмент (брой договори, подписани с крайни получатели (или в полза на крайния получател чрез гаранция)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758,00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6C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финансов инструмент (брой договори, подписани с крайни получатели (или в полза на крайния получател чрез гаранция)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763,00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с финансов инструмент (брой договори, подписани с крайни получатели (или в полза на крайния получател чрез гаранция)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с безвъзмездни помощи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763,00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M07.1; M07.6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M07.1; M07.6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31 539 133,00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M07.1; M07.6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M07.1; M07.6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31 539 133,00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за развитие на селата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Планове за управление за обекти по „Натура 2000“ и райони с висока природна стойност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за развитие на селата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Планове за управление за обекти по „Натура 2000“ и райони с висока природна стойност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за развитие на селата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Планове за управление за обекти по „Натура 2000“ и райони с висока природна стойност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M07.1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за развитие на селата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M07.1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 xml:space="preserve">Планове за управление за обекти по „Натура 2000“ и райони с висока природна стойност 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M07.1; M07.2; M07.4; M07.5; M07.6; M07.7; M07.8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O15 - Брой на жителите, които се ползват от подобрени услуги/инфраструктура (ИТ или други)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79 104,00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M07.1; M07.2; M07.4; M07.5; M07.6; M07.7; M07.8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O15 - Брой на жителите, които се ползват от подобрени услуги/инфраструктура (ИТ или други)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4 592 423,00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M07.1; M07.2; M07.4; M07.5; M07.6; M07.7; M07.8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O15 - Брой на жителите, които се ползват от подобрени услуги/инфраструктура (ИТ или други)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M07.1; M07.2; M07.4; M07.5; M07.6; M07.7; M07.8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O15 - Брой на жителите, които се ползват от подобрени услуги/инфраструктура (ИТ или други)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4 671 527,00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M07.2; M07.3; M07.4; M07.5; M07.6; M07.7; M07.8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451 560,00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M07.2; M07.3; M07.4; M07.5; M07.6; M07.7; M07.8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552 715 372,00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M07.2; M07.3; M07.4; M07.5; M07.6; M07.7; M07.8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M07.2; M07.3; M07.4; M07.5; M07.6; M07.7; M07.8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553 166 932,00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659,00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M07.2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664,00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Широколентов достъп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Различни от широколентов достъп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Широколентов достъп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Различни от широколентов достъп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Широколентов достъп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Различни от широколентов достъп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M07.3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Широколентов достъп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M07.3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Различни от широколентов достъп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Инфраструктура за ИКТ Високоскоростна широколентова мрежа (абонатен достъп/абонатна линия; &gt;/= 30 Mbps) 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Инфраструктура за ИКТ  Свръхвисокоскоростна широколентова мрежа (абонатен достъп/абонатна линия; &gt;/= 100 Mbps) 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ИКТ: Други видове инфраструктура за ИКТ (пасивна, информационен център...)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Услуги за електронно правителство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Инфраструктура за ИКТ Високоскоростна широколентова мрежа (абонатен достъп/абонатна линия; &gt;/= 30 Mbps) 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Инфраструктура за ИКТ  Свръхвисокоскоростна широколентова мрежа (абонатен достъп/абонатна линия; &gt;/= 100 Mbps) 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ИКТ: Други видове инфраструктура за ИКТ (пасивна, информационен център...)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Услуги за електронно правителство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Инфраструктура за ИКТ Високоскоростна широколентова мрежа (абонатен достъп/абонатна линия; &gt;/= 30 Mbps) 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Инфраструктура за ИКТ  Свръхвисокоскоростна широколентова мрежа (абонатен достъп/абонатна линия; &gt;/= 100 Mbps) 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ИКТ: Други видове инфраструктура за ИКТ (пасивна, информационен център...)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Услуги за електронно правителство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M07.3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 xml:space="preserve">Инфраструктура за ИКТ Високоскоростна широколентова мрежа (абонатен достъп/абонатна линия; &gt;/= 30 Mbps)  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M07.3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Инфраструктура за ИКТ  Свръхвисокоскоростна широколентова мрежа (абонатен достъп/абонатна линия; &gt;/= 100 Mbps) 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M07.3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ИКТ: Други видове инфраструктура за ИКТ (пасивна, информационен център...)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M07.3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Услуги за електронно правителство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O15 - Брой на жителите, които се ползват от подобрени услуги/инфраструктура (ИТ или други)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Широколентов достъп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O15 - Брой на жителите, които се ползват от подобрени услуги/инфраструктура (ИТ или други)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Различни от широколентов достъп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O15 - Брой на жителите, които се ползват от подобрени услуги/инфраструктура (ИТ или други)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Широколентов достъп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O15 - Брой на жителите, които се ползват от подобрени услуги/инфраструктура (ИТ или други)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Различни от широколентов достъп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O15 - Брой на жителите, които се ползват от подобрени услуги/инфраструктура (ИТ или други)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Широколентов достъп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O15 - Брой на жителите, които се ползват от подобрени услуги/инфраструктура (ИТ или други)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Различни от широколентов достъп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M07.3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O15 - Брой на жителите, които се ползват от подобрени услуги/инфраструктура (ИТ или други)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Широколентов достъп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M07.3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O15 - Брой на жителите, които се ползват от подобрени услуги/инфраструктура (ИТ или други)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Различни от широколентов достъп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M07.4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M07.5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99,00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M07.6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99,00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M07.7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M07.8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M07.8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M07.8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6C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M07.8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</w:tbl>
    <w:p>
      <w:r>
        <w:br w:type="page"/>
      </w:r>
      <w:r>
        <w:t>М08 — Инвестиции в развитие на горските райони и подобряване на жизнеспособността на горите (членове 21 — 26)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8" w:type="dxa"/>
          <w:right w:w="108" w:type="dxa"/>
        </w:tblCellMar>
      </w:tblPr>
      <w:tblGrid>
        <w:gridCol w:w="884"/>
        <w:gridCol w:w="1065"/>
        <w:gridCol w:w="2441"/>
        <w:gridCol w:w="1786"/>
        <w:gridCol w:w="1109"/>
        <w:gridCol w:w="1011"/>
        <w:gridCol w:w="1265"/>
        <w:gridCol w:w="857"/>
      </w:tblGrid>
      <w:tr>
        <w:tblPrEx>
          <w:tblW w:w="5000" w:type="pc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Мярка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Подмярка </w:t>
            </w:r>
          </w:p>
        </w:tc>
        <w:tc>
          <w:tcPr>
            <w:tcW w:w="1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Показател</w:t>
            </w:r>
          </w:p>
        </w:tc>
        <w:tc>
          <w:tcPr>
            <w:tcW w:w="100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Размер 1</w:t>
            </w:r>
          </w:p>
        </w:tc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Приоритет</w:t>
            </w:r>
          </w:p>
        </w:tc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Област с поставен акцент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Б1: реализирано изпълнение (кумулативно за 2014-2023 г.)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right"/>
            </w:pPr>
            <w:r>
              <w:rPr>
                <w:b w:val="0"/>
                <w:sz w:val="16"/>
              </w:rPr>
              <w:t>от които по линия на EURI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9 938 226,28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9 938 226,28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1 681 533,00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1 681 533,00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3 757 178,20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3 757 178,20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15 376 937,48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15 376 937,48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10 001 817,05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10 001 817,05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от финансов инструмент (включително финансирането за оборотни средства и безвъзмездните помощи, ако е приложимо)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2 117 077,00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2 117 077,00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от финансов инструмент (включително финансирането за оборотни средства и безвъзмездните помощи, ако е приложимо)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8 090 069,52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8 090 069,52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от финансов инструмент (включително финансирането за оборотни средства и безвъзмездните помощи, ако е приложимо)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20 208 963,57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20 208 963,57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Действия/операции, подпомогнати от финансов инструмент (включително финансирането за оборотни средства и безвъзмездните помощи, ако е приложимо)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14,00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финансов инструмент (брой договори, подписани с крайни получатели (или в полза на крайния получател чрез гаранция)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22,00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финансов инструмент (брой договори, подписани с крайни получатели (или в полза на крайния получател чрез гаранция)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22,00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финансов инструмент (брой договори, подписани с крайни получатели (или в полза на крайния получател чрез гаранция)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20,00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56,00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с финансов инструмент (брой договори, подписани с крайни получатели (или в полза на крайния получател чрез гаранция)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с безвъзмездни помощи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56,00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14,00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крайни получатели, подпомогнати с финансов инструмент (подписали договор)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22,00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крайни получатели, подпомогнати с финансов инструмент (подписали договор)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22,00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крайни получатели, подпомогнати с финансов инструмент (подписали договор)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20,00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56,00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Брой крайни получатели, подпомогнати с финансов инструмент (подписали договор)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с безвъзмездни помощи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56,00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само за установяване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само за установяване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607 181,00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само за установяване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M08.1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само за установяване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607 181,00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само за установяване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само за установяване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само за установяване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M08.1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само за установяване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само за установяване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само за установяване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само за установяване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M08.1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само за установяване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само за установяване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само за установяване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само за установяване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M08.2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само за установяване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само за установяване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само за установяване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само за установяване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M08.2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само за установяване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само за установяване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само за установяване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само за установяване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M08.2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само за установяване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1 068 122,37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M08.4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1 068 122,37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M08.4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4,00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4 885,18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M08.4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4 885,18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M08.5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M08.5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M08.5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M08.5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3 757 178,20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M08.6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3 757 178,20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8 090 069,52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M08.6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8 090 069,52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20,00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M08.6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20,00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</w:tbl>
    <w:p>
      <w:r>
        <w:br w:type="page"/>
      </w:r>
      <w:r>
        <w:t>M16 — Сътрудничество (член 35)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8" w:type="dxa"/>
          <w:right w:w="108" w:type="dxa"/>
        </w:tblCellMar>
      </w:tblPr>
      <w:tblGrid>
        <w:gridCol w:w="681"/>
        <w:gridCol w:w="917"/>
        <w:gridCol w:w="1416"/>
        <w:gridCol w:w="711"/>
        <w:gridCol w:w="1416"/>
        <w:gridCol w:w="1882"/>
        <w:gridCol w:w="974"/>
        <w:gridCol w:w="846"/>
        <w:gridCol w:w="1176"/>
        <w:gridCol w:w="646"/>
      </w:tblGrid>
      <w:tr>
        <w:tblPrEx>
          <w:tblW w:w="5000" w:type="pc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Мярка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Подмярка </w:t>
            </w:r>
          </w:p>
        </w:tc>
        <w:tc>
          <w:tcPr>
            <w:tcW w:w="1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Показател</w:t>
            </w:r>
          </w:p>
        </w:tc>
        <w:tc>
          <w:tcPr>
            <w:tcW w:w="100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Размер 1</w:t>
            </w:r>
          </w:p>
        </w:tc>
        <w:tc>
          <w:tcPr>
            <w:tcW w:w="100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Размер 2</w:t>
            </w:r>
          </w:p>
        </w:tc>
        <w:tc>
          <w:tcPr>
            <w:tcW w:w="100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Размер 3</w:t>
            </w:r>
          </w:p>
        </w:tc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Приоритет</w:t>
            </w:r>
          </w:p>
        </w:tc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Област с поставен акцент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Б1: реализирано изпълнение (кумулативно за 2014-2023 г.)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right"/>
            </w:pPr>
            <w:r>
              <w:rPr>
                <w:b w:val="0"/>
                <w:sz w:val="16"/>
              </w:rPr>
              <w:t>от които по линия на EURI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989 505,92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271 575,98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797 346,48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133 164,61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71 315,28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268 807,01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145 139,60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ЕПИ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2 676 854,88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ЕПИ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O16 - Брой на подпомогнатите оперативни групи в рамките на ЕПИ, брой подпомогнати операции по ЕПИ и брой и вид на партньорите в групите по ЕПИ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на подпомогнатите операции за сътрудничество в рамките на ЕПИ (напр. пилотни проекти, разработване на продукти...)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O16 - Брой на подпомогнатите оперативни групи в рамките на ЕПИ, брой подпомогнати операции по ЕПИ и брой и вид на партньорите в групите по ЕПИ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O16 - Брой на подпомогнатите оперативни групи в рамките на ЕПИ, брой подпомогнати операции по ЕПИ и брой и вид на партньорите в групите по ЕПИ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на подпомогнатите операции за сътрудничество в рамките на ЕПИ (напр. пилотни проекти, разработване на продукти...)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O16 - Брой на подпомогнатите оперативни групи в рамките на ЕПИ, брой подпомогнати операции по ЕПИ и брой и вид на партньорите в групите по ЕПИ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O16 - Брой на подпомогнатите оперативни групи в рамките на ЕПИ, брой подпомогнати операции по ЕПИ и брой и вид на партньорите в групите по ЕПИ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на подпомогнатите операции за сътрудничество в рамките на ЕПИ (напр. пилотни проекти, разработване на продукти...)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O16 - Брой на подпомогнатите оперативни групи в рамките на ЕПИ, брой подпомогнати операции по ЕПИ и брой и вид на партньорите в групите по ЕПИ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O16 - Брой на подпомогнатите оперативни групи в рамките на ЕПИ, брой подпомогнати операции по ЕПИ и брой и вид на партньорите в групите по ЕПИ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на подпомогнатите операции за сътрудничество в рамките на ЕПИ (напр. пилотни проекти, разработване на продукти...)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O16 - Брой на подпомогнатите оперативни групи в рамките на ЕПИ, брой подпомогнати операции по ЕПИ и брой и вид на партньорите в групите по ЕПИ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O16 - Брой на подпомогнатите оперативни групи в рамките на ЕПИ, брой подпомогнати операции по ЕПИ и брой и вид на партньорите в групите по ЕПИ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на подпомогнатите операции за сътрудничество в рамките на ЕПИ (напр. пилотни проекти, разработване на продукти...)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O16 - Брой на подпомогнатите оперативни групи в рамките на ЕПИ, брой подпомогнати операции по ЕПИ и брой и вид на партньорите в групите по ЕПИ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O16 - Брой на подпомогнатите оперативни групи в рамките на ЕПИ, брой подпомогнати операции по ЕПИ и брой и вид на партньорите в групите по ЕПИ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на подпомогнатите операции за сътрудничество в рамките на ЕПИ (напр. пилотни проекти, разработване на продукти...)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O16 - Брой на подпомогнатите оперативни групи в рамките на ЕПИ, брой подпомогнати операции по ЕПИ и брой и вид на партньорите в групите по ЕПИ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O16 - Брой на подпомогнатите оперативни групи в рамките на ЕПИ, брой подпомогнати операции по ЕПИ и брой и вид на партньорите в групите по ЕПИ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на подпомогнатите операции за сътрудничество в рамките на ЕПИ (напр. пилотни проекти, разработване на продукти...)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O16 - Брой на подпомогнатите оперативни групи в рамките на ЕПИ, брой подпомогнати операции по ЕПИ и брой и вид на партньорите в групите по ЕПИ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O16 - Брой на подпомогнатите оперативни групи в рамките на ЕПИ, брой подпомогнати операции по ЕПИ и брой и вид на партньорите в групите по ЕПИ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на подпомогнатите операции за сътрудничество в рамките на ЕПИ (напр. пилотни проекти, разработване на продукти...)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O16 - Брой на подпомогнатите оперативни групи в рамките на ЕПИ, брой подпомогнати операции по ЕПИ и брой и вид на партньорите в групите по ЕПИ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O16 - Брой на подпомогнатите оперативни групи в рамките на ЕПИ, брой подпомогнати операции по ЕПИ и брой и вид на партньорите в групите по ЕПИ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на партньорите в групите в рамките на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други (други публични органи...)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O16 - Брой на подпомогнатите оперативни групи в рамките на ЕПИ, брой подпомогнати операции по ЕПИ и брой и вид на партньорите в групите по ЕПИ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на партньорите в групите в рамките на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НПО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O16 - Брой на подпомогнатите оперативни групи в рамките на ЕПИ, брой подпомогнати операции по ЕПИ и брой и вид на партньорите в групите по ЕПИ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на партньорите в групите в рамките на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Консултанти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O16 - Брой на подпомогнатите оперативни групи в рамките на ЕПИ, брой подпомогнати операции по ЕПИ и брой и вид на партньорите в групите по ЕПИ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на партньорите в групите в рамките на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земеделски стопани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77,00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O16 - Брой на подпомогнатите оперативни групи в рамките на ЕПИ, брой подпомогнати операции по ЕПИ и брой и вид на партньорите в групите по ЕПИ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на партньорите в групите в рамките на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Научноизследователски институти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17,00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O16 - Брой на подпомогнатите оперативни групи в рамките на ЕПИ, брой подпомогнати операции по ЕПИ и брой и вид на партньорите в групите по ЕПИ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на партньорите в групите в рамките на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МСП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O16 - Брой на подпомогнатите оперативни групи в рамките на ЕПИ, брой подпомогнати операции по ЕПИ и брой и вид на партньорите в групите по ЕПИ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на подпомогнатите оперативни групи в рамките на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 xml:space="preserve">O16 - Брой на подпомогнатите оперативни групи в рамките на ЕПИ, брой подпомогнати операции по ЕПИ и брой и вид на партньорите в групите по ЕПИ 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ЕПИ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Брой на подпомогнатите операции за сътрудничество в рамките на ЕПИ (напр. пилотни проекти, разработване на продукти...)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38,00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 xml:space="preserve">O16 - Брой на подпомогнатите оперативни групи в рамките на ЕПИ, брой подпомогнати операции по ЕПИ и брой и вид на партньорите в групите по ЕПИ 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ЕПИ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с финансов инструмент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с финансов инструмент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M16.0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M16.2; M16.3; M16.4; M16.5; M16.6; M16.7; M16.8; M16.9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M16.2; M16.3; M16.4; M16.5; M16.6; M16.7; M16.8; M16.9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M16.2; M16.3; M16.4; M16.5; M16.6; M16.7; M16.8; M16.9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M16.2; M16.3; M16.4; M16.5; M16.6; M16.7; M16.8; M16.9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M16.2; M16.3; M16.4; M16.5; M16.6; M16.7; M16.8; M16.9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M16.2; M16.3; M16.4; M16.5; M16.6; M16.7; M16.8; M16.9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M16.2; M16.3; M16.4; M16.5; M16.6; M16.7; M16.8; M16.9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M16.2; M16.3; M16.4; M16.5; M16.6; M16.7; M16.8; M16.9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M16.2; M16.3; M16.4; M16.5; M16.6; M16.7; M16.8; M16.9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M16.2; M16.3; M16.4; M16.5; M16.6; M16.7; M16.8; M16.9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M16.2; M16.3; M16.4; M16.5; M16.6; M16.7; M16.8; M16.9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M16.2; M16.3; M16.4; M16.5; M16.6; M16.7; M16.8; M16.9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M16.2; M16.3; M16.4; M16.5; M16.6; M16.7; M16.8; M16.9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M16.2; M16.3; M16.4; M16.5; M16.6; M16.7; M16.8; M16.9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M16.2; M16.3; M16.4; M16.5; M16.6; M16.7; M16.8; M16.9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M16.2; M16.3; M16.4; M16.5; M16.6; M16.7; M16.8; M16.9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M16.2; M16.3; M16.4; M16.5; M16.6; M16.7; M16.8; M16.9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M16.2; M16.3; M16.4; M16.5; M16.6; M16.7; M16.8; M16.9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M16.2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M16.3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O9 - Брой земеделски стопанства, които участват в подпомаганите схеми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M16.4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M16.5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M16.5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M16.6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M16.7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M16.8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M16.9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M16.9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M16.9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извън ЕПИ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M16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M16.9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извън ЕПИ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</w:tbl>
    <w:p>
      <w:r>
        <w:br w:type="page"/>
      </w:r>
      <w:r>
        <w:t>М21 — Извънредно временно подпомагане за земеделските стопани и МСП, които са особено засегнати от извънредното положение във връзка с COVID-19 (член 39, буква б)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8" w:type="dxa"/>
          <w:right w:w="108" w:type="dxa"/>
        </w:tblCellMar>
      </w:tblPr>
      <w:tblGrid>
        <w:gridCol w:w="949"/>
        <w:gridCol w:w="1113"/>
        <w:gridCol w:w="2457"/>
        <w:gridCol w:w="1467"/>
        <w:gridCol w:w="1153"/>
        <w:gridCol w:w="1064"/>
        <w:gridCol w:w="1293"/>
        <w:gridCol w:w="925"/>
      </w:tblGrid>
      <w:tr>
        <w:tblPrEx>
          <w:tblW w:w="5000" w:type="pc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Мярка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Подмярка </w:t>
            </w:r>
          </w:p>
        </w:tc>
        <w:tc>
          <w:tcPr>
            <w:tcW w:w="1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Показател</w:t>
            </w:r>
          </w:p>
        </w:tc>
        <w:tc>
          <w:tcPr>
            <w:tcW w:w="100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Размер 1</w:t>
            </w:r>
          </w:p>
        </w:tc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Приоритет</w:t>
            </w:r>
          </w:p>
        </w:tc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Област с поставен акцент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Б1: реализирано изпълнение (кумулативно за 2014-2023 г.)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right"/>
            </w:pPr>
            <w:r>
              <w:rPr>
                <w:b w:val="0"/>
                <w:sz w:val="16"/>
              </w:rPr>
              <w:t>от които по линия на EURI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подкрепа за земеделските стопани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38 235 323,00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подкрепа за МСП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подкрепа за земеделските стопани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подкрепа за МСП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3 880 358,00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M21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42 115 681,00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M21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подкрепа за земеделските стопани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38 235 323,00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M21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подкрепа за МСП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3 880 358,00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подкрепа за земеделските стопани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31 460,00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подкрепа за МСП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подкрепа за земеделските стопани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M21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подкрепа за МСП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187,00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M21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31 647,00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M21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подкрепа за земеделските стопани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31 460,00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M21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подкрепа за МСП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187,00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</w:tbl>
    <w:p>
      <w:r>
        <w:br w:type="page"/>
      </w:r>
      <w:r>
        <w:t>M22 — Извънредна временна подкрепа за земеделските стопани и МСП, които са особено засегнати от последиците от нахлуването на Русия в Украйна (член 39г)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8" w:type="dxa"/>
          <w:right w:w="108" w:type="dxa"/>
        </w:tblCellMar>
      </w:tblPr>
      <w:tblGrid>
        <w:gridCol w:w="949"/>
        <w:gridCol w:w="1113"/>
        <w:gridCol w:w="2457"/>
        <w:gridCol w:w="1467"/>
        <w:gridCol w:w="1153"/>
        <w:gridCol w:w="1064"/>
        <w:gridCol w:w="1293"/>
        <w:gridCol w:w="925"/>
      </w:tblGrid>
      <w:tr>
        <w:tblPrEx>
          <w:tblW w:w="5000" w:type="pc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Мярка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Подмярка </w:t>
            </w:r>
          </w:p>
        </w:tc>
        <w:tc>
          <w:tcPr>
            <w:tcW w:w="1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Показател</w:t>
            </w:r>
          </w:p>
        </w:tc>
        <w:tc>
          <w:tcPr>
            <w:tcW w:w="100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Размер 1</w:t>
            </w:r>
          </w:p>
        </w:tc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Приоритет</w:t>
            </w:r>
          </w:p>
        </w:tc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Област с поставен акцент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Б1: реализирано изпълнение (кумулативно за 2014-2023 г.)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right"/>
            </w:pPr>
            <w:r>
              <w:rPr>
                <w:b w:val="0"/>
                <w:sz w:val="16"/>
              </w:rPr>
              <w:t>от които по линия на EURI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подкрепа за земеделските стопани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29 856 952,00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подкрепа за МСП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подкрепа за земеделските стопани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подкрепа за МСП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1 999 040,00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M22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31 855 992,00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M22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подкрепа за земеделските стопани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29 856 952,00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M22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подкрепа за МСП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1 999 040,00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подкрепа за земеделските стопани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36 834,00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подкрепа за МСП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подкрепа за земеделските стопани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M22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подкрепа за МСП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46,00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M22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36 880,00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M22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подкрепа за земеделските стопани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36 834,00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M22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подкрепа за МСП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46,00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</w:tbl>
    <w:p>
      <w:r>
        <w:br w:type="page"/>
      </w:r>
      <w:r>
        <w:t>Таблица Б2.1: Реализирани резултати в рамките на LEADER (годишен доклад за изпълнението) — КУМУЛАТИВНИ ДАННИ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8" w:type="dxa"/>
          <w:right w:w="108" w:type="dxa"/>
        </w:tblCellMar>
      </w:tblPr>
      <w:tblGrid>
        <w:gridCol w:w="1014"/>
        <w:gridCol w:w="1823"/>
        <w:gridCol w:w="1161"/>
        <w:gridCol w:w="1795"/>
        <w:gridCol w:w="1196"/>
        <w:gridCol w:w="1117"/>
        <w:gridCol w:w="1322"/>
        <w:gridCol w:w="993"/>
      </w:tblGrid>
      <w:tr>
        <w:tblPrEx>
          <w:tblW w:w="5000" w:type="pc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Мярка</w:t>
            </w:r>
          </w:p>
        </w:tc>
        <w:tc>
          <w:tcPr>
            <w:tcW w:w="1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Показател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Подмярка </w:t>
            </w:r>
          </w:p>
        </w:tc>
        <w:tc>
          <w:tcPr>
            <w:tcW w:w="100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Размер 1</w:t>
            </w:r>
          </w:p>
        </w:tc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Приоритет</w:t>
            </w:r>
          </w:p>
        </w:tc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Област с поставен акцент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Реализирано изпълнение (кумулативно за 2014-2023 г.)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right"/>
            </w:pPr>
            <w:r>
              <w:rPr>
                <w:b w:val="0"/>
                <w:sz w:val="16"/>
              </w:rPr>
              <w:t>от които по линия на EURI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подкрепа за стратегии за местно развитие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3 750 035,00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Стартов пакет в рамките на LEADER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438 036,00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(въз основа на акцентираната област (4А), за която проектът допринася най-много)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49 980,00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(въз основа на акцентираната област (2А), за която проектът допринася най-много)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7 205 068,00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(въз основа на акцентираната област (5В), за която проектът допринася най-много)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216 457,00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(въз основа на акцентираната област (1А), за която проектът допринася най-много)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1 232 648,00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(въз основа на акцентираната област (3А), за която проектът допринася най-много)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1 066 662,00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(въз основа на акцентираната област (5Д), за която проектът допринася най-много)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49 995,00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(въз основа на акцентираната област (5А), за която проектът допринася най-много)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(въз основа на акцентираната област (6В), за която проектът допринася най-много)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153 678,00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(въз основа на акцентираната област (6Б), за която проектът допринася най-много)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21 362 509,00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(въз основа на акцентираната област (4Б), за която проектът допринася най-много)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(въз основа на акцентираната област (6Г), за която проектът допринася най-много)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(въз основа на акцентираната област (2Б), за която проектът допринася най-много)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128 253,00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(въз основа на акцентираната област (6А), за която проектът допринася най-много)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3 844 119,00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(въз основа на акцентираната област (4В), за която проектът допринася най-много)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(въз основа на акцентираната област (1Б), за която проектът допринася най-много)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491 911,00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(въз основа на акцентираната област (5Б), за която проектът допринася най-много)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197 423,00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(въз основа на акцентираната област (5Г), за която проектът допринася най-много)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(въз основа на акцентираната област (1В), за която проектът допринася най-много)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12 923,00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(въз основа на акцентираната област (3Б), за която проектът допринася най-много)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техническа помощ за подготвителни дейности за сътрудничество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436 065,00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подкрепа за транснационално сътрудничество (проекти)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1 076 125,00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подкрепа за междутериториално сътрудничество (проекти)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615 694,00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подкрепа за стимулиране на интерес в рамките на стратегиите за местно развитие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5 797 746,00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подкрепа за текущите разходи в рамките на стратегиите за местно развитие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23 190 986,00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O18 - Брой на жителите, обхванати от местните групи за действие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1 646 588,00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O19 - Брой на избраните местни групи за действие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O19 - Брой на избраните местни групи за действие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многофондови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39,00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O20 - Брой на подпомогнатите проекти в рамките на LEADER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O20 - Брой на подпомогнатите проекти в рамките на LEADER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(въз основа на акцентираната област (4А), за която проектът допринася най-много)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O20 - Брой на подпомогнатите проекти в рамките на LEADER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(въз основа на акцентираната област (2А), за която проектът допринася най-много)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214,00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O20 - Брой на подпомогнатите проекти в рамките на LEADER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(въз основа на акцентираната област (5В), за която проектът допринася най-много)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O20 - Брой на подпомогнатите проекти в рамките на LEADER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(въз основа на акцентираната област (1А), за която проектът допринася най-много)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O20 - Брой на подпомогнатите проекти в рамките на LEADER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(въз основа на акцентираната област (3А), за която проектът допринася най-много)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30,00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O20 - Брой на подпомогнатите проекти в рамките на LEADER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(въз основа на акцентираната област (5Д), за която проектът допринася най-много)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O20 - Брой на подпомогнатите проекти в рамките на LEADER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(въз основа на акцентираната област (5А), за която проектът допринася най-много)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O20 - Брой на подпомогнатите проекти в рамките на LEADER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(въз основа на акцентираната област (6В), за която проектът допринася най-много)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O20 - Брой на подпомогнатите проекти в рамките на LEADER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(въз основа на акцентираната област (6Б), за която проектът допринася най-много)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431,00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O20 - Брой на подпомогнатите проекти в рамките на LEADER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(въз основа на акцентираната област (4Б), за която проектът допринася най-много)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O20 - Брой на подпомогнатите проекти в рамките на LEADER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(въз основа на акцентираната област (6Г), за която проектът допринася най-много)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O20 - Брой на подпомогнатите проекти в рамките на LEADER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(въз основа на акцентираната област (2Б), за която проектът допринася най-много)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O20 - Брой на подпомогнатите проекти в рамките на LEADER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(въз основа на акцентираната област (6А), за която проектът допринася най-много)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90,00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O20 - Брой на подпомогнатите проекти в рамките на LEADER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(въз основа на акцентираната област (4В), за която проектът допринася най-много)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O20 - Брой на подпомогнатите проекти в рамките на LEADER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(въз основа на акцентираната област (1Б), за която проектът допринася най-много)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10,00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O20 - Брой на подпомогнатите проекти в рамките на LEADER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(въз основа на акцентираната област (5Б), за която проектът допринася най-много)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O20 - Брой на подпомогнатите проекти в рамките на LEADER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(въз основа на акцентираната област (5Г), за която проектът допринася най-много)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O20 - Брой на подпомогнатите проекти в рамките на LEADER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(въз основа на акцентираната област (1В), за която проектът допринася най-много)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O20 - Брой на подпомогнатите проекти в рамките на LEADER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(въз основа на акцентираната област (3Б), за която проектът допринася най-много)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O21 - Брой на подпомогнатите проекти за сътрудничество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транснационално сътрудничество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O21 - Брой на подпомогнатите проекти за сътрудничество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междутериториално сътрудничество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10,00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O21 - Брой на подпомогнатите проекти за сътрудничество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O22 - Брой и вид на организаторите на проектите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Публични институции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237,00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O22 - Брой и вид на организаторите на проектите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Местни групи за действие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O22 - Брой и вид на организаторите на проектите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НПО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95,00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O22 - Брой и вид на организаторите на проектите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МСП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342,00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O22 - Брой и вид на организаторите на проектите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други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153,00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O23 - Единен номер на местните групи за действие, участващи в проект за сътрудничество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транснационално сътрудничество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O23 - Единен номер на местните групи за действие, участващи в проект за сътрудничество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междутериториално сътрудничество 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</w:tbl>
    <w:p>
      <w:r>
        <w:br w:type="page"/>
      </w:r>
      <w:r>
        <w:t>Таблица Б2.2: Данни в рамките на LEADER за наблюдение на приноса за областите с поставен акцент — КУМУЛАТИВНИ ДАННИ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8" w:type="dxa"/>
          <w:right w:w="108" w:type="dxa"/>
        </w:tblCellMar>
      </w:tblPr>
      <w:tblGrid>
        <w:gridCol w:w="1152"/>
        <w:gridCol w:w="1288"/>
        <w:gridCol w:w="1229"/>
        <w:gridCol w:w="2506"/>
        <w:gridCol w:w="1862"/>
        <w:gridCol w:w="1247"/>
        <w:gridCol w:w="1136"/>
      </w:tblGrid>
      <w:tr>
        <w:tblPrEx>
          <w:tblW w:w="5000" w:type="pc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Мярка</w:t>
            </w:r>
          </w:p>
        </w:tc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Приоритет</w:t>
            </w:r>
          </w:p>
        </w:tc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Област с поставен акцент</w:t>
            </w:r>
          </w:p>
        </w:tc>
        <w:tc>
          <w:tcPr>
            <w:tcW w:w="1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Показател</w:t>
            </w:r>
          </w:p>
        </w:tc>
        <w:tc>
          <w:tcPr>
            <w:tcW w:w="100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Размер 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Стойност (общо за 2014-2023 г.)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right"/>
            </w:pPr>
            <w:r>
              <w:rPr>
                <w:b w:val="0"/>
                <w:sz w:val="16"/>
              </w:rPr>
              <w:t>от които по линия на EURI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1 232 648,00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T2: общ брой на операциите за сътрудничество, подпомагани по мярката за сътрудничество (член 35 от Регламент (ЕС) № 1305/2013) (групи, мрежи/клъстери, пилотни проекти...) (област с поставен акцент 1Б)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O12 - Брой на участниците в обучения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15,00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214,00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крайни получатели, подпомогнати с финансов инструмент (подписали договор)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на крайните получатели,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214,00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4,00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крайни получатели, подпомогнати с финансов инструмент (подписали договор)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на крайните получатели,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крайни получатели, подпомогнати с финансов инструмент (подписали договор)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на крайните получатели,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30,00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крайни получатели, подпомогнати с финансов инструмент (подписали договор)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на крайните получатели,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Горски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Селски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120,00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Горски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Селски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Горски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Селски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197 423,00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197 423,00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с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216 457,00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216 457,00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Действия/операции, подпомогнати с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110,00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O8 - Брой на подпомаганите животински единици (ЖЕ)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R21 / T20: работни места, разкрити в подпомогнатите проекти (област с поставен акцент 6А)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143,00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O15 - Брой на жителите, които се ползват от подобрени услуги/инфраструктура (ИТ или други)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други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1 646 588,00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6C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O15 - Брой на жителите, които се ползват от подобрени услуги/инфраструктура (ИТ или други)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IT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58 410,00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</w:tbl>
    <w:p>
      <w:r>
        <w:br w:type="page"/>
      </w:r>
      <w:r>
        <w:t>Таблица Б2.3: Мониторинг на техническата помощ — КУМУЛАТИВНИ ДАННИ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8" w:type="dxa"/>
          <w:right w:w="108" w:type="dxa"/>
        </w:tblCellMar>
      </w:tblPr>
      <w:tblGrid>
        <w:gridCol w:w="1165"/>
        <w:gridCol w:w="1272"/>
        <w:gridCol w:w="2000"/>
        <w:gridCol w:w="1805"/>
        <w:gridCol w:w="1770"/>
        <w:gridCol w:w="1257"/>
        <w:gridCol w:w="1150"/>
      </w:tblGrid>
      <w:tr>
        <w:tblPrEx>
          <w:tblW w:w="5000" w:type="pc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Мярка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Подмярка </w:t>
            </w:r>
          </w:p>
        </w:tc>
        <w:tc>
          <w:tcPr>
            <w:tcW w:w="1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Показател</w:t>
            </w:r>
          </w:p>
        </w:tc>
        <w:tc>
          <w:tcPr>
            <w:tcW w:w="100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Размер 1</w:t>
            </w:r>
          </w:p>
        </w:tc>
        <w:tc>
          <w:tcPr>
            <w:tcW w:w="100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Размер 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Таблица Б2.3 Стойност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right"/>
            </w:pPr>
            <w:r>
              <w:rPr>
                <w:b w:val="0"/>
                <w:sz w:val="16"/>
              </w:rPr>
              <w:t>от които по линия на EURI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административни разходи (за персонал, материали...)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Общо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45 813 996,00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други разходи (проучвания, обучения...)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Общо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7 186 361,00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общо подпомагане за техническа помощ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общо подпомагане за техническа помощ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които подпомагат създаването и привеждането в действие на НМСР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1 202 612,00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O24 - Брой на тематичните и аналитичните обмени, извършени с помощта на националната мрежа за селските райони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Консултации със заинтересованите лица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O24 - Брой на тематичните и аналитичните обмени, извършени с помощта на националната мрежа за селските райони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Консултации със заинтересованите лица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по-специално насочените към обмен и разпространение на заключенията от мониторинга и оценката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O24 - Брой на тематичните и аналитичните обмени, извършени с помощта на националната мрежа за селските райони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Консултации със заинтересованите лица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по-специално посветените на местни групи за действие, включително подкрепа за сътрудничество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9,00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O24 - Брой на тематичните и аналитичните обмени, извършени с помощта на националната мрежа за селските райони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Консултации със заинтересованите лица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по-специално посветените на консултанти и/или услуги в подкрепа на иновациите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O24 - Брой на тематичните и аналитичните обмени, извършени с помощта на националната мрежа за селските райони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други (обучения, уеб форум...)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79,00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O24 - Брой на тематичните и аналитичните обмени, извършени с помощта на националната мрежа за селските райони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други (обучения, уеб форум...)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по-специално насочените към обмен и разпространение на заключенията от мониторинга и оценката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13,00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O24 - Брой на тематичните и аналитичните обмени, извършени с помощта на националната мрежа за селските райони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други (обучения, уеб форум...)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по-специално посветените на местни групи за действие, включително подкрепа за сътрудничество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O24 - Брой на тематичните и аналитичните обмени, извършени с помощта на националната мрежа за селските райони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други (обучения, уеб форум...)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по-специално посветените на консултанти и/или услуги в подкрепа на иновациите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13,00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O24 - Брой на тематичните и аналитичните обмени, извършени с помощта на националната мрежа за селските райони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тематични работни групи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O24 - Брой на тематичните и аналитичните обмени, извършени с помощта на националната мрежа за селските райони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тематични работни групи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по-специално насочените към обмен и разпространение на заключенията от мониторинга и оценката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O24 - Брой на тематичните и аналитичните обмени, извършени с помощта на националната мрежа за селските райони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тематични работни групи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по-специално посветените на местни групи за действие, включително подкрепа за сътрудничество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O24 - Брой на тематичните и аналитичните обмени, извършени с помощта на националната мрежа за селските райони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тематични работни групи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по-специално посветените на консултанти и/или услуги в подкрепа на иновациите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O25 - Брой на инструментите за комуникация в рамките на националната мрежа за селските райони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на проявите, организирани от НМСР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79,00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O25 - Брой на инструментите за комуникация в рамките на националната мрежа за селските райони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на проявите, организирани от НМСР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по-специално насочените към обмен и разпространение на заключенията от мониторинга и оценката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O25 - Брой на инструментите за комуникация в рамките на националната мрежа за селските райони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на проявите, организирани от НМСР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по-специално посветените на местни групи за действие, включително подкрепа за сътрудничество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O25 - Брой на инструментите за комуникация в рамките на националната мрежа за селските райони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на проявите, организирани от НМСР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по-специално посветените на консултанти и/или услуги в подкрепа на иновациите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O25 - Брой на инструментите за комуникация в рамките на националната мрежа за селските райони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публикации: списания, брошури, информационни бюлетини... включително електронни публикации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2 373,00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O25 - Брой на инструментите за комуникация в рамките на националната мрежа за селските райони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публикации: списания, брошури, информационни бюлетини... включително електронни публикации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по-специално насочените към обмен и разпространение на заключенията от мониторинга и оценката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O25 - Брой на инструментите за комуникация в рамките на националната мрежа за селските райони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публикации: списания, брошури, информационни бюлетини... включително електронни публикации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по-специално посветените на местни групи за действие, включително подкрепа за сътрудничество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O25 - Брой на инструментите за комуникация в рамките на националната мрежа за селските райони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публикации: списания, брошури, информационни бюлетини... включително електронни публикации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по-специално посветените на консултанти и/или услуги в подкрепа на иновациите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474,00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O25 - Брой на инструментите за комуникация в рамките на националната мрежа за селските райони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на примерите на проекти, събрани и разпространявани от НМСР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O25 - Брой на инструментите за комуникация в рамките на националната мрежа за селските райони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на други средства (уебсайт, социални медии...)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O25 - Брой на инструментите за комуникация в рамките на националната мрежа за селските райони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на други средства (уебсайт, социални медии...)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по-специално насочените към обмен и разпространение на заключенията от мониторинга и оценката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M20.2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O25 - Брой на инструментите за комуникация в рамките на националната мрежа за селските райони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на други средства (уебсайт, социални медии...)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по-специално посветените на местни групи за действие, включително подкрепа за сътрудничество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M20.2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O25 - Брой на инструментите за комуникация в рамките на националната мрежа за селските райони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на други средства (уебсайт, социални медии...)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по-специално посветените на консултанти и/или услуги в подкрепа на иновациите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M20.2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O26 - Брой на дейностите в рамките на Европейската мрежа за развитие на селските райони, в които е участвала националната мрежа за селските райони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7,00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M20.2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O26 - Брой на дейностите в рамките на Европейската мрежа за развитие на селските райони, в които е участвала националната мрежа за селските райони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в които НМСР са участвали активно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9,00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</w:tbl>
    <w:p>
      <w:r>
        <w:br w:type="page"/>
      </w:r>
      <w:r>
        <w:t>Таблица Б3: Годишен мониторинг по области, многогодишно и по животински единици (годишен доклад за изпълнението) — КУМУЛАТИВНИ ДАННИ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8" w:type="dxa"/>
          <w:right w:w="108" w:type="dxa"/>
        </w:tblCellMar>
      </w:tblPr>
      <w:tblGrid>
        <w:gridCol w:w="675"/>
        <w:gridCol w:w="909"/>
        <w:gridCol w:w="2371"/>
        <w:gridCol w:w="1588"/>
        <w:gridCol w:w="1481"/>
        <w:gridCol w:w="965"/>
        <w:gridCol w:w="839"/>
        <w:gridCol w:w="1158"/>
        <w:gridCol w:w="670"/>
      </w:tblGrid>
      <w:tr>
        <w:tblPrEx>
          <w:tblW w:w="5000" w:type="pc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Мярка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Подмярка </w:t>
            </w:r>
          </w:p>
        </w:tc>
        <w:tc>
          <w:tcPr>
            <w:tcW w:w="1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Показател</w:t>
            </w:r>
          </w:p>
        </w:tc>
        <w:tc>
          <w:tcPr>
            <w:tcW w:w="100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Размер 1</w:t>
            </w:r>
          </w:p>
        </w:tc>
        <w:tc>
          <w:tcPr>
            <w:tcW w:w="100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Размер 2</w:t>
            </w:r>
          </w:p>
        </w:tc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Приоритет</w:t>
            </w:r>
          </w:p>
        </w:tc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Област с поставен акцент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Реализирано изпълнение (ГОДИШНО)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right"/>
            </w:pPr>
            <w:r>
              <w:rPr>
                <w:b w:val="0"/>
                <w:sz w:val="16"/>
              </w:rPr>
              <w:t>от които по линия на EURI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само за поддръжка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само за поддръжка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само за поддръжка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M08.1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само за поддръжка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само за поддръжка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само за поддръжка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само за поддръжка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M08.1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само за поддръжка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само за поддръжка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само за поддръжка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само за поддръжка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M08.1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само за поддръжка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само за поддръжка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само за поддръжка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само за поддръжка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M08.2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само за поддръжка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само за поддръжка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само за поддръжка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само за поддръжка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M08.2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само за поддръжка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само за поддръжка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само за поддръжка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само за поддръжка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M08.2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само за поддръжка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9 938 226,28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M08.3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9 938 226,28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M08.3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14,00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5 307,00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M08.3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5 307,00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4 484 186,00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M09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4 484 186,00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19,00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M09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19,00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O9 - Брой земеделски стопанства, които участват в подпомаганите схеми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328,00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M09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O9 - Брой земеделски стопанства, които участват в подпомаганите схеми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328,00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Управление на стопанства, интегрирани подходи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Режими за хранене на животните, управление на оборските торове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3 946 837,00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Управление на стопанства, интегрирани подходи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Режими за хранене на животните, управление на оборските торове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Управление на стопанства, интегрирани подходи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Режими за хранене на животните, управление на оборските торове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3 946 837,00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Управление на стопанства, интегрирани подходи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Диверсификация и ротация на културите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Управление на стопанства, интегрирани подходи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Диверсификация и ротация на културите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2 204 106,00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Управление на стопанства, интегрирани подходи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Диверсификация и ротация на културите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2 204 106,00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Управление на ресурси, включително интегрирано производство (намаляване на неорганичните торове намаляване на пестицидите)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Управление на ресурси, включително интегрирано производство (намаляване на неорганичните торове намаляване на пестицидите)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Управление на ресурси, включително интегрирано производство (намаляване на неорганичните торове намаляване на пестицидите)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Практики за култивиране на почвите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Почвена покривка, техники за оран, плитка оран, консервационно земеделие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Практики за култивиране на почвите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Почвена покривка, техники за оран, плитка оран, консервационно земеделие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Практики за култивиране на почвите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Почвена покривка, техники за оран, плитка оран, консервационно земеделие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Напояване/дренаж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Намаляване на пресушаването, управление на влажните зони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Напояване/дренаж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Намаляване на пресушаването, управление на влажните зони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Напояване/дренаж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Намаляване на пресушаването, управление на влажните зони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Напояване/дренаж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Намаляване на поливните площи и/или нивото на напояване, техники за напояване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Напояване/дренаж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Намаляване на поливните площи и/или нивото на напояване, техники за напояване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Напояване/дренаж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Намаляване на поливните площи и/или нивото на напояване, техники за напояване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Управление на ландшафта, местообитанията, пасищата, земеделие с висока природна стойност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Създаване, поддържане на екологични характеристики (например синори, буферни зони, ивици с цветя, жив плет, дървета)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Управление на ландшафта, местообитанията, пасищата, земеделие с висока природна стойност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Създаване, поддържане на екологични характеристики (например синори, буферни зони, ивици с цветя, жив плет, дървета)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Управление на ландшафта, местообитанията, пасищата, земеделие с висока природна стойност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Създаване, поддържане на екологични характеристики (например синори, буферни зони, ивици с цветя, жив плет, дървета)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Управление на ландшафта, местообитанията, пасищата, земеделие с висока природна стойност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Поддържане на земеделие с висока природна стойност, обработваема земя и ливади (напр. техники за коситба, оставяне на стърнища в обработваемите земи през зимата), въвеждане на екстензивна паша, превръщане на обработваема земя в пасища.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4 054 920,00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2 661 384,15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Управление на ландшафта, местообитанията, пасищата, земеделие с висока природна стойност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Поддържане на земеделие с висока природна стойност, обработваема земя и ливади (напр. техники за коситба, оставяне на стърнища в обработваемите земи през зимата), въвеждане на екстензивна паша, превръщане на обработваема земя в пасища.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Управление на ландшафта, местообитанията, пасищата, земеделие с висока природна стойност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Поддържане на земеделие с висока природна стойност, обработваема земя и ливади (напр. техники за коситба, оставяне на стърнища в обработваемите земи през зимата), въвеждане на екстензивна паша, превръщане на обработваема земя в пасища.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4 054 920,00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2 661 384,15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други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други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други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Управление на стопанства, интегрирани подходи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Режими за хранене на животните, управление на оборските торове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19 894,00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Управление на стопанства, интегрирани подходи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Режими за хранене на животните, управление на оборските торове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Управление на стопанства, интегрирани подходи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Режими за хранене на животните, управление на оборските торове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19 894,00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Управление на стопанства, интегрирани подходи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Диверсификация и ротация на културите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Управление на стопанства, интегрирани подходи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Диверсификация и ротация на културите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31 212,00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Управление на стопанства, интегрирани подходи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Диверсификация и ротация на културите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31 212,00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Управление на ресурси, включително интегрирано производство (намаляване на неорганичните торове намаляване на пестицидите)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Управление на ресурси, включително интегрирано производство (намаляване на неорганичните торове намаляване на пестицидите)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Управление на ресурси, включително интегрирано производство (намаляване на неорганичните торове намаляване на пестицидите)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Практики за култивиране на почвите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Почвена покривка, техники за оран, плитка оран, консервационно земеделие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Практики за култивиране на почвите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Почвена покривка, техники за оран, плитка оран, консервационно земеделие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Практики за култивиране на почвите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Почвена покривка, техники за оран, плитка оран, консервационно земеделие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Напояване/дренаж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Намаляване на пресушаването, управление на влажните зони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Напояване/дренаж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Намаляване на пресушаването, управление на влажните зони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Напояване/дренаж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Намаляване на пресушаването, управление на влажните зони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Напояване/дренаж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Намаляване на поливните площи и/или нивото на напояване, техники за напояване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Напояване/дренаж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Намаляване на поливните площи и/или нивото на напояване, техники за напояване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Напояване/дренаж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Намаляване на поливните площи и/или нивото на напояване, техники за напояване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Управление на ландшафта, местообитанията, пасищата, земеделие с висока природна стойност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Създаване, поддържане на екологични характеристики (например синори, буферни зони, ивици с цветя, жив плет, дървета)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Управление на ландшафта, местообитанията, пасищата, земеделие с висока природна стойност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Създаване, поддържане на екологични характеристики (например синори, буферни зони, ивици с цветя, жив плет, дървета)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Управление на ландшафта, местообитанията, пасищата, земеделие с висока природна стойност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Създаване, поддържане на екологични характеристики (например синори, буферни зони, ивици с цветя, жив плет, дървета)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Управление на ландшафта, местообитанията, пасищата, земеделие с висока природна стойност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Поддържане на земеделие с висока природна стойност, обработваема земя и ливади (напр. техники за коситба, оставяне на стърнища в обработваемите земи през зимата), въвеждане на екстензивна паша, превръщане на обработваема земя в пасища.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Управление на ландшафта, местообитанията, пасищата, земеделие с висока природна стойност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Поддържане на земеделие с висока природна стойност, обработваема земя и ливади (напр. техники за коситба, оставяне на стърнища в обработваемите земи през зимата), въвеждане на екстензивна паша, превръщане на обработваема земя в пасища.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Управление на ландшафта, местообитанията, пасищата, земеделие с висока природна стойност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Поддържане на земеделие с висока природна стойност, обработваема земя и ливади (напр. техники за коситба, оставяне на стърнища в обработваемите земи през зимата), въвеждане на екстензивна паша, превръщане на обработваема земя в пасища.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други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други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други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O6 - Подпомагана физическа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40 684,00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O7 - Брой на подпомаганите операции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1 065,00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O7 - Брой на подпомаганите операции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1 121,00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M10.1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O7 - Брой на подпомаганите операции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2 186,00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Животински генетични ресурси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21 004 584,00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Животински генетични ресурси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M10.2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Животински генетични ресурси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21 004 584,00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Растителни генетични ресурси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6 746 734,00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5 329 182,00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Растителни генетични ресурси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M10.2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Растителни генетични ресурси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6 746 734,00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5 329 182,00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O7 - Брой на подпомаганите операции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2 339,00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O7 - Брой на подпомаганите операции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M10.2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O7 - Брой на подпомаганите операции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2 339,00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33 068 189,00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33 068 189,00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3 238,00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3 238,00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M11.1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4 163,00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M11.1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4 163,00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M11.2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44 852,00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M11.2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44 852,00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M12.1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155 088,00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M12.1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155 088,00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M12.1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M12.1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M12.2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M12.2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M12.2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M12.2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M12.3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M12.3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M12.3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M12.3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M13.1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660 958,00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M13.1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660 958,00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M13.1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M13.1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M13.2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137 439,00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M13.2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137 439,00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M13.2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M13.2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M13.3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16 080,00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M13.3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16 080,00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M13.3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M13.3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O5 - Обща площ (ha)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6 260 938,00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6 260 938,00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M14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882,00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M14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882,00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M14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O8 - Брой на подпомаганите животински единици (ЖЕ)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100 387,00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M14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O8 - Брой на подпомаганите животински единици (ЖЕ)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100 387,00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</w:tbl>
    <w:p>
      <w:r>
        <w:br w:type="page"/>
      </w:r>
      <w:r>
        <w:t>Таблица Б4: Общо публични разходи на операциите, които имат допълнителен принос за областите с поставен акцент (годишен доклад за изпълнението) — КУМУЛАТИВНИ ДАННИ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8" w:type="dxa"/>
          <w:right w:w="108" w:type="dxa"/>
        </w:tblCellMar>
      </w:tblPr>
      <w:tblGrid>
        <w:gridCol w:w="3721"/>
        <w:gridCol w:w="2233"/>
        <w:gridCol w:w="2233"/>
        <w:gridCol w:w="2233"/>
      </w:tblGrid>
      <w:tr>
        <w:tblPrEx>
          <w:tblW w:w="5000" w:type="pc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c>
          <w:tcPr>
            <w:tcW w:w="1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Показател</w:t>
            </w:r>
          </w:p>
        </w:tc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Приоритет</w:t>
            </w:r>
          </w:p>
        </w:tc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Област с поставен акцент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right"/>
            </w:pPr>
            <w:r>
              <w:rPr>
                <w:b w:val="0"/>
                <w:sz w:val="16"/>
              </w:rPr>
              <w:t>Общо публични разходи — кумулативни данни за ГОДИНА 2023 (общо програмирани за акцентираната област)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16 458 146,36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377 654 118,25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132 967 809,33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3 757 178,20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170 845 166,21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5 375 295,42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1 034 450 093,21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8 253 474,94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108 501 661,08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7 497 220,81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36 831 986,99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2 679 529,17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20 144 354,87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611 658 738,00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6C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2 520 616 626,48</w:t>
            </w:r>
          </w:p>
        </w:tc>
      </w:tr>
    </w:tbl>
    <w:p>
      <w:r>
        <w:br w:type="page"/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8" w:type="dxa"/>
          <w:right w:w="108" w:type="dxa"/>
        </w:tblCellMar>
      </w:tblPr>
      <w:tblGrid>
        <w:gridCol w:w="3721"/>
        <w:gridCol w:w="2233"/>
        <w:gridCol w:w="2233"/>
        <w:gridCol w:w="2233"/>
      </w:tblGrid>
      <w:tr>
        <w:tblPrEx>
          <w:tblW w:w="5000" w:type="pc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c>
          <w:tcPr>
            <w:tcW w:w="12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Показател</w:t>
            </w:r>
          </w:p>
        </w:tc>
        <w:tc>
          <w:tcPr>
            <w:tcW w:w="2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Приоритет</w:t>
            </w:r>
          </w:p>
        </w:tc>
        <w:tc>
          <w:tcPr>
            <w:tcW w:w="2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Област с поставен акцент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right"/>
            </w:pPr>
            <w:r>
              <w:rPr>
                <w:b w:val="0"/>
                <w:sz w:val="16"/>
              </w:rPr>
              <w:t>Разбивка P4: Общо публични разходи — кумулативни данни за ГОДИНА 2023 (общо публични разходи за всички операции P4 с принос за всяка акцентна област — двойно зачитане)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4A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1 034 450 093,00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4B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1 034 450 093,00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4C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1 034 450 093,00</w:t>
            </w:r>
          </w:p>
        </w:tc>
      </w:tr>
    </w:tbl>
    <w:p>
      <w:r>
        <w:br w:type="page"/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8" w:type="dxa"/>
          <w:right w:w="108" w:type="dxa"/>
        </w:tblCellMar>
      </w:tblPr>
      <w:tblGrid>
        <w:gridCol w:w="3721"/>
        <w:gridCol w:w="2233"/>
        <w:gridCol w:w="2233"/>
        <w:gridCol w:w="2233"/>
      </w:tblGrid>
      <w:tr>
        <w:tblPrEx>
          <w:tblW w:w="5000" w:type="pc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c>
          <w:tcPr>
            <w:tcW w:w="1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Показател</w:t>
            </w:r>
          </w:p>
        </w:tc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Приоритет</w:t>
            </w:r>
          </w:p>
        </w:tc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Област с поставен акцент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right"/>
            </w:pPr>
            <w:r>
              <w:rPr>
                <w:b w:val="0"/>
                <w:sz w:val="16"/>
              </w:rPr>
              <w:t>Общо публични разходи — кумулативни данни за ГОДИНА 2023 (общо публични разходи за всички операции с допълнителен принос за други акцентни области — двойно зачитане)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79 326 707,00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686 489 860,00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255 098 171,00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687 102 704,00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76 768 808,00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111 357 706,00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111 357 706,00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111 357 706,00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76 768 808,00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617 562 794,00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76 768 808,00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76 768 808,00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691 980 862,00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6C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</w:tbl>
    <w:p>
      <w:pPr>
        <w:pStyle w:val="Heading2"/>
      </w:pPr>
      <w:r>
        <w:br w:type="page"/>
      </w:r>
      <w:bookmarkStart w:id="3" w:name="_Toc256000003"/>
      <w:r>
        <w:t>Таблица В: Разбивка за съответните резултати и мерки по типове области, пол и/или възраст — КУМУЛАТИВНИ ДАННИ</w:t>
      </w:r>
      <w:bookmarkEnd w:id="3"/>
    </w:p>
    <w:p>
      <w:r>
        <w:t>Таблица В1.1: Мониторинг на резултатите, разбити по вид на областта — КУМУЛАТИВНИ ДАННИ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8" w:type="dxa"/>
          <w:right w:w="108" w:type="dxa"/>
        </w:tblCellMar>
      </w:tblPr>
      <w:tblGrid>
        <w:gridCol w:w="1404"/>
        <w:gridCol w:w="1447"/>
        <w:gridCol w:w="2306"/>
        <w:gridCol w:w="1864"/>
        <w:gridCol w:w="1909"/>
        <w:gridCol w:w="1489"/>
      </w:tblGrid>
      <w:tr>
        <w:tblPrEx>
          <w:tblW w:w="5000" w:type="pc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Мярка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Подмярка </w:t>
            </w:r>
          </w:p>
        </w:tc>
        <w:tc>
          <w:tcPr>
            <w:tcW w:w="1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Показател</w:t>
            </w:r>
          </w:p>
        </w:tc>
        <w:tc>
          <w:tcPr>
            <w:tcW w:w="100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Размер 1</w:t>
            </w:r>
          </w:p>
        </w:tc>
        <w:tc>
          <w:tcPr>
            <w:tcW w:w="100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Размер 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right"/>
            </w:pPr>
            <w:r>
              <w:rPr>
                <w:b w:val="0"/>
                <w:sz w:val="16"/>
              </w:rPr>
              <w:t>Кумулативно за 2014-2023 г.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M04.1; M04.2; M04.3; M04.4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560 668 038,00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M04.3;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различно от ANC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319 683 926,00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M04.3;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ANC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Други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114 134 556,00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M04.3;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ANC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Специфични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M04.3;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ANC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Планински райони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126 849 556,00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M06.4; M06.5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133 317 340,00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M06.4; M06.5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различно от ANC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83 556 033,00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M06.4; M06.5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ANC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Други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13 184 206,00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M06.4; M06.5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ANC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Специфични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M06.4; M06.5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ANC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Планински райони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36 577 101,00</w:t>
            </w:r>
          </w:p>
        </w:tc>
      </w:tr>
    </w:tbl>
    <w:p>
      <w:r>
        <w:br w:type="page"/>
      </w:r>
      <w:r>
        <w:t>ТАБЛИЦА В1.2 — КУМУЛАТИВНИ ДАННИ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8" w:type="dxa"/>
          <w:right w:w="108" w:type="dxa"/>
        </w:tblCellMar>
      </w:tblPr>
      <w:tblGrid>
        <w:gridCol w:w="1737"/>
        <w:gridCol w:w="1737"/>
        <w:gridCol w:w="2894"/>
        <w:gridCol w:w="2316"/>
        <w:gridCol w:w="1737"/>
      </w:tblGrid>
      <w:tr>
        <w:tblPrEx>
          <w:tblW w:w="5000" w:type="pc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Мярка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Подмярка </w:t>
            </w:r>
          </w:p>
        </w:tc>
        <w:tc>
          <w:tcPr>
            <w:tcW w:w="1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Показател</w:t>
            </w:r>
          </w:p>
        </w:tc>
        <w:tc>
          <w:tcPr>
            <w:tcW w:w="100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Размер 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right"/>
            </w:pPr>
            <w:r>
              <w:rPr>
                <w:b w:val="0"/>
                <w:sz w:val="16"/>
              </w:rPr>
              <w:t>Кумулативно за 2014-2023 г.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160 877 278,10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M10.1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от които „Натура 2000“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M15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M15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M15.1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от които „Натура 2000“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</w:tbl>
    <w:p>
      <w:r>
        <w:br w:type="page"/>
      </w:r>
      <w:r>
        <w:t>ТАБЛИЦА В1.3 — КУМУЛАТИВНИ ДАННИ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8" w:type="dxa"/>
          <w:right w:w="108" w:type="dxa"/>
        </w:tblCellMar>
      </w:tblPr>
      <w:tblGrid>
        <w:gridCol w:w="1737"/>
        <w:gridCol w:w="1737"/>
        <w:gridCol w:w="2894"/>
        <w:gridCol w:w="2316"/>
        <w:gridCol w:w="1737"/>
      </w:tblGrid>
      <w:tr>
        <w:tblPrEx>
          <w:tblW w:w="5000" w:type="pc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c>
          <w:tcPr>
            <w:tcW w:w="2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Мярка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Подмярка </w:t>
            </w:r>
          </w:p>
        </w:tc>
        <w:tc>
          <w:tcPr>
            <w:tcW w:w="12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Показател</w:t>
            </w:r>
          </w:p>
        </w:tc>
        <w:tc>
          <w:tcPr>
            <w:tcW w:w="100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Размер 1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right"/>
            </w:pPr>
            <w:r>
              <w:rPr>
                <w:b w:val="0"/>
                <w:sz w:val="16"/>
              </w:rPr>
              <w:t>Кумулативно за 2014-2023 г.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1 385 306 307,21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M06.1; M06.3; M10.1; M10.2; M12.1; M12.2; M12.3; M13.1; M13.2; M13.3; M14.1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от които биологични стопанства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143 904 225,00</w:t>
            </w:r>
          </w:p>
        </w:tc>
      </w:tr>
    </w:tbl>
    <w:p>
      <w:r>
        <w:br w:type="page"/>
      </w:r>
      <w:r>
        <w:t>Таблица В2.1: Мониторинг на резултатите, разбити по възраст и пол — КУМУЛАТИВНИ ДАННИ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8" w:type="dxa"/>
          <w:right w:w="108" w:type="dxa"/>
        </w:tblCellMar>
      </w:tblPr>
      <w:tblGrid>
        <w:gridCol w:w="929"/>
        <w:gridCol w:w="1098"/>
        <w:gridCol w:w="2452"/>
        <w:gridCol w:w="1389"/>
        <w:gridCol w:w="1098"/>
        <w:gridCol w:w="1139"/>
        <w:gridCol w:w="1048"/>
        <w:gridCol w:w="1267"/>
      </w:tblGrid>
      <w:tr>
        <w:tblPrEx>
          <w:tblW w:w="5000" w:type="pc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Мярка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Подмярка </w:t>
            </w:r>
          </w:p>
        </w:tc>
        <w:tc>
          <w:tcPr>
            <w:tcW w:w="1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Показател</w:t>
            </w:r>
          </w:p>
        </w:tc>
        <w:tc>
          <w:tcPr>
            <w:tcW w:w="100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Размер 1</w:t>
            </w:r>
          </w:p>
        </w:tc>
        <w:tc>
          <w:tcPr>
            <w:tcW w:w="100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Размер 2</w:t>
            </w:r>
          </w:p>
        </w:tc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Приоритет</w:t>
            </w:r>
          </w:p>
        </w:tc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Област с поставен акцент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right"/>
            </w:pPr>
            <w:r>
              <w:rPr>
                <w:b w:val="0"/>
                <w:sz w:val="16"/>
              </w:rPr>
              <w:t>Кумулативно за 2014-2023 г.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1 477,00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Възраст (≤ 40)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жени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65,00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Възраст (≤ 40)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мъже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167,00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Възраст (&gt; 40)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жени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75,00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Възраст (&gt; 40)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мъже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277,00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Други нефизически лица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893,00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281,00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Възраст (≤ 40)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жени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59,00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Възраст (≤ 40)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мъже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92,00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Възраст (&gt; 40)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жени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Възраст (&gt; 40)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мъже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Други нефизически лица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129,00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Възраст (≤ 40)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жени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Възраст (≤ 40)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мъже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Възраст (&gt; 40)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жени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Възраст (&gt; 40)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мъже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Други нефизически лица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52,00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Възраст (≤ 40)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жени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7,00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Възраст (≤ 40)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мъже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14,00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Възраст (&gt; 40)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жени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Възраст (&gt; 40)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мъже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Други нефизически лица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29,00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319,00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Възраст (≤ 40)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жени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15,00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Възраст (≤ 40)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мъже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17,00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Възраст (&gt; 40)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жени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Възраст (&gt; 40)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мъже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23,00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Други нефизически лица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258,00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M06.4; M06.5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4 710,00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M06.4; M06.5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Възраст (≤ 40)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жени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685,00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M06.4; M06.5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Възраст (≤ 40)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мъже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1 176,00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M06.4; M06.5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Възраст (&gt; 40)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жени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1 007,00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M06.4; M06.5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Възраст (&gt; 40)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мъже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1 718,00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M06.4; M06.5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Други нефизически лица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124,00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M06.4; M06.5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2 275,00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M06.4; M06.5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Възраст (≤ 40)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жени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915,00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M06.4; M06.5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Възраст (≤ 40)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мъже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1 181,00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M06.4; M06.5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Възраст (&gt; 40)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жени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45,00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M06.4; M06.5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Възраст (&gt; 40)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мъже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59,00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M06.4; M06.5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Други нефизически лица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75,00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M06.4; M06.5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M06.4; M06.5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Възраст (≤ 40)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жени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M06.4; M06.5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Възраст (≤ 40)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мъже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M06.4; M06.5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Възраст (&gt; 40)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жени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M06.4; M06.5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Възраст (&gt; 40)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мъже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M06.4; M06.5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Други нефизически лица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M06.4; M06.5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M06.4; M06.5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Възраст (≤ 40)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жени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M06.4; M06.5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Възраст (≤ 40)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мъже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M06.4; M06.5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Възраст (&gt; 40)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жени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M06.4; M06.5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Възраст (&gt; 40)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мъже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M06.4; M06.5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Други нефизически лица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M06.4; M06.5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M06.4; M06.5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Възраст (≤ 40)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жени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M06.4; M06.5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Възраст (≤ 40)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мъже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M06.4; M06.5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Възраст (&gt; 40)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жени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M06.4; M06.5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Възраст (&gt; 40)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мъже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M06.4; M06.5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Други нефизически лица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M06.4; M06.5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108,00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M06.4; M06.5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Възраст (≤ 40)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жени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14,00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M06.4; M06.5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Възраст (≤ 40) 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мъже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36,00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M06.4; M06.5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Възраст (&gt; 40)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жени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25,00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M06.4; M06.5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Възраст (&gt; 40)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мъже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32,00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M06.4; M06.5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Други нефизически лица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1,00</w:t>
            </w:r>
          </w:p>
        </w:tc>
      </w:tr>
    </w:tbl>
    <w:p>
      <w:r>
        <w:br w:type="page"/>
      </w:r>
      <w:r>
        <w:t>Таблица В2.2: Мониторинг на резултатите, разбити по вид на земеделския отрасъл — КУМУЛАТИВНИ ДАННИ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8" w:type="dxa"/>
          <w:right w:w="108" w:type="dxa"/>
        </w:tblCellMar>
      </w:tblPr>
      <w:tblGrid>
        <w:gridCol w:w="1294"/>
        <w:gridCol w:w="1366"/>
        <w:gridCol w:w="2413"/>
        <w:gridCol w:w="1953"/>
        <w:gridCol w:w="1957"/>
        <w:gridCol w:w="1437"/>
      </w:tblGrid>
      <w:tr>
        <w:tblPrEx>
          <w:tblW w:w="5000" w:type="pc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Мярка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Подмярка </w:t>
            </w:r>
          </w:p>
        </w:tc>
        <w:tc>
          <w:tcPr>
            <w:tcW w:w="1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Показател</w:t>
            </w:r>
          </w:p>
        </w:tc>
        <w:tc>
          <w:tcPr>
            <w:tcW w:w="100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Размер 1</w:t>
            </w:r>
          </w:p>
        </w:tc>
        <w:tc>
          <w:tcPr>
            <w:tcW w:w="100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Размер 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right"/>
            </w:pPr>
            <w:r>
              <w:rPr>
                <w:b w:val="0"/>
                <w:sz w:val="16"/>
              </w:rPr>
              <w:t>Кумулативно за 2014-2023 г.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561 653 038,00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985 000,00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560 668 038,00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Вино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1 445 516,00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Вино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Вино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1 445 516,00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Мляко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50 202 902,00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Мляко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Мляко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50 202 902,00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Друг пасящ добитък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63 690 908,00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Друг пасящ добитък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Друг пасящ добитък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63 690 908,00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Градинарство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56 456 093,00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Градинарство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805 000,00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Градинарство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55 651 093,00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Полски насаждения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56 749 714,00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Полски насаждения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Полски насаждения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56 749 714,00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Смесен (реколти + добитък)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16 614 307,00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Смесен (реколти + добитък)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Смесен (реколти + добитък)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16 614 307,00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Неселскостопански сектор (хранително-вкусова промишленост...)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181 347 155,00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Неселскостопански сектор (хранително-вкусова промишленост...)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180 000,00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Неселскостопански сектор (хранително-вкусова промишленост...)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181 167 155,00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 xml:space="preserve">Зърноядни животни 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41 583 633,00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Зърноядни животни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Зърноядни животни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41 583 633,00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Други трайни насаждения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93 562 810,00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Други трайни насаждения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Други трайни насаждения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93 562 810,00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2 330,00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Брой 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2 330,00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Брой действия/операции, подпомогнати от финансов инструмент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Вино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11,00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Вино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11,00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Вино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Мляко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211,00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Мляко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211,00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Мляко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Друг пасящ добитък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391,00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Друг пасящ добитък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391,00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Друг пасящ добитък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Градинарство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196,00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Градинарство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196,00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Градинарство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Полски насаждения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333,00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Полски насаждения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333,00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Полски насаждения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Смесен (реколти + добитък)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117,00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Смесен (реколти + добитък)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117,00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Смесен (реколти + добитък)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Неселскостопански сектор (хранително-вкусова промишленост...)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330,00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Неселскостопански сектор (хранително-вкусова промишленост...)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330,00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Неселскостопански сектор (хранително-вкусова промишленост...)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 xml:space="preserve">Зърноядни животни 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108,00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Зърноядни животни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108,00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Зърноядни животни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Други трайни насаждения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633,00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Други трайни насаждения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633,00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Други трайни насаждения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133 317 340,00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133 317 340,00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Вино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152 500,00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Вино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Вино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152 500,00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Мляко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2 253 262,00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Мляко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Мляко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2 253 262,00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Друг пасящ добитък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6 484 103,00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Друг пасящ добитък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Друг пасящ добитък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6 484 103,00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Градинарство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17 123 442,00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Градинарство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Градинарство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Сума, предвидена за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17 123 442,00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Полски насаждения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8 785 617,00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Полски насаждения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Полски насаждения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8 785 617,00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Смесен (реколти + добитък)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37 521 261,00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Смесен (реколти + добитък)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Смесен (реколти + добитък)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37 521 261,00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Неселскостопански сектор (хранително-вкусова промишленост...)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14 264 957,00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Неселскостопански сектор (хранително-вкусова промишленост...)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Неселскостопански сектор (хранително-вкусова промишленост...)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14 264 957,00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 xml:space="preserve">Зърноядни животни 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3 364 309,00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Зърноядни животни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Зърноядни животни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3 364 309,00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Други трайни насаждения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43 367 889,00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Други трайни насаждения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Други трайни насаждения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43 367 889,00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7 093,00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7 093,00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Брой 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7 093,00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Брой действия/операции, подпомогнати от финансов инструмент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Вино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11,00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Вино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11,00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Вино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Мляко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102,00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Мляко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102,00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Мляко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Друг пасящ добитък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378,00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Друг пасящ добитък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378,00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Друг пасящ добитък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Градинарство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1 007,00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Градинарство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1 007,00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Градинарство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Полски насаждения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560,00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Полски насаждения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560,00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Полски насаждения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Смесен (реколти + добитък)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2 370,00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Смесен (реколти + добитък)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2 370,00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Смесен (реколти + добитък)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Неселскостопански сектор (хранително-вкусова промишленост...)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108,00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Неселскостопански сектор (хранително-вкусова промишленост...)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108,00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Неселскостопански сектор (хранително-вкусова промишленост...)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 xml:space="preserve">Зърноядни животни 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157,00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Зърноядни животни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157,00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Зърноядни животни 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от финансов инструмент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Други трайни насаждения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2 400,00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Други трайни насаждения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с безвъзмездни помощи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2 400,00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Други трайни насаждения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от финансов инструмент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</w:tbl>
    <w:p>
      <w:r>
        <w:br w:type="page"/>
      </w:r>
      <w:r>
        <w:t>Таблица В2.3: Мониторинг на резултатите, разбити по размер — КУМУЛАТИВНИ ДАННИ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8" w:type="dxa"/>
          <w:right w:w="108" w:type="dxa"/>
        </w:tblCellMar>
      </w:tblPr>
      <w:tblGrid>
        <w:gridCol w:w="1352"/>
        <w:gridCol w:w="1408"/>
        <w:gridCol w:w="2455"/>
        <w:gridCol w:w="1756"/>
        <w:gridCol w:w="1985"/>
        <w:gridCol w:w="1465"/>
      </w:tblGrid>
      <w:tr>
        <w:tblPrEx>
          <w:tblW w:w="5000" w:type="pc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Мярка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Подмярка </w:t>
            </w:r>
          </w:p>
        </w:tc>
        <w:tc>
          <w:tcPr>
            <w:tcW w:w="1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Показател</w:t>
            </w:r>
          </w:p>
        </w:tc>
        <w:tc>
          <w:tcPr>
            <w:tcW w:w="100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Размер 1</w:t>
            </w:r>
          </w:p>
        </w:tc>
        <w:tc>
          <w:tcPr>
            <w:tcW w:w="100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Размер 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right"/>
            </w:pPr>
            <w:r>
              <w:rPr>
                <w:b w:val="0"/>
                <w:sz w:val="16"/>
              </w:rPr>
              <w:t>Кумулативно за 2014-2023 г.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379 500 883,00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379 500 883,00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&gt;= 50 Ha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118 690 762,00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&gt;= 50 Ha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&gt;= 50 Ha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118 690 762,00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&lt; 5 ha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172 169 232,00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&lt; 5 ha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&lt; 5 ha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172 169 232,00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&gt;=  5 ha до &lt; 10 ha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16 087 929,00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&gt;=  5 ha до &lt; 10 ha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&gt;=  5 ha до &lt; 10 ha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16 087 929,00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&gt;= 20 ha до &lt; 50 ha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44 089 730,00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&gt;= 20 ha до &lt; 50 ha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&gt;= 20 ha до &lt; 50 ha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44 089 730,00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&gt;= 10 ha до &lt; 20 ha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28 463 230,00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&gt;= 10 ha до &lt; 20 ha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&gt;= 10 ha до &lt; 20 ha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28 463 230,00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2 000,00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Брой 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2 000,00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Брой действия/операции, подпомогнати от финансов инструмент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&gt;= 50 Ha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530,00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&gt;= 50 Ha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530,00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&gt;= 50 Ha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&lt; 5 ha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896,00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&lt; 5 ha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896,00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&lt; 5 ha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&gt;=  5 ha до &lt; 10 ha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154,00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&gt;=  5 ha до &lt; 10 ha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154,00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&gt;=  5 ha до &lt; 10 ha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&gt;= 20 ha до &lt; 50 ha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237,00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&gt;= 20 ha до &lt; 50 ha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237,00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&gt;= 20 ha до &lt; 50 ha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&gt;= 10 ha до &lt; 20 ha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183,00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&gt;= 10 ha до &lt; 20 ha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183,00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M04.1; M04.2; M04.4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&gt;= 10 ha до &lt; 20 ha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119 052 383,00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119 052 383,00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&gt;= 50 Ha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332 500,00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&gt;= 50 Ha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&gt;= 50 Ha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332 500,00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&lt; 5 ha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111 945 705,00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&lt; 5 ha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&lt; 5 ha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111 945 705,00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&gt;=  5 ha до &lt; 10 ha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3 141 853,00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&gt;=  5 ha до &lt; 10 ha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&gt;=  5 ha до &lt; 10 ha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3 141 853,00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&gt;= 20 ha до &lt; 50 ha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1 347 500,00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&gt;= 20 ha до &lt; 50 ha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&gt;= 20 ha до &lt; 50 ha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1 347 500,00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&gt;= 10 ha до &lt; 20 ha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2 284 825,00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&gt;= 10 ha до &lt; 20 ha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за подпомагането, предоставено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&gt;= 10 ha до &lt; 20 ha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Общ на размер на публичните разходи по операциите,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2 284 825,00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6 985,00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Брой 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6 985,00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Общо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Брой действия/операции, подпомогнати от финансов инструмент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&gt;= 50 Ha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22,00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&gt;= 50 Ha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22,00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&gt;= 50 Ha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&lt; 5 ha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6 543,00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&lt; 5 ha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6 543,00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&lt; 5 ha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&gt;=  5 ha до &lt; 10 ha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190,00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&gt;=  5 ha до &lt; 10 ha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190,00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&gt;=  5 ha до &lt; 10 ha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от финансов инструмент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&gt;= 20 ha до &lt; 50 ha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83,00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&gt;= 20 ha до &lt; 50 ha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с безвъзмездни помощи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83,00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&gt;= 20 ha до &lt; 50 ha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от финансов инструмент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M06.1; M06.2; M06.3; M06.4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&gt;= 10 ha до &lt; 20 ha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147,00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&gt;= 10 ha до &lt; 20 ha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с безвъзмездни помощи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147,00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M06.1; M06.2; M06.3; M06.4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&gt;= 10 ha до &lt; 20 ha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действия/операции, подпомогнати от финансов инструмент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</w:tbl>
    <w:p>
      <w:r>
        <w:br w:type="page"/>
      </w:r>
      <w:r>
        <w:t>Таблица C2.4: Наблюдение на подпомаганите операции за интеграция на граждани на трети държави (ГТД) (изменен член 14 от Регламент 808/2014) — КУМУЛАТИВНО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8" w:type="dxa"/>
          <w:right w:w="108" w:type="dxa"/>
        </w:tblCellMar>
      </w:tblPr>
      <w:tblGrid>
        <w:gridCol w:w="3721"/>
        <w:gridCol w:w="2233"/>
        <w:gridCol w:w="2233"/>
        <w:gridCol w:w="2233"/>
      </w:tblGrid>
      <w:tr>
        <w:tblPrEx>
          <w:tblW w:w="5000" w:type="pc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c>
          <w:tcPr>
            <w:tcW w:w="1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Показател</w:t>
            </w:r>
          </w:p>
        </w:tc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Приоритет</w:t>
            </w:r>
          </w:p>
        </w:tc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Област с поставен акцент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right"/>
            </w:pPr>
            <w:r>
              <w:rPr>
                <w:b w:val="0"/>
                <w:sz w:val="16"/>
              </w:rPr>
              <w:t>Кумулативно за 2014-2023 г.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O12 - Брой на участниците в обучения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O12 - Брой на участниците в обучения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O12 - Брой на участниците в обучения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O12 - Брой на участниците в обучения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O12 - Брой на участниците в обучения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O12 - Брой на участниците в обучения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O12 - Брой на участниците в обучения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O12 - Брой на участниците в обучения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O12 - Брой на участниците в обучения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O12 - Брой на участниците в обучения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O12 - Брой на участниците в обучения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O12 - Брой на участниците в обучения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O12 - Брой на участниците в обучения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O12 - Брой на участниците в обучения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O12 - Брой на участниците в обучения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6C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O12 - Брой на участниците в обучения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</w:tbl>
    <w:p>
      <w:r>
        <w:br w:type="page"/>
      </w:r>
      <w:r>
        <w:t>Таблица В2.5: Мониторинг на подкрепените операции, предназначени за подпомагане на смекчаването на последиците от извънредно положение във връзка с COVID-19 и на действия за възстановяване (изменен член 14 от Регламент 808/2014) — КУМУЛАТИВНО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8" w:type="dxa"/>
          <w:right w:w="108" w:type="dxa"/>
        </w:tblCellMar>
      </w:tblPr>
      <w:tblGrid>
        <w:gridCol w:w="1839"/>
        <w:gridCol w:w="3065"/>
        <w:gridCol w:w="1839"/>
        <w:gridCol w:w="1839"/>
        <w:gridCol w:w="1839"/>
      </w:tblGrid>
      <w:tr>
        <w:tblPrEx>
          <w:tblW w:w="5000" w:type="pc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Мярка</w:t>
            </w:r>
          </w:p>
        </w:tc>
        <w:tc>
          <w:tcPr>
            <w:tcW w:w="1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Показател</w:t>
            </w:r>
          </w:p>
        </w:tc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Приоритет</w:t>
            </w:r>
          </w:p>
        </w:tc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Област с поставен акцент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right"/>
            </w:pPr>
            <w:r>
              <w:rPr>
                <w:b w:val="0"/>
                <w:sz w:val="16"/>
              </w:rPr>
              <w:t>Кумулативно за 2014-2023 г.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O11 - Брой на дните проведено обучение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O11 - Брой на дните проведено обучение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O11 - Брой на дните проведено обучение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O11 - Брой на дните проведено обучение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O11 - Брой на дните проведено обучение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O11 - Брой на дните проведено обучение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O11 - Брой на дните проведено обучение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O11 - Брой на дните проведено обучение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O11 - Брой на дните проведено обучение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O11 - Брой на дните проведено обучение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O11 - Брой на дните проведено обучение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O12 - Брой на участниците в обучения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O12 - Брой на участниците в обучения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O12 - Брой на участниците в обучения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O12 - Брой на участниците в обучения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O12 - Брой на участниците в обучения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O12 - Брой на участниците в обучения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O12 - Брой на участниците в обучения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O12 - Брой на участниците в обучения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O12 - Брой на участниците в обучения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O12 - Брой на участниците в обучения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O12 - Брой на участниците в обучения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O13 - Брой на консултираните бенефициери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O13 - Брой на консултираните бенефициери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O13 - Брой на консултираните бенефициери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O13 - Брой на консултираните бенефициери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O13 - Брой на консултираните бенефициери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O13 - Брой на консултираните бенефициери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O13 - Брой на консултираните бенефициери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O13 - Брой на консултираните бенефициери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O13 - Брой на консултираните бенефициери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O13 - Брой на консултираните бенефициери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O13 - Брой на консултираните бенефициери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O14 - Брой на обучените консултанти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O14 - Брой на обучените консултанти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O14 - Брой на обучените консултанти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O14 - Брой на обучените консултанти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O14 - Брой на обучените консултанти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O14 - Брой на обучените консултанти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O14 - Брой на обучените консултанти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O14 - Брой на обучените консултанти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O14 - Брой на обучените консултанти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O14 - Брой на обучените консултанти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O14 - Брой на обучените консултанти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O8 - Брой на подпомаганите животински единици (ЖЕ)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O8 - Брой на подпомаганите животински единици (ЖЕ)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O8 - Брой на подпомаганите животински единици (ЖЕ)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O8 - Брой на подпомаганите животински единици (ЖЕ)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O8 - Брой на подпомаганите животински единици (ЖЕ)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O8 - Брой на подпомаганите животински единици (ЖЕ)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O8 - Брой на подпомаганите животински единици (ЖЕ)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O8 - Брой на подпомаганите животински единици (ЖЕ)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O8 - Брой на подпомаганите животински единици (ЖЕ)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O15 - Брой на жителите, които се ползват от подобрени услуги/инфраструктура (ИТ или други)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O15 - Брой на жителите, които се ползват от подобрени услуги/инфраструктура (ИТ или други)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O15 - Брой на жителите, които се ползват от подобрени услуги/инфраструктура (ИТ или други)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O15 - Брой на жителите, които се ползват от подобрени услуги/инфраструктура (ИТ или други)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M09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O9 - Брой земеделски стопанства, които участват в подпомаганите схеми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O9 - Брой земеделски стопанства, които участват в подпомаганите схеми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O9 - Брой земеделски стопанства, които участват в подпомаганите схеми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O9 - Брой земеделски стопанства, които участват в подпомаганите схеми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O9 - Брой земеделски стопанства, които участват в подпомаганите схеми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O9 - Брой земеделски стопанства, които участват в подпомаганите схеми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O9 - Брой земеделски стопанства, които участват в подпомаганите схеми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O9 - Брой земеделски стопанства, които участват в подпомаганите схеми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O9 - Брой земеделски стопанства, които участват в подпомаганите схеми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O16 - Брой на подпомогнатите оперативни групи в рамките на ЕПИ, брой подпомогнати операции по ЕПИ и брой и вид на партньорите в групите по ЕПИ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O16 - Брой на подпомогнатите оперативни групи в рамките на ЕПИ, брой подпомогнати операции по ЕПИ и брой и вид на партньорите в групите по ЕПИ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O16 - Брой на подпомогнатите оперативни групи в рамките на ЕПИ, брой подпомогнати операции по ЕПИ и брой и вид на партньорите в групите по ЕПИ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O16 - Брой на подпомогнатите оперативни групи в рамките на ЕПИ, брой подпомогнати операции по ЕПИ и брой и вид на партньорите в групите по ЕПИ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O16 - Брой на подпомогнатите оперативни групи в рамките на ЕПИ, брой подпомогнати операции по ЕПИ и брой и вид на партньорите в групите по ЕПИ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O16 - Брой на подпомогнатите оперативни групи в рамките на ЕПИ, брой подпомогнати операции по ЕПИ и брой и вид на партньорите в групите по ЕПИ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O16 - Брой на подпомогнатите оперативни групи в рамките на ЕПИ, брой подпомогнати операции по ЕПИ и брой и вид на партньорите в групите по ЕПИ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O16 - Брой на подпомогнатите оперативни групи в рамките на ЕПИ, брой подпомогнати операции по ЕПИ и брой и вид на партньорите в групите по ЕПИ 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 xml:space="preserve">O16 - Брой на подпомогнатите оперативни групи в рамките на ЕПИ, брой подпомогнати операции по ЕПИ и брой и вид на партньорите в групите по ЕПИ 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O17 - Брой на подпомогнатите операции за сътрудничество (различни от ЕПИ)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38 235 323,00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3 880 358,00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M21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42 115 681,00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M21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31 460,00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M21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187,00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M21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31 647,00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M20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</w:tbl>
    <w:p>
      <w:r>
        <w:br w:type="page"/>
      </w:r>
      <w:r>
        <w:t>Table C2.6: Monitoring of supported operations supporting mitigation of the impact of Russia’s invasion of Ukraine and recovery actions (amended art 14 of Regulation 808/2014) – CUMULATIVE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8" w:type="dxa"/>
          <w:right w:w="108" w:type="dxa"/>
        </w:tblCellMar>
      </w:tblPr>
      <w:tblGrid>
        <w:gridCol w:w="1839"/>
        <w:gridCol w:w="3065"/>
        <w:gridCol w:w="1839"/>
        <w:gridCol w:w="1839"/>
        <w:gridCol w:w="1839"/>
      </w:tblGrid>
      <w:tr>
        <w:tblPrEx>
          <w:tblW w:w="5000" w:type="pc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Мярка</w:t>
            </w:r>
          </w:p>
        </w:tc>
        <w:tc>
          <w:tcPr>
            <w:tcW w:w="1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Показател</w:t>
            </w:r>
          </w:p>
        </w:tc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Приоритет</w:t>
            </w:r>
          </w:p>
        </w:tc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Област с поставен акцент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right"/>
            </w:pPr>
            <w:r>
              <w:rPr>
                <w:b w:val="0"/>
                <w:sz w:val="16"/>
              </w:rPr>
              <w:t>Кумулативно за 2014-2023 г.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M05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2C+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O3 - Брой на действията/операциите,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M09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M13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M14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M19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M21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M21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29 856 952,00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1 999 040,00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M22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31 855 992,00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M22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36 834,00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M22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46,00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M22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  <w:r>
              <w:rPr>
                <w:b/>
                <w:sz w:val="16"/>
              </w:rPr>
              <w:t>36 880,00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  <w:r>
              <w:rPr>
                <w:b/>
                <w:sz w:val="16"/>
              </w:rPr>
              <w:t>M20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/>
                <w:sz w:val="16"/>
              </w:rPr>
            </w:pPr>
            <w:r>
              <w:rPr>
                <w:b/>
                <w:sz w:val="16"/>
              </w:rPr>
              <w:t>O1 - Общо публични разходи</w:t>
            </w: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/>
                <w:sz w:val="16"/>
              </w:rPr>
            </w:pPr>
          </w:p>
        </w:tc>
        <w:tc>
          <w:tcPr>
            <w:tcW w:w="750" w:type="pc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/>
                <w:sz w:val="16"/>
              </w:rPr>
            </w:pPr>
          </w:p>
        </w:tc>
      </w:tr>
    </w:tbl>
    <w:p>
      <w:pPr>
        <w:pStyle w:val="Heading2"/>
      </w:pPr>
      <w:r>
        <w:br w:type="page"/>
      </w:r>
      <w:bookmarkStart w:id="4" w:name="_Toc256000004"/>
      <w:r>
        <w:t>Таблица Г: Напредък към постигане на целите</w:t>
      </w:r>
      <w:bookmarkEnd w:id="4"/>
      <w:r>
        <w:t xml:space="preserve"> </w:t>
      </w:r>
    </w:p>
    <w:p>
      <w:r>
        <w:t>Одобрени операции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8" w:type="dxa"/>
          <w:right w:w="108" w:type="dxa"/>
        </w:tblCellMar>
      </w:tblPr>
      <w:tblGrid>
        <w:gridCol w:w="1563"/>
        <w:gridCol w:w="1563"/>
        <w:gridCol w:w="2605"/>
        <w:gridCol w:w="1563"/>
        <w:gridCol w:w="1563"/>
        <w:gridCol w:w="1563"/>
      </w:tblGrid>
      <w:tr>
        <w:tblPrEx>
          <w:tblW w:w="5000" w:type="pc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Приоритет</w:t>
            </w:r>
          </w:p>
        </w:tc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Област с поставен акцент</w:t>
            </w:r>
          </w:p>
        </w:tc>
        <w:tc>
          <w:tcPr>
            <w:tcW w:w="1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Показател</w:t>
            </w:r>
          </w:p>
        </w:tc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Мярка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 xml:space="preserve">Подмярка 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right"/>
            </w:pPr>
            <w:r>
              <w:rPr>
                <w:b w:val="0"/>
                <w:sz w:val="16"/>
              </w:rPr>
              <w:t>Въз основа на одобрените операции (кумулативни данни за периода 2014—2023 г.)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2 439,00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404,00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M06.1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3 696,00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O4 - Брой на стопанствата/бенефициерите, получаващи подкрепа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O9 - Брой земеделски стопанства, които участват в подпомаганите схеми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469,00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O9 - Брой земеделски стопанства, които участват в подпомаганите схеми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M16.4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394 456 616,00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11 723 342,00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O2 - Общ размер на инвестициите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M08.6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</w:tbl>
    <w:p>
      <w:r>
        <w:br w:type="page"/>
      </w:r>
      <w:r>
        <w:t>Реализирани целеви стойности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8" w:type="dxa"/>
          <w:right w:w="108" w:type="dxa"/>
        </w:tblCellMar>
      </w:tblPr>
      <w:tblGrid>
        <w:gridCol w:w="1737"/>
        <w:gridCol w:w="1737"/>
        <w:gridCol w:w="2894"/>
        <w:gridCol w:w="2316"/>
        <w:gridCol w:w="1737"/>
      </w:tblGrid>
      <w:tr>
        <w:tblPrEx>
          <w:tblW w:w="5000" w:type="pc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Приоритет</w:t>
            </w:r>
          </w:p>
        </w:tc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Област с поставен акцент</w:t>
            </w:r>
          </w:p>
        </w:tc>
        <w:tc>
          <w:tcPr>
            <w:tcW w:w="1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Показател</w:t>
            </w:r>
          </w:p>
        </w:tc>
        <w:tc>
          <w:tcPr>
            <w:tcW w:w="100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Размер 1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right"/>
            </w:pPr>
            <w:r>
              <w:rPr>
                <w:b w:val="0"/>
                <w:sz w:val="16"/>
              </w:rPr>
              <w:t>Въз основа на реализираната целева стойност от приключени операции*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T1: процент на разходи по членове 14, 15 и 35 от Регламент (ЕС) № 1305/2013 във връзка с общите разходи за ПРСР (област с поставен акцент 1А)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0,43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T2: общ брой на операциите за сътрудничество, подпомагани по мярката за сътрудничество (член 35 от Регламент (ЕС) № 1305/2013) (групи, мрежи/клъстери, пилотни проекти...) (област с поставен акцент 1Б)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14,00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T3: общ брой на участниците в обучения съгласно член 14 от Регламент (ЕС) № 1305/2013 (област с поставен акцент 1В)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2 280,00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брой на земеделските стопанства, получаващи подпомагане по ПРСР за инвестиции в преструктуриране или модернизация (област с поставен акцент 2A)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1 386,00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R1 / T4: процент на земеделските стопанства, получаващи подпомагане по ПРСР за инвестиции в преструктуриране или модернизация (област с поставен акцент 2A)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0,37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R3 / T5: процент на земеделските стопанства, разполагащи с бизнес план за развитие/инвестиции за млади земеделски стопани, подпомагани по ПРСР (област с поставен акцент 2Б)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R4 / T6: процент на земеделските стопанства, получаващи подпомагане по схеми за качество, местни пазари и къси вериги на доставки и групи/организации на производителите (област с поставен акцент 3A)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0,12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R5 / T7: процент на стопанствата, които участват в схеми за управление на риска (област с поставен акцент 3Б)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гори/други залесени площи, обхванати от договори за управление с цел подкрепа на биологичното разнообразие (ha) (област с поставен акцент 4А)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R6 / T8: процент на гори или други залесени райони, обхванати от договори за управление в подкрепа на биологичното разнообразие (област с поставен акцент 4А)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земеделска земя, обхваната от договори за управление в подкрепа на биологичното разнообразие и/или ландшафти (ha) (област с поставен акцент 4А)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804 164,90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R7 / T9: процент на земеделската земя, обхваната от договори за управление в подкрепа на биологичното разнообразие и/или ландшафти (област с поставен акцент 4А)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17,97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земеделска земя, обхваната от договори за управление с цел подобряване на управлението на водите (ha) (област с поставен акцент 4Б)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178 879,10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R8 / T10: процент на земеделската земя, обхваната от договори за управление с цел подобряване на управлението на водите (област с поставен акцент 4Б)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горска земя, обхваната от договори за управление с цел подобряване на управлението на водите (ha) (област с поставен акцент 4Б)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R9 / T11: процент на горската земя, обхваната от договори за управление с цел подобряване на управлението на водите (област с поставен акцент 4Б)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земеделска земя, обхваната от договори за управление с цел подобряване на управлението на почвите и/или предотвратяване на почвената ерозия (ha) (област с поставен акцент 4В)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178 879,10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R10 / T12: процент на земеделската земя, обхваната от договори за управление с цел подобряване на управлението на почвите и/или предотвратяване на почвената ерозия (област с поставен акцент 4В)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горска земя, обхваната от договори за управление с цел подобряване на управлението на почвите и/или предотвратяване на почвената ерозия (ha) (област с поставен акцент 4В)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R11 / T13: процент на горската земя, обхваната от договори за управление с цел подобряване на управлението на почвите и/или предотвратяване на почвената ерозия (област с поставен акцент 4В)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R12 / T14: процент на поливните площи, преминаващи към по-ефективни напоителни системи (област с поставен акцент 5А)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T15: общите инвестиции за енергийна ефективност (област с поставен акцент 5Б)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228 186 819,00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5C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T16: общ размер на инвестициите в производство на енергия от възобновяеми източници (област с поставен акцент 5В)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12 309 767,00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R16 / T17: процент на ЖЕ, засегнати от инвестиции в управление на добитък с оглед намаляване на емисиите на парникови газове и/или на амоняк (област с поставен акцент 5Г)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0,09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земеделска земя, обхваната от договори за управление за намаляване на емисиите на парникови газове и/или на амоняк (ha) (област с поставен акцент 5Г)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31 212,00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5D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R17 / T18: процент на земеделската земя, обхваната от договори за управление за намаляване на емисиите на парникови газове и/или на амоняк (област с поставен акцент 5Г)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0,70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земеделска и горска земя под управление за насърчаване поглъщането/съхраняването на въглерод (ha) (област с поставен акцент 5Д)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5E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R20 / T19: процент от земеделските и горските земи, обхванати от договори за управление, допринасящи за улавяне и съхранение на въглерод (област с поставен акцент 5Д)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R21 / T20: работни места, разкрити в подпомогнатите проекти (област с поставен акцент 6А)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жени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1 648,00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6A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R21 / T20: работни места, разкрити в подпомогнатите проекти (област с поставен акцент 6А)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мъже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1 648,00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R22 / T21: процент от населението в селските райони, обхванато от стратегии за местно развитие (област с поставен акцент 6Б)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27,53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нетен брой на населението, което се възползва от подобрените услуги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4 592 423,00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R23 / T22: процент от населението в селските райони, което се възползва от подобрените услуги/инфраструктура (област с поставен акцент 6Б)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76,79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R24 / T23: работни места, разкрити в подпомогнатите проекти (LEADER) (област с поставен акцент 6Б)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жени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71,00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6B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R24 / T23: работни места, разкрити в подпомогнатите проекти (LEADER) (област с поставен акцент 6Б)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мъже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72,00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6C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нетен брой на населението, което се възползва от подобрените услуги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P6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center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6C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R25 / T24: процент от населението в селските райони, което се възползва от нови или подобрени услуги/инфраструктура (ИКТ) (област с поставен акцент 6В)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0,00</w:t>
            </w:r>
          </w:p>
        </w:tc>
      </w:tr>
    </w:tbl>
    <w:p>
      <w:pPr>
        <w:pStyle w:val="Heading2"/>
      </w:pPr>
      <w:r>
        <w:br w:type="page"/>
      </w:r>
      <w:bookmarkStart w:id="5" w:name="_Toc256000005"/>
      <w:r>
        <w:t>Таблица Д: Мониторинг на преходните мерки — ГОДИШНИ ДАННИ</w:t>
      </w:r>
      <w:bookmarkEnd w:id="5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8" w:type="dxa"/>
          <w:right w:w="108" w:type="dxa"/>
        </w:tblCellMar>
      </w:tblPr>
      <w:tblGrid>
        <w:gridCol w:w="3473"/>
        <w:gridCol w:w="3473"/>
        <w:gridCol w:w="3473"/>
      </w:tblGrid>
      <w:tr>
        <w:tblPrEx>
          <w:tblW w:w="5000" w:type="pc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c>
          <w:tcPr>
            <w:tcW w:w="2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Мярка</w:t>
            </w:r>
          </w:p>
        </w:tc>
        <w:tc>
          <w:tcPr>
            <w:tcW w:w="50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Мярка (код) съгласно Регламент (ЕО) № 1698/2005 (DM = преустановена мярка)</w:t>
            </w:r>
          </w:p>
        </w:tc>
        <w:tc>
          <w:tcPr>
            <w:tcW w:w="750" w:type="pct"/>
            <w:vMerge w:val="restart"/>
            <w:shd w:val="clear" w:color="auto" w:fill="C0C0C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jc w:val="right"/>
            </w:pPr>
            <w:r>
              <w:rPr>
                <w:b w:val="0"/>
                <w:sz w:val="16"/>
              </w:rPr>
              <w:t>Общо публични разходи   (в евро)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331, 111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114, 115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132, 133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216, 121, 125, 123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126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112, 141, 311,312,313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M07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321, 322, 323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M08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221, 222, 223, 226, 227, 122, 123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M09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142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M10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214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M11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214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213, 224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M13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211, 212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215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225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M16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124</w:t>
            </w:r>
          </w:p>
        </w:tc>
        <w:tc>
          <w:tcPr>
            <w:tcW w:w="750" w:type="pct"/>
            <w:vMerge w:val="restar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M19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411, 412, 413, 421, 431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DM 113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DM 131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left"/>
              <w:rPr>
                <w:b w:val="0"/>
                <w:sz w:val="16"/>
              </w:rPr>
            </w:pPr>
            <w:r>
              <w:rPr>
                <w:b w:val="0"/>
                <w:sz w:val="16"/>
              </w:rPr>
              <w:t>DM 341</w:t>
            </w:r>
          </w:p>
        </w:tc>
        <w:tc>
          <w:tcPr>
            <w:tcW w:w="750" w:type="pct"/>
            <w:shd w:val="clear" w:color="auto" w:fill="FFFFFF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spacing w:before="20" w:after="20"/>
              <w:jc w:val="right"/>
              <w:rPr>
                <w:b w:val="0"/>
                <w:sz w:val="16"/>
              </w:rPr>
            </w:pPr>
          </w:p>
        </w:tc>
      </w:tr>
    </w:tbl>
    <w:p>
      <w:pPr>
        <w:sectPr>
          <w:pgMar w:top="900" w:right="900" w:bottom="900" w:left="900" w:header="720" w:footer="720"/>
          <w:cols w:space="720"/>
        </w:sectPr>
      </w:pPr>
      <w:r>
        <w:br w:type="page"/>
      </w:r>
    </w:p>
    <w:p>
      <w:pPr>
        <w:pStyle w:val="Heading2"/>
      </w:pPr>
      <w:bookmarkStart w:id="6" w:name="_Toc256000006"/>
      <w:r>
        <w:t>Таблица Е: Постигане на показателите от рамката на изпълнението</w:t>
      </w:r>
      <w:bookmarkEnd w:id="6"/>
    </w:p>
    <w:p>
      <w:r>
        <w:t>Таблица Е1: Показатели от рамката на изпълнението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8" w:type="dxa"/>
          <w:right w:w="108" w:type="dxa"/>
        </w:tblCellMar>
      </w:tblPr>
      <w:tblGrid>
        <w:gridCol w:w="1441"/>
        <w:gridCol w:w="1491"/>
        <w:gridCol w:w="3140"/>
        <w:gridCol w:w="1678"/>
        <w:gridCol w:w="1709"/>
        <w:gridCol w:w="1760"/>
        <w:gridCol w:w="1542"/>
        <w:gridCol w:w="1257"/>
      </w:tblGrid>
      <w:tr>
        <w:tblPrEx>
          <w:tblW w:w="5000" w:type="pc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80808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rPr>
                <w:b/>
                <w:sz w:val="20"/>
              </w:rPr>
            </w:pPr>
            <w:r>
              <w:rPr>
                <w:b/>
                <w:sz w:val="20"/>
              </w:rPr>
              <w:t>Applicable</w:t>
            </w:r>
          </w:p>
        </w:tc>
        <w:tc>
          <w:tcPr>
            <w:tcW w:w="750" w:type="pct"/>
            <w:shd w:val="clear" w:color="auto" w:fill="80808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rPr>
                <w:b/>
                <w:sz w:val="20"/>
              </w:rPr>
            </w:pPr>
            <w:r>
              <w:rPr>
                <w:b/>
                <w:sz w:val="20"/>
              </w:rPr>
              <w:t>Приоритет</w:t>
            </w:r>
          </w:p>
        </w:tc>
        <w:tc>
          <w:tcPr>
            <w:tcW w:w="750" w:type="pct"/>
            <w:shd w:val="clear" w:color="auto" w:fill="80808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rPr>
                <w:b/>
                <w:sz w:val="20"/>
              </w:rPr>
            </w:pPr>
            <w:r>
              <w:rPr>
                <w:b/>
                <w:sz w:val="20"/>
              </w:rPr>
              <w:t>Показател</w:t>
            </w:r>
          </w:p>
        </w:tc>
        <w:tc>
          <w:tcPr>
            <w:tcW w:w="750" w:type="pct"/>
            <w:shd w:val="clear" w:color="auto" w:fill="80808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rPr>
                <w:b/>
                <w:sz w:val="20"/>
              </w:rPr>
            </w:pPr>
            <w:r>
              <w:rPr>
                <w:b/>
                <w:sz w:val="20"/>
              </w:rPr>
              <w:t>Реализирани показатели от рамката на изпълнението (година 2023)* (A)</w:t>
            </w:r>
          </w:p>
        </w:tc>
        <w:tc>
          <w:tcPr>
            <w:tcW w:w="750" w:type="pct"/>
            <w:shd w:val="clear" w:color="auto" w:fill="80808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rPr>
                <w:b/>
                <w:sz w:val="20"/>
              </w:rPr>
            </w:pPr>
            <w:r>
              <w:rPr>
                <w:b/>
                <w:sz w:val="20"/>
              </w:rPr>
              <w:t>Корекции за допълнителни плащания  (Б)</w:t>
            </w:r>
          </w:p>
        </w:tc>
        <w:tc>
          <w:tcPr>
            <w:tcW w:w="750" w:type="pct"/>
            <w:shd w:val="clear" w:color="auto" w:fill="80808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rPr>
                <w:b/>
                <w:sz w:val="20"/>
              </w:rPr>
            </w:pPr>
            <w:r>
              <w:rPr>
                <w:b/>
                <w:sz w:val="20"/>
              </w:rPr>
              <w:t>ADJUSTMENT EURI ( C )</w:t>
            </w:r>
          </w:p>
        </w:tc>
        <w:tc>
          <w:tcPr>
            <w:tcW w:w="750" w:type="pct"/>
            <w:shd w:val="clear" w:color="auto" w:fill="808080"/>
            <w:noWrap w:val="0"/>
            <w:tcMar>
              <w:top w:w="20" w:type="dxa"/>
              <w:bottom w:w="20" w:type="dxa"/>
            </w:tcMar>
            <w:vAlign w:val="center"/>
          </w:tcPr>
          <w:p>
            <w:pPr>
              <w:rPr>
                <w:b/>
                <w:sz w:val="20"/>
              </w:rPr>
            </w:pPr>
            <w:r>
              <w:rPr>
                <w:b/>
                <w:sz w:val="20"/>
              </w:rPr>
              <w:t>Calculated achievement rate (YEAR 2023)** (D)=(A-B-C)/E</w:t>
            </w:r>
          </w:p>
        </w:tc>
        <w:tc>
          <w:tcPr>
            <w:tcW w:w="750" w:type="pct"/>
            <w:shd w:val="clear" w:color="auto" w:fill="808080"/>
            <w:noWrap w:val="0"/>
            <w:tcMar>
              <w:top w:w="20" w:type="dxa"/>
              <w:bottom w:w="20" w:type="dxa"/>
            </w:tcMar>
            <w:vAlign w:val="center"/>
          </w:tcPr>
          <w:p>
            <w:r>
              <w:rPr>
                <w:b/>
                <w:sz w:val="20"/>
              </w:rPr>
              <w:t>Цел 2025 г. (от ПРСР) Д)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</w:tcPr>
          <w:p>
            <w:pPr>
              <w:jc w:val="center"/>
            </w:pPr>
            <w:r>
              <w:t xml:space="preserve"> X </w:t>
            </w:r>
          </w:p>
        </w:tc>
        <w:tc>
          <w:tcPr>
            <w:tcW w:w="750" w:type="pct"/>
          </w:tcPr>
          <w:p>
            <w:pPr>
              <w:jc w:val="center"/>
            </w:pPr>
            <w:r>
              <w:t>P2</w:t>
            </w:r>
          </w:p>
        </w:tc>
        <w:tc>
          <w:tcPr>
            <w:tcW w:w="750" w:type="pct"/>
          </w:tcPr>
          <w:p>
            <w:pPr>
              <w:jc w:val="left"/>
            </w:pPr>
            <w:r>
              <w:t>Общо публични разходи П2 (в евро)</w:t>
            </w:r>
          </w:p>
        </w:tc>
        <w:tc>
          <w:tcPr>
            <w:tcW w:w="750" w:type="pct"/>
          </w:tcPr>
          <w:p>
            <w:pPr>
              <w:jc w:val="right"/>
            </w:pPr>
            <w:r>
              <w:t>514 379 105,78</w:t>
            </w:r>
          </w:p>
        </w:tc>
        <w:tc>
          <w:tcPr>
            <w:tcW w:w="750" w:type="pct"/>
          </w:tcPr>
          <w:p>
            <w:pPr>
              <w:jc w:val="right"/>
            </w:pPr>
          </w:p>
        </w:tc>
        <w:tc>
          <w:tcPr>
            <w:tcW w:w="750" w:type="pct"/>
          </w:tcPr>
          <w:p>
            <w:pPr>
              <w:jc w:val="right"/>
            </w:pPr>
          </w:p>
        </w:tc>
        <w:tc>
          <w:tcPr>
            <w:tcW w:w="750" w:type="pct"/>
          </w:tcPr>
          <w:p>
            <w:pPr>
              <w:jc w:val="right"/>
            </w:pPr>
            <w:r>
              <w:t>69.6%</w:t>
            </w:r>
          </w:p>
        </w:tc>
        <w:tc>
          <w:tcPr>
            <w:tcW w:w="750" w:type="pct"/>
          </w:tcPr>
          <w:p>
            <w:pPr>
              <w:jc w:val="right"/>
            </w:pPr>
            <w:r>
              <w:t>739 049 505,80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</w:tcPr>
          <w:p>
            <w:pPr>
              <w:jc w:val="center"/>
            </w:pPr>
            <w:r>
              <w:t xml:space="preserve"> X </w:t>
            </w:r>
          </w:p>
        </w:tc>
        <w:tc>
          <w:tcPr>
            <w:tcW w:w="750" w:type="pct"/>
          </w:tcPr>
          <w:p>
            <w:pPr>
              <w:jc w:val="center"/>
            </w:pPr>
            <w:r>
              <w:t>P2</w:t>
            </w:r>
          </w:p>
        </w:tc>
        <w:tc>
          <w:tcPr>
            <w:tcW w:w="750" w:type="pct"/>
          </w:tcPr>
          <w:p>
            <w:pPr>
              <w:jc w:val="left"/>
            </w:pPr>
            <w:r>
              <w:t>Брой на земеделски стопанства с подпомагане от ПРСР за инвестиции в преструктуриране и модернизация (област с поставен акцент 2А) + стопанства с бизнес план за развитие/инвестиция за млади земеделски стопани, подпомагани по линия на ПРСР (област с поставен акцент 2Б)</w:t>
            </w:r>
          </w:p>
        </w:tc>
        <w:tc>
          <w:tcPr>
            <w:tcW w:w="750" w:type="pct"/>
          </w:tcPr>
          <w:p>
            <w:pPr>
              <w:jc w:val="right"/>
            </w:pPr>
            <w:r>
              <w:t>5 338,00</w:t>
            </w:r>
          </w:p>
        </w:tc>
        <w:tc>
          <w:tcPr>
            <w:tcW w:w="750" w:type="pct"/>
          </w:tcPr>
          <w:p>
            <w:pPr>
              <w:jc w:val="right"/>
            </w:pPr>
          </w:p>
        </w:tc>
        <w:tc>
          <w:tcPr>
            <w:tcW w:w="750" w:type="pct"/>
          </w:tcPr>
          <w:p>
            <w:pPr>
              <w:jc w:val="right"/>
            </w:pPr>
          </w:p>
        </w:tc>
        <w:tc>
          <w:tcPr>
            <w:tcW w:w="750" w:type="pct"/>
          </w:tcPr>
          <w:p>
            <w:pPr>
              <w:jc w:val="right"/>
            </w:pPr>
            <w:r>
              <w:t>113.57%</w:t>
            </w:r>
          </w:p>
        </w:tc>
        <w:tc>
          <w:tcPr>
            <w:tcW w:w="750" w:type="pct"/>
          </w:tcPr>
          <w:p>
            <w:pPr>
              <w:jc w:val="right"/>
            </w:pPr>
            <w:r>
              <w:t>4 700,00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</w:tcPr>
          <w:p>
            <w:pPr>
              <w:jc w:val="center"/>
            </w:pPr>
            <w:r>
              <w:t xml:space="preserve"> X </w:t>
            </w:r>
          </w:p>
        </w:tc>
        <w:tc>
          <w:tcPr>
            <w:tcW w:w="750" w:type="pct"/>
          </w:tcPr>
          <w:p>
            <w:pPr>
              <w:jc w:val="center"/>
            </w:pPr>
            <w:r>
              <w:t>P3</w:t>
            </w:r>
          </w:p>
        </w:tc>
        <w:tc>
          <w:tcPr>
            <w:tcW w:w="750" w:type="pct"/>
          </w:tcPr>
          <w:p>
            <w:pPr>
              <w:jc w:val="left"/>
            </w:pPr>
            <w:r>
              <w:t>Общо публични разходи П3 (в евро)</w:t>
            </w:r>
          </w:p>
        </w:tc>
        <w:tc>
          <w:tcPr>
            <w:tcW w:w="750" w:type="pct"/>
          </w:tcPr>
          <w:p>
            <w:pPr>
              <w:jc w:val="right"/>
            </w:pPr>
            <w:r>
              <w:t>176 220 461,63</w:t>
            </w:r>
          </w:p>
        </w:tc>
        <w:tc>
          <w:tcPr>
            <w:tcW w:w="750" w:type="pct"/>
          </w:tcPr>
          <w:p>
            <w:pPr>
              <w:jc w:val="right"/>
            </w:pPr>
          </w:p>
        </w:tc>
        <w:tc>
          <w:tcPr>
            <w:tcW w:w="750" w:type="pct"/>
          </w:tcPr>
          <w:p>
            <w:pPr>
              <w:jc w:val="right"/>
            </w:pPr>
          </w:p>
        </w:tc>
        <w:tc>
          <w:tcPr>
            <w:tcW w:w="750" w:type="pct"/>
          </w:tcPr>
          <w:p>
            <w:pPr>
              <w:jc w:val="right"/>
            </w:pPr>
            <w:r>
              <w:t>49.48%</w:t>
            </w:r>
          </w:p>
        </w:tc>
        <w:tc>
          <w:tcPr>
            <w:tcW w:w="750" w:type="pct"/>
          </w:tcPr>
          <w:p>
            <w:pPr>
              <w:jc w:val="right"/>
            </w:pPr>
            <w:r>
              <w:t>356 159 232,40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</w:tcPr>
          <w:p>
            <w:pPr>
              <w:jc w:val="center"/>
            </w:pPr>
            <w:r>
              <w:t xml:space="preserve"> X </w:t>
            </w:r>
          </w:p>
        </w:tc>
        <w:tc>
          <w:tcPr>
            <w:tcW w:w="750" w:type="pct"/>
          </w:tcPr>
          <w:p>
            <w:pPr>
              <w:jc w:val="center"/>
            </w:pPr>
            <w:r>
              <w:t>P3</w:t>
            </w:r>
          </w:p>
        </w:tc>
        <w:tc>
          <w:tcPr>
            <w:tcW w:w="750" w:type="pct"/>
          </w:tcPr>
          <w:p>
            <w:pPr>
              <w:jc w:val="left"/>
            </w:pPr>
            <w:r>
              <w:t xml:space="preserve">Брой на земеделските стопанства, получаващи подпомагане по схеми за качество, за местни пазари/ къси вериги на доставки и групи на производителите (област с поставен акцент 3A) </w:t>
            </w:r>
          </w:p>
        </w:tc>
        <w:tc>
          <w:tcPr>
            <w:tcW w:w="750" w:type="pct"/>
          </w:tcPr>
          <w:p>
            <w:pPr>
              <w:jc w:val="right"/>
            </w:pPr>
            <w:r>
              <w:t>441,00</w:t>
            </w:r>
          </w:p>
        </w:tc>
        <w:tc>
          <w:tcPr>
            <w:tcW w:w="750" w:type="pct"/>
          </w:tcPr>
          <w:p>
            <w:pPr>
              <w:jc w:val="right"/>
            </w:pPr>
          </w:p>
        </w:tc>
        <w:tc>
          <w:tcPr>
            <w:tcW w:w="750" w:type="pct"/>
          </w:tcPr>
          <w:p>
            <w:pPr>
              <w:jc w:val="right"/>
            </w:pPr>
          </w:p>
        </w:tc>
        <w:tc>
          <w:tcPr>
            <w:tcW w:w="750" w:type="pct"/>
          </w:tcPr>
          <w:p>
            <w:pPr>
              <w:jc w:val="right"/>
            </w:pPr>
            <w:r>
              <w:t>304.14%</w:t>
            </w:r>
          </w:p>
        </w:tc>
        <w:tc>
          <w:tcPr>
            <w:tcW w:w="750" w:type="pct"/>
          </w:tcPr>
          <w:p>
            <w:pPr>
              <w:jc w:val="right"/>
            </w:pPr>
            <w:r>
              <w:t>145,00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</w:tcPr>
          <w:p>
            <w:pPr>
              <w:jc w:val="center"/>
            </w:pPr>
            <w:r>
              <w:t xml:space="preserve"> X </w:t>
            </w:r>
          </w:p>
        </w:tc>
        <w:tc>
          <w:tcPr>
            <w:tcW w:w="750" w:type="pct"/>
          </w:tcPr>
          <w:p>
            <w:pPr>
              <w:jc w:val="center"/>
            </w:pPr>
            <w:r>
              <w:t>P3</w:t>
            </w:r>
          </w:p>
        </w:tc>
        <w:tc>
          <w:tcPr>
            <w:tcW w:w="750" w:type="pct"/>
          </w:tcPr>
          <w:p>
            <w:pPr>
              <w:jc w:val="left"/>
            </w:pPr>
            <w:r>
              <w:t>Брой на земеделските стопанства, които участват в схеми за управление на риска (област с поставен акцент 3Б)</w:t>
            </w:r>
          </w:p>
        </w:tc>
        <w:tc>
          <w:tcPr>
            <w:tcW w:w="750" w:type="pct"/>
          </w:tcPr>
          <w:p>
            <w:pPr>
              <w:jc w:val="right"/>
            </w:pPr>
            <w:r>
              <w:t>0,00</w:t>
            </w:r>
          </w:p>
        </w:tc>
        <w:tc>
          <w:tcPr>
            <w:tcW w:w="750" w:type="pct"/>
          </w:tcPr>
          <w:p>
            <w:pPr>
              <w:jc w:val="right"/>
            </w:pPr>
          </w:p>
        </w:tc>
        <w:tc>
          <w:tcPr>
            <w:tcW w:w="750" w:type="pct"/>
          </w:tcPr>
          <w:p>
            <w:pPr>
              <w:jc w:val="right"/>
            </w:pPr>
          </w:p>
        </w:tc>
        <w:tc>
          <w:tcPr>
            <w:tcW w:w="750" w:type="pct"/>
          </w:tcPr>
          <w:p>
            <w:pPr>
              <w:jc w:val="right"/>
            </w:pPr>
            <w:r>
              <w:t>0%</w:t>
            </w:r>
          </w:p>
        </w:tc>
        <w:tc>
          <w:tcPr>
            <w:tcW w:w="750" w:type="pct"/>
          </w:tcPr>
          <w:p>
            <w:pPr>
              <w:jc w:val="right"/>
            </w:pPr>
            <w:r>
              <w:t>60,00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</w:tcPr>
          <w:p>
            <w:pPr>
              <w:jc w:val="center"/>
            </w:pPr>
            <w:r>
              <w:t xml:space="preserve"> X </w:t>
            </w:r>
          </w:p>
        </w:tc>
        <w:tc>
          <w:tcPr>
            <w:tcW w:w="750" w:type="pct"/>
          </w:tcPr>
          <w:p>
            <w:pPr>
              <w:jc w:val="center"/>
            </w:pPr>
            <w:r>
              <w:t>P4</w:t>
            </w:r>
          </w:p>
        </w:tc>
        <w:tc>
          <w:tcPr>
            <w:tcW w:w="750" w:type="pct"/>
          </w:tcPr>
          <w:p>
            <w:pPr>
              <w:jc w:val="left"/>
            </w:pPr>
            <w:r>
              <w:t>Общо публични разходи П4 (в евро)</w:t>
            </w:r>
          </w:p>
        </w:tc>
        <w:tc>
          <w:tcPr>
            <w:tcW w:w="750" w:type="pct"/>
          </w:tcPr>
          <w:p>
            <w:pPr>
              <w:jc w:val="right"/>
            </w:pPr>
            <w:r>
              <w:t>1 034 450 093,21</w:t>
            </w:r>
          </w:p>
        </w:tc>
        <w:tc>
          <w:tcPr>
            <w:tcW w:w="750" w:type="pct"/>
          </w:tcPr>
          <w:p>
            <w:pPr>
              <w:jc w:val="right"/>
            </w:pPr>
          </w:p>
        </w:tc>
        <w:tc>
          <w:tcPr>
            <w:tcW w:w="750" w:type="pct"/>
          </w:tcPr>
          <w:p>
            <w:pPr>
              <w:jc w:val="right"/>
            </w:pPr>
          </w:p>
        </w:tc>
        <w:tc>
          <w:tcPr>
            <w:tcW w:w="750" w:type="pct"/>
          </w:tcPr>
          <w:p>
            <w:pPr>
              <w:jc w:val="right"/>
            </w:pPr>
            <w:r>
              <w:t>97.59%</w:t>
            </w:r>
          </w:p>
        </w:tc>
        <w:tc>
          <w:tcPr>
            <w:tcW w:w="750" w:type="pct"/>
          </w:tcPr>
          <w:p>
            <w:pPr>
              <w:jc w:val="right"/>
            </w:pPr>
            <w:r>
              <w:t>1 059 989 052,40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</w:tcPr>
          <w:p>
            <w:pPr>
              <w:jc w:val="center"/>
            </w:pPr>
            <w:r>
              <w:t xml:space="preserve"> X </w:t>
            </w:r>
          </w:p>
        </w:tc>
        <w:tc>
          <w:tcPr>
            <w:tcW w:w="750" w:type="pct"/>
          </w:tcPr>
          <w:p>
            <w:pPr>
              <w:jc w:val="center"/>
            </w:pPr>
            <w:r>
              <w:t>P4</w:t>
            </w:r>
          </w:p>
        </w:tc>
        <w:tc>
          <w:tcPr>
            <w:tcW w:w="750" w:type="pct"/>
          </w:tcPr>
          <w:p>
            <w:pPr>
              <w:jc w:val="left"/>
            </w:pPr>
            <w:r>
              <w:t>Земеделска земя, обхваната от договори за управление с цел подкрепа на биологичното разнообразие (ha) (област с поставен акцент 4А) + подобряване на управлението на водите (ha) (област с поставен акцент 4Б) + подобряване на управлението на почвите и/предотвратяването на почвената ерозия (ha) (област с поставен акцент 4В)</w:t>
            </w:r>
          </w:p>
        </w:tc>
        <w:tc>
          <w:tcPr>
            <w:tcW w:w="750" w:type="pct"/>
          </w:tcPr>
          <w:p>
            <w:pPr>
              <w:jc w:val="right"/>
            </w:pPr>
            <w:r>
              <w:t>860 297,73</w:t>
            </w:r>
          </w:p>
        </w:tc>
        <w:tc>
          <w:tcPr>
            <w:tcW w:w="750" w:type="pct"/>
          </w:tcPr>
          <w:p>
            <w:pPr>
              <w:jc w:val="right"/>
            </w:pPr>
          </w:p>
        </w:tc>
        <w:tc>
          <w:tcPr>
            <w:tcW w:w="750" w:type="pct"/>
          </w:tcPr>
          <w:p>
            <w:pPr>
              <w:jc w:val="right"/>
            </w:pPr>
          </w:p>
        </w:tc>
        <w:tc>
          <w:tcPr>
            <w:tcW w:w="750" w:type="pct"/>
          </w:tcPr>
          <w:p>
            <w:pPr>
              <w:jc w:val="right"/>
            </w:pPr>
            <w:r>
              <w:t>156.42%</w:t>
            </w:r>
          </w:p>
        </w:tc>
        <w:tc>
          <w:tcPr>
            <w:tcW w:w="750" w:type="pct"/>
          </w:tcPr>
          <w:p>
            <w:pPr>
              <w:jc w:val="right"/>
            </w:pPr>
            <w:r>
              <w:t>550 000,00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</w:tcPr>
          <w:p>
            <w:pPr>
              <w:jc w:val="center"/>
            </w:pPr>
            <w:r>
              <w:t xml:space="preserve"> X </w:t>
            </w:r>
          </w:p>
        </w:tc>
        <w:tc>
          <w:tcPr>
            <w:tcW w:w="750" w:type="pct"/>
          </w:tcPr>
          <w:p>
            <w:pPr>
              <w:jc w:val="center"/>
            </w:pPr>
            <w:r>
              <w:t>P5</w:t>
            </w:r>
          </w:p>
        </w:tc>
        <w:tc>
          <w:tcPr>
            <w:tcW w:w="750" w:type="pct"/>
          </w:tcPr>
          <w:p>
            <w:pPr>
              <w:jc w:val="left"/>
            </w:pPr>
            <w:r>
              <w:t>Общо публични разходи П5 (в евро)</w:t>
            </w:r>
          </w:p>
        </w:tc>
        <w:tc>
          <w:tcPr>
            <w:tcW w:w="750" w:type="pct"/>
          </w:tcPr>
          <w:p>
            <w:pPr>
              <w:jc w:val="right"/>
            </w:pPr>
            <w:r>
              <w:t>163 763 872,99</w:t>
            </w:r>
          </w:p>
        </w:tc>
        <w:tc>
          <w:tcPr>
            <w:tcW w:w="750" w:type="pct"/>
          </w:tcPr>
          <w:p>
            <w:pPr>
              <w:jc w:val="right"/>
            </w:pPr>
          </w:p>
        </w:tc>
        <w:tc>
          <w:tcPr>
            <w:tcW w:w="750" w:type="pct"/>
          </w:tcPr>
          <w:p>
            <w:pPr>
              <w:jc w:val="right"/>
            </w:pPr>
          </w:p>
        </w:tc>
        <w:tc>
          <w:tcPr>
            <w:tcW w:w="750" w:type="pct"/>
          </w:tcPr>
          <w:p>
            <w:pPr>
              <w:jc w:val="right"/>
            </w:pPr>
            <w:r>
              <w:t>44.35%</w:t>
            </w:r>
          </w:p>
        </w:tc>
        <w:tc>
          <w:tcPr>
            <w:tcW w:w="750" w:type="pct"/>
          </w:tcPr>
          <w:p>
            <w:pPr>
              <w:jc w:val="right"/>
            </w:pPr>
            <w:r>
              <w:t>369 283 209,30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</w:tcPr>
          <w:p>
            <w:pPr>
              <w:jc w:val="center"/>
            </w:pPr>
            <w:r>
              <w:t xml:space="preserve"> X </w:t>
            </w:r>
          </w:p>
        </w:tc>
        <w:tc>
          <w:tcPr>
            <w:tcW w:w="750" w:type="pct"/>
          </w:tcPr>
          <w:p>
            <w:pPr>
              <w:jc w:val="center"/>
            </w:pPr>
            <w:r>
              <w:t>P5</w:t>
            </w:r>
          </w:p>
        </w:tc>
        <w:tc>
          <w:tcPr>
            <w:tcW w:w="750" w:type="pct"/>
          </w:tcPr>
          <w:p>
            <w:pPr>
              <w:jc w:val="left"/>
            </w:pPr>
            <w:r>
              <w:t>Брой на инвестиционните операции в енергоспестяването и енергийната ефективност (област с поставен акцент 5Б) + в производство на енергия от възобновяеми източници (област с поставен акцент 5В)</w:t>
            </w:r>
          </w:p>
        </w:tc>
        <w:tc>
          <w:tcPr>
            <w:tcW w:w="750" w:type="pct"/>
          </w:tcPr>
          <w:p>
            <w:pPr>
              <w:jc w:val="right"/>
            </w:pPr>
            <w:r>
              <w:t>426,00</w:t>
            </w:r>
          </w:p>
        </w:tc>
        <w:tc>
          <w:tcPr>
            <w:tcW w:w="750" w:type="pct"/>
          </w:tcPr>
          <w:p>
            <w:pPr>
              <w:jc w:val="right"/>
            </w:pPr>
          </w:p>
        </w:tc>
        <w:tc>
          <w:tcPr>
            <w:tcW w:w="750" w:type="pct"/>
          </w:tcPr>
          <w:p>
            <w:pPr>
              <w:jc w:val="right"/>
            </w:pPr>
          </w:p>
        </w:tc>
        <w:tc>
          <w:tcPr>
            <w:tcW w:w="750" w:type="pct"/>
          </w:tcPr>
          <w:p>
            <w:pPr>
              <w:jc w:val="right"/>
            </w:pPr>
            <w:r>
              <w:t>96.82%</w:t>
            </w:r>
          </w:p>
        </w:tc>
        <w:tc>
          <w:tcPr>
            <w:tcW w:w="750" w:type="pct"/>
          </w:tcPr>
          <w:p>
            <w:pPr>
              <w:jc w:val="right"/>
            </w:pPr>
            <w:r>
              <w:t>440,00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</w:tcPr>
          <w:p>
            <w:pPr>
              <w:jc w:val="center"/>
            </w:pPr>
            <w:r>
              <w:t xml:space="preserve"> X </w:t>
            </w:r>
          </w:p>
        </w:tc>
        <w:tc>
          <w:tcPr>
            <w:tcW w:w="750" w:type="pct"/>
          </w:tcPr>
          <w:p>
            <w:pPr>
              <w:jc w:val="center"/>
            </w:pPr>
            <w:r>
              <w:t>P5</w:t>
            </w:r>
          </w:p>
        </w:tc>
        <w:tc>
          <w:tcPr>
            <w:tcW w:w="750" w:type="pct"/>
          </w:tcPr>
          <w:p>
            <w:pPr>
              <w:jc w:val="left"/>
            </w:pPr>
            <w:r>
              <w:t>Земеделски и горски земи под управление за насърчаване на поглъщането/съхраняването на въглерод (ha) (област с поставен акцент 5Д) + земеделска земя, обхваната от договори за управление с цел намаляване на емисиите на парникови газове и/или на амоняк (ha) (област с поставен акцент 5Г) + поливни площи, преминаващи към по-ефективни напоителни системи (ha) (област с поставен акцент 5А)</w:t>
            </w:r>
          </w:p>
        </w:tc>
        <w:tc>
          <w:tcPr>
            <w:tcW w:w="750" w:type="pct"/>
          </w:tcPr>
          <w:p>
            <w:pPr>
              <w:jc w:val="right"/>
            </w:pPr>
            <w:r>
              <w:t>31 212,00</w:t>
            </w:r>
          </w:p>
        </w:tc>
        <w:tc>
          <w:tcPr>
            <w:tcW w:w="750" w:type="pct"/>
          </w:tcPr>
          <w:p>
            <w:pPr>
              <w:jc w:val="right"/>
            </w:pPr>
          </w:p>
        </w:tc>
        <w:tc>
          <w:tcPr>
            <w:tcW w:w="750" w:type="pct"/>
          </w:tcPr>
          <w:p>
            <w:pPr>
              <w:jc w:val="right"/>
            </w:pPr>
          </w:p>
        </w:tc>
        <w:tc>
          <w:tcPr>
            <w:tcW w:w="750" w:type="pct"/>
          </w:tcPr>
          <w:p>
            <w:pPr>
              <w:jc w:val="right"/>
            </w:pPr>
            <w:r>
              <w:t>74.12%</w:t>
            </w:r>
          </w:p>
        </w:tc>
        <w:tc>
          <w:tcPr>
            <w:tcW w:w="750" w:type="pct"/>
          </w:tcPr>
          <w:p>
            <w:pPr>
              <w:jc w:val="right"/>
            </w:pPr>
            <w:r>
              <w:t>42 110,00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</w:tcPr>
          <w:p>
            <w:pPr>
              <w:jc w:val="center"/>
            </w:pPr>
            <w:r>
              <w:t xml:space="preserve"> X </w:t>
            </w:r>
          </w:p>
        </w:tc>
        <w:tc>
          <w:tcPr>
            <w:tcW w:w="750" w:type="pct"/>
          </w:tcPr>
          <w:p>
            <w:pPr>
              <w:jc w:val="center"/>
            </w:pPr>
            <w:r>
              <w:t>P6</w:t>
            </w:r>
          </w:p>
        </w:tc>
        <w:tc>
          <w:tcPr>
            <w:tcW w:w="750" w:type="pct"/>
          </w:tcPr>
          <w:p>
            <w:pPr>
              <w:jc w:val="left"/>
            </w:pPr>
            <w:r>
              <w:t>Брой операции, подпомогнати с цел подобряване на основни услуги и инфраструктура в селските райони (области с поставен акцент 6Б и 6В)</w:t>
            </w:r>
          </w:p>
        </w:tc>
        <w:tc>
          <w:tcPr>
            <w:tcW w:w="750" w:type="pct"/>
          </w:tcPr>
          <w:p>
            <w:pPr>
              <w:jc w:val="right"/>
            </w:pPr>
            <w:r>
              <w:t>758,00</w:t>
            </w:r>
          </w:p>
        </w:tc>
        <w:tc>
          <w:tcPr>
            <w:tcW w:w="750" w:type="pct"/>
          </w:tcPr>
          <w:p>
            <w:pPr>
              <w:jc w:val="right"/>
            </w:pPr>
          </w:p>
        </w:tc>
        <w:tc>
          <w:tcPr>
            <w:tcW w:w="750" w:type="pct"/>
          </w:tcPr>
          <w:p>
            <w:pPr>
              <w:jc w:val="right"/>
            </w:pPr>
          </w:p>
        </w:tc>
        <w:tc>
          <w:tcPr>
            <w:tcW w:w="750" w:type="pct"/>
          </w:tcPr>
          <w:p>
            <w:pPr>
              <w:jc w:val="right"/>
            </w:pPr>
            <w:r>
              <w:t>75.8%</w:t>
            </w:r>
          </w:p>
        </w:tc>
        <w:tc>
          <w:tcPr>
            <w:tcW w:w="750" w:type="pct"/>
          </w:tcPr>
          <w:p>
            <w:pPr>
              <w:jc w:val="right"/>
            </w:pPr>
            <w:r>
              <w:t>1 000,00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</w:tcPr>
          <w:p>
            <w:pPr>
              <w:jc w:val="center"/>
            </w:pPr>
            <w:r>
              <w:t xml:space="preserve"> X </w:t>
            </w:r>
          </w:p>
        </w:tc>
        <w:tc>
          <w:tcPr>
            <w:tcW w:w="750" w:type="pct"/>
          </w:tcPr>
          <w:p>
            <w:pPr>
              <w:jc w:val="center"/>
            </w:pPr>
            <w:r>
              <w:t>P6</w:t>
            </w:r>
          </w:p>
        </w:tc>
        <w:tc>
          <w:tcPr>
            <w:tcW w:w="750" w:type="pct"/>
          </w:tcPr>
          <w:p>
            <w:pPr>
              <w:jc w:val="left"/>
            </w:pPr>
            <w:r>
              <w:t>Общо публични разходи П6 (в евро)</w:t>
            </w:r>
          </w:p>
        </w:tc>
        <w:tc>
          <w:tcPr>
            <w:tcW w:w="750" w:type="pct"/>
          </w:tcPr>
          <w:p>
            <w:pPr>
              <w:jc w:val="right"/>
            </w:pPr>
            <w:r>
              <w:t>631 803 092,87</w:t>
            </w:r>
          </w:p>
        </w:tc>
        <w:tc>
          <w:tcPr>
            <w:tcW w:w="750" w:type="pct"/>
          </w:tcPr>
          <w:p>
            <w:pPr>
              <w:jc w:val="right"/>
            </w:pPr>
          </w:p>
        </w:tc>
        <w:tc>
          <w:tcPr>
            <w:tcW w:w="750" w:type="pct"/>
          </w:tcPr>
          <w:p>
            <w:pPr>
              <w:jc w:val="right"/>
            </w:pPr>
          </w:p>
        </w:tc>
        <w:tc>
          <w:tcPr>
            <w:tcW w:w="750" w:type="pct"/>
          </w:tcPr>
          <w:p>
            <w:pPr>
              <w:jc w:val="right"/>
            </w:pPr>
            <w:r>
              <w:t>63.36%</w:t>
            </w:r>
          </w:p>
        </w:tc>
        <w:tc>
          <w:tcPr>
            <w:tcW w:w="750" w:type="pct"/>
          </w:tcPr>
          <w:p>
            <w:pPr>
              <w:jc w:val="right"/>
            </w:pPr>
            <w:r>
              <w:t>997 194 855,70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</w:tcPr>
          <w:p>
            <w:pPr>
              <w:jc w:val="center"/>
            </w:pPr>
            <w:r>
              <w:t xml:space="preserve"> X </w:t>
            </w:r>
          </w:p>
        </w:tc>
        <w:tc>
          <w:tcPr>
            <w:tcW w:w="750" w:type="pct"/>
          </w:tcPr>
          <w:p>
            <w:pPr>
              <w:jc w:val="center"/>
            </w:pPr>
            <w:r>
              <w:t>P6</w:t>
            </w:r>
          </w:p>
        </w:tc>
        <w:tc>
          <w:tcPr>
            <w:tcW w:w="750" w:type="pct"/>
          </w:tcPr>
          <w:p>
            <w:pPr>
              <w:jc w:val="left"/>
            </w:pPr>
            <w:r>
              <w:t>Население, обхванато от местни групи за действие (област с поставен акцент 6Б)</w:t>
            </w:r>
          </w:p>
        </w:tc>
        <w:tc>
          <w:tcPr>
            <w:tcW w:w="750" w:type="pct"/>
          </w:tcPr>
          <w:p>
            <w:pPr>
              <w:jc w:val="right"/>
            </w:pPr>
            <w:r>
              <w:t>1 646 588,00</w:t>
            </w:r>
          </w:p>
        </w:tc>
        <w:tc>
          <w:tcPr>
            <w:tcW w:w="750" w:type="pct"/>
          </w:tcPr>
          <w:p>
            <w:pPr>
              <w:jc w:val="right"/>
            </w:pPr>
          </w:p>
        </w:tc>
        <w:tc>
          <w:tcPr>
            <w:tcW w:w="750" w:type="pct"/>
          </w:tcPr>
          <w:p>
            <w:pPr>
              <w:jc w:val="right"/>
            </w:pPr>
          </w:p>
        </w:tc>
        <w:tc>
          <w:tcPr>
            <w:tcW w:w="750" w:type="pct"/>
          </w:tcPr>
          <w:p>
            <w:pPr>
              <w:jc w:val="right"/>
            </w:pPr>
            <w:r>
              <w:t>120.19%</w:t>
            </w:r>
          </w:p>
        </w:tc>
        <w:tc>
          <w:tcPr>
            <w:tcW w:w="750" w:type="pct"/>
          </w:tcPr>
          <w:p>
            <w:pPr>
              <w:jc w:val="right"/>
            </w:pPr>
            <w:r>
              <w:t>1 370 000,00</w:t>
            </w:r>
          </w:p>
        </w:tc>
      </w:tr>
    </w:tbl>
    <w:p>
      <w:pPr>
        <w:jc w:val="left"/>
      </w:pPr>
      <w:r>
        <w:br w:type="page"/>
      </w:r>
      <w:r>
        <w:t>Таблица Е2: Алтернативни показатели от рамката на изпълнението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8" w:type="dxa"/>
          <w:right w:w="108" w:type="dxa"/>
        </w:tblCellMar>
      </w:tblPr>
      <w:tblGrid>
        <w:gridCol w:w="1653"/>
        <w:gridCol w:w="1687"/>
        <w:gridCol w:w="1908"/>
        <w:gridCol w:w="1815"/>
        <w:gridCol w:w="1836"/>
        <w:gridCol w:w="1870"/>
        <w:gridCol w:w="1722"/>
        <w:gridCol w:w="1529"/>
      </w:tblGrid>
      <w:tr>
        <w:tblPrEx>
          <w:tblW w:w="5000" w:type="pc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808080"/>
          </w:tcPr>
          <w:p>
            <w:pPr>
              <w:rPr>
                <w:b/>
                <w:sz w:val="20"/>
              </w:rPr>
            </w:pPr>
            <w:r>
              <w:rPr>
                <w:b/>
                <w:sz w:val="20"/>
              </w:rPr>
              <w:t>Applicable</w:t>
            </w:r>
          </w:p>
        </w:tc>
        <w:tc>
          <w:tcPr>
            <w:tcW w:w="750" w:type="pct"/>
            <w:shd w:val="clear" w:color="auto" w:fill="808080"/>
          </w:tcPr>
          <w:p>
            <w:pPr>
              <w:rPr>
                <w:b/>
                <w:sz w:val="20"/>
              </w:rPr>
            </w:pPr>
            <w:r>
              <w:rPr>
                <w:b/>
                <w:sz w:val="20"/>
              </w:rPr>
              <w:t>Приоритет</w:t>
            </w:r>
          </w:p>
        </w:tc>
        <w:tc>
          <w:tcPr>
            <w:tcW w:w="750" w:type="pct"/>
            <w:shd w:val="clear" w:color="auto" w:fill="808080"/>
          </w:tcPr>
          <w:p>
            <w:pPr>
              <w:rPr>
                <w:b/>
                <w:sz w:val="20"/>
              </w:rPr>
            </w:pPr>
            <w:r>
              <w:rPr>
                <w:b/>
                <w:sz w:val="20"/>
              </w:rPr>
              <w:t>Показател</w:t>
            </w:r>
          </w:p>
        </w:tc>
        <w:tc>
          <w:tcPr>
            <w:tcW w:w="750" w:type="pct"/>
            <w:shd w:val="clear" w:color="auto" w:fill="808080"/>
          </w:tcPr>
          <w:p>
            <w:pPr>
              <w:rPr>
                <w:b/>
                <w:sz w:val="20"/>
              </w:rPr>
            </w:pPr>
            <w:r>
              <w:rPr>
                <w:b/>
                <w:sz w:val="20"/>
              </w:rPr>
              <w:t>Реализирани показатели от рамката на изпълнението (година 2023)* (A)</w:t>
            </w:r>
          </w:p>
        </w:tc>
        <w:tc>
          <w:tcPr>
            <w:tcW w:w="750" w:type="pct"/>
            <w:shd w:val="clear" w:color="auto" w:fill="808080"/>
          </w:tcPr>
          <w:p>
            <w:pPr>
              <w:rPr>
                <w:b/>
                <w:sz w:val="20"/>
              </w:rPr>
            </w:pPr>
            <w:r>
              <w:rPr>
                <w:b/>
                <w:sz w:val="20"/>
              </w:rPr>
              <w:t>Корекции за допълнителни плащания  (Б)</w:t>
            </w:r>
          </w:p>
        </w:tc>
        <w:tc>
          <w:tcPr>
            <w:tcW w:w="750" w:type="pct"/>
            <w:shd w:val="clear" w:color="auto" w:fill="808080"/>
          </w:tcPr>
          <w:p>
            <w:pPr>
              <w:rPr>
                <w:b/>
                <w:sz w:val="20"/>
              </w:rPr>
            </w:pPr>
            <w:r>
              <w:rPr>
                <w:b/>
                <w:sz w:val="20"/>
              </w:rPr>
              <w:t>ADJUSTMENT EURI ( C )</w:t>
            </w:r>
          </w:p>
        </w:tc>
        <w:tc>
          <w:tcPr>
            <w:tcW w:w="750" w:type="pct"/>
            <w:shd w:val="clear" w:color="auto" w:fill="808080"/>
          </w:tcPr>
          <w:p>
            <w:pPr>
              <w:rPr>
                <w:b/>
                <w:sz w:val="20"/>
              </w:rPr>
            </w:pPr>
            <w:r>
              <w:rPr>
                <w:b/>
                <w:sz w:val="20"/>
              </w:rPr>
              <w:t>Calculated achievement rate (YEAR 2023)** (D)=(A-B-C)/E</w:t>
            </w:r>
          </w:p>
        </w:tc>
        <w:tc>
          <w:tcPr>
            <w:tcW w:w="750" w:type="pct"/>
            <w:shd w:val="clear" w:color="auto" w:fill="808080"/>
          </w:tcPr>
          <w:p>
            <w:r>
              <w:rPr>
                <w:b/>
                <w:sz w:val="20"/>
              </w:rPr>
              <w:t>Цел 2025 г. (от ПРСР) Д)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750" w:type="pct"/>
          </w:tcPr>
          <w:p>
            <w:pPr>
              <w:jc w:val="center"/>
            </w:pPr>
            <w:r>
              <w:t xml:space="preserve"> X </w:t>
            </w:r>
          </w:p>
        </w:tc>
        <w:tc>
          <w:tcPr>
            <w:tcW w:w="750" w:type="pct"/>
          </w:tcPr>
          <w:p>
            <w:pPr>
              <w:jc w:val="center"/>
            </w:pPr>
            <w:r>
              <w:t>P3</w:t>
            </w:r>
          </w:p>
        </w:tc>
        <w:tc>
          <w:tcPr>
            <w:tcW w:w="750" w:type="pct"/>
          </w:tcPr>
          <w:p>
            <w:pPr>
              <w:jc w:val="left"/>
            </w:pPr>
            <w:r>
              <w:t>Брой операции  подпомогнати по M4 "Инвестиции във физически активи" за преработка и маркетинг на земеделска продукция</w:t>
            </w:r>
          </w:p>
        </w:tc>
        <w:tc>
          <w:tcPr>
            <w:tcW w:w="750" w:type="pct"/>
          </w:tcPr>
          <w:p>
            <w:pPr>
              <w:jc w:val="right"/>
            </w:pPr>
            <w:r>
              <w:t>294,00</w:t>
            </w:r>
          </w:p>
        </w:tc>
        <w:tc>
          <w:tcPr>
            <w:tcW w:w="750" w:type="pct"/>
          </w:tcPr>
          <w:p>
            <w:pPr>
              <w:jc w:val="right"/>
            </w:pPr>
          </w:p>
        </w:tc>
        <w:tc>
          <w:tcPr>
            <w:tcW w:w="750" w:type="pct"/>
          </w:tcPr>
          <w:p>
            <w:pPr>
              <w:jc w:val="right"/>
            </w:pPr>
          </w:p>
        </w:tc>
        <w:tc>
          <w:tcPr>
            <w:tcW w:w="750" w:type="pct"/>
          </w:tcPr>
          <w:p>
            <w:pPr>
              <w:jc w:val="right"/>
            </w:pPr>
            <w:r>
              <w:t>89.09%</w:t>
            </w:r>
          </w:p>
        </w:tc>
        <w:tc>
          <w:tcPr>
            <w:tcW w:w="750" w:type="pct"/>
          </w:tcPr>
          <w:p>
            <w:pPr>
              <w:jc w:val="right"/>
            </w:pPr>
            <w:r>
              <w:t>330,00</w:t>
            </w:r>
          </w:p>
        </w:tc>
      </w:tr>
    </w:tbl>
    <w:p>
      <w:pPr>
        <w:jc w:val="left"/>
        <w:sectPr>
          <w:type w:val="nextPage"/>
          <w:pgSz w:w="15840" w:h="12240" w:orient="landscape"/>
          <w:pgMar w:top="900" w:right="900" w:bottom="900" w:left="900" w:header="720" w:footer="720"/>
          <w:cols w:space="720"/>
        </w:sectPr>
      </w:pPr>
    </w:p>
    <w:p>
      <w:pPr>
        <w:pStyle w:val="Heading2"/>
        <w:jc w:val="left"/>
      </w:pPr>
      <w:bookmarkStart w:id="7" w:name="_Toc256000007"/>
      <w:r>
        <w:t>Таблица Ж: Специфични за програмата показатели</w:t>
      </w:r>
      <w:bookmarkEnd w:id="7"/>
    </w:p>
    <w:p>
      <w:r>
        <w:t>Таблица Ж1: Таблица за специфични цели</w:t>
      </w:r>
    </w:p>
    <w:p>
      <w:pPr>
        <w:rPr>
          <w:b/>
        </w:rPr>
      </w:pPr>
      <w:r>
        <w:rPr>
          <w:b/>
        </w:rPr>
        <w:t>RDP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8" w:type="dxa"/>
          <w:right w:w="108" w:type="dxa"/>
        </w:tblCellMar>
      </w:tblPr>
      <w:tblGrid>
        <w:gridCol w:w="942"/>
        <w:gridCol w:w="1642"/>
        <w:gridCol w:w="1238"/>
        <w:gridCol w:w="1198"/>
        <w:gridCol w:w="1232"/>
        <w:gridCol w:w="1467"/>
        <w:gridCol w:w="2700"/>
      </w:tblGrid>
      <w:tr>
        <w:tblPrEx>
          <w:tblW w:w="5000" w:type="pc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c>
          <w:tcPr>
            <w:tcW w:w="750" w:type="pct"/>
            <w:shd w:val="clear" w:color="auto" w:fill="808080"/>
          </w:tcPr>
          <w:p>
            <w:pPr>
              <w:rPr>
                <w:b/>
                <w:sz w:val="20"/>
              </w:rPr>
            </w:pPr>
            <w:r>
              <w:rPr>
                <w:b/>
                <w:sz w:val="20"/>
              </w:rPr>
              <w:t>Код</w:t>
            </w:r>
          </w:p>
        </w:tc>
        <w:tc>
          <w:tcPr>
            <w:tcW w:w="750" w:type="pct"/>
            <w:shd w:val="clear" w:color="auto" w:fill="808080"/>
          </w:tcPr>
          <w:p>
            <w:pPr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Наименование на целевия показател </w:t>
            </w:r>
          </w:p>
        </w:tc>
        <w:tc>
          <w:tcPr>
            <w:tcW w:w="750" w:type="pct"/>
            <w:shd w:val="clear" w:color="auto" w:fill="808080"/>
          </w:tcPr>
          <w:p>
            <w:pPr>
              <w:rPr>
                <w:b/>
                <w:sz w:val="20"/>
              </w:rPr>
            </w:pPr>
            <w:r>
              <w:rPr>
                <w:b/>
                <w:sz w:val="20"/>
              </w:rPr>
              <w:t>Област с поставен акцент</w:t>
            </w:r>
          </w:p>
        </w:tc>
        <w:tc>
          <w:tcPr>
            <w:tcW w:w="750" w:type="pct"/>
            <w:shd w:val="clear" w:color="auto" w:fill="808080"/>
          </w:tcPr>
          <w:p>
            <w:pPr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Мерна единица </w:t>
            </w:r>
          </w:p>
        </w:tc>
        <w:tc>
          <w:tcPr>
            <w:tcW w:w="750" w:type="pct"/>
            <w:shd w:val="clear" w:color="auto" w:fill="808080"/>
          </w:tcPr>
          <w:p>
            <w:pPr>
              <w:rPr>
                <w:b/>
                <w:sz w:val="20"/>
              </w:rPr>
            </w:pPr>
            <w:r>
              <w:rPr>
                <w:b/>
                <w:sz w:val="20"/>
              </w:rPr>
              <w:t>Целева стойност 2025 г.</w:t>
            </w:r>
          </w:p>
        </w:tc>
        <w:tc>
          <w:tcPr>
            <w:tcW w:w="750" w:type="pct"/>
            <w:shd w:val="clear" w:color="auto" w:fill="808080"/>
          </w:tcPr>
          <w:p>
            <w:pPr>
              <w:rPr>
                <w:b/>
                <w:sz w:val="20"/>
              </w:rPr>
            </w:pPr>
            <w:r>
              <w:rPr>
                <w:b/>
                <w:sz w:val="20"/>
              </w:rPr>
              <w:t>Реализирани 2023</w:t>
            </w:r>
          </w:p>
        </w:tc>
        <w:tc>
          <w:tcPr>
            <w:tcW w:w="750" w:type="pct"/>
            <w:shd w:val="clear" w:color="auto" w:fill="808080"/>
          </w:tcPr>
          <w:p>
            <w:r>
              <w:rPr>
                <w:b/>
                <w:sz w:val="20"/>
              </w:rPr>
              <w:t>Коментари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</w:tcPr>
          <w:p>
            <w:pPr>
              <w:jc w:val="center"/>
            </w:pPr>
          </w:p>
        </w:tc>
        <w:tc>
          <w:tcPr>
            <w:tcW w:w="750" w:type="pct"/>
          </w:tcPr>
          <w:p>
            <w:pPr>
              <w:jc w:val="left"/>
            </w:pPr>
            <w:r>
              <w:t xml:space="preserve">Фирми, получили подпомагане </w:t>
            </w:r>
          </w:p>
        </w:tc>
        <w:tc>
          <w:tcPr>
            <w:tcW w:w="250" w:type="pct"/>
          </w:tcPr>
          <w:p>
            <w:pPr>
              <w:jc w:val="left"/>
            </w:pPr>
            <w:r>
              <w:t>2C+</w:t>
            </w:r>
          </w:p>
        </w:tc>
        <w:tc>
          <w:tcPr>
            <w:tcW w:w="250" w:type="pct"/>
          </w:tcPr>
          <w:p>
            <w:pPr>
              <w:jc w:val="left"/>
            </w:pPr>
            <w:r>
              <w:t>брой</w:t>
            </w:r>
          </w:p>
        </w:tc>
        <w:tc>
          <w:tcPr>
            <w:tcW w:w="500" w:type="pct"/>
          </w:tcPr>
          <w:p>
            <w:pPr>
              <w:jc w:val="right"/>
            </w:pPr>
            <w:r>
              <w:t>100,00</w:t>
            </w:r>
          </w:p>
        </w:tc>
        <w:tc>
          <w:tcPr>
            <w:tcW w:w="500" w:type="pct"/>
          </w:tcPr>
          <w:p>
            <w:pPr>
              <w:jc w:val="right"/>
            </w:pPr>
            <w:r>
              <w:t>20,00</w:t>
            </w:r>
          </w:p>
        </w:tc>
        <w:tc>
          <w:tcPr>
            <w:tcW w:w="2500" w:type="pct"/>
          </w:tcPr>
          <w:p>
            <w:pPr>
              <w:jc w:val="left"/>
            </w:pP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</w:tcPr>
          <w:p>
            <w:pPr>
              <w:jc w:val="center"/>
            </w:pPr>
            <w:r>
              <w:t>Т7</w:t>
            </w:r>
          </w:p>
        </w:tc>
        <w:tc>
          <w:tcPr>
            <w:tcW w:w="750" w:type="pct"/>
          </w:tcPr>
          <w:p>
            <w:pPr>
              <w:jc w:val="left"/>
            </w:pPr>
            <w:r>
              <w:t>Брой на участниците в обучения по Мярка 1 "Трансфер на знания и действия за осведомяване "</w:t>
            </w:r>
          </w:p>
        </w:tc>
        <w:tc>
          <w:tcPr>
            <w:tcW w:w="250" w:type="pct"/>
          </w:tcPr>
          <w:p>
            <w:pPr>
              <w:jc w:val="left"/>
            </w:pPr>
            <w:r>
              <w:t>3B</w:t>
            </w:r>
          </w:p>
        </w:tc>
        <w:tc>
          <w:tcPr>
            <w:tcW w:w="250" w:type="pct"/>
          </w:tcPr>
          <w:p>
            <w:pPr>
              <w:jc w:val="left"/>
            </w:pPr>
            <w:r>
              <w:t>number</w:t>
            </w:r>
          </w:p>
        </w:tc>
        <w:tc>
          <w:tcPr>
            <w:tcW w:w="500" w:type="pct"/>
          </w:tcPr>
          <w:p>
            <w:pPr>
              <w:jc w:val="right"/>
            </w:pPr>
            <w:r>
              <w:t>200,00</w:t>
            </w:r>
          </w:p>
        </w:tc>
        <w:tc>
          <w:tcPr>
            <w:tcW w:w="500" w:type="pct"/>
          </w:tcPr>
          <w:p>
            <w:pPr>
              <w:jc w:val="right"/>
            </w:pPr>
            <w:r>
              <w:t>228,00</w:t>
            </w:r>
          </w:p>
        </w:tc>
        <w:tc>
          <w:tcPr>
            <w:tcW w:w="2500" w:type="pct"/>
          </w:tcPr>
          <w:p>
            <w:pPr>
              <w:jc w:val="left"/>
            </w:pPr>
          </w:p>
        </w:tc>
      </w:tr>
    </w:tbl>
    <w:p>
      <w:pPr>
        <w:jc w:val="left"/>
        <w:rPr>
          <w:b/>
        </w:rPr>
      </w:pPr>
      <w:r>
        <w:rPr>
          <w:b/>
        </w:rPr>
        <w:t>AIR</w:t>
      </w:r>
    </w:p>
    <w:p>
      <w:pPr>
        <w:rPr>
          <w:b w:val="0"/>
        </w:rPr>
      </w:pPr>
      <w:r>
        <w:rPr>
          <w:b w:val="0"/>
        </w:rPr>
        <w:t>Не са дефинирани специфични целеви показатели</w:t>
      </w:r>
    </w:p>
    <w:p>
      <w:pPr>
        <w:rPr>
          <w:b w:val="0"/>
        </w:rPr>
      </w:pPr>
      <w:r>
        <w:rPr>
          <w:b w:val="0"/>
        </w:rPr>
        <w:br w:type="page"/>
      </w:r>
      <w:r>
        <w:rPr>
          <w:b w:val="0"/>
        </w:rPr>
        <w:t>Таблица Ж2: Таблица за специфични резултати</w:t>
      </w:r>
    </w:p>
    <w:p>
      <w:pPr>
        <w:rPr>
          <w:b/>
        </w:rPr>
      </w:pPr>
      <w:r>
        <w:rPr>
          <w:b/>
        </w:rPr>
        <w:t>RDP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8" w:type="dxa"/>
          <w:right w:w="108" w:type="dxa"/>
        </w:tblCellMar>
      </w:tblPr>
      <w:tblGrid>
        <w:gridCol w:w="582"/>
        <w:gridCol w:w="1990"/>
        <w:gridCol w:w="859"/>
        <w:gridCol w:w="1050"/>
        <w:gridCol w:w="987"/>
        <w:gridCol w:w="1299"/>
        <w:gridCol w:w="1412"/>
        <w:gridCol w:w="2241"/>
      </w:tblGrid>
      <w:tr>
        <w:tblPrEx>
          <w:tblW w:w="5000" w:type="pc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c>
          <w:tcPr>
            <w:tcW w:w="250" w:type="pct"/>
            <w:shd w:val="clear" w:color="auto" w:fill="808080"/>
          </w:tcPr>
          <w:p>
            <w:pPr>
              <w:rPr>
                <w:b/>
                <w:sz w:val="20"/>
              </w:rPr>
            </w:pPr>
            <w:r>
              <w:rPr>
                <w:b/>
                <w:sz w:val="20"/>
              </w:rPr>
              <w:t>Код</w:t>
            </w:r>
          </w:p>
        </w:tc>
        <w:tc>
          <w:tcPr>
            <w:tcW w:w="1000" w:type="pct"/>
            <w:shd w:val="clear" w:color="auto" w:fill="808080"/>
          </w:tcPr>
          <w:p>
            <w:pPr>
              <w:rPr>
                <w:b/>
                <w:sz w:val="20"/>
              </w:rPr>
            </w:pPr>
            <w:r>
              <w:rPr>
                <w:b/>
                <w:sz w:val="20"/>
              </w:rPr>
              <w:t>Наименование на показателя за изпълнението</w:t>
            </w:r>
          </w:p>
        </w:tc>
        <w:tc>
          <w:tcPr>
            <w:tcW w:w="250" w:type="pct"/>
            <w:shd w:val="clear" w:color="auto" w:fill="808080"/>
          </w:tcPr>
          <w:p>
            <w:pPr>
              <w:rPr>
                <w:b/>
                <w:sz w:val="20"/>
              </w:rPr>
            </w:pPr>
            <w:r>
              <w:rPr>
                <w:b/>
                <w:sz w:val="20"/>
              </w:rPr>
              <w:t>Мярка</w:t>
            </w:r>
          </w:p>
        </w:tc>
        <w:tc>
          <w:tcPr>
            <w:tcW w:w="250" w:type="pct"/>
            <w:shd w:val="clear" w:color="auto" w:fill="808080"/>
          </w:tcPr>
          <w:p>
            <w:pPr>
              <w:rPr>
                <w:b/>
                <w:sz w:val="20"/>
              </w:rPr>
            </w:pPr>
            <w:r>
              <w:rPr>
                <w:b/>
                <w:sz w:val="20"/>
              </w:rPr>
              <w:t>Област с поставен акцент</w:t>
            </w:r>
          </w:p>
        </w:tc>
        <w:tc>
          <w:tcPr>
            <w:tcW w:w="250" w:type="pct"/>
            <w:shd w:val="clear" w:color="auto" w:fill="808080"/>
          </w:tcPr>
          <w:p>
            <w:pPr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Мерна единица </w:t>
            </w:r>
          </w:p>
        </w:tc>
        <w:tc>
          <w:tcPr>
            <w:tcW w:w="250" w:type="pct"/>
            <w:shd w:val="clear" w:color="auto" w:fill="808080"/>
          </w:tcPr>
          <w:p>
            <w:pPr>
              <w:rPr>
                <w:b/>
                <w:sz w:val="20"/>
              </w:rPr>
            </w:pPr>
            <w:r>
              <w:rPr>
                <w:b/>
                <w:sz w:val="20"/>
              </w:rPr>
              <w:t>Планирано изпълнение</w:t>
            </w:r>
          </w:p>
        </w:tc>
        <w:tc>
          <w:tcPr>
            <w:tcW w:w="500" w:type="pct"/>
            <w:shd w:val="clear" w:color="auto" w:fill="808080"/>
          </w:tcPr>
          <w:p>
            <w:pPr>
              <w:rPr>
                <w:b/>
                <w:sz w:val="20"/>
              </w:rPr>
            </w:pPr>
            <w:r>
              <w:rPr>
                <w:b/>
                <w:sz w:val="20"/>
              </w:rPr>
              <w:t>Реализирани 2023</w:t>
            </w:r>
          </w:p>
        </w:tc>
        <w:tc>
          <w:tcPr>
            <w:tcW w:w="2500" w:type="pct"/>
            <w:shd w:val="clear" w:color="auto" w:fill="808080"/>
          </w:tcPr>
          <w:p>
            <w:r>
              <w:rPr>
                <w:b/>
                <w:sz w:val="20"/>
              </w:rPr>
              <w:t>Коментари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</w:tcPr>
          <w:p>
            <w:pPr>
              <w:jc w:val="center"/>
            </w:pPr>
          </w:p>
        </w:tc>
        <w:tc>
          <w:tcPr>
            <w:tcW w:w="750" w:type="pct"/>
          </w:tcPr>
          <w:p>
            <w:pPr>
              <w:jc w:val="left"/>
            </w:pPr>
            <w:r>
              <w:t>Брой операции, получаващи подкрепа за инвестиции (в земеделски стопанства, за преработка и търговия със селскостопански продукти) (4.2 )</w:t>
            </w:r>
          </w:p>
        </w:tc>
        <w:tc>
          <w:tcPr>
            <w:tcW w:w="250" w:type="pct"/>
          </w:tcPr>
          <w:p>
            <w:pPr>
              <w:jc w:val="left"/>
            </w:pPr>
            <w:r>
              <w:t>M04</w:t>
            </w:r>
          </w:p>
        </w:tc>
        <w:tc>
          <w:tcPr>
            <w:tcW w:w="500" w:type="pct"/>
          </w:tcPr>
          <w:p>
            <w:pPr>
              <w:jc w:val="left"/>
            </w:pPr>
            <w:r>
              <w:t>5B</w:t>
            </w:r>
          </w:p>
        </w:tc>
        <w:tc>
          <w:tcPr>
            <w:tcW w:w="250" w:type="pct"/>
          </w:tcPr>
          <w:p>
            <w:pPr>
              <w:jc w:val="left"/>
            </w:pPr>
            <w:r>
              <w:t>броя</w:t>
            </w:r>
          </w:p>
        </w:tc>
        <w:tc>
          <w:tcPr>
            <w:tcW w:w="500" w:type="pct"/>
          </w:tcPr>
          <w:p>
            <w:pPr>
              <w:jc w:val="right"/>
            </w:pPr>
            <w:r>
              <w:t>100,00</w:t>
            </w:r>
          </w:p>
        </w:tc>
        <w:tc>
          <w:tcPr>
            <w:tcW w:w="500" w:type="pct"/>
          </w:tcPr>
          <w:p>
            <w:pPr>
              <w:jc w:val="right"/>
            </w:pPr>
            <w:r>
              <w:t>34,00</w:t>
            </w:r>
          </w:p>
        </w:tc>
        <w:tc>
          <w:tcPr>
            <w:tcW w:w="2000" w:type="pct"/>
          </w:tcPr>
          <w:p>
            <w:pPr>
              <w:jc w:val="left"/>
            </w:pPr>
          </w:p>
        </w:tc>
      </w:tr>
    </w:tbl>
    <w:p>
      <w:pPr>
        <w:jc w:val="left"/>
        <w:rPr>
          <w:b/>
        </w:rPr>
      </w:pPr>
      <w:r>
        <w:rPr>
          <w:b/>
        </w:rPr>
        <w:t>AIR</w:t>
      </w:r>
    </w:p>
    <w:p>
      <w:pPr>
        <w:rPr>
          <w:b w:val="0"/>
        </w:rPr>
      </w:pPr>
      <w:r>
        <w:rPr>
          <w:b w:val="0"/>
        </w:rPr>
        <w:t>Не са дефинирани специфични показатели за изпълнението</w:t>
      </w:r>
    </w:p>
    <w:p>
      <w:pPr>
        <w:rPr>
          <w:b w:val="0"/>
        </w:rPr>
        <w:sectPr>
          <w:type w:val="nextPage"/>
          <w:pgSz w:w="12240" w:h="15840" w:orient="portrait"/>
          <w:pgMar w:top="900" w:right="900" w:bottom="900" w:left="900" w:header="720" w:footer="720"/>
          <w:cols w:space="720"/>
        </w:sectPr>
      </w:pPr>
      <w:r>
        <w:rPr>
          <w:b w:val="0"/>
        </w:rPr>
        <w:br w:type="page"/>
      </w:r>
    </w:p>
    <w:p>
      <w:pPr>
        <w:pStyle w:val="Heading1"/>
        <w:rPr>
          <w:b w:val="0"/>
          <w:sz w:val="28"/>
        </w:rPr>
      </w:pPr>
      <w:bookmarkStart w:id="8" w:name="_Toc256000008"/>
      <w:r>
        <w:rPr>
          <w:b w:val="0"/>
          <w:sz w:val="28"/>
        </w:rPr>
        <w:t>Легенда</w:t>
      </w:r>
      <w:bookmarkEnd w:id="8"/>
    </w:p>
    <w:p>
      <w:pPr>
        <w:rPr>
          <w:b/>
          <w:sz w:val="28"/>
        </w:rPr>
      </w:pPr>
      <w:r>
        <w:rPr>
          <w:b/>
          <w:sz w:val="28"/>
        </w:rPr>
        <w:t>Приоритет/Област с поставен акцент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8" w:type="dxa"/>
          <w:right w:w="108" w:type="dxa"/>
        </w:tblCellMar>
      </w:tblPr>
      <w:tblGrid>
        <w:gridCol w:w="490"/>
        <w:gridCol w:w="863"/>
        <w:gridCol w:w="9303"/>
      </w:tblGrid>
      <w:tr>
        <w:tblPrEx>
          <w:tblW w:w="5000" w:type="pc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c>
          <w:tcPr>
            <w:tcW w:w="2000" w:type="pct"/>
            <w:gridSpan w:val="3"/>
          </w:tcPr>
          <w:p>
            <w:pPr>
              <w:spacing w:before="60" w:after="60"/>
              <w:rPr>
                <w:b/>
                <w:sz w:val="20"/>
              </w:rPr>
            </w:pPr>
            <w:r>
              <w:rPr>
                <w:b/>
                <w:sz w:val="20"/>
              </w:rPr>
              <w:t>P1: Стимулиране на трансфера на знания и иновациите в областта на селското и горското стопанство и селските райони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gridSpan w:val="2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1А) Стимулиране на иновациите, сътрудничеството и развитието на базата от знания в селските райони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 xml:space="preserve">1Б) Укрепване на връзките между селското стопанство, производството на храни, горското стопанство и научноизследователската дейност и иновациите, включително с цел подобряване на екологичното управление и екологичните показатели 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1В) поощряване на ученето през целия живот и професионалното обучение в секторите на селското и горското стопанство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4750" w:type="pct"/>
            <w:gridSpan w:val="3"/>
          </w:tcPr>
          <w:p>
            <w:pPr>
              <w:spacing w:before="60" w:after="60"/>
              <w:rPr>
                <w:b/>
                <w:sz w:val="20"/>
              </w:rPr>
            </w:pPr>
            <w:r>
              <w:rPr>
                <w:b/>
                <w:sz w:val="20"/>
              </w:rPr>
              <w:t>P2: Подобряване на жизнеспособността на стопанствата и конкурентоспособността на всички видове земеделие във всички региони; насърчаване на новаторски селскостопански технологии и устойчивото управление на горите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gridSpan w:val="2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2C+) Подобряване на икономическите резултати на фирмите в горското стопанство, дърводобива и първичната преработка на дървесина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2А) Подобряване на икономическите резултати на всички земеделски стопанства и улесняване на преструктурирането и модернизирането на стопанствата, особено с оглед на увеличаването на пазарното участие и ориентация и на разнообразяването в селското стопанство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2Б) Улесняване на навлизането на земеделски стопани с подходяща квалификация в селскостопанския сектор, и по-специално приемствеността между поколенията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4750" w:type="pct"/>
            <w:gridSpan w:val="3"/>
          </w:tcPr>
          <w:p>
            <w:pPr>
              <w:spacing w:before="60" w:after="60"/>
              <w:rPr>
                <w:b/>
                <w:sz w:val="20"/>
              </w:rPr>
            </w:pPr>
            <w:r>
              <w:rPr>
                <w:b/>
                <w:sz w:val="20"/>
              </w:rPr>
              <w:t>P3: Насърчаване на добро организиране на хранителната верига, в т.ч. преработката и търговията със селскостопански продукти, хуманното отношение към животните и управлението на риска в селското стопанство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gridSpan w:val="2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 xml:space="preserve"> 3A) Подобряване на конкурентоспособността на първичните производители чрез по-доброто им интегриране в селскостопанската и хранителната верига посредством схеми за качество, които да добавят стойност към селскостопанските продукти, популяризиране на местните пазари и къси вериги на доставки, групи на производителите и организации и междубраншови организации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3Б) Подпомагане на превенцията и управлението на риска на стопанствата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4750" w:type="pct"/>
            <w:gridSpan w:val="3"/>
          </w:tcPr>
          <w:p>
            <w:pPr>
              <w:spacing w:before="60" w:after="60"/>
              <w:rPr>
                <w:b/>
                <w:sz w:val="20"/>
              </w:rPr>
            </w:pPr>
            <w:r>
              <w:rPr>
                <w:b/>
                <w:sz w:val="20"/>
              </w:rPr>
              <w:t>P4: Възстановяване, опазване и укрепване на екосистемите, свързани със селското и горското стопанство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gridSpan w:val="2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4А) Възстановяване, опазване и укрепване на биологичното разнообразие, включително в зони по „Натура 2000“ и в зони с природни или други специфични ограничения и земеделие с висока природна стойност, както и на състоянието на европейските ландшафти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 xml:space="preserve">4Б) Подобряване управлението на водите, включително управлението на торовете и пестицидите 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4В) Предотвратяване на ерозията на почвите и подобряване на управлението им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4750" w:type="pct"/>
            <w:gridSpan w:val="3"/>
          </w:tcPr>
          <w:p>
            <w:pPr>
              <w:spacing w:before="60" w:after="60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P5: Насърчаване на ефективното използване на ресурсите и подпомагане на прехода към нисковъглеродна и устойчива на изменението на климата икономика в селското стопанство, сектора на храните и горското стопанство 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gridSpan w:val="2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 xml:space="preserve">5А) Повишаване на ефективността при потреблението на вода в селското стопанство 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 xml:space="preserve">5Б) Повишаване на ефективността при потреблението на енергия в селското стопанство и хранително-вкусовата промишленост 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5В) Улесняване на доставките и използването на възобновяеми източници на енергия, на странични продукти, отпадъци и остатъци, и други нехранителни суровини за целите на биоикономиката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5Г) Намаляване на емисиите на парникови газове и амоняк от селското стопанство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 xml:space="preserve">5Д) Стимулиране на съхраняването и поглъщането на въглерода в сектора на селското и горското стопанство 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4750" w:type="pct"/>
            <w:gridSpan w:val="3"/>
          </w:tcPr>
          <w:p>
            <w:pPr>
              <w:spacing w:before="60" w:after="60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P6: Насърчаване на социалното приобщаване, намаляването на бедността и икономическото развитие в селските райони 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gridSpan w:val="2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6А) Улесняване на разнообразяването, създаването и развитието на малки предприятия, както и разкриването на работни места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 xml:space="preserve">6Б) Стимулиране на местното развитие в селските райони 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6В) Подобряване на достъпа до информационни и комуникационни технологии (ИКТ), използването и качеството им в селските райони</w:t>
            </w:r>
          </w:p>
        </w:tc>
      </w:tr>
    </w:tbl>
    <w:p>
      <w:pPr>
        <w:spacing w:before="60" w:after="60"/>
        <w:rPr>
          <w:b/>
          <w:sz w:val="28"/>
        </w:rPr>
      </w:pPr>
      <w:r>
        <w:rPr>
          <w:b/>
          <w:sz w:val="20"/>
        </w:rPr>
        <w:br w:type="page"/>
      </w:r>
      <w:r>
        <w:rPr>
          <w:b/>
          <w:sz w:val="28"/>
        </w:rPr>
        <w:t>Мярка/Подмярка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8" w:type="dxa"/>
          <w:right w:w="108" w:type="dxa"/>
        </w:tblCellMar>
      </w:tblPr>
      <w:tblGrid>
        <w:gridCol w:w="490"/>
        <w:gridCol w:w="863"/>
        <w:gridCol w:w="9303"/>
      </w:tblGrid>
      <w:tr>
        <w:tblPrEx>
          <w:tblW w:w="5000" w:type="pc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</w:tblPrEx>
        <w:tc>
          <w:tcPr>
            <w:tcW w:w="4750" w:type="pct"/>
            <w:gridSpan w:val="3"/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/>
                <w:sz w:val="20"/>
              </w:rPr>
              <w:t>М01 — Трансфер на знания и действия за осведомяване (член 14)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gridSpan w:val="2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 xml:space="preserve">M1.1 — подкрепа за дейности за професионално обучение и придобиване на умения 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M1.2 — подпомагане за демонстрационни дейности и действия за осведомяване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M1.3 — подкрепата може да обхваща и краткосрочен обмен на опит в управлението на земеделски и горски стопанства, както и посещения на земеделски и горски стопанства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4750" w:type="pct"/>
            <w:gridSpan w:val="3"/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/>
                <w:sz w:val="20"/>
              </w:rPr>
              <w:t>М02 —  Консултантски услуги, услуги по управление на стопанство и услуги по заместване в стопанство (член 15)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gridSpan w:val="2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M2.1 — подкрепа, насочена към възможностите за ползване на консултантски услуги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M2.2 — подкрепа за въвеждането на услуги по управление на стопанства, услуги по заместване в стопанства и консултантски услуги в областта на селското стопанство, както и в областта на горското стопанство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M2.3 — подкрепа за обучение на консултанти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4750" w:type="pct"/>
            <w:gridSpan w:val="3"/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/>
                <w:sz w:val="20"/>
              </w:rPr>
              <w:t>M03 — Схеми за качеството за селскостопански продукти и храни (член 16)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gridSpan w:val="2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M3.1 — подпомагане с цел първо присъединяване към схеми за качество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 xml:space="preserve">M3.2 — подкрепа, насочена към дейности за предоставяне на информация и популяризиране, осъществявани от групи производители на вътрешния пазар 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4750" w:type="pct"/>
            <w:gridSpan w:val="3"/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/>
                <w:sz w:val="20"/>
              </w:rPr>
              <w:t>M04 — Инвестиции в материални активи (член 17)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gridSpan w:val="2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M4.1 — подкрепа за инвестиции в земеделски стопанства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M4.2 — подкрепа за инвестиции в преработката, предлагането на пазара и/или развитието на селскостопански продукти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M4.3 — подкрепа за инвестиции в инфраструктура, свързана с развитието, модернизирането или адаптирането на селското и горското стопанство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M4.4 — подкрепа за инвестиции в непроизводствени дейности, свързани с постигане на агроекологичните цели и целите в областта на климата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4750" w:type="pct"/>
            <w:gridSpan w:val="3"/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/>
                <w:sz w:val="20"/>
              </w:rPr>
              <w:t xml:space="preserve">M05 Възстановяване на потенциала за селскостопанска продукция, претърпял щети в резултат на природни бедствия или катастрофични събития, и въвеждане на подходящи превантивни мерки (член 18) 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gridSpan w:val="2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M5.1. - подкрепа за инвестиции в превантивни мерки, насочени към ограничаване на последствията от вероятни природни бедствия, неблагоприятни климатични явления и катастрофични събития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M5.2 - инвестиции за възстановяване на потенциала на земеделските земи и на селскостопанския производствен потенциал, нарушени от природни бедствия, неблагоприятни климатични явления и катастрофични събития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4750" w:type="pct"/>
            <w:gridSpan w:val="3"/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/>
                <w:sz w:val="20"/>
              </w:rPr>
              <w:t>M06 — Развитие на стопанства и предприятия (член 19)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gridSpan w:val="2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M6.1 — помощ при стартиране за млади земеделски стопани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M6.2 — помощ при стартиране за неселскостопански дейности в селските райони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M6.3 — помощ при стартиране за развитието на малки стопанства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M6.4 — подкрепа за инвестиции в установяването и развитието на неселскостопански дейности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M6.5 — плащания на земеделски стопани, отговарящи на условията по схемата за дребни земеделски стопани, които трайно прехвърлят стопанството си на друг земеделски стопанин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4750" w:type="pct"/>
            <w:gridSpan w:val="3"/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/>
                <w:sz w:val="20"/>
              </w:rPr>
              <w:t>М07 — Основни услуги и обновяване на селата в селските райони (член 20)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gridSpan w:val="2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 xml:space="preserve">M7.1 —  подкрепа за изготвяне и актуализиране на планове за развитие на общините и селата в селските райони и на техните основни услуги и на планове за защита и управление, отнасящи се до обекти по „Натура 2000“ и други райони с висока природна стойност 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M7.2 — подкрепа за инвестиции в създаването, подобряването или разширяването на всички видове малка по мащаби инфраструктура, включително инвестиции в енергия от възобновяеми източници и спестяване на енергия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 xml:space="preserve">M7.3 — подкрепа за широколентова инфраструктура, включително нейното създаване, подобрение и разширяване, пасивна широколентова инфраструктура и мерки за достъп до решения чрез широколентова инфраструктура и електронно правителство 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M7.4 — подкрепа за инвестиции в създаването, подобряването или разширяването на основни услуги на местно равнище за населението в селските райони, включително за отдих и културни дейности, както и на съответната инфраструктура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M7.5 — подкрепа за публично ползване в инфраструктура за отдих, туристическа информация и малка по мащаб туристическа инфраструктура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M7.6 - подпомагане за проучвания и инвестиции, свързани с поддържане, възстановяване и подобряване на културното и природното наследство на села, ландшафта в селски райони и обекти с висока природна стойност, включително съответните социално-икономически аспекти, както и действия за повишаване на информираността по екологични въпроси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M7.7 — подкрепа за инвестиции, чиято цел е преместването на дейности и преустройството на сгради или други съоръжения, разположени във или в близост до населени места от селски тип, с оглед подобряване на качеството на живот или повишаване на екологичната ефективност на населеното място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M7.8 — други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4750" w:type="pct"/>
            <w:gridSpan w:val="3"/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/>
                <w:sz w:val="20"/>
              </w:rPr>
              <w:t>М08 — Инвестиции в развитие на горските райони и подобряване на жизнеспособността на горите (членове 21 — 26)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gridSpan w:val="2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M8.1 - подпомагане за залесяване и създаване на горски масиви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M8.2 — подпомагане за създаване на агролесовъдни системи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M8.3 — подпомагане за предотвратяване на щети по горите от горски пожари, природни бедствия и катастрофични събития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M8.4 — подпомагане за възстановяване на щети по горите от горски пожари, природни бедствия и катастрофични събития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M8.5 — подпомагане за инвестиции за подобряване на устойчивостта и екологичната стойност на горските екосистеми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M8.6 — подпомагане за инвестиции в технологии за лесовъдство и в преработката, мобилизирането и търговията на горски продукти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4750" w:type="pct"/>
            <w:gridSpan w:val="3"/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/>
                <w:sz w:val="20"/>
              </w:rPr>
              <w:t>M09 — Създаване на групи и организации на производителите (член 27)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gridSpan w:val="2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M9.1 — учредяване на групи и организации на производителите в секторите на селското и горското стопанство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4750" w:type="pct"/>
            <w:gridSpan w:val="3"/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/>
                <w:sz w:val="20"/>
              </w:rPr>
              <w:t>M10 — Агроекология и климат (член 28)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gridSpan w:val="2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 xml:space="preserve">M10.1 — плащания за ангажименти за агроекология и климат 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 xml:space="preserve">M10.2 — подкрепа за опазване и устойчиво използване и развитие на генетичните ресурси в земеделието 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4750" w:type="pct"/>
            <w:gridSpan w:val="3"/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/>
                <w:sz w:val="20"/>
              </w:rPr>
              <w:t>М11 — Биологично земеделие (член 29)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gridSpan w:val="2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M11.1 — плащания за преминаване към практики и методи за биологично земеделие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 xml:space="preserve">M11.2 — плащания за поддържане на практики и методи за биологично земеделие 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4750" w:type="pct"/>
            <w:gridSpan w:val="3"/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/>
                <w:sz w:val="20"/>
              </w:rPr>
              <w:t>M12 — Плащания по „Натура 2000“ и Рамковата директива за водите (член 30)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gridSpan w:val="2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M12.1 — компенсационни плащания по „Натура 2000“ за земеделски площи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M12.2 — компенсационни плащания по „Натура 2000“ за горски райони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 xml:space="preserve">M12.3 — компенсационни плащания за селскостопански райони, включени в плановете за управление на речните басейни 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4750" w:type="pct"/>
            <w:gridSpan w:val="3"/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/>
                <w:sz w:val="20"/>
              </w:rPr>
              <w:t>М13 — Плащания за райони, изправени пред природни или други специфични ограничения (член 31)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gridSpan w:val="2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M13.1 — компенсационни плащания за земеделски стопани в планински райони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M13.2 — компенсационни плащания за други райони, засегнати от значителни природни ограничения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M13.3 — компенсационни плащания за други райони, засегнати от специфични ограничения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4750" w:type="pct"/>
            <w:gridSpan w:val="3"/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/>
                <w:sz w:val="20"/>
              </w:rPr>
              <w:t>M14 — Хуманно отношение към животните (член 33)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gridSpan w:val="2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 xml:space="preserve">M14.1 — плащания за хуманно отношение към животните 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4750" w:type="pct"/>
            <w:gridSpan w:val="3"/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/>
                <w:sz w:val="20"/>
              </w:rPr>
              <w:t>М15 — Екологични услуги и услуги във връзка с климата в горското стопанство и опазване на горите (член 34)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gridSpan w:val="2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M15.1 - плащания за ангажименти по опазване на околната среда в горите и ангажименти в областта на климата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M15.2 — подпомагане за опазването и укрепването на генетичните ресурси в горските стопанства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4750" w:type="pct"/>
            <w:gridSpan w:val="3"/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/>
                <w:sz w:val="20"/>
              </w:rPr>
              <w:t>M16 — Сътрудничество (член 35)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gridSpan w:val="2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M16.0 — други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 xml:space="preserve">M16.1 — подкрепа за сформиране и функциониране на оперативни групи в рамките на ЕПИ за селскостопанска производителност и устойчивост 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M16.2 — подпомагане за пилотни проекти и за разработване на нови продукти, практики, процеси и технологии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M16.3 — (друг вид) сътрудничество между малки икономически оператори за организиране на съвместни работни процеси и за споделяне на оборудване и ресурси, и за разработване и пазарна реализация на туристически услуги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M16.4 — подпомагане за хоризонтално и вертикално сътрудничество между участниците във веригата на доставки за изграждането и развитието на къси вериги на доставки и местни пазари и за дейности на местно равнище за популяризиране, свързани с развитието на късите вериги на доставки и местните пазари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M16.5 — подпомагане за предприемане на съвместни действия с оглед смекчаване или адаптиране към последиците от изменението на климата и за съвместни подходи към екологични проекти и съществуващи екологични практики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 xml:space="preserve">M16.6 — подкрепа за сътрудничество между участниците във веригата на доставки за устойчиво доставяне на биомаса за приложение в производството на храни и енергия и в промишлени процеси 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M16.7 — подкрепа за стратегии за местно развитие, различни от воденото от общностите местно развитие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M16.8 — подкрепа за изготвяне на планове за управление на горите или еквивалентни инструменти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M16.9 — подкрепа за разнообразяване на селскостопанските дейности към дейности, свързани със здравеопазване, социална интеграция, поддържана от общността селскостопанска дейност и образователна дейност за околната среда и храните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4750" w:type="pct"/>
            <w:gridSpan w:val="3"/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/>
                <w:sz w:val="20"/>
              </w:rPr>
              <w:t>М17 — Управление на риска (член 36)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gridSpan w:val="2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 xml:space="preserve">M17.1 — премии за застраховка на реколтата, животните и растенията 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M17.2 —  взаимоспомагателни фондове в случай на неблагоприятни климатични явления, поява на болест по животните или по растенията, нашествие на вредители или екологични инциденти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M17.3 — инструмент за стабилизиране на доходите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4750" w:type="pct"/>
            <w:gridSpan w:val="3"/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/>
                <w:sz w:val="20"/>
              </w:rPr>
              <w:t>М18 — Финансиране на допълнителни национални директни плащания за Хърватия (член 40)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gridSpan w:val="2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 xml:space="preserve">M18 — Финансиране на допълнителни национални директни плащания за Хърватия 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4750" w:type="pct"/>
            <w:gridSpan w:val="3"/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/>
                <w:sz w:val="20"/>
              </w:rPr>
              <w:t>M19 — Подкрепа за местно развитие по LEADER (ВОМР — водено от общностите местно развитие) (член 35 от Регламент (ЕС) № 1303/2013)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gridSpan w:val="2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M19.1 — подготвително подпомагане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M19.2 — подпомагане за операции в рамките на стратегията за водено от общностите местно развитие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M19.3 — подготовка и изпълнение на дейности за сътрудничество на местните групи за действие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M19.4 — подпомагане за текущи разходи и разходи за съживяване на района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4750" w:type="pct"/>
            <w:gridSpan w:val="3"/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/>
                <w:sz w:val="20"/>
              </w:rPr>
              <w:t>М20 — Техническа помощ държави членки (членове 51 — 54)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gridSpan w:val="2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M20.1 - подпомагане за техническа помощ (различна от НМСР)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gridSpan w:val="2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M20.2 — подпомагане за създаването и привеждането в действие на НМСР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4750" w:type="pct"/>
            <w:gridSpan w:val="3"/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/>
                <w:sz w:val="20"/>
              </w:rPr>
              <w:t>М21 — Извънредно временно подпомагане за земеделските стопани и МСП, които са особено засегнати от извънредното положение във връзка с COVID-19 (член 39, буква б)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gridSpan w:val="2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MМ21 — Извънредно временно подпомагане за земеделските стопани и МСП, които са особено засегнати от извънредното положение във връзка с COVID-19 (член 39, буква б)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4750" w:type="pct"/>
            <w:gridSpan w:val="3"/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/>
                <w:sz w:val="20"/>
              </w:rPr>
              <w:t>M22 — Извънредна временна подкрепа за земеделските стопани и МСП, които са особено засегнати от последиците от нахлуването на Русия в Украйна (член 39г)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250" w:type="pct"/>
            <w:gridSpan w:val="2"/>
            <w:tcBorders>
              <w:righ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</w:p>
        </w:tc>
        <w:tc>
          <w:tcPr>
            <w:tcW w:w="4750" w:type="pct"/>
            <w:tcBorders>
              <w:left w:val="nil"/>
            </w:tcBorders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 w:val="0"/>
                <w:sz w:val="20"/>
              </w:rPr>
              <w:t>M22.1 Извънредна временна подкрепа за земеделските стопани и МСП, които са особено засегнати от последиците от нахлуването на Русия в Украйна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4750" w:type="pct"/>
            <w:gridSpan w:val="3"/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/>
                <w:sz w:val="20"/>
              </w:rPr>
              <w:t>М113 — Ранно пенсиониране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4750" w:type="pct"/>
            <w:gridSpan w:val="3"/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/>
                <w:sz w:val="20"/>
              </w:rPr>
              <w:t>М131 — Спазване на стандартите, основани на законодателството на Общността</w:t>
            </w:r>
          </w:p>
        </w:tc>
      </w:tr>
      <w:tr>
        <w:tblPrEx>
          <w:tblW w:w="5000" w:type="pct"/>
          <w:tblCellMar>
            <w:left w:w="108" w:type="dxa"/>
            <w:right w:w="108" w:type="dxa"/>
          </w:tblCellMar>
        </w:tblPrEx>
        <w:tc>
          <w:tcPr>
            <w:tcW w:w="4750" w:type="pct"/>
            <w:gridSpan w:val="3"/>
          </w:tcPr>
          <w:p>
            <w:pPr>
              <w:spacing w:before="60" w:after="60"/>
              <w:rPr>
                <w:b w:val="0"/>
                <w:sz w:val="20"/>
              </w:rPr>
            </w:pPr>
            <w:r>
              <w:rPr>
                <w:b/>
                <w:sz w:val="20"/>
              </w:rPr>
              <w:t>М341 — Придобиване на умения, стимулиране на интерес и изпълнение</w:t>
            </w:r>
          </w:p>
        </w:tc>
      </w:tr>
    </w:tbl>
    <w:p>
      <w:pPr>
        <w:spacing w:before="60" w:after="60"/>
        <w:rPr>
          <w:b/>
          <w:sz w:val="20"/>
        </w:rPr>
      </w:pPr>
    </w:p>
    <w:sectPr>
      <w:type w:val="nextPage"/>
      <w:pgSz w:w="12240" w:h="15840" w:orient="portrait"/>
      <w:pgMar w:top="900" w:right="900" w:bottom="900" w:left="900" w:header="720" w:footer="72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  <w:embedRegular r:id="rId1" w:fontKey="{27C9A196-F0A4-4008-8B75-F5851709AB4B}"/>
    <w:embedBold r:id="rId2" w:fontKey="{484578C0-FE02-4D51-947B-64FC781D6D5C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3" w:fontKey="{4627B6DA-0065-4E2C-B3F9-9EF905A4F709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4" w:fontKey="{6DC26BAE-973E-437E-8430-D90E2F1D8ABC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5" w:fontKey="{F16F7F6D-2740-446F-84F8-A29711CE0A90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6" w:fontKey="{B283C2B0-82A8-4A7F-8FEB-7426DEDD2821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7" w:fontKey="{A6753757-CAA9-44FE-86C7-6220AAA088CF}"/>
  </w:font>
  <w:font w:name="Cambria">
    <w:charset w:val="00"/>
    <w:family w:val="auto"/>
    <w:pitch w:val="default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21E0A">
    <w:pPr>
      <w:pStyle w:val="Footer"/>
      <w:jc w:val="center"/>
    </w:pPr>
    <w:r>
      <w:fldChar w:fldCharType="begin"/>
    </w:r>
    <w:r>
      <w:instrText>PAGE</w:instrText>
    </w:r>
    <w:r>
      <w:fldChar w:fldCharType="separate"/>
    </w:r>
    <w:r>
      <w:t>138</w:t>
    </w:r>
    <w:r>
      <w:fldChar w:fldCharType="end"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21E0A">
    <w:pPr>
      <w:pStyle w:val="Footer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ED13A4">
      <w:rPr>
        <w:noProof/>
      </w:rPr>
      <w:t>1</w:t>
    </w:r>
    <w:r>
      <w:rPr>
        <w:noProof/>
      </w:rPr>
      <w:fldChar w:fldCharType="end"/>
    </w:r>
  </w:p>
  <w:p w:rsidR="00B21E0A">
    <w:pPr>
      <w:pStyle w:val="Footer"/>
    </w:pP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21E0A" w:rsidRPr="004551CD">
    <w:pPr>
      <w:pStyle w:val="Header"/>
      <w:spacing w:after="0"/>
      <w:rPr>
        <w:lang w:val="fr-BE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EA58E78E"/>
    <w:lvl w:ilvl="0">
      <w:start w:val="1"/>
      <w:numFmt w:val="decimal"/>
      <w:pStyle w:val="ListNumb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80"/>
    <w:multiLevelType w:val="singleLevel"/>
    <w:tmpl w:val="E7A64A6A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2">
    <w:nsid w:val="1B1530A4"/>
    <w:multiLevelType w:val="multilevel"/>
    <w:tmpl w:val="8CE23BCC"/>
    <w:lvl w:ilvl="0">
      <w:start w:val="1"/>
      <w:numFmt w:val="decimal"/>
      <w:pStyle w:val="ListNumber2"/>
      <w:lvlText w:val="(%1)"/>
      <w:lvlJc w:val="left"/>
      <w:pPr>
        <w:tabs>
          <w:tab w:val="num" w:pos="1911"/>
        </w:tabs>
        <w:ind w:left="1911" w:hanging="709"/>
      </w:pPr>
    </w:lvl>
    <w:lvl w:ilvl="1">
      <w:start w:val="1"/>
      <w:numFmt w:val="lowerLetter"/>
      <w:pStyle w:val="ListNumber2Level2"/>
      <w:lvlText w:val="(%2)"/>
      <w:lvlJc w:val="left"/>
      <w:pPr>
        <w:tabs>
          <w:tab w:val="num" w:pos="2619"/>
        </w:tabs>
        <w:ind w:left="2619" w:hanging="708"/>
      </w:pPr>
    </w:lvl>
    <w:lvl w:ilvl="2">
      <w:start w:val="1"/>
      <w:numFmt w:val="bullet"/>
      <w:pStyle w:val="ListNumber2Level3"/>
      <w:lvlText w:val="–"/>
      <w:lvlJc w:val="left"/>
      <w:pPr>
        <w:tabs>
          <w:tab w:val="num" w:pos="3328"/>
        </w:tabs>
        <w:ind w:left="3328" w:hanging="709"/>
      </w:pPr>
      <w:rPr>
        <w:rFonts w:ascii="Times New Roman" w:hAnsi="Times New Roman"/>
      </w:rPr>
    </w:lvl>
    <w:lvl w:ilvl="3">
      <w:start w:val="1"/>
      <w:numFmt w:val="bullet"/>
      <w:pStyle w:val="ListNumber2Level4"/>
      <w:lvlText w:val=""/>
      <w:lvlJc w:val="left"/>
      <w:pPr>
        <w:tabs>
          <w:tab w:val="num" w:pos="4037"/>
        </w:tabs>
        <w:ind w:left="4037" w:hanging="709"/>
      </w:pPr>
      <w:rPr>
        <w:rFonts w:ascii="Symbol" w:hAnsi="Symbol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">
    <w:nsid w:val="1C7B624F"/>
    <w:multiLevelType w:val="singleLevel"/>
    <w:tmpl w:val="55144760"/>
    <w:name w:val="ListDash 1222"/>
    <w:lvl w:ilvl="0">
      <w:start w:val="1"/>
      <w:numFmt w:val="bullet"/>
      <w:lvlText w:val="-"/>
      <w:lvlJc w:val="left"/>
      <w:pPr>
        <w:tabs>
          <w:tab w:val="num" w:pos="283"/>
        </w:tabs>
        <w:ind w:left="283" w:hanging="283"/>
      </w:pPr>
      <w:rPr>
        <w:rFonts w:ascii="Symbol" w:hAnsi="Symbol" w:cs="Times New Roman" w:hint="default"/>
      </w:rPr>
    </w:lvl>
  </w:abstractNum>
  <w:abstractNum w:abstractNumId="4">
    <w:nsid w:val="22DD3599"/>
    <w:multiLevelType w:val="multilevel"/>
    <w:tmpl w:val="4EAA5BA6"/>
    <w:lvl w:ilvl="0">
      <w:start w:val="1"/>
      <w:numFmt w:val="decimal"/>
      <w:pStyle w:val="ListNumber"/>
      <w:lvlText w:val="(%1)"/>
      <w:lvlJc w:val="left"/>
      <w:pPr>
        <w:tabs>
          <w:tab w:val="num" w:pos="709"/>
        </w:tabs>
        <w:ind w:left="709" w:hanging="709"/>
      </w:pPr>
    </w:lvl>
    <w:lvl w:ilvl="1">
      <w:start w:val="1"/>
      <w:numFmt w:val="lowerLetter"/>
      <w:pStyle w:val="ListNumberLevel2"/>
      <w:lvlText w:val="(%2)"/>
      <w:lvlJc w:val="left"/>
      <w:pPr>
        <w:tabs>
          <w:tab w:val="num" w:pos="1417"/>
        </w:tabs>
        <w:ind w:left="1417" w:hanging="708"/>
      </w:pPr>
    </w:lvl>
    <w:lvl w:ilvl="2">
      <w:start w:val="1"/>
      <w:numFmt w:val="bullet"/>
      <w:pStyle w:val="ListNumberLevel3"/>
      <w:lvlText w:val="–"/>
      <w:lvlJc w:val="left"/>
      <w:pPr>
        <w:tabs>
          <w:tab w:val="num" w:pos="2126"/>
        </w:tabs>
        <w:ind w:left="2126" w:hanging="709"/>
      </w:pPr>
      <w:rPr>
        <w:rFonts w:ascii="Times New Roman" w:hAnsi="Times New Roman"/>
      </w:rPr>
    </w:lvl>
    <w:lvl w:ilvl="3">
      <w:start w:val="1"/>
      <w:numFmt w:val="bullet"/>
      <w:pStyle w:val="ListNumberLevel4"/>
      <w:lvlText w:val=""/>
      <w:lvlJc w:val="left"/>
      <w:pPr>
        <w:tabs>
          <w:tab w:val="num" w:pos="2835"/>
        </w:tabs>
        <w:ind w:left="2835" w:hanging="709"/>
      </w:pPr>
      <w:rPr>
        <w:rFonts w:ascii="Symbol" w:hAnsi="Symbol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5">
    <w:nsid w:val="2B75631B"/>
    <w:multiLevelType w:val="singleLevel"/>
    <w:tmpl w:val="A4DC141A"/>
    <w:lvl w:ilvl="0">
      <w:start w:val="1"/>
      <w:numFmt w:val="bullet"/>
      <w:pStyle w:val="ListBullet1"/>
      <w:lvlText w:val=""/>
      <w:lvlJc w:val="left"/>
      <w:pPr>
        <w:tabs>
          <w:tab w:val="num" w:pos="765"/>
        </w:tabs>
        <w:ind w:left="765" w:hanging="283"/>
      </w:pPr>
      <w:rPr>
        <w:rFonts w:ascii="Symbol" w:hAnsi="Symbol"/>
      </w:rPr>
    </w:lvl>
  </w:abstractNum>
  <w:abstractNum w:abstractNumId="6">
    <w:nsid w:val="2CAB4527"/>
    <w:multiLevelType w:val="multilevel"/>
    <w:tmpl w:val="26C24C12"/>
    <w:lvl w:ilvl="0">
      <w:start w:val="1"/>
      <w:numFmt w:val="decimal"/>
      <w:pStyle w:val="ListNumber3"/>
      <w:lvlText w:val="(%1)"/>
      <w:lvlJc w:val="left"/>
      <w:pPr>
        <w:tabs>
          <w:tab w:val="num" w:pos="1911"/>
        </w:tabs>
        <w:ind w:left="1911" w:hanging="709"/>
      </w:pPr>
    </w:lvl>
    <w:lvl w:ilvl="1">
      <w:start w:val="1"/>
      <w:numFmt w:val="lowerLetter"/>
      <w:pStyle w:val="ListNumber3Level2"/>
      <w:lvlText w:val="(%2)"/>
      <w:lvlJc w:val="left"/>
      <w:pPr>
        <w:tabs>
          <w:tab w:val="num" w:pos="2619"/>
        </w:tabs>
        <w:ind w:left="2619" w:hanging="708"/>
      </w:pPr>
    </w:lvl>
    <w:lvl w:ilvl="2">
      <w:start w:val="1"/>
      <w:numFmt w:val="bullet"/>
      <w:pStyle w:val="ListNumber3Level3"/>
      <w:lvlText w:val="–"/>
      <w:lvlJc w:val="left"/>
      <w:pPr>
        <w:tabs>
          <w:tab w:val="num" w:pos="3328"/>
        </w:tabs>
        <w:ind w:left="3328" w:hanging="709"/>
      </w:pPr>
      <w:rPr>
        <w:rFonts w:ascii="Times New Roman" w:hAnsi="Times New Roman"/>
      </w:rPr>
    </w:lvl>
    <w:lvl w:ilvl="3">
      <w:start w:val="1"/>
      <w:numFmt w:val="bullet"/>
      <w:pStyle w:val="ListNumber3Level4"/>
      <w:lvlText w:val=""/>
      <w:lvlJc w:val="left"/>
      <w:pPr>
        <w:tabs>
          <w:tab w:val="num" w:pos="4037"/>
        </w:tabs>
        <w:ind w:left="4037" w:hanging="709"/>
      </w:pPr>
      <w:rPr>
        <w:rFonts w:ascii="Symbol" w:hAnsi="Symbol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7">
    <w:nsid w:val="34293F3F"/>
    <w:multiLevelType w:val="singleLevel"/>
    <w:tmpl w:val="B074E4EC"/>
    <w:lvl w:ilvl="0">
      <w:start w:val="1"/>
      <w:numFmt w:val="bullet"/>
      <w:pStyle w:val="ListDash"/>
      <w:lvlText w:val="–"/>
      <w:lvlJc w:val="left"/>
      <w:pPr>
        <w:tabs>
          <w:tab w:val="num" w:pos="283"/>
        </w:tabs>
        <w:ind w:left="283" w:hanging="283"/>
      </w:pPr>
      <w:rPr>
        <w:rFonts w:ascii="Times New Roman" w:hAnsi="Times New Roman"/>
      </w:rPr>
    </w:lvl>
  </w:abstractNum>
  <w:abstractNum w:abstractNumId="8">
    <w:nsid w:val="358B6119"/>
    <w:multiLevelType w:val="multilevel"/>
    <w:tmpl w:val="A8BA546C"/>
    <w:lvl w:ilvl="0">
      <w:start w:val="1"/>
      <w:numFmt w:val="decimal"/>
      <w:pStyle w:val="ListNumber1"/>
      <w:lvlText w:val="(%1)"/>
      <w:lvlJc w:val="left"/>
      <w:pPr>
        <w:tabs>
          <w:tab w:val="num" w:pos="1191"/>
        </w:tabs>
        <w:ind w:left="1191" w:hanging="709"/>
      </w:pPr>
    </w:lvl>
    <w:lvl w:ilvl="1">
      <w:start w:val="1"/>
      <w:numFmt w:val="lowerLetter"/>
      <w:pStyle w:val="ListNumber1Level2"/>
      <w:lvlText w:val="(%2)"/>
      <w:lvlJc w:val="left"/>
      <w:pPr>
        <w:tabs>
          <w:tab w:val="num" w:pos="1899"/>
        </w:tabs>
        <w:ind w:left="1899" w:hanging="708"/>
      </w:pPr>
    </w:lvl>
    <w:lvl w:ilvl="2">
      <w:start w:val="1"/>
      <w:numFmt w:val="bullet"/>
      <w:pStyle w:val="ListNumber1Level3"/>
      <w:lvlText w:val="–"/>
      <w:lvlJc w:val="left"/>
      <w:pPr>
        <w:tabs>
          <w:tab w:val="num" w:pos="2608"/>
        </w:tabs>
        <w:ind w:left="2608" w:hanging="709"/>
      </w:pPr>
      <w:rPr>
        <w:rFonts w:ascii="Times New Roman" w:hAnsi="Times New Roman"/>
      </w:rPr>
    </w:lvl>
    <w:lvl w:ilvl="3">
      <w:start w:val="1"/>
      <w:numFmt w:val="bullet"/>
      <w:pStyle w:val="ListNumber1Level4"/>
      <w:lvlText w:val=""/>
      <w:lvlJc w:val="left"/>
      <w:pPr>
        <w:tabs>
          <w:tab w:val="num" w:pos="3317"/>
        </w:tabs>
        <w:ind w:left="3317" w:hanging="709"/>
      </w:pPr>
      <w:rPr>
        <w:rFonts w:ascii="Symbol" w:hAnsi="Symbol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9">
    <w:nsid w:val="36324F1E"/>
    <w:multiLevelType w:val="singleLevel"/>
    <w:tmpl w:val="E7764108"/>
    <w:name w:val="List Dash 1222"/>
    <w:lvl w:ilvl="0">
      <w:start w:val="1"/>
      <w:numFmt w:val="bullet"/>
      <w:lvlText w:val="-"/>
      <w:lvlJc w:val="left"/>
      <w:pPr>
        <w:tabs>
          <w:tab w:val="num" w:pos="283"/>
        </w:tabs>
        <w:ind w:left="283" w:hanging="283"/>
      </w:pPr>
      <w:rPr>
        <w:rFonts w:ascii="Symbol" w:hAnsi="Symbol" w:cs="Times New Roman" w:hint="default"/>
      </w:rPr>
    </w:lvl>
  </w:abstractNum>
  <w:abstractNum w:abstractNumId="10">
    <w:nsid w:val="37CB1E1C"/>
    <w:multiLevelType w:val="singleLevel"/>
    <w:tmpl w:val="628C12D0"/>
    <w:name w:val="List Dash 1223"/>
    <w:lvl w:ilvl="0">
      <w:start w:val="1"/>
      <w:numFmt w:val="bullet"/>
      <w:lvlText w:val="-"/>
      <w:lvlJc w:val="left"/>
      <w:pPr>
        <w:tabs>
          <w:tab w:val="num" w:pos="283"/>
        </w:tabs>
        <w:ind w:left="283" w:hanging="283"/>
      </w:pPr>
      <w:rPr>
        <w:rFonts w:ascii="Symbol" w:hAnsi="Symbol" w:cs="Times New Roman" w:hint="default"/>
      </w:rPr>
    </w:lvl>
  </w:abstractNum>
  <w:abstractNum w:abstractNumId="11">
    <w:nsid w:val="3AFB6DC8"/>
    <w:multiLevelType w:val="singleLevel"/>
    <w:tmpl w:val="D97CFDF8"/>
    <w:lvl w:ilvl="0">
      <w:start w:val="1"/>
      <w:numFmt w:val="bullet"/>
      <w:pStyle w:val="ListBullet2"/>
      <w:lvlText w:val=""/>
      <w:lvlJc w:val="left"/>
      <w:pPr>
        <w:tabs>
          <w:tab w:val="num" w:pos="1485"/>
        </w:tabs>
        <w:ind w:left="1485" w:hanging="283"/>
      </w:pPr>
      <w:rPr>
        <w:rFonts w:ascii="Symbol" w:hAnsi="Symbol"/>
      </w:rPr>
    </w:lvl>
  </w:abstractNum>
  <w:abstractNum w:abstractNumId="12">
    <w:nsid w:val="3CF00E18"/>
    <w:multiLevelType w:val="singleLevel"/>
    <w:tmpl w:val="4E1A982C"/>
    <w:lvl w:ilvl="0">
      <w:start w:val="1"/>
      <w:numFmt w:val="bullet"/>
      <w:pStyle w:val="ListBullet"/>
      <w:lvlText w:val=""/>
      <w:lvlJc w:val="left"/>
      <w:pPr>
        <w:tabs>
          <w:tab w:val="num" w:pos="283"/>
        </w:tabs>
        <w:ind w:left="283" w:hanging="283"/>
      </w:pPr>
      <w:rPr>
        <w:rFonts w:ascii="Symbol" w:hAnsi="Symbol"/>
      </w:rPr>
    </w:lvl>
  </w:abstractNum>
  <w:abstractNum w:abstractNumId="13">
    <w:nsid w:val="46113D4F"/>
    <w:multiLevelType w:val="singleLevel"/>
    <w:tmpl w:val="A3323CB8"/>
    <w:lvl w:ilvl="0">
      <w:start w:val="1"/>
      <w:numFmt w:val="bullet"/>
      <w:pStyle w:val="ListDash3"/>
      <w:lvlText w:val="–"/>
      <w:lvlJc w:val="left"/>
      <w:pPr>
        <w:tabs>
          <w:tab w:val="num" w:pos="1485"/>
        </w:tabs>
        <w:ind w:left="1485" w:hanging="283"/>
      </w:pPr>
      <w:rPr>
        <w:rFonts w:ascii="Times New Roman" w:hAnsi="Times New Roman"/>
      </w:rPr>
    </w:lvl>
  </w:abstractNum>
  <w:abstractNum w:abstractNumId="14">
    <w:nsid w:val="52264ABD"/>
    <w:multiLevelType w:val="multilevel"/>
    <w:tmpl w:val="08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5">
    <w:nsid w:val="53436603"/>
    <w:multiLevelType w:val="multilevel"/>
    <w:tmpl w:val="C23052C8"/>
    <w:lvl w:ilvl="0">
      <w:start w:val="1"/>
      <w:numFmt w:val="decimal"/>
      <w:pStyle w:val="Heading1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pStyle w:val="Heading2"/>
      <w:suff w:val="space"/>
      <w:lvlText w:val="%1.%2)"/>
      <w:lvlJc w:val="left"/>
      <w:pPr>
        <w:ind w:left="993" w:firstLine="0"/>
      </w:pPr>
      <w:rPr>
        <w:rFonts w:hint="default"/>
      </w:rPr>
    </w:lvl>
    <w:lvl w:ilvl="2">
      <w:start w:val="1"/>
      <w:numFmt w:val="decimal"/>
      <w:pStyle w:val="Heading3"/>
      <w:suff w:val="space"/>
      <w:lvlText w:val="%1.%2%3)"/>
      <w:lvlJc w:val="left"/>
      <w:pPr>
        <w:ind w:left="0" w:firstLine="0"/>
      </w:pPr>
      <w:rPr>
        <w:rFonts w:hint="default"/>
        <w:color w:val="auto"/>
      </w:rPr>
    </w:lvl>
    <w:lvl w:ilvl="3">
      <w:start w:val="1"/>
      <w:numFmt w:val="lowerLetter"/>
      <w:pStyle w:val="Heading4"/>
      <w:suff w:val="space"/>
      <w:lvlText w:val="%1.%2%3.%4)"/>
      <w:lvlJc w:val="left"/>
      <w:pPr>
        <w:ind w:left="0" w:firstLine="0"/>
      </w:pPr>
      <w:rPr>
        <w:rFonts w:hint="default"/>
      </w:rPr>
    </w:lvl>
    <w:lvl w:ilvl="4">
      <w:start w:val="1"/>
      <w:numFmt w:val="decimal"/>
      <w:pStyle w:val="Heading5"/>
      <w:suff w:val="space"/>
      <w:lvlText w:val="%1.%2%3.%4%5)"/>
      <w:lvlJc w:val="left"/>
      <w:pPr>
        <w:ind w:left="0" w:firstLine="0"/>
      </w:pPr>
      <w:rPr>
        <w:rFonts w:hint="default"/>
      </w:rPr>
    </w:lvl>
    <w:lvl w:ilvl="5">
      <w:start w:val="1"/>
      <w:numFmt w:val="lowerLetter"/>
      <w:pStyle w:val="Heading6"/>
      <w:suff w:val="space"/>
      <w:lvlText w:val="%1.%2%3.%4%5.%6)"/>
      <w:lvlJc w:val="left"/>
      <w:pPr>
        <w:ind w:left="0" w:firstLine="0"/>
      </w:pPr>
      <w:rPr>
        <w:rFonts w:hint="default"/>
      </w:rPr>
    </w:lvl>
    <w:lvl w:ilvl="6">
      <w:start w:val="1"/>
      <w:numFmt w:val="decimal"/>
      <w:pStyle w:val="Heading7"/>
      <w:suff w:val="space"/>
      <w:lvlText w:val="%1.%2.%3.%4.%5.%6.%7."/>
      <w:lvlJc w:val="left"/>
      <w:pPr>
        <w:ind w:left="0" w:firstLine="0"/>
      </w:pPr>
      <w:rPr>
        <w:rFonts w:hint="default"/>
      </w:rPr>
    </w:lvl>
    <w:lvl w:ilvl="7">
      <w:start w:val="1"/>
      <w:numFmt w:val="lowerLetter"/>
      <w:pStyle w:val="Heading8"/>
      <w:suff w:val="space"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pStyle w:val="Heading9"/>
      <w:suff w:val="space"/>
      <w:lvlText w:val="%1.%2.%3.%4.%5.%6.%7.%8.%9."/>
      <w:lvlJc w:val="left"/>
      <w:pPr>
        <w:ind w:left="0" w:firstLine="0"/>
      </w:pPr>
      <w:rPr>
        <w:rFonts w:hint="default"/>
      </w:rPr>
    </w:lvl>
  </w:abstractNum>
  <w:abstractNum w:abstractNumId="16">
    <w:nsid w:val="54D10AB0"/>
    <w:multiLevelType w:val="singleLevel"/>
    <w:tmpl w:val="5B50620E"/>
    <w:lvl w:ilvl="0">
      <w:start w:val="1"/>
      <w:numFmt w:val="bullet"/>
      <w:pStyle w:val="ListDash4"/>
      <w:lvlText w:val="–"/>
      <w:lvlJc w:val="left"/>
      <w:pPr>
        <w:tabs>
          <w:tab w:val="num" w:pos="1485"/>
        </w:tabs>
        <w:ind w:left="1485" w:hanging="283"/>
      </w:pPr>
      <w:rPr>
        <w:rFonts w:ascii="Times New Roman" w:hAnsi="Times New Roman"/>
      </w:rPr>
    </w:lvl>
  </w:abstractNum>
  <w:abstractNum w:abstractNumId="17">
    <w:nsid w:val="57594894"/>
    <w:multiLevelType w:val="multilevel"/>
    <w:tmpl w:val="A09AD310"/>
    <w:styleLink w:val="Headings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993" w:firstLine="0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0" w:firstLine="0"/>
      </w:pPr>
      <w:rPr>
        <w:rFonts w:hint="default"/>
        <w:color w:val="auto"/>
      </w:rPr>
    </w:lvl>
    <w:lvl w:ilvl="3">
      <w:start w:val="1"/>
      <w:numFmt w:val="decimal"/>
      <w:suff w:val="space"/>
      <w:lvlText w:val="%1.%2.%3.%4."/>
      <w:lvlJc w:val="left"/>
      <w:pPr>
        <w:ind w:left="0" w:firstLine="0"/>
      </w:pPr>
      <w:rPr>
        <w:rFonts w:hint="default"/>
      </w:rPr>
    </w:lvl>
    <w:lvl w:ilvl="4">
      <w:start w:val="1"/>
      <w:numFmt w:val="decimal"/>
      <w:suff w:val="space"/>
      <w:lvlText w:val="%1.%2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space"/>
      <w:lvlText w:val="%1.%2.%3.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space"/>
      <w:lvlText w:val="%1.%2.%3.%4.%5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space"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space"/>
      <w:lvlText w:val="%1.%2.%3.%4.%5.%6.%7.%8.%9."/>
      <w:lvlJc w:val="left"/>
      <w:pPr>
        <w:ind w:left="0" w:firstLine="0"/>
      </w:pPr>
      <w:rPr>
        <w:rFonts w:hint="default"/>
      </w:rPr>
    </w:lvl>
  </w:abstractNum>
  <w:abstractNum w:abstractNumId="18">
    <w:nsid w:val="5B8B1E96"/>
    <w:multiLevelType w:val="multilevel"/>
    <w:tmpl w:val="C3AAD27E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9">
    <w:nsid w:val="5C405D49"/>
    <w:multiLevelType w:val="multilevel"/>
    <w:tmpl w:val="E3AE3AA0"/>
    <w:numStyleLink w:val="Headings"/>
  </w:abstractNum>
  <w:abstractNum w:abstractNumId="20">
    <w:nsid w:val="5E0D6286"/>
    <w:multiLevelType w:val="singleLevel"/>
    <w:tmpl w:val="B0567122"/>
    <w:lvl w:ilvl="0">
      <w:start w:val="1"/>
      <w:numFmt w:val="bullet"/>
      <w:pStyle w:val="ListDash2"/>
      <w:lvlText w:val="–"/>
      <w:lvlJc w:val="left"/>
      <w:pPr>
        <w:tabs>
          <w:tab w:val="num" w:pos="1485"/>
        </w:tabs>
        <w:ind w:left="1485" w:hanging="283"/>
      </w:pPr>
      <w:rPr>
        <w:rFonts w:ascii="Times New Roman" w:hAnsi="Times New Roman"/>
      </w:rPr>
    </w:lvl>
  </w:abstractNum>
  <w:abstractNum w:abstractNumId="21">
    <w:nsid w:val="6057433F"/>
    <w:multiLevelType w:val="singleLevel"/>
    <w:tmpl w:val="3D5ECD48"/>
    <w:lvl w:ilvl="0">
      <w:start w:val="1"/>
      <w:numFmt w:val="bullet"/>
      <w:pStyle w:val="ListDash1"/>
      <w:lvlText w:val="–"/>
      <w:lvlJc w:val="left"/>
      <w:pPr>
        <w:tabs>
          <w:tab w:val="num" w:pos="765"/>
        </w:tabs>
        <w:ind w:left="765" w:hanging="283"/>
      </w:pPr>
      <w:rPr>
        <w:rFonts w:ascii="Times New Roman" w:hAnsi="Times New Roman"/>
      </w:rPr>
    </w:lvl>
  </w:abstractNum>
  <w:abstractNum w:abstractNumId="22">
    <w:nsid w:val="620F2440"/>
    <w:multiLevelType w:val="singleLevel"/>
    <w:tmpl w:val="6860A420"/>
    <w:lvl w:ilvl="0">
      <w:start w:val="1"/>
      <w:numFmt w:val="bullet"/>
      <w:pStyle w:val="ListBullet3"/>
      <w:lvlText w:val=""/>
      <w:lvlJc w:val="left"/>
      <w:pPr>
        <w:tabs>
          <w:tab w:val="num" w:pos="1485"/>
        </w:tabs>
        <w:ind w:left="1485" w:hanging="283"/>
      </w:pPr>
      <w:rPr>
        <w:rFonts w:ascii="Symbol" w:hAnsi="Symbol"/>
      </w:rPr>
    </w:lvl>
  </w:abstractNum>
  <w:abstractNum w:abstractNumId="23">
    <w:nsid w:val="6DF118C0"/>
    <w:multiLevelType w:val="singleLevel"/>
    <w:tmpl w:val="B90C8B88"/>
    <w:lvl w:ilvl="0">
      <w:start w:val="1"/>
      <w:numFmt w:val="bullet"/>
      <w:pStyle w:val="ListBullet4"/>
      <w:lvlText w:val=""/>
      <w:lvlJc w:val="left"/>
      <w:pPr>
        <w:tabs>
          <w:tab w:val="num" w:pos="1485"/>
        </w:tabs>
        <w:ind w:left="1485" w:hanging="283"/>
      </w:pPr>
      <w:rPr>
        <w:rFonts w:ascii="Symbol" w:hAnsi="Symbol"/>
      </w:rPr>
    </w:lvl>
  </w:abstractNum>
  <w:abstractNum w:abstractNumId="24">
    <w:nsid w:val="6E190441"/>
    <w:multiLevelType w:val="multilevel"/>
    <w:tmpl w:val="08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5">
    <w:nsid w:val="722304D7"/>
    <w:multiLevelType w:val="multilevel"/>
    <w:tmpl w:val="9DE2758E"/>
    <w:lvl w:ilvl="0">
      <w:start w:val="1"/>
      <w:numFmt w:val="decimal"/>
      <w:pStyle w:val="ListNumber4"/>
      <w:lvlText w:val="(%1)"/>
      <w:lvlJc w:val="left"/>
      <w:pPr>
        <w:tabs>
          <w:tab w:val="num" w:pos="1911"/>
        </w:tabs>
        <w:ind w:left="1911" w:hanging="709"/>
      </w:pPr>
    </w:lvl>
    <w:lvl w:ilvl="1">
      <w:start w:val="1"/>
      <w:numFmt w:val="lowerLetter"/>
      <w:pStyle w:val="ListNumber4Level2"/>
      <w:lvlText w:val="(%2)"/>
      <w:lvlJc w:val="left"/>
      <w:pPr>
        <w:tabs>
          <w:tab w:val="num" w:pos="2619"/>
        </w:tabs>
        <w:ind w:left="2619" w:hanging="708"/>
      </w:pPr>
    </w:lvl>
    <w:lvl w:ilvl="2">
      <w:start w:val="1"/>
      <w:numFmt w:val="bullet"/>
      <w:pStyle w:val="ListNumber4Level3"/>
      <w:lvlText w:val="–"/>
      <w:lvlJc w:val="left"/>
      <w:pPr>
        <w:tabs>
          <w:tab w:val="num" w:pos="3328"/>
        </w:tabs>
        <w:ind w:left="3328" w:hanging="709"/>
      </w:pPr>
      <w:rPr>
        <w:rFonts w:ascii="Times New Roman" w:hAnsi="Times New Roman"/>
      </w:rPr>
    </w:lvl>
    <w:lvl w:ilvl="3">
      <w:start w:val="1"/>
      <w:numFmt w:val="bullet"/>
      <w:pStyle w:val="ListNumber4Level4"/>
      <w:lvlText w:val=""/>
      <w:lvlJc w:val="left"/>
      <w:pPr>
        <w:tabs>
          <w:tab w:val="num" w:pos="4037"/>
        </w:tabs>
        <w:ind w:left="4037" w:hanging="709"/>
      </w:pPr>
      <w:rPr>
        <w:rFonts w:ascii="Symbol" w:hAnsi="Symbol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num w:numId="1">
    <w:abstractNumId w:val="1"/>
  </w:num>
  <w:num w:numId="2">
    <w:abstractNumId w:val="0"/>
  </w:num>
  <w:num w:numId="3">
    <w:abstractNumId w:val="12"/>
  </w:num>
  <w:num w:numId="4">
    <w:abstractNumId w:val="5"/>
  </w:num>
  <w:num w:numId="5">
    <w:abstractNumId w:val="11"/>
  </w:num>
  <w:num w:numId="6">
    <w:abstractNumId w:val="22"/>
  </w:num>
  <w:num w:numId="7">
    <w:abstractNumId w:val="23"/>
  </w:num>
  <w:num w:numId="8">
    <w:abstractNumId w:val="7"/>
  </w:num>
  <w:num w:numId="9">
    <w:abstractNumId w:val="21"/>
  </w:num>
  <w:num w:numId="10">
    <w:abstractNumId w:val="20"/>
  </w:num>
  <w:num w:numId="11">
    <w:abstractNumId w:val="13"/>
  </w:num>
  <w:num w:numId="12">
    <w:abstractNumId w:val="16"/>
  </w:num>
  <w:num w:numId="13">
    <w:abstractNumId w:val="4"/>
  </w:num>
  <w:num w:numId="14">
    <w:abstractNumId w:val="8"/>
  </w:num>
  <w:num w:numId="15">
    <w:abstractNumId w:val="2"/>
  </w:num>
  <w:num w:numId="16">
    <w:abstractNumId w:val="6"/>
  </w:num>
  <w:num w:numId="17">
    <w:abstractNumId w:val="25"/>
  </w:num>
  <w:num w:numId="18">
    <w:abstractNumId w:val="17"/>
  </w:num>
  <w:num w:numId="19">
    <w:abstractNumId w:val="19"/>
  </w:num>
  <w:num w:numId="20">
    <w:abstractNumId w:val="15"/>
  </w:num>
  <w:num w:numId="21">
    <w:abstractNumId w:val="18"/>
  </w:num>
  <w:num w:numId="22">
    <w:abstractNumId w:val="14"/>
  </w:num>
  <w:num w:numId="23">
    <w:abstractNumId w:val="2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hideSpellingErrors/>
  <w:zoom w:percent="100"/>
  <w:embedTrueTypeFonts/>
  <w:embedSystemFonts/>
  <w:proofState w:grammar="clean"/>
  <w:attachedTemplate r:id="rId1"/>
  <w:stylePaneFormatFilter w:val="3F01"/>
  <w:doNotTrackMoves/>
  <w:defaultTabStop w:val="720"/>
  <w:displayHorizontalDrawingGridEvery w:val="0"/>
  <w:displayVerticalDrawingGridEvery w:val="0"/>
  <w:doNotUseMarginsForDrawingGridOrigin/>
  <w:drawingGridHorizontalOrigin w:val="1701"/>
  <w:drawingGridVerticalOrigin w:val="1984"/>
  <w:noPunctuationKerning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B538D8"/>
    <w:rsid w:val="00001E6E"/>
    <w:rsid w:val="000025C7"/>
    <w:rsid w:val="00002B97"/>
    <w:rsid w:val="00011C15"/>
    <w:rsid w:val="00013F30"/>
    <w:rsid w:val="000161D2"/>
    <w:rsid w:val="00027B3A"/>
    <w:rsid w:val="000465D1"/>
    <w:rsid w:val="000509CF"/>
    <w:rsid w:val="00052488"/>
    <w:rsid w:val="0005270A"/>
    <w:rsid w:val="000567D8"/>
    <w:rsid w:val="000610F9"/>
    <w:rsid w:val="000619C8"/>
    <w:rsid w:val="00062C4F"/>
    <w:rsid w:val="00063729"/>
    <w:rsid w:val="0006666A"/>
    <w:rsid w:val="00066936"/>
    <w:rsid w:val="000700A3"/>
    <w:rsid w:val="00070BF2"/>
    <w:rsid w:val="00073100"/>
    <w:rsid w:val="00077D84"/>
    <w:rsid w:val="00084750"/>
    <w:rsid w:val="00094BC2"/>
    <w:rsid w:val="00097749"/>
    <w:rsid w:val="00097AD4"/>
    <w:rsid w:val="000A1ABB"/>
    <w:rsid w:val="000A2719"/>
    <w:rsid w:val="000A3480"/>
    <w:rsid w:val="000A3CD6"/>
    <w:rsid w:val="000A612B"/>
    <w:rsid w:val="000B40D7"/>
    <w:rsid w:val="000B66B5"/>
    <w:rsid w:val="000B76DA"/>
    <w:rsid w:val="000C1FE8"/>
    <w:rsid w:val="000C269C"/>
    <w:rsid w:val="000C2E95"/>
    <w:rsid w:val="000C3217"/>
    <w:rsid w:val="000C494F"/>
    <w:rsid w:val="000C570C"/>
    <w:rsid w:val="000C778E"/>
    <w:rsid w:val="000D1F6A"/>
    <w:rsid w:val="000D49BF"/>
    <w:rsid w:val="000D6FA3"/>
    <w:rsid w:val="000E0B8E"/>
    <w:rsid w:val="000E0F54"/>
    <w:rsid w:val="000E1B5D"/>
    <w:rsid w:val="000E23C9"/>
    <w:rsid w:val="000E4C90"/>
    <w:rsid w:val="000F088C"/>
    <w:rsid w:val="000F1FF8"/>
    <w:rsid w:val="000F288D"/>
    <w:rsid w:val="000F2B29"/>
    <w:rsid w:val="000F4D07"/>
    <w:rsid w:val="000F77B2"/>
    <w:rsid w:val="00102D6F"/>
    <w:rsid w:val="00103CEE"/>
    <w:rsid w:val="00115C88"/>
    <w:rsid w:val="00116DD6"/>
    <w:rsid w:val="00117C66"/>
    <w:rsid w:val="00120799"/>
    <w:rsid w:val="001225A7"/>
    <w:rsid w:val="001233A5"/>
    <w:rsid w:val="00123B0C"/>
    <w:rsid w:val="00124612"/>
    <w:rsid w:val="00126C6E"/>
    <w:rsid w:val="00127FED"/>
    <w:rsid w:val="0013208A"/>
    <w:rsid w:val="00132A62"/>
    <w:rsid w:val="00135D7E"/>
    <w:rsid w:val="00136257"/>
    <w:rsid w:val="001404DA"/>
    <w:rsid w:val="001430E4"/>
    <w:rsid w:val="00147229"/>
    <w:rsid w:val="00153C72"/>
    <w:rsid w:val="00157E5A"/>
    <w:rsid w:val="00162E7B"/>
    <w:rsid w:val="00164810"/>
    <w:rsid w:val="00164D2A"/>
    <w:rsid w:val="001659FC"/>
    <w:rsid w:val="001677EA"/>
    <w:rsid w:val="00167F92"/>
    <w:rsid w:val="00170CD8"/>
    <w:rsid w:val="00171825"/>
    <w:rsid w:val="00171EBD"/>
    <w:rsid w:val="001755F5"/>
    <w:rsid w:val="00180BE9"/>
    <w:rsid w:val="001810DA"/>
    <w:rsid w:val="00192821"/>
    <w:rsid w:val="001934ED"/>
    <w:rsid w:val="00196DE7"/>
    <w:rsid w:val="001A0B3E"/>
    <w:rsid w:val="001A0F53"/>
    <w:rsid w:val="001A115C"/>
    <w:rsid w:val="001A6E77"/>
    <w:rsid w:val="001B284B"/>
    <w:rsid w:val="001B3243"/>
    <w:rsid w:val="001B4816"/>
    <w:rsid w:val="001B6D5B"/>
    <w:rsid w:val="001C0105"/>
    <w:rsid w:val="001C2C04"/>
    <w:rsid w:val="001C727B"/>
    <w:rsid w:val="001D0303"/>
    <w:rsid w:val="001D094F"/>
    <w:rsid w:val="001D32CC"/>
    <w:rsid w:val="001D35C9"/>
    <w:rsid w:val="001D534D"/>
    <w:rsid w:val="001D7835"/>
    <w:rsid w:val="001E1B85"/>
    <w:rsid w:val="001E1D5A"/>
    <w:rsid w:val="001F10DC"/>
    <w:rsid w:val="001F159E"/>
    <w:rsid w:val="001F4D52"/>
    <w:rsid w:val="001F7091"/>
    <w:rsid w:val="002031B8"/>
    <w:rsid w:val="00211D52"/>
    <w:rsid w:val="00213D61"/>
    <w:rsid w:val="00213F7E"/>
    <w:rsid w:val="00214CBA"/>
    <w:rsid w:val="0022049F"/>
    <w:rsid w:val="002217EF"/>
    <w:rsid w:val="002249E9"/>
    <w:rsid w:val="00230797"/>
    <w:rsid w:val="002318C0"/>
    <w:rsid w:val="00231B5F"/>
    <w:rsid w:val="002349C3"/>
    <w:rsid w:val="00236422"/>
    <w:rsid w:val="00252B51"/>
    <w:rsid w:val="0025435C"/>
    <w:rsid w:val="002559D7"/>
    <w:rsid w:val="00256893"/>
    <w:rsid w:val="0025740D"/>
    <w:rsid w:val="002643D8"/>
    <w:rsid w:val="002652D4"/>
    <w:rsid w:val="00270E99"/>
    <w:rsid w:val="0027265C"/>
    <w:rsid w:val="00273AB1"/>
    <w:rsid w:val="00275463"/>
    <w:rsid w:val="0027612B"/>
    <w:rsid w:val="00276253"/>
    <w:rsid w:val="00280E12"/>
    <w:rsid w:val="0029100A"/>
    <w:rsid w:val="00292B54"/>
    <w:rsid w:val="00296983"/>
    <w:rsid w:val="002A764E"/>
    <w:rsid w:val="002B150D"/>
    <w:rsid w:val="002B334D"/>
    <w:rsid w:val="002B57B0"/>
    <w:rsid w:val="002D1F0B"/>
    <w:rsid w:val="002E2EA7"/>
    <w:rsid w:val="002E2F12"/>
    <w:rsid w:val="002E457C"/>
    <w:rsid w:val="002F1A1E"/>
    <w:rsid w:val="002F21D8"/>
    <w:rsid w:val="002F399F"/>
    <w:rsid w:val="003000A8"/>
    <w:rsid w:val="00300F23"/>
    <w:rsid w:val="003039ED"/>
    <w:rsid w:val="00305BA4"/>
    <w:rsid w:val="00310935"/>
    <w:rsid w:val="0031284E"/>
    <w:rsid w:val="00313DB4"/>
    <w:rsid w:val="00314BC7"/>
    <w:rsid w:val="00317EAC"/>
    <w:rsid w:val="00320947"/>
    <w:rsid w:val="003269DC"/>
    <w:rsid w:val="003315A0"/>
    <w:rsid w:val="00335A6C"/>
    <w:rsid w:val="00341479"/>
    <w:rsid w:val="00346BC2"/>
    <w:rsid w:val="00350D1F"/>
    <w:rsid w:val="003528C3"/>
    <w:rsid w:val="0035305C"/>
    <w:rsid w:val="003600B2"/>
    <w:rsid w:val="003616F6"/>
    <w:rsid w:val="0036424C"/>
    <w:rsid w:val="003677C2"/>
    <w:rsid w:val="00370BD4"/>
    <w:rsid w:val="003734F9"/>
    <w:rsid w:val="00373D3F"/>
    <w:rsid w:val="00373FCE"/>
    <w:rsid w:val="003800EA"/>
    <w:rsid w:val="003835F2"/>
    <w:rsid w:val="00387F2E"/>
    <w:rsid w:val="00390980"/>
    <w:rsid w:val="003930B0"/>
    <w:rsid w:val="0039384A"/>
    <w:rsid w:val="00395EBD"/>
    <w:rsid w:val="003A1DB6"/>
    <w:rsid w:val="003A4EA8"/>
    <w:rsid w:val="003B05E1"/>
    <w:rsid w:val="003B1046"/>
    <w:rsid w:val="003B4025"/>
    <w:rsid w:val="003B4FD5"/>
    <w:rsid w:val="003B5A4C"/>
    <w:rsid w:val="003B6D4A"/>
    <w:rsid w:val="003C5EE6"/>
    <w:rsid w:val="003C6C81"/>
    <w:rsid w:val="003C6E91"/>
    <w:rsid w:val="003D0D1A"/>
    <w:rsid w:val="003D2871"/>
    <w:rsid w:val="003D54AB"/>
    <w:rsid w:val="003D6038"/>
    <w:rsid w:val="003D6B97"/>
    <w:rsid w:val="003D7415"/>
    <w:rsid w:val="003E20E8"/>
    <w:rsid w:val="003F26A0"/>
    <w:rsid w:val="003F6BAD"/>
    <w:rsid w:val="00402C44"/>
    <w:rsid w:val="00403AEE"/>
    <w:rsid w:val="0041191E"/>
    <w:rsid w:val="0042065A"/>
    <w:rsid w:val="004247C1"/>
    <w:rsid w:val="004256BD"/>
    <w:rsid w:val="00426DE9"/>
    <w:rsid w:val="004333F7"/>
    <w:rsid w:val="00435642"/>
    <w:rsid w:val="00436740"/>
    <w:rsid w:val="00440C49"/>
    <w:rsid w:val="004410C4"/>
    <w:rsid w:val="004415DD"/>
    <w:rsid w:val="0044304C"/>
    <w:rsid w:val="00446CDB"/>
    <w:rsid w:val="0045367A"/>
    <w:rsid w:val="0045450B"/>
    <w:rsid w:val="004551CD"/>
    <w:rsid w:val="0045561B"/>
    <w:rsid w:val="0046183D"/>
    <w:rsid w:val="00463BDE"/>
    <w:rsid w:val="004653AB"/>
    <w:rsid w:val="004675DD"/>
    <w:rsid w:val="00471404"/>
    <w:rsid w:val="00472B70"/>
    <w:rsid w:val="00473930"/>
    <w:rsid w:val="00480D7E"/>
    <w:rsid w:val="00481510"/>
    <w:rsid w:val="004820D8"/>
    <w:rsid w:val="004837C9"/>
    <w:rsid w:val="00483C37"/>
    <w:rsid w:val="00487D45"/>
    <w:rsid w:val="00492969"/>
    <w:rsid w:val="00492BAA"/>
    <w:rsid w:val="004936B2"/>
    <w:rsid w:val="00493CD1"/>
    <w:rsid w:val="00495491"/>
    <w:rsid w:val="004A1010"/>
    <w:rsid w:val="004A30DD"/>
    <w:rsid w:val="004A339B"/>
    <w:rsid w:val="004A33F6"/>
    <w:rsid w:val="004A6135"/>
    <w:rsid w:val="004B6788"/>
    <w:rsid w:val="004D111A"/>
    <w:rsid w:val="004D174D"/>
    <w:rsid w:val="004D4465"/>
    <w:rsid w:val="004E0320"/>
    <w:rsid w:val="004E1EFA"/>
    <w:rsid w:val="004E4892"/>
    <w:rsid w:val="004E4F78"/>
    <w:rsid w:val="004F1344"/>
    <w:rsid w:val="004F3466"/>
    <w:rsid w:val="004F4163"/>
    <w:rsid w:val="004F5302"/>
    <w:rsid w:val="004F7AEA"/>
    <w:rsid w:val="004F7FCB"/>
    <w:rsid w:val="00500B0F"/>
    <w:rsid w:val="00500F47"/>
    <w:rsid w:val="0050247A"/>
    <w:rsid w:val="005031FD"/>
    <w:rsid w:val="00503BD6"/>
    <w:rsid w:val="005103F1"/>
    <w:rsid w:val="00513D98"/>
    <w:rsid w:val="00513DDF"/>
    <w:rsid w:val="0051429C"/>
    <w:rsid w:val="0051495D"/>
    <w:rsid w:val="00520A73"/>
    <w:rsid w:val="00522CDD"/>
    <w:rsid w:val="00523057"/>
    <w:rsid w:val="00533CE2"/>
    <w:rsid w:val="00533D94"/>
    <w:rsid w:val="005347FE"/>
    <w:rsid w:val="005351C4"/>
    <w:rsid w:val="00540728"/>
    <w:rsid w:val="0054420F"/>
    <w:rsid w:val="005507F0"/>
    <w:rsid w:val="0055080F"/>
    <w:rsid w:val="005526A1"/>
    <w:rsid w:val="00554619"/>
    <w:rsid w:val="0056286B"/>
    <w:rsid w:val="0056464E"/>
    <w:rsid w:val="0056504B"/>
    <w:rsid w:val="005708CD"/>
    <w:rsid w:val="005762A6"/>
    <w:rsid w:val="00577C7C"/>
    <w:rsid w:val="00581D46"/>
    <w:rsid w:val="00582465"/>
    <w:rsid w:val="005835DB"/>
    <w:rsid w:val="0058522A"/>
    <w:rsid w:val="00586587"/>
    <w:rsid w:val="00591357"/>
    <w:rsid w:val="005929CE"/>
    <w:rsid w:val="00592E64"/>
    <w:rsid w:val="005956D6"/>
    <w:rsid w:val="00596225"/>
    <w:rsid w:val="005A3E85"/>
    <w:rsid w:val="005A4E6C"/>
    <w:rsid w:val="005A7E2E"/>
    <w:rsid w:val="005B02DF"/>
    <w:rsid w:val="005B246C"/>
    <w:rsid w:val="005B64EE"/>
    <w:rsid w:val="005B6CAE"/>
    <w:rsid w:val="005B78CA"/>
    <w:rsid w:val="005C4370"/>
    <w:rsid w:val="005C5A7B"/>
    <w:rsid w:val="005C738E"/>
    <w:rsid w:val="005D2051"/>
    <w:rsid w:val="005D7F00"/>
    <w:rsid w:val="005E13F3"/>
    <w:rsid w:val="005E2F69"/>
    <w:rsid w:val="005E3AE2"/>
    <w:rsid w:val="005E62F8"/>
    <w:rsid w:val="005E7742"/>
    <w:rsid w:val="005F4C83"/>
    <w:rsid w:val="0060035A"/>
    <w:rsid w:val="00601990"/>
    <w:rsid w:val="00601CBC"/>
    <w:rsid w:val="006057F9"/>
    <w:rsid w:val="0060603B"/>
    <w:rsid w:val="00606455"/>
    <w:rsid w:val="006116E6"/>
    <w:rsid w:val="006124CE"/>
    <w:rsid w:val="00613117"/>
    <w:rsid w:val="00613798"/>
    <w:rsid w:val="006151DE"/>
    <w:rsid w:val="006157B8"/>
    <w:rsid w:val="006160A3"/>
    <w:rsid w:val="006166B9"/>
    <w:rsid w:val="006208A1"/>
    <w:rsid w:val="00622438"/>
    <w:rsid w:val="00623950"/>
    <w:rsid w:val="006241B1"/>
    <w:rsid w:val="006260BC"/>
    <w:rsid w:val="006351D9"/>
    <w:rsid w:val="0063550E"/>
    <w:rsid w:val="0064258E"/>
    <w:rsid w:val="006430A2"/>
    <w:rsid w:val="00645E72"/>
    <w:rsid w:val="00645FC2"/>
    <w:rsid w:val="00647B27"/>
    <w:rsid w:val="00652AB7"/>
    <w:rsid w:val="00653F17"/>
    <w:rsid w:val="00655A9D"/>
    <w:rsid w:val="00662B1F"/>
    <w:rsid w:val="00664580"/>
    <w:rsid w:val="00665CB5"/>
    <w:rsid w:val="0067352E"/>
    <w:rsid w:val="006752F0"/>
    <w:rsid w:val="006761F1"/>
    <w:rsid w:val="0067763F"/>
    <w:rsid w:val="00677D23"/>
    <w:rsid w:val="00681D22"/>
    <w:rsid w:val="006823E0"/>
    <w:rsid w:val="00682E0A"/>
    <w:rsid w:val="00684864"/>
    <w:rsid w:val="0068582F"/>
    <w:rsid w:val="00687A5D"/>
    <w:rsid w:val="0069064B"/>
    <w:rsid w:val="00697AF8"/>
    <w:rsid w:val="00697B88"/>
    <w:rsid w:val="006A1E7E"/>
    <w:rsid w:val="006A642E"/>
    <w:rsid w:val="006A6603"/>
    <w:rsid w:val="006A6ADF"/>
    <w:rsid w:val="006A79C6"/>
    <w:rsid w:val="006A7B34"/>
    <w:rsid w:val="006B2045"/>
    <w:rsid w:val="006B3D4E"/>
    <w:rsid w:val="006B5E16"/>
    <w:rsid w:val="006C2059"/>
    <w:rsid w:val="006C3E71"/>
    <w:rsid w:val="006C4BB2"/>
    <w:rsid w:val="006C66F2"/>
    <w:rsid w:val="006D1B2F"/>
    <w:rsid w:val="006D4255"/>
    <w:rsid w:val="006D51D2"/>
    <w:rsid w:val="006D7733"/>
    <w:rsid w:val="006E141E"/>
    <w:rsid w:val="006E38BC"/>
    <w:rsid w:val="006F043F"/>
    <w:rsid w:val="006F2890"/>
    <w:rsid w:val="006F3C3C"/>
    <w:rsid w:val="006F40C8"/>
    <w:rsid w:val="007008B0"/>
    <w:rsid w:val="00701CDF"/>
    <w:rsid w:val="00702D11"/>
    <w:rsid w:val="007114E3"/>
    <w:rsid w:val="00712477"/>
    <w:rsid w:val="00716B84"/>
    <w:rsid w:val="0071733B"/>
    <w:rsid w:val="00722F31"/>
    <w:rsid w:val="00730878"/>
    <w:rsid w:val="0073128E"/>
    <w:rsid w:val="0073361C"/>
    <w:rsid w:val="00733ECB"/>
    <w:rsid w:val="00735504"/>
    <w:rsid w:val="007400B0"/>
    <w:rsid w:val="00745828"/>
    <w:rsid w:val="00745E3B"/>
    <w:rsid w:val="007522B8"/>
    <w:rsid w:val="00753BD9"/>
    <w:rsid w:val="00754A4E"/>
    <w:rsid w:val="00762B8C"/>
    <w:rsid w:val="0076455A"/>
    <w:rsid w:val="007656FD"/>
    <w:rsid w:val="007660E6"/>
    <w:rsid w:val="007668A0"/>
    <w:rsid w:val="00767DB2"/>
    <w:rsid w:val="00770266"/>
    <w:rsid w:val="00774D6C"/>
    <w:rsid w:val="0078153C"/>
    <w:rsid w:val="007826C1"/>
    <w:rsid w:val="0078362A"/>
    <w:rsid w:val="007855B4"/>
    <w:rsid w:val="00792538"/>
    <w:rsid w:val="00796234"/>
    <w:rsid w:val="007A1805"/>
    <w:rsid w:val="007A3328"/>
    <w:rsid w:val="007A635F"/>
    <w:rsid w:val="007B1B62"/>
    <w:rsid w:val="007B1E8F"/>
    <w:rsid w:val="007B1FC4"/>
    <w:rsid w:val="007B576B"/>
    <w:rsid w:val="007B61BD"/>
    <w:rsid w:val="007C5188"/>
    <w:rsid w:val="007D587A"/>
    <w:rsid w:val="007D5D56"/>
    <w:rsid w:val="007D6D19"/>
    <w:rsid w:val="007D6E83"/>
    <w:rsid w:val="007E02B0"/>
    <w:rsid w:val="007E2E52"/>
    <w:rsid w:val="007E5AA1"/>
    <w:rsid w:val="007F4D3A"/>
    <w:rsid w:val="007F5425"/>
    <w:rsid w:val="007F550F"/>
    <w:rsid w:val="00804844"/>
    <w:rsid w:val="00806281"/>
    <w:rsid w:val="0080631C"/>
    <w:rsid w:val="00822331"/>
    <w:rsid w:val="00823970"/>
    <w:rsid w:val="00824932"/>
    <w:rsid w:val="00831875"/>
    <w:rsid w:val="00833149"/>
    <w:rsid w:val="0083323C"/>
    <w:rsid w:val="00835A48"/>
    <w:rsid w:val="008361C0"/>
    <w:rsid w:val="008377CE"/>
    <w:rsid w:val="00841108"/>
    <w:rsid w:val="00844188"/>
    <w:rsid w:val="008460C0"/>
    <w:rsid w:val="00852277"/>
    <w:rsid w:val="0085264B"/>
    <w:rsid w:val="00862C72"/>
    <w:rsid w:val="00865F4C"/>
    <w:rsid w:val="008675BB"/>
    <w:rsid w:val="0086766F"/>
    <w:rsid w:val="00872453"/>
    <w:rsid w:val="00877A08"/>
    <w:rsid w:val="00881CAB"/>
    <w:rsid w:val="00885932"/>
    <w:rsid w:val="00890D8C"/>
    <w:rsid w:val="008949E7"/>
    <w:rsid w:val="00896B8B"/>
    <w:rsid w:val="008A3813"/>
    <w:rsid w:val="008B0569"/>
    <w:rsid w:val="008B3D56"/>
    <w:rsid w:val="008B6933"/>
    <w:rsid w:val="008B7655"/>
    <w:rsid w:val="008C265C"/>
    <w:rsid w:val="008C5263"/>
    <w:rsid w:val="008C69A8"/>
    <w:rsid w:val="008D1DF1"/>
    <w:rsid w:val="008D20B7"/>
    <w:rsid w:val="008D22EB"/>
    <w:rsid w:val="008F6004"/>
    <w:rsid w:val="008F6F4D"/>
    <w:rsid w:val="009023C1"/>
    <w:rsid w:val="00904F66"/>
    <w:rsid w:val="00906244"/>
    <w:rsid w:val="0091298E"/>
    <w:rsid w:val="00917C39"/>
    <w:rsid w:val="00922575"/>
    <w:rsid w:val="009250B5"/>
    <w:rsid w:val="0093008E"/>
    <w:rsid w:val="00932D2B"/>
    <w:rsid w:val="00933977"/>
    <w:rsid w:val="00933AB3"/>
    <w:rsid w:val="0093544E"/>
    <w:rsid w:val="0093591A"/>
    <w:rsid w:val="00935975"/>
    <w:rsid w:val="00941838"/>
    <w:rsid w:val="009440D0"/>
    <w:rsid w:val="009479DA"/>
    <w:rsid w:val="00950DA3"/>
    <w:rsid w:val="00955CDC"/>
    <w:rsid w:val="00955D0B"/>
    <w:rsid w:val="00956014"/>
    <w:rsid w:val="009564CC"/>
    <w:rsid w:val="009567F1"/>
    <w:rsid w:val="0096173E"/>
    <w:rsid w:val="00961E83"/>
    <w:rsid w:val="0096308C"/>
    <w:rsid w:val="00963927"/>
    <w:rsid w:val="009649FC"/>
    <w:rsid w:val="00965273"/>
    <w:rsid w:val="009678C3"/>
    <w:rsid w:val="00967E22"/>
    <w:rsid w:val="0097024E"/>
    <w:rsid w:val="009719F1"/>
    <w:rsid w:val="00973C9F"/>
    <w:rsid w:val="009742F3"/>
    <w:rsid w:val="009757E4"/>
    <w:rsid w:val="0097740C"/>
    <w:rsid w:val="00981D73"/>
    <w:rsid w:val="00985132"/>
    <w:rsid w:val="00985272"/>
    <w:rsid w:val="00990D9F"/>
    <w:rsid w:val="00991CD2"/>
    <w:rsid w:val="00991EDD"/>
    <w:rsid w:val="00997D6B"/>
    <w:rsid w:val="009A45B6"/>
    <w:rsid w:val="009B31D3"/>
    <w:rsid w:val="009B3977"/>
    <w:rsid w:val="009C0DDE"/>
    <w:rsid w:val="009C1E4E"/>
    <w:rsid w:val="009C66D9"/>
    <w:rsid w:val="009C7B69"/>
    <w:rsid w:val="009D5849"/>
    <w:rsid w:val="009D6F5E"/>
    <w:rsid w:val="009E3C76"/>
    <w:rsid w:val="009E5C79"/>
    <w:rsid w:val="009E7D93"/>
    <w:rsid w:val="009F40F0"/>
    <w:rsid w:val="009F584F"/>
    <w:rsid w:val="009F60DB"/>
    <w:rsid w:val="009F7173"/>
    <w:rsid w:val="00A010F9"/>
    <w:rsid w:val="00A01402"/>
    <w:rsid w:val="00A03817"/>
    <w:rsid w:val="00A05415"/>
    <w:rsid w:val="00A056FC"/>
    <w:rsid w:val="00A07CBE"/>
    <w:rsid w:val="00A112AE"/>
    <w:rsid w:val="00A11929"/>
    <w:rsid w:val="00A1370F"/>
    <w:rsid w:val="00A20E9A"/>
    <w:rsid w:val="00A22775"/>
    <w:rsid w:val="00A24F4C"/>
    <w:rsid w:val="00A25A3B"/>
    <w:rsid w:val="00A32868"/>
    <w:rsid w:val="00A333C2"/>
    <w:rsid w:val="00A34070"/>
    <w:rsid w:val="00A35763"/>
    <w:rsid w:val="00A373F9"/>
    <w:rsid w:val="00A40DBE"/>
    <w:rsid w:val="00A41BAE"/>
    <w:rsid w:val="00A50A65"/>
    <w:rsid w:val="00A52742"/>
    <w:rsid w:val="00A60C30"/>
    <w:rsid w:val="00A65079"/>
    <w:rsid w:val="00A73622"/>
    <w:rsid w:val="00A7548C"/>
    <w:rsid w:val="00A80F3C"/>
    <w:rsid w:val="00A81C7B"/>
    <w:rsid w:val="00A845EB"/>
    <w:rsid w:val="00A85DE5"/>
    <w:rsid w:val="00A91087"/>
    <w:rsid w:val="00A930A3"/>
    <w:rsid w:val="00A9326B"/>
    <w:rsid w:val="00A94034"/>
    <w:rsid w:val="00AA05A9"/>
    <w:rsid w:val="00AA188B"/>
    <w:rsid w:val="00AA2E49"/>
    <w:rsid w:val="00AB0744"/>
    <w:rsid w:val="00AB0AF3"/>
    <w:rsid w:val="00AB36D7"/>
    <w:rsid w:val="00AC12E9"/>
    <w:rsid w:val="00AC73F5"/>
    <w:rsid w:val="00AD3BB9"/>
    <w:rsid w:val="00AD6E66"/>
    <w:rsid w:val="00AD7793"/>
    <w:rsid w:val="00AE0E87"/>
    <w:rsid w:val="00AE257B"/>
    <w:rsid w:val="00AE600B"/>
    <w:rsid w:val="00AE6F88"/>
    <w:rsid w:val="00AE709B"/>
    <w:rsid w:val="00AF0575"/>
    <w:rsid w:val="00AF1974"/>
    <w:rsid w:val="00AF2DC6"/>
    <w:rsid w:val="00AF341F"/>
    <w:rsid w:val="00AF41AE"/>
    <w:rsid w:val="00B00661"/>
    <w:rsid w:val="00B03C51"/>
    <w:rsid w:val="00B20D1D"/>
    <w:rsid w:val="00B21222"/>
    <w:rsid w:val="00B21E0A"/>
    <w:rsid w:val="00B2659E"/>
    <w:rsid w:val="00B27306"/>
    <w:rsid w:val="00B30A29"/>
    <w:rsid w:val="00B318F2"/>
    <w:rsid w:val="00B31D32"/>
    <w:rsid w:val="00B3222D"/>
    <w:rsid w:val="00B40BFF"/>
    <w:rsid w:val="00B443AB"/>
    <w:rsid w:val="00B45822"/>
    <w:rsid w:val="00B460D4"/>
    <w:rsid w:val="00B46162"/>
    <w:rsid w:val="00B476FF"/>
    <w:rsid w:val="00B538D8"/>
    <w:rsid w:val="00B55624"/>
    <w:rsid w:val="00B617BF"/>
    <w:rsid w:val="00B62C7C"/>
    <w:rsid w:val="00B634CE"/>
    <w:rsid w:val="00B6369C"/>
    <w:rsid w:val="00B715D7"/>
    <w:rsid w:val="00B72E62"/>
    <w:rsid w:val="00B73220"/>
    <w:rsid w:val="00B767CE"/>
    <w:rsid w:val="00B7764A"/>
    <w:rsid w:val="00B8133E"/>
    <w:rsid w:val="00B8350C"/>
    <w:rsid w:val="00B84E2F"/>
    <w:rsid w:val="00B85A61"/>
    <w:rsid w:val="00B86465"/>
    <w:rsid w:val="00B8703B"/>
    <w:rsid w:val="00B9026D"/>
    <w:rsid w:val="00B90745"/>
    <w:rsid w:val="00B92511"/>
    <w:rsid w:val="00B93020"/>
    <w:rsid w:val="00B93EA9"/>
    <w:rsid w:val="00B94542"/>
    <w:rsid w:val="00BA0280"/>
    <w:rsid w:val="00BA5FE9"/>
    <w:rsid w:val="00BB04AF"/>
    <w:rsid w:val="00BB0FFD"/>
    <w:rsid w:val="00BB2B5D"/>
    <w:rsid w:val="00BB66ED"/>
    <w:rsid w:val="00BB7D5C"/>
    <w:rsid w:val="00BC1F05"/>
    <w:rsid w:val="00BC3CD5"/>
    <w:rsid w:val="00BD1873"/>
    <w:rsid w:val="00BD365B"/>
    <w:rsid w:val="00BD37DC"/>
    <w:rsid w:val="00BD6214"/>
    <w:rsid w:val="00BD6D7E"/>
    <w:rsid w:val="00BE42BC"/>
    <w:rsid w:val="00BE7EFD"/>
    <w:rsid w:val="00BF23A6"/>
    <w:rsid w:val="00BF3502"/>
    <w:rsid w:val="00BF61CA"/>
    <w:rsid w:val="00BF6851"/>
    <w:rsid w:val="00BF70E8"/>
    <w:rsid w:val="00C02FD6"/>
    <w:rsid w:val="00C065A3"/>
    <w:rsid w:val="00C06E87"/>
    <w:rsid w:val="00C07A9C"/>
    <w:rsid w:val="00C11B5B"/>
    <w:rsid w:val="00C11BE8"/>
    <w:rsid w:val="00C239FD"/>
    <w:rsid w:val="00C24504"/>
    <w:rsid w:val="00C267DB"/>
    <w:rsid w:val="00C30808"/>
    <w:rsid w:val="00C31C13"/>
    <w:rsid w:val="00C32EA9"/>
    <w:rsid w:val="00C37449"/>
    <w:rsid w:val="00C4065C"/>
    <w:rsid w:val="00C431C7"/>
    <w:rsid w:val="00C44D42"/>
    <w:rsid w:val="00C513D9"/>
    <w:rsid w:val="00C51B09"/>
    <w:rsid w:val="00C53BBA"/>
    <w:rsid w:val="00C66855"/>
    <w:rsid w:val="00C679F5"/>
    <w:rsid w:val="00C7396B"/>
    <w:rsid w:val="00C77483"/>
    <w:rsid w:val="00C80F15"/>
    <w:rsid w:val="00C81F1C"/>
    <w:rsid w:val="00C839F9"/>
    <w:rsid w:val="00C8410C"/>
    <w:rsid w:val="00C850EC"/>
    <w:rsid w:val="00C93C45"/>
    <w:rsid w:val="00C94214"/>
    <w:rsid w:val="00C97CD8"/>
    <w:rsid w:val="00C97FEA"/>
    <w:rsid w:val="00CA254E"/>
    <w:rsid w:val="00CA3805"/>
    <w:rsid w:val="00CB4E82"/>
    <w:rsid w:val="00CB70B2"/>
    <w:rsid w:val="00CC4CA1"/>
    <w:rsid w:val="00CD41E8"/>
    <w:rsid w:val="00CE1876"/>
    <w:rsid w:val="00CE1AA3"/>
    <w:rsid w:val="00CE44E0"/>
    <w:rsid w:val="00CE634B"/>
    <w:rsid w:val="00CE6C7E"/>
    <w:rsid w:val="00CE765E"/>
    <w:rsid w:val="00CF2B79"/>
    <w:rsid w:val="00D016B2"/>
    <w:rsid w:val="00D01FDC"/>
    <w:rsid w:val="00D04457"/>
    <w:rsid w:val="00D06E66"/>
    <w:rsid w:val="00D07EF5"/>
    <w:rsid w:val="00D11F45"/>
    <w:rsid w:val="00D16293"/>
    <w:rsid w:val="00D1798C"/>
    <w:rsid w:val="00D2323A"/>
    <w:rsid w:val="00D270C6"/>
    <w:rsid w:val="00D3271A"/>
    <w:rsid w:val="00D3774A"/>
    <w:rsid w:val="00D41F31"/>
    <w:rsid w:val="00D43C96"/>
    <w:rsid w:val="00D45D54"/>
    <w:rsid w:val="00D463BB"/>
    <w:rsid w:val="00D47A59"/>
    <w:rsid w:val="00D50C8E"/>
    <w:rsid w:val="00D56401"/>
    <w:rsid w:val="00D56D3F"/>
    <w:rsid w:val="00D60EA7"/>
    <w:rsid w:val="00D61034"/>
    <w:rsid w:val="00D61818"/>
    <w:rsid w:val="00D6288E"/>
    <w:rsid w:val="00D62EBC"/>
    <w:rsid w:val="00D63037"/>
    <w:rsid w:val="00D63843"/>
    <w:rsid w:val="00D64824"/>
    <w:rsid w:val="00D665B4"/>
    <w:rsid w:val="00D66F31"/>
    <w:rsid w:val="00D678A6"/>
    <w:rsid w:val="00D84936"/>
    <w:rsid w:val="00D871EF"/>
    <w:rsid w:val="00D9564A"/>
    <w:rsid w:val="00DA1018"/>
    <w:rsid w:val="00DA300A"/>
    <w:rsid w:val="00DA519F"/>
    <w:rsid w:val="00DA7483"/>
    <w:rsid w:val="00DB08E2"/>
    <w:rsid w:val="00DB61FF"/>
    <w:rsid w:val="00DB6D70"/>
    <w:rsid w:val="00DB72E9"/>
    <w:rsid w:val="00DB7B69"/>
    <w:rsid w:val="00DC048E"/>
    <w:rsid w:val="00DC1DCF"/>
    <w:rsid w:val="00DD0126"/>
    <w:rsid w:val="00DD5A16"/>
    <w:rsid w:val="00DD666B"/>
    <w:rsid w:val="00DD688A"/>
    <w:rsid w:val="00DD6B00"/>
    <w:rsid w:val="00DD6F94"/>
    <w:rsid w:val="00DD7E0F"/>
    <w:rsid w:val="00DE0620"/>
    <w:rsid w:val="00DE23CD"/>
    <w:rsid w:val="00DE5B0F"/>
    <w:rsid w:val="00DE7057"/>
    <w:rsid w:val="00DF1C5A"/>
    <w:rsid w:val="00E00250"/>
    <w:rsid w:val="00E00BFB"/>
    <w:rsid w:val="00E02876"/>
    <w:rsid w:val="00E05D0C"/>
    <w:rsid w:val="00E102D6"/>
    <w:rsid w:val="00E131E4"/>
    <w:rsid w:val="00E218BC"/>
    <w:rsid w:val="00E25FF2"/>
    <w:rsid w:val="00E272CB"/>
    <w:rsid w:val="00E27E99"/>
    <w:rsid w:val="00E350C5"/>
    <w:rsid w:val="00E36839"/>
    <w:rsid w:val="00E36CFE"/>
    <w:rsid w:val="00E376EB"/>
    <w:rsid w:val="00E416F7"/>
    <w:rsid w:val="00E43039"/>
    <w:rsid w:val="00E433A3"/>
    <w:rsid w:val="00E44E08"/>
    <w:rsid w:val="00E539EA"/>
    <w:rsid w:val="00E56C80"/>
    <w:rsid w:val="00E74C34"/>
    <w:rsid w:val="00E75314"/>
    <w:rsid w:val="00E80DA9"/>
    <w:rsid w:val="00E837D9"/>
    <w:rsid w:val="00E840BF"/>
    <w:rsid w:val="00E908F6"/>
    <w:rsid w:val="00E9195D"/>
    <w:rsid w:val="00E92EA6"/>
    <w:rsid w:val="00E96710"/>
    <w:rsid w:val="00E97EDE"/>
    <w:rsid w:val="00EA1D65"/>
    <w:rsid w:val="00EA4436"/>
    <w:rsid w:val="00EB1612"/>
    <w:rsid w:val="00EB1A85"/>
    <w:rsid w:val="00EB41E9"/>
    <w:rsid w:val="00EC30C6"/>
    <w:rsid w:val="00EC46D1"/>
    <w:rsid w:val="00ED13A4"/>
    <w:rsid w:val="00ED6F6D"/>
    <w:rsid w:val="00EE0618"/>
    <w:rsid w:val="00EE2A9F"/>
    <w:rsid w:val="00EE44EE"/>
    <w:rsid w:val="00EF01EB"/>
    <w:rsid w:val="00EF053A"/>
    <w:rsid w:val="00EF0A6C"/>
    <w:rsid w:val="00EF187A"/>
    <w:rsid w:val="00EF3DBE"/>
    <w:rsid w:val="00EF61B7"/>
    <w:rsid w:val="00F01C6C"/>
    <w:rsid w:val="00F027A1"/>
    <w:rsid w:val="00F02EA4"/>
    <w:rsid w:val="00F04FBB"/>
    <w:rsid w:val="00F050FE"/>
    <w:rsid w:val="00F07103"/>
    <w:rsid w:val="00F15B9E"/>
    <w:rsid w:val="00F15C83"/>
    <w:rsid w:val="00F220A6"/>
    <w:rsid w:val="00F2218A"/>
    <w:rsid w:val="00F235A7"/>
    <w:rsid w:val="00F25280"/>
    <w:rsid w:val="00F31C52"/>
    <w:rsid w:val="00F3466D"/>
    <w:rsid w:val="00F42B41"/>
    <w:rsid w:val="00F44A31"/>
    <w:rsid w:val="00F521A2"/>
    <w:rsid w:val="00F522B6"/>
    <w:rsid w:val="00F56D48"/>
    <w:rsid w:val="00F57504"/>
    <w:rsid w:val="00F57F5E"/>
    <w:rsid w:val="00F60A85"/>
    <w:rsid w:val="00F62865"/>
    <w:rsid w:val="00F62EAE"/>
    <w:rsid w:val="00F63AA7"/>
    <w:rsid w:val="00F65987"/>
    <w:rsid w:val="00F72192"/>
    <w:rsid w:val="00F726E0"/>
    <w:rsid w:val="00F75192"/>
    <w:rsid w:val="00F76731"/>
    <w:rsid w:val="00F827A1"/>
    <w:rsid w:val="00F830ED"/>
    <w:rsid w:val="00F84139"/>
    <w:rsid w:val="00F91EF7"/>
    <w:rsid w:val="00F924AA"/>
    <w:rsid w:val="00F93F14"/>
    <w:rsid w:val="00F96518"/>
    <w:rsid w:val="00F97D98"/>
    <w:rsid w:val="00FA170B"/>
    <w:rsid w:val="00FA3205"/>
    <w:rsid w:val="00FA5EC2"/>
    <w:rsid w:val="00FB0230"/>
    <w:rsid w:val="00FB49AA"/>
    <w:rsid w:val="00FB7A20"/>
    <w:rsid w:val="00FC0939"/>
    <w:rsid w:val="00FC227B"/>
    <w:rsid w:val="00FC31BC"/>
    <w:rsid w:val="00FC46D4"/>
    <w:rsid w:val="00FC48CA"/>
    <w:rsid w:val="00FC674B"/>
    <w:rsid w:val="00FD0D13"/>
    <w:rsid w:val="00FD4934"/>
    <w:rsid w:val="00FD6CA9"/>
    <w:rsid w:val="00FD7E3F"/>
    <w:rsid w:val="00FE0D41"/>
    <w:rsid w:val="00FE2152"/>
    <w:rsid w:val="00FE23A0"/>
    <w:rsid w:val="00FE3D9F"/>
    <w:rsid w:val="00FE549C"/>
    <w:rsid w:val="00FE668E"/>
    <w:rsid w:val="00FE7349"/>
    <w:rsid w:val="00FF0F7B"/>
    <w:rsid w:val="00FF7BFC"/>
  </w:rsids>
  <w:docVars>
    <w:docVar w:name="LW_DocType" w:val="REP"/>
  </w:docVars>
  <m:mathPr>
    <m:mathFont m:val="Cambria Math"/>
    <m:wrapRight/>
  </m:mathPr>
  <w:uiCompat97To2003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0" w:unhideWhenUsed="0" w:qFormat="1"/>
    <w:lsdException w:name="List Bullet" w:uiPriority="0"/>
    <w:lsdException w:name="List Number 4" w:uiPriority="0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semiHidden="0" w:uiPriority="39" w:unhideWhenUsed="0" w:qFormat="1"/>
  </w:latentStyles>
  <w:style w:type="paragraph" w:default="1" w:styleId="Normal">
    <w:name w:val="Normal"/>
    <w:qFormat/>
    <w:rsid w:val="00BD6D7E"/>
    <w:pPr>
      <w:spacing w:before="120" w:after="120"/>
      <w:jc w:val="both"/>
    </w:pPr>
    <w:rPr>
      <w:sz w:val="24"/>
      <w:lang w:val="en-GB" w:eastAsia="en-US" w:bidi="ar-SA"/>
    </w:rPr>
  </w:style>
  <w:style w:type="paragraph" w:styleId="Heading1">
    <w:name w:val="heading 1"/>
    <w:basedOn w:val="Normal"/>
    <w:next w:val="Normal"/>
    <w:qFormat/>
    <w:rsid w:val="00162E7B"/>
    <w:pPr>
      <w:keepNext/>
      <w:numPr>
        <w:ilvl w:val="0"/>
        <w:numId w:val="20"/>
      </w:numPr>
      <w:spacing w:before="240" w:after="240"/>
      <w:outlineLvl w:val="0"/>
    </w:pPr>
    <w:rPr>
      <w:b/>
      <w:smallCaps/>
      <w:sz w:val="28"/>
      <w:lang w:val="fr-BE"/>
    </w:rPr>
  </w:style>
  <w:style w:type="paragraph" w:styleId="Heading2">
    <w:name w:val="heading 2"/>
    <w:basedOn w:val="Heading1"/>
    <w:next w:val="Normal"/>
    <w:link w:val="Heading2Char"/>
    <w:autoRedefine/>
    <w:qFormat/>
    <w:rsid w:val="00E272CB"/>
    <w:pPr>
      <w:numPr>
        <w:ilvl w:val="1"/>
        <w:numId w:val="20"/>
      </w:numPr>
      <w:ind w:left="0"/>
      <w:outlineLvl w:val="1"/>
    </w:pPr>
    <w:rPr>
      <w:smallCaps w:val="0"/>
      <w:sz w:val="24"/>
    </w:rPr>
  </w:style>
  <w:style w:type="paragraph" w:styleId="Heading3">
    <w:name w:val="heading 3"/>
    <w:basedOn w:val="Heading2"/>
    <w:next w:val="Normal"/>
    <w:link w:val="Heading3Char"/>
    <w:autoRedefine/>
    <w:qFormat/>
    <w:rsid w:val="00F235A7"/>
    <w:pPr>
      <w:numPr>
        <w:ilvl w:val="2"/>
        <w:numId w:val="20"/>
      </w:numPr>
      <w:outlineLvl w:val="2"/>
    </w:pPr>
    <w:rPr>
      <w:b w:val="0"/>
      <w:color w:val="000000"/>
    </w:rPr>
  </w:style>
  <w:style w:type="paragraph" w:styleId="Heading4">
    <w:name w:val="heading 4"/>
    <w:basedOn w:val="Heading3"/>
    <w:next w:val="Normal"/>
    <w:link w:val="Heading4Char"/>
    <w:qFormat/>
    <w:rsid w:val="00554619"/>
    <w:pPr>
      <w:numPr>
        <w:ilvl w:val="3"/>
        <w:numId w:val="20"/>
      </w:numPr>
      <w:outlineLvl w:val="3"/>
    </w:pPr>
    <w:rPr>
      <w:i/>
    </w:rPr>
  </w:style>
  <w:style w:type="paragraph" w:styleId="Heading5">
    <w:name w:val="heading 5"/>
    <w:basedOn w:val="Heading4"/>
    <w:next w:val="Normal"/>
    <w:qFormat/>
    <w:rsid w:val="001D534D"/>
    <w:pPr>
      <w:numPr>
        <w:ilvl w:val="4"/>
        <w:numId w:val="20"/>
      </w:numPr>
      <w:jc w:val="left"/>
      <w:outlineLvl w:val="4"/>
    </w:pPr>
    <w:rPr>
      <w:rFonts w:ascii="Arial" w:hAnsi="Arial"/>
      <w:b/>
      <w:i w:val="0"/>
      <w:noProof/>
      <w:sz w:val="22"/>
    </w:rPr>
  </w:style>
  <w:style w:type="paragraph" w:styleId="Heading6">
    <w:name w:val="heading 6"/>
    <w:basedOn w:val="Heading5"/>
    <w:next w:val="Normal"/>
    <w:qFormat/>
    <w:rsid w:val="00F235A7"/>
    <w:pPr>
      <w:numPr>
        <w:ilvl w:val="5"/>
        <w:numId w:val="20"/>
      </w:numPr>
      <w:spacing w:after="60"/>
      <w:outlineLvl w:val="5"/>
    </w:pPr>
    <w:rPr>
      <w:b w:val="0"/>
    </w:rPr>
  </w:style>
  <w:style w:type="paragraph" w:styleId="Heading7">
    <w:name w:val="heading 7"/>
    <w:basedOn w:val="Heading6"/>
    <w:next w:val="Normal"/>
    <w:qFormat/>
    <w:rsid w:val="00F235A7"/>
    <w:pPr>
      <w:numPr>
        <w:ilvl w:val="6"/>
        <w:numId w:val="20"/>
      </w:numPr>
      <w:outlineLvl w:val="6"/>
    </w:pPr>
    <w:rPr>
      <w:i/>
    </w:rPr>
  </w:style>
  <w:style w:type="paragraph" w:styleId="Heading8">
    <w:name w:val="heading 8"/>
    <w:basedOn w:val="Heading7"/>
    <w:next w:val="Normal"/>
    <w:qFormat/>
    <w:rsid w:val="001D534D"/>
    <w:pPr>
      <w:numPr>
        <w:ilvl w:val="7"/>
        <w:numId w:val="20"/>
      </w:numPr>
      <w:outlineLvl w:val="7"/>
    </w:pPr>
    <w:rPr>
      <w:rFonts w:ascii="Calibri" w:hAnsi="Calibri"/>
      <w:b/>
      <w:i w:val="0"/>
      <w:sz w:val="24"/>
    </w:rPr>
  </w:style>
  <w:style w:type="paragraph" w:styleId="Heading9">
    <w:name w:val="heading 9"/>
    <w:basedOn w:val="Heading8"/>
    <w:next w:val="Normal"/>
    <w:qFormat/>
    <w:rsid w:val="00F235A7"/>
    <w:pPr>
      <w:numPr>
        <w:ilvl w:val="8"/>
        <w:numId w:val="20"/>
      </w:numPr>
      <w:outlineLvl w:val="8"/>
    </w:pPr>
    <w:rPr>
      <w:b w:val="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ext1">
    <w:name w:val="Text 1"/>
    <w:basedOn w:val="Normal"/>
    <w:pPr>
      <w:ind w:left="482"/>
    </w:pPr>
  </w:style>
  <w:style w:type="paragraph" w:customStyle="1" w:styleId="Text2">
    <w:name w:val="Text 2"/>
    <w:basedOn w:val="Normal"/>
    <w:link w:val="Text2Char"/>
    <w:pPr>
      <w:tabs>
        <w:tab w:val="left" w:pos="2302"/>
      </w:tabs>
      <w:ind w:left="1202"/>
    </w:pPr>
  </w:style>
  <w:style w:type="paragraph" w:customStyle="1" w:styleId="Text3">
    <w:name w:val="Text 3"/>
    <w:basedOn w:val="Normal"/>
    <w:pPr>
      <w:tabs>
        <w:tab w:val="left" w:pos="2302"/>
      </w:tabs>
      <w:ind w:left="1202"/>
    </w:pPr>
  </w:style>
  <w:style w:type="paragraph" w:customStyle="1" w:styleId="Text4">
    <w:name w:val="Text 4"/>
    <w:basedOn w:val="Normal"/>
    <w:pPr>
      <w:tabs>
        <w:tab w:val="left" w:pos="2302"/>
      </w:tabs>
      <w:ind w:left="1202"/>
    </w:pPr>
  </w:style>
  <w:style w:type="paragraph" w:customStyle="1" w:styleId="Address">
    <w:name w:val="Address"/>
    <w:basedOn w:val="Normal"/>
    <w:pPr>
      <w:spacing w:after="0"/>
      <w:jc w:val="left"/>
    </w:pPr>
  </w:style>
  <w:style w:type="paragraph" w:customStyle="1" w:styleId="AddressTL">
    <w:name w:val="AddressTL"/>
    <w:basedOn w:val="Normal"/>
    <w:next w:val="Normal"/>
    <w:pPr>
      <w:spacing w:after="720"/>
      <w:jc w:val="left"/>
    </w:pPr>
  </w:style>
  <w:style w:type="paragraph" w:customStyle="1" w:styleId="AddressTR">
    <w:name w:val="AddressTR"/>
    <w:basedOn w:val="Normal"/>
    <w:next w:val="Normal"/>
    <w:pPr>
      <w:spacing w:after="720"/>
      <w:ind w:left="5103"/>
      <w:jc w:val="left"/>
    </w:pPr>
  </w:style>
  <w:style w:type="paragraph" w:styleId="BlockText">
    <w:name w:val="Block Text"/>
    <w:basedOn w:val="Normal"/>
    <w:pPr>
      <w:spacing w:after="120"/>
      <w:ind w:left="1440" w:right="1440"/>
    </w:pPr>
  </w:style>
  <w:style w:type="paragraph" w:styleId="BodyText">
    <w:name w:val="Body Text"/>
    <w:basedOn w:val="Normal"/>
    <w:pPr>
      <w:spacing w:after="120"/>
    </w:pPr>
  </w:style>
  <w:style w:type="paragraph" w:styleId="BodyText2">
    <w:name w:val="Body Text 2"/>
    <w:basedOn w:val="Normal"/>
    <w:pPr>
      <w:spacing w:after="120" w:line="480" w:lineRule="auto"/>
    </w:pPr>
  </w:style>
  <w:style w:type="paragraph" w:styleId="BodyText3">
    <w:name w:val="Body Text 3"/>
    <w:basedOn w:val="Normal"/>
    <w:pPr>
      <w:spacing w:after="120"/>
    </w:pPr>
    <w:rPr>
      <w:sz w:val="16"/>
    </w:rPr>
  </w:style>
  <w:style w:type="paragraph" w:styleId="BodyTextFirstIndent">
    <w:name w:val="Body Text First Indent"/>
    <w:basedOn w:val="BodyText"/>
    <w:pPr>
      <w:ind w:firstLine="210"/>
    </w:pPr>
  </w:style>
  <w:style w:type="paragraph" w:styleId="BodyTextIndent">
    <w:name w:val="Body Text Indent"/>
    <w:basedOn w:val="Normal"/>
    <w:pPr>
      <w:spacing w:after="120"/>
      <w:ind w:left="283"/>
    </w:pPr>
  </w:style>
  <w:style w:type="paragraph" w:styleId="BodyTextFirstIndent2">
    <w:name w:val="Body Text First Indent 2"/>
    <w:basedOn w:val="BodyTextIndent"/>
    <w:pPr>
      <w:ind w:firstLine="210"/>
    </w:pPr>
  </w:style>
  <w:style w:type="paragraph" w:styleId="BodyTextIndent2">
    <w:name w:val="Body Text Indent 2"/>
    <w:basedOn w:val="Normal"/>
    <w:pPr>
      <w:spacing w:after="120" w:line="480" w:lineRule="auto"/>
      <w:ind w:left="283"/>
    </w:pPr>
  </w:style>
  <w:style w:type="paragraph" w:styleId="BodyTextIndent3">
    <w:name w:val="Body Text Indent 3"/>
    <w:basedOn w:val="Normal"/>
    <w:pPr>
      <w:spacing w:after="120"/>
      <w:ind w:left="283"/>
    </w:pPr>
    <w:rPr>
      <w:sz w:val="16"/>
    </w:rPr>
  </w:style>
  <w:style w:type="paragraph" w:styleId="Caption">
    <w:name w:val="caption"/>
    <w:basedOn w:val="Normal"/>
    <w:next w:val="Normal"/>
    <w:qFormat/>
    <w:pPr>
      <w:spacing w:before="120" w:after="120"/>
    </w:pPr>
    <w:rPr>
      <w:b/>
    </w:rPr>
  </w:style>
  <w:style w:type="paragraph" w:customStyle="1" w:styleId="ChapterTitle">
    <w:name w:val="ChapterTitle"/>
    <w:basedOn w:val="Normal"/>
    <w:next w:val="SectionTitle"/>
    <w:pPr>
      <w:keepNext/>
      <w:spacing w:after="480"/>
      <w:jc w:val="center"/>
    </w:pPr>
    <w:rPr>
      <w:b/>
      <w:sz w:val="32"/>
    </w:rPr>
  </w:style>
  <w:style w:type="paragraph" w:customStyle="1" w:styleId="SectionTitle">
    <w:name w:val="SectionTitle"/>
    <w:basedOn w:val="Normal"/>
    <w:next w:val="Heading1"/>
    <w:pPr>
      <w:keepNext/>
      <w:spacing w:after="480"/>
      <w:jc w:val="center"/>
    </w:pPr>
    <w:rPr>
      <w:b/>
      <w:smallCaps/>
      <w:sz w:val="28"/>
    </w:rPr>
  </w:style>
  <w:style w:type="paragraph" w:styleId="Closing">
    <w:name w:val="Closing"/>
    <w:basedOn w:val="Normal"/>
    <w:pPr>
      <w:ind w:left="4252"/>
    </w:pPr>
  </w:style>
  <w:style w:type="paragraph" w:styleId="CommentText">
    <w:name w:val="annotation text"/>
    <w:basedOn w:val="Normal"/>
    <w:semiHidden/>
    <w:rPr>
      <w:sz w:val="20"/>
    </w:rPr>
  </w:style>
  <w:style w:type="paragraph" w:styleId="Date">
    <w:name w:val="Date"/>
    <w:basedOn w:val="Normal"/>
    <w:next w:val="References"/>
    <w:pPr>
      <w:spacing w:after="0"/>
      <w:ind w:left="5103" w:right="-567"/>
      <w:jc w:val="left"/>
    </w:pPr>
  </w:style>
  <w:style w:type="paragraph" w:customStyle="1" w:styleId="References">
    <w:name w:val="References"/>
    <w:basedOn w:val="Normal"/>
    <w:next w:val="AddressTR"/>
    <w:uiPriority w:val="99"/>
    <w:pPr>
      <w:ind w:left="5103"/>
      <w:jc w:val="left"/>
    </w:pPr>
    <w:rPr>
      <w:sz w:val="20"/>
    </w:rPr>
  </w:style>
  <w:style w:type="paragraph" w:styleId="DocumentMap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paragraph" w:customStyle="1" w:styleId="DoubSign">
    <w:name w:val="DoubSign"/>
    <w:basedOn w:val="Normal"/>
    <w:next w:val="Enclosures"/>
    <w:pPr>
      <w:tabs>
        <w:tab w:val="left" w:pos="5103"/>
      </w:tabs>
      <w:spacing w:before="1200" w:after="0"/>
      <w:jc w:val="left"/>
    </w:pPr>
  </w:style>
  <w:style w:type="paragraph" w:customStyle="1" w:styleId="Enclosures">
    <w:name w:val="Enclosures"/>
    <w:basedOn w:val="Normal"/>
    <w:pPr>
      <w:keepNext/>
      <w:keepLines/>
      <w:tabs>
        <w:tab w:val="left" w:pos="5642"/>
      </w:tabs>
      <w:spacing w:before="480" w:after="0"/>
      <w:ind w:left="1191" w:hanging="1191"/>
      <w:jc w:val="left"/>
    </w:pPr>
  </w:style>
  <w:style w:type="paragraph" w:styleId="EndnoteText">
    <w:name w:val="endnote text"/>
    <w:basedOn w:val="Normal"/>
    <w:semiHidden/>
    <w:rPr>
      <w:sz w:val="20"/>
    </w:rPr>
  </w:style>
  <w:style w:type="paragraph" w:styleId="EnvelopeAddress">
    <w:name w:val="envelope address"/>
    <w:basedOn w:val="Normal"/>
    <w:pPr>
      <w:framePr w:w="7920" w:h="1980" w:hRule="exact" w:hSpace="180" w:wrap="auto" w:vAnchor="margin" w:hAnchor="page" w:xAlign="center" w:yAlign="bottom"/>
      <w:spacing w:after="0"/>
    </w:pPr>
  </w:style>
  <w:style w:type="paragraph" w:styleId="EnvelopeReturn">
    <w:name w:val="envelope return"/>
    <w:basedOn w:val="Normal"/>
    <w:pPr>
      <w:spacing w:after="0"/>
    </w:pPr>
    <w:rPr>
      <w:sz w:val="20"/>
    </w:rPr>
  </w:style>
  <w:style w:type="paragraph" w:styleId="Footer">
    <w:name w:val="footer"/>
    <w:basedOn w:val="Normal"/>
    <w:link w:val="FooterChar"/>
    <w:uiPriority w:val="99"/>
    <w:pPr>
      <w:spacing w:after="0"/>
      <w:ind w:right="-567"/>
      <w:jc w:val="left"/>
    </w:pPr>
    <w:rPr>
      <w:rFonts w:ascii="Arial" w:hAnsi="Arial"/>
      <w:sz w:val="16"/>
    </w:rPr>
  </w:style>
  <w:style w:type="paragraph" w:styleId="FootnoteText">
    <w:name w:val="footnote text"/>
    <w:basedOn w:val="Normal"/>
    <w:semiHidden/>
    <w:pPr>
      <w:ind w:left="357" w:hanging="357"/>
    </w:pPr>
    <w:rPr>
      <w:sz w:val="20"/>
    </w:rPr>
  </w:style>
  <w:style w:type="paragraph" w:styleId="Header">
    <w:name w:val="header"/>
    <w:basedOn w:val="Normal"/>
    <w:link w:val="HeaderChar"/>
    <w:uiPriority w:val="99"/>
    <w:pPr>
      <w:tabs>
        <w:tab w:val="center" w:pos="4153"/>
        <w:tab w:val="right" w:pos="8306"/>
      </w:tabs>
    </w:pPr>
  </w:style>
  <w:style w:type="paragraph" w:styleId="Index1">
    <w:name w:val="index 1"/>
    <w:basedOn w:val="Normal"/>
    <w:next w:val="Normal"/>
    <w:autoRedefine/>
    <w:semiHidden/>
    <w:pPr>
      <w:ind w:left="240" w:hanging="240"/>
    </w:pPr>
  </w:style>
  <w:style w:type="paragraph" w:styleId="Index2">
    <w:name w:val="index 2"/>
    <w:basedOn w:val="Normal"/>
    <w:next w:val="Normal"/>
    <w:autoRedefine/>
    <w:semiHidden/>
    <w:pPr>
      <w:ind w:left="480" w:hanging="240"/>
    </w:pPr>
  </w:style>
  <w:style w:type="paragraph" w:styleId="Index3">
    <w:name w:val="index 3"/>
    <w:basedOn w:val="Normal"/>
    <w:next w:val="Normal"/>
    <w:autoRedefine/>
    <w:semiHidden/>
    <w:pPr>
      <w:ind w:left="720" w:hanging="240"/>
    </w:pPr>
  </w:style>
  <w:style w:type="paragraph" w:styleId="Index4">
    <w:name w:val="index 4"/>
    <w:basedOn w:val="Normal"/>
    <w:next w:val="Normal"/>
    <w:autoRedefine/>
    <w:semiHidden/>
    <w:pPr>
      <w:ind w:left="960" w:hanging="240"/>
    </w:pPr>
  </w:style>
  <w:style w:type="paragraph" w:styleId="Index5">
    <w:name w:val="index 5"/>
    <w:basedOn w:val="Normal"/>
    <w:next w:val="Normal"/>
    <w:autoRedefine/>
    <w:semiHidden/>
    <w:pPr>
      <w:ind w:left="1200" w:hanging="240"/>
    </w:pPr>
  </w:style>
  <w:style w:type="paragraph" w:styleId="Index6">
    <w:name w:val="index 6"/>
    <w:basedOn w:val="Normal"/>
    <w:next w:val="Normal"/>
    <w:autoRedefine/>
    <w:semiHidden/>
    <w:pPr>
      <w:ind w:left="1440" w:hanging="240"/>
    </w:pPr>
  </w:style>
  <w:style w:type="paragraph" w:styleId="Index7">
    <w:name w:val="index 7"/>
    <w:basedOn w:val="Normal"/>
    <w:next w:val="Normal"/>
    <w:autoRedefine/>
    <w:semiHidden/>
    <w:pPr>
      <w:ind w:left="1680" w:hanging="240"/>
    </w:pPr>
  </w:style>
  <w:style w:type="paragraph" w:styleId="Index8">
    <w:name w:val="index 8"/>
    <w:basedOn w:val="Normal"/>
    <w:next w:val="Normal"/>
    <w:autoRedefine/>
    <w:semiHidden/>
    <w:rsid w:val="004A6135"/>
  </w:style>
  <w:style w:type="paragraph" w:styleId="Index9">
    <w:name w:val="index 9"/>
    <w:basedOn w:val="Normal"/>
    <w:next w:val="Normal"/>
    <w:autoRedefine/>
    <w:semiHidden/>
    <w:pPr>
      <w:ind w:left="2160" w:hanging="240"/>
    </w:pPr>
  </w:style>
  <w:style w:type="paragraph" w:styleId="IndexHeading">
    <w:name w:val="index heading"/>
    <w:basedOn w:val="Normal"/>
    <w:next w:val="Index1"/>
    <w:semiHidden/>
    <w:rPr>
      <w:rFonts w:ascii="Arial" w:hAnsi="Arial"/>
      <w:b/>
    </w:rPr>
  </w:style>
  <w:style w:type="paragraph" w:styleId="List">
    <w:name w:val="List"/>
    <w:basedOn w:val="Normal"/>
    <w:pPr>
      <w:ind w:left="283" w:hanging="283"/>
    </w:pPr>
  </w:style>
  <w:style w:type="paragraph" w:styleId="List2">
    <w:name w:val="List 2"/>
    <w:basedOn w:val="Normal"/>
    <w:pPr>
      <w:ind w:left="566" w:hanging="283"/>
    </w:pPr>
  </w:style>
  <w:style w:type="paragraph" w:styleId="List3">
    <w:name w:val="List 3"/>
    <w:basedOn w:val="Normal"/>
    <w:pPr>
      <w:ind w:left="849" w:hanging="283"/>
    </w:pPr>
  </w:style>
  <w:style w:type="paragraph" w:styleId="List4">
    <w:name w:val="List 4"/>
    <w:basedOn w:val="Normal"/>
    <w:pPr>
      <w:ind w:left="1132" w:hanging="283"/>
    </w:pPr>
  </w:style>
  <w:style w:type="paragraph" w:styleId="List5">
    <w:name w:val="List 5"/>
    <w:basedOn w:val="Normal"/>
    <w:pPr>
      <w:ind w:left="1415" w:hanging="283"/>
    </w:pPr>
  </w:style>
  <w:style w:type="paragraph" w:styleId="ListBullet">
    <w:name w:val="List Bullet"/>
    <w:basedOn w:val="Normal"/>
    <w:pPr>
      <w:numPr>
        <w:ilvl w:val="0"/>
        <w:numId w:val="3"/>
      </w:numPr>
    </w:pPr>
  </w:style>
  <w:style w:type="paragraph" w:styleId="ListBullet2">
    <w:name w:val="List Bullet 2"/>
    <w:basedOn w:val="Text2"/>
    <w:pPr>
      <w:numPr>
        <w:ilvl w:val="0"/>
        <w:numId w:val="5"/>
      </w:numPr>
      <w:tabs>
        <w:tab w:val="clear" w:pos="2302"/>
      </w:tabs>
    </w:pPr>
  </w:style>
  <w:style w:type="paragraph" w:styleId="ListBullet3">
    <w:name w:val="List Bullet 3"/>
    <w:basedOn w:val="Text3"/>
    <w:pPr>
      <w:numPr>
        <w:ilvl w:val="0"/>
        <w:numId w:val="6"/>
      </w:numPr>
      <w:tabs>
        <w:tab w:val="clear" w:pos="2302"/>
      </w:tabs>
    </w:pPr>
  </w:style>
  <w:style w:type="paragraph" w:styleId="ListBullet4">
    <w:name w:val="List Bullet 4"/>
    <w:basedOn w:val="Text4"/>
    <w:pPr>
      <w:numPr>
        <w:ilvl w:val="0"/>
        <w:numId w:val="7"/>
      </w:numPr>
      <w:tabs>
        <w:tab w:val="clear" w:pos="2302"/>
      </w:tabs>
    </w:pPr>
  </w:style>
  <w:style w:type="paragraph" w:styleId="ListBullet5">
    <w:name w:val="List Bullet 5"/>
    <w:basedOn w:val="Normal"/>
    <w:autoRedefine/>
    <w:pPr>
      <w:numPr>
        <w:ilvl w:val="0"/>
        <w:numId w:val="1"/>
      </w:numPr>
    </w:pPr>
  </w:style>
  <w:style w:type="paragraph" w:styleId="ListContinue">
    <w:name w:val="List Continue"/>
    <w:basedOn w:val="Normal"/>
    <w:pPr>
      <w:spacing w:after="120"/>
      <w:ind w:left="283"/>
    </w:pPr>
  </w:style>
  <w:style w:type="paragraph" w:styleId="ListContinue2">
    <w:name w:val="List Continue 2"/>
    <w:basedOn w:val="Normal"/>
    <w:pPr>
      <w:spacing w:after="120"/>
      <w:ind w:left="566"/>
    </w:pPr>
  </w:style>
  <w:style w:type="paragraph" w:styleId="ListContinue3">
    <w:name w:val="List Continue 3"/>
    <w:basedOn w:val="Normal"/>
    <w:pPr>
      <w:spacing w:after="120"/>
      <w:ind w:left="849"/>
    </w:pPr>
  </w:style>
  <w:style w:type="paragraph" w:styleId="ListContinue4">
    <w:name w:val="List Continue 4"/>
    <w:basedOn w:val="Normal"/>
    <w:pPr>
      <w:spacing w:after="120"/>
      <w:ind w:left="1132"/>
    </w:pPr>
  </w:style>
  <w:style w:type="paragraph" w:styleId="ListContinue5">
    <w:name w:val="List Continue 5"/>
    <w:basedOn w:val="Normal"/>
    <w:pPr>
      <w:spacing w:after="120"/>
      <w:ind w:left="1415"/>
    </w:pPr>
  </w:style>
  <w:style w:type="paragraph" w:styleId="ListNumber">
    <w:name w:val="List Number"/>
    <w:basedOn w:val="Normal"/>
    <w:pPr>
      <w:numPr>
        <w:ilvl w:val="0"/>
        <w:numId w:val="13"/>
      </w:numPr>
    </w:pPr>
  </w:style>
  <w:style w:type="paragraph" w:styleId="ListNumber2">
    <w:name w:val="List Number 2"/>
    <w:basedOn w:val="Text2"/>
    <w:pPr>
      <w:numPr>
        <w:ilvl w:val="0"/>
        <w:numId w:val="15"/>
      </w:numPr>
      <w:tabs>
        <w:tab w:val="clear" w:pos="2302"/>
      </w:tabs>
    </w:pPr>
  </w:style>
  <w:style w:type="paragraph" w:styleId="ListNumber3">
    <w:name w:val="List Number 3"/>
    <w:basedOn w:val="Text3"/>
    <w:pPr>
      <w:numPr>
        <w:ilvl w:val="0"/>
        <w:numId w:val="16"/>
      </w:numPr>
      <w:tabs>
        <w:tab w:val="clear" w:pos="2302"/>
      </w:tabs>
    </w:pPr>
  </w:style>
  <w:style w:type="paragraph" w:styleId="ListNumber4">
    <w:name w:val="List Number 4"/>
    <w:basedOn w:val="Text4"/>
    <w:pPr>
      <w:numPr>
        <w:ilvl w:val="0"/>
        <w:numId w:val="17"/>
      </w:numPr>
      <w:tabs>
        <w:tab w:val="clear" w:pos="2302"/>
      </w:tabs>
    </w:pPr>
  </w:style>
  <w:style w:type="paragraph" w:styleId="ListNumber5">
    <w:name w:val="List Number 5"/>
    <w:basedOn w:val="Normal"/>
    <w:pPr>
      <w:numPr>
        <w:ilvl w:val="0"/>
        <w:numId w:val="2"/>
      </w:numPr>
    </w:pPr>
  </w:style>
  <w:style w:type="paragraph" w:styleId="Macro">
    <w:name w:val="macro"/>
    <w:semiHidden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240"/>
      <w:jc w:val="both"/>
    </w:pPr>
    <w:rPr>
      <w:rFonts w:ascii="Courier New" w:hAnsi="Courier New"/>
      <w:lang w:val="en-GB" w:eastAsia="en-US" w:bidi="ar-SA"/>
    </w:rPr>
  </w:style>
  <w:style w:type="paragraph" w:styleId="MessageHeader">
    <w:name w:val="Message Header"/>
    <w:basedOn w:val="Normal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/>
    </w:rPr>
  </w:style>
  <w:style w:type="paragraph" w:styleId="NormalIndent">
    <w:name w:val="Normal Indent"/>
    <w:basedOn w:val="Normal"/>
    <w:pPr>
      <w:ind w:left="720"/>
    </w:pPr>
  </w:style>
  <w:style w:type="paragraph" w:styleId="NoteHeading">
    <w:name w:val="Note Heading"/>
    <w:basedOn w:val="Normal"/>
    <w:next w:val="Normal"/>
  </w:style>
  <w:style w:type="paragraph" w:customStyle="1" w:styleId="NoteHead">
    <w:name w:val="NoteHead"/>
    <w:basedOn w:val="Normal"/>
    <w:next w:val="Subject"/>
    <w:pPr>
      <w:spacing w:before="720" w:after="720"/>
      <w:jc w:val="center"/>
    </w:pPr>
    <w:rPr>
      <w:b/>
      <w:smallCaps/>
    </w:rPr>
  </w:style>
  <w:style w:type="paragraph" w:customStyle="1" w:styleId="Subject">
    <w:name w:val="Subject"/>
    <w:basedOn w:val="Normal"/>
    <w:next w:val="Normal"/>
    <w:pPr>
      <w:spacing w:after="480"/>
      <w:ind w:left="1531" w:hanging="1531"/>
      <w:jc w:val="left"/>
    </w:pPr>
    <w:rPr>
      <w:b/>
    </w:rPr>
  </w:style>
  <w:style w:type="paragraph" w:customStyle="1" w:styleId="NoteList">
    <w:name w:val="NoteList"/>
    <w:basedOn w:val="Normal"/>
    <w:next w:val="Subject"/>
    <w:pPr>
      <w:tabs>
        <w:tab w:val="left" w:pos="5823"/>
      </w:tabs>
      <w:spacing w:before="720" w:after="720"/>
      <w:ind w:left="5104" w:hanging="3119"/>
      <w:jc w:val="left"/>
    </w:pPr>
    <w:rPr>
      <w:b/>
      <w:smallCaps/>
    </w:rPr>
  </w:style>
  <w:style w:type="paragraph" w:customStyle="1" w:styleId="NumPar1">
    <w:name w:val="NumPar 1"/>
    <w:basedOn w:val="Heading1"/>
    <w:next w:val="Text1"/>
    <w:pPr>
      <w:keepNext w:val="0"/>
      <w:spacing w:before="0"/>
      <w:outlineLvl w:val="9"/>
    </w:pPr>
    <w:rPr>
      <w:b w:val="0"/>
      <w:smallCaps w:val="0"/>
    </w:rPr>
  </w:style>
  <w:style w:type="paragraph" w:customStyle="1" w:styleId="NumPar2">
    <w:name w:val="NumPar 2"/>
    <w:basedOn w:val="Heading2"/>
    <w:next w:val="Text2"/>
    <w:pPr>
      <w:keepNext w:val="0"/>
      <w:outlineLvl w:val="9"/>
    </w:pPr>
    <w:rPr>
      <w:b w:val="0"/>
    </w:rPr>
  </w:style>
  <w:style w:type="paragraph" w:customStyle="1" w:styleId="NumPar3">
    <w:name w:val="NumPar 3"/>
    <w:basedOn w:val="Heading3"/>
    <w:next w:val="Text3"/>
    <w:pPr>
      <w:keepNext w:val="0"/>
      <w:outlineLvl w:val="9"/>
    </w:pPr>
    <w:rPr>
      <w:i/>
    </w:rPr>
  </w:style>
  <w:style w:type="paragraph" w:customStyle="1" w:styleId="NumPar4">
    <w:name w:val="NumPar 4"/>
    <w:basedOn w:val="Heading4"/>
    <w:next w:val="Text4"/>
    <w:pPr>
      <w:keepNext w:val="0"/>
      <w:outlineLvl w:val="9"/>
    </w:pPr>
  </w:style>
  <w:style w:type="paragraph" w:customStyle="1" w:styleId="PartTitle">
    <w:name w:val="PartTitle"/>
    <w:basedOn w:val="Normal"/>
    <w:next w:val="ChapterTitle"/>
    <w:pPr>
      <w:keepNext/>
      <w:pageBreakBefore/>
      <w:spacing w:after="480"/>
      <w:jc w:val="center"/>
    </w:pPr>
    <w:rPr>
      <w:b/>
      <w:sz w:val="36"/>
    </w:rPr>
  </w:style>
  <w:style w:type="paragraph" w:styleId="PlainText">
    <w:name w:val="Plain Text"/>
    <w:basedOn w:val="Normal"/>
    <w:rPr>
      <w:rFonts w:ascii="Courier New" w:hAnsi="Courier New"/>
      <w:sz w:val="20"/>
    </w:rPr>
  </w:style>
  <w:style w:type="paragraph" w:styleId="Salutation">
    <w:name w:val="Salutation"/>
    <w:basedOn w:val="Normal"/>
    <w:next w:val="Normal"/>
  </w:style>
  <w:style w:type="paragraph" w:styleId="Signature">
    <w:name w:val="Signature"/>
    <w:basedOn w:val="Normal"/>
    <w:next w:val="Enclosures"/>
    <w:pPr>
      <w:tabs>
        <w:tab w:val="left" w:pos="5103"/>
      </w:tabs>
      <w:spacing w:before="1200" w:after="0"/>
      <w:ind w:left="5103"/>
      <w:jc w:val="center"/>
    </w:pPr>
  </w:style>
  <w:style w:type="paragraph" w:styleId="Subtitle">
    <w:name w:val="Subtitle"/>
    <w:basedOn w:val="Normal"/>
    <w:qFormat/>
    <w:pPr>
      <w:spacing w:after="60"/>
      <w:jc w:val="center"/>
      <w:outlineLvl w:val="1"/>
    </w:pPr>
    <w:rPr>
      <w:rFonts w:ascii="Arial" w:hAnsi="Arial"/>
    </w:rPr>
  </w:style>
  <w:style w:type="paragraph" w:customStyle="1" w:styleId="SubTitle1">
    <w:name w:val="SubTitle 1"/>
    <w:basedOn w:val="Normal"/>
    <w:next w:val="SubTitle2"/>
    <w:pPr>
      <w:jc w:val="center"/>
    </w:pPr>
    <w:rPr>
      <w:b/>
      <w:sz w:val="40"/>
    </w:rPr>
  </w:style>
  <w:style w:type="paragraph" w:customStyle="1" w:styleId="SubTitle2">
    <w:name w:val="SubTitle 2"/>
    <w:basedOn w:val="Normal"/>
    <w:pPr>
      <w:jc w:val="center"/>
    </w:pPr>
    <w:rPr>
      <w:b/>
      <w:sz w:val="32"/>
    </w:rPr>
  </w:style>
  <w:style w:type="paragraph" w:styleId="TableofAuthorities">
    <w:name w:val="table of authorities"/>
    <w:basedOn w:val="Normal"/>
    <w:next w:val="Normal"/>
    <w:semiHidden/>
    <w:pPr>
      <w:ind w:left="240" w:hanging="240"/>
    </w:pPr>
  </w:style>
  <w:style w:type="paragraph" w:styleId="TableofFigures">
    <w:name w:val="table of figures"/>
    <w:basedOn w:val="Normal"/>
    <w:next w:val="Normal"/>
    <w:uiPriority w:val="99"/>
    <w:pPr>
      <w:ind w:left="480" w:hanging="480"/>
    </w:pPr>
  </w:style>
  <w:style w:type="paragraph" w:styleId="Title">
    <w:name w:val="Title"/>
    <w:basedOn w:val="Normal"/>
    <w:next w:val="SubTitle1"/>
    <w:link w:val="TitleChar"/>
    <w:qFormat/>
    <w:pPr>
      <w:spacing w:after="480"/>
      <w:jc w:val="center"/>
    </w:pPr>
    <w:rPr>
      <w:b/>
      <w:kern w:val="28"/>
      <w:sz w:val="48"/>
    </w:rPr>
  </w:style>
  <w:style w:type="paragraph" w:styleId="TOAHeading">
    <w:name w:val="toa heading"/>
    <w:basedOn w:val="Normal"/>
    <w:next w:val="Normal"/>
    <w:semiHidden/>
    <w:pPr>
      <w:spacing w:before="120"/>
    </w:pPr>
    <w:rPr>
      <w:rFonts w:ascii="Arial" w:hAnsi="Arial"/>
      <w:b/>
    </w:rPr>
  </w:style>
  <w:style w:type="paragraph" w:styleId="TOC1">
    <w:name w:val="toc 1"/>
    <w:basedOn w:val="Normal"/>
    <w:next w:val="Normal"/>
    <w:uiPriority w:val="39"/>
    <w:qFormat/>
    <w:rsid w:val="00062C4F"/>
    <w:pPr>
      <w:tabs>
        <w:tab w:val="right" w:leader="dot" w:pos="10206"/>
      </w:tabs>
      <w:ind w:left="482" w:right="720" w:hanging="482"/>
    </w:pPr>
    <w:rPr>
      <w:caps/>
    </w:rPr>
  </w:style>
  <w:style w:type="paragraph" w:styleId="TOC2">
    <w:name w:val="toc 2"/>
    <w:basedOn w:val="Normal"/>
    <w:next w:val="Normal"/>
    <w:uiPriority w:val="39"/>
    <w:qFormat/>
    <w:rsid w:val="00681D22"/>
    <w:pPr>
      <w:tabs>
        <w:tab w:val="right" w:leader="dot" w:pos="10206"/>
      </w:tabs>
      <w:spacing w:before="60" w:after="60"/>
      <w:ind w:left="595" w:right="720" w:hanging="595"/>
    </w:pPr>
  </w:style>
  <w:style w:type="paragraph" w:styleId="TOC3">
    <w:name w:val="toc 3"/>
    <w:basedOn w:val="Normal"/>
    <w:next w:val="Normal"/>
    <w:uiPriority w:val="39"/>
    <w:qFormat/>
    <w:rsid w:val="00681D22"/>
    <w:pPr>
      <w:tabs>
        <w:tab w:val="right" w:leader="dot" w:pos="10206"/>
      </w:tabs>
      <w:spacing w:before="60" w:after="60"/>
      <w:ind w:left="839" w:right="720" w:hanging="839"/>
    </w:pPr>
  </w:style>
  <w:style w:type="paragraph" w:styleId="TOC4">
    <w:name w:val="toc 4"/>
    <w:basedOn w:val="Normal"/>
    <w:next w:val="Normal"/>
    <w:uiPriority w:val="39"/>
    <w:pPr>
      <w:tabs>
        <w:tab w:val="right" w:leader="dot" w:pos="8641"/>
      </w:tabs>
      <w:spacing w:before="60" w:after="60"/>
      <w:ind w:left="2880" w:right="720" w:hanging="964"/>
    </w:pPr>
  </w:style>
  <w:style w:type="paragraph" w:styleId="TOC5">
    <w:name w:val="toc 5"/>
    <w:basedOn w:val="Normal"/>
    <w:next w:val="Normal"/>
    <w:uiPriority w:val="39"/>
    <w:pPr>
      <w:tabs>
        <w:tab w:val="right" w:leader="dot" w:pos="8641"/>
      </w:tabs>
      <w:spacing w:before="240" w:after="120"/>
      <w:ind w:right="720"/>
    </w:pPr>
    <w:rPr>
      <w:caps/>
    </w:rPr>
  </w:style>
  <w:style w:type="paragraph" w:styleId="TOC6">
    <w:name w:val="toc 6"/>
    <w:basedOn w:val="Normal"/>
    <w:next w:val="Normal"/>
    <w:autoRedefine/>
    <w:uiPriority w:val="39"/>
    <w:pPr>
      <w:ind w:left="1200"/>
    </w:pPr>
  </w:style>
  <w:style w:type="paragraph" w:styleId="TOC7">
    <w:name w:val="toc 7"/>
    <w:basedOn w:val="Normal"/>
    <w:next w:val="Normal"/>
    <w:autoRedefine/>
    <w:uiPriority w:val="39"/>
    <w:pPr>
      <w:ind w:left="1440"/>
    </w:pPr>
  </w:style>
  <w:style w:type="paragraph" w:styleId="TOC8">
    <w:name w:val="toc 8"/>
    <w:basedOn w:val="Normal"/>
    <w:next w:val="Normal"/>
    <w:autoRedefine/>
    <w:uiPriority w:val="39"/>
    <w:pPr>
      <w:ind w:left="1680"/>
    </w:pPr>
  </w:style>
  <w:style w:type="paragraph" w:styleId="TOC9">
    <w:name w:val="toc 9"/>
    <w:basedOn w:val="Normal"/>
    <w:next w:val="Normal"/>
    <w:autoRedefine/>
    <w:uiPriority w:val="39"/>
    <w:pPr>
      <w:ind w:left="1920"/>
    </w:pPr>
  </w:style>
  <w:style w:type="paragraph" w:customStyle="1" w:styleId="YReferences">
    <w:name w:val="YReferences"/>
    <w:basedOn w:val="Normal"/>
    <w:next w:val="Normal"/>
    <w:pPr>
      <w:spacing w:after="480"/>
      <w:ind w:left="1531" w:hanging="1531"/>
    </w:pPr>
  </w:style>
  <w:style w:type="paragraph" w:customStyle="1" w:styleId="ListBullet1">
    <w:name w:val="List Bullet 1"/>
    <w:basedOn w:val="Text1"/>
    <w:pPr>
      <w:numPr>
        <w:ilvl w:val="0"/>
        <w:numId w:val="4"/>
      </w:numPr>
    </w:pPr>
  </w:style>
  <w:style w:type="paragraph" w:customStyle="1" w:styleId="ListDash">
    <w:name w:val="List Dash"/>
    <w:basedOn w:val="Normal"/>
    <w:pPr>
      <w:numPr>
        <w:ilvl w:val="0"/>
        <w:numId w:val="8"/>
      </w:numPr>
    </w:pPr>
  </w:style>
  <w:style w:type="paragraph" w:customStyle="1" w:styleId="ListDash1">
    <w:name w:val="List Dash 1"/>
    <w:basedOn w:val="Text1"/>
    <w:pPr>
      <w:numPr>
        <w:ilvl w:val="0"/>
        <w:numId w:val="9"/>
      </w:numPr>
    </w:pPr>
  </w:style>
  <w:style w:type="paragraph" w:customStyle="1" w:styleId="ListDash2">
    <w:name w:val="List Dash 2"/>
    <w:basedOn w:val="Text2"/>
    <w:pPr>
      <w:numPr>
        <w:ilvl w:val="0"/>
        <w:numId w:val="10"/>
      </w:numPr>
      <w:tabs>
        <w:tab w:val="clear" w:pos="2302"/>
      </w:tabs>
    </w:pPr>
  </w:style>
  <w:style w:type="paragraph" w:customStyle="1" w:styleId="ListDash3">
    <w:name w:val="List Dash 3"/>
    <w:basedOn w:val="Text3"/>
    <w:pPr>
      <w:numPr>
        <w:ilvl w:val="0"/>
        <w:numId w:val="11"/>
      </w:numPr>
      <w:tabs>
        <w:tab w:val="clear" w:pos="2302"/>
      </w:tabs>
    </w:pPr>
  </w:style>
  <w:style w:type="paragraph" w:customStyle="1" w:styleId="ListDash4">
    <w:name w:val="List Dash 4"/>
    <w:basedOn w:val="Text4"/>
    <w:pPr>
      <w:numPr>
        <w:ilvl w:val="0"/>
        <w:numId w:val="12"/>
      </w:numPr>
      <w:tabs>
        <w:tab w:val="clear" w:pos="2302"/>
      </w:tabs>
    </w:pPr>
  </w:style>
  <w:style w:type="paragraph" w:customStyle="1" w:styleId="ListNumberLevel2">
    <w:name w:val="List Number (Level 2)"/>
    <w:basedOn w:val="Normal"/>
    <w:pPr>
      <w:numPr>
        <w:ilvl w:val="1"/>
        <w:numId w:val="13"/>
      </w:numPr>
    </w:pPr>
  </w:style>
  <w:style w:type="paragraph" w:customStyle="1" w:styleId="ListNumberLevel3">
    <w:name w:val="List Number (Level 3)"/>
    <w:basedOn w:val="Normal"/>
    <w:pPr>
      <w:numPr>
        <w:ilvl w:val="2"/>
        <w:numId w:val="13"/>
      </w:numPr>
    </w:pPr>
  </w:style>
  <w:style w:type="paragraph" w:customStyle="1" w:styleId="ListNumberLevel4">
    <w:name w:val="List Number (Level 4)"/>
    <w:basedOn w:val="Normal"/>
    <w:pPr>
      <w:numPr>
        <w:ilvl w:val="3"/>
        <w:numId w:val="13"/>
      </w:numPr>
    </w:pPr>
  </w:style>
  <w:style w:type="paragraph" w:customStyle="1" w:styleId="ListNumber1">
    <w:name w:val="List Number 1"/>
    <w:basedOn w:val="Text1"/>
    <w:pPr>
      <w:numPr>
        <w:ilvl w:val="0"/>
        <w:numId w:val="14"/>
      </w:numPr>
    </w:pPr>
  </w:style>
  <w:style w:type="paragraph" w:customStyle="1" w:styleId="ListNumber1Level2">
    <w:name w:val="List Number 1 (Level 2)"/>
    <w:basedOn w:val="Text1"/>
    <w:pPr>
      <w:numPr>
        <w:ilvl w:val="1"/>
        <w:numId w:val="14"/>
      </w:numPr>
    </w:pPr>
  </w:style>
  <w:style w:type="paragraph" w:customStyle="1" w:styleId="ListNumber1Level3">
    <w:name w:val="List Number 1 (Level 3)"/>
    <w:basedOn w:val="Text1"/>
    <w:pPr>
      <w:numPr>
        <w:ilvl w:val="2"/>
        <w:numId w:val="14"/>
      </w:numPr>
    </w:pPr>
  </w:style>
  <w:style w:type="paragraph" w:customStyle="1" w:styleId="ListNumber1Level4">
    <w:name w:val="List Number 1 (Level 4)"/>
    <w:basedOn w:val="Text1"/>
    <w:pPr>
      <w:numPr>
        <w:ilvl w:val="3"/>
        <w:numId w:val="14"/>
      </w:numPr>
    </w:pPr>
  </w:style>
  <w:style w:type="paragraph" w:customStyle="1" w:styleId="ListNumber2Level2">
    <w:name w:val="List Number 2 (Level 2)"/>
    <w:basedOn w:val="Text2"/>
    <w:pPr>
      <w:numPr>
        <w:ilvl w:val="1"/>
        <w:numId w:val="15"/>
      </w:numPr>
      <w:tabs>
        <w:tab w:val="clear" w:pos="2302"/>
      </w:tabs>
    </w:pPr>
  </w:style>
  <w:style w:type="paragraph" w:customStyle="1" w:styleId="ListNumber2Level3">
    <w:name w:val="List Number 2 (Level 3)"/>
    <w:basedOn w:val="Text2"/>
    <w:pPr>
      <w:numPr>
        <w:ilvl w:val="2"/>
        <w:numId w:val="15"/>
      </w:numPr>
      <w:tabs>
        <w:tab w:val="clear" w:pos="2302"/>
      </w:tabs>
    </w:pPr>
  </w:style>
  <w:style w:type="paragraph" w:customStyle="1" w:styleId="ListNumber2Level4">
    <w:name w:val="List Number 2 (Level 4)"/>
    <w:basedOn w:val="Text2"/>
    <w:pPr>
      <w:numPr>
        <w:ilvl w:val="3"/>
        <w:numId w:val="15"/>
      </w:numPr>
      <w:tabs>
        <w:tab w:val="clear" w:pos="2302"/>
      </w:tabs>
    </w:pPr>
  </w:style>
  <w:style w:type="paragraph" w:customStyle="1" w:styleId="ListNumber3Level2">
    <w:name w:val="List Number 3 (Level 2)"/>
    <w:basedOn w:val="Text3"/>
    <w:pPr>
      <w:numPr>
        <w:ilvl w:val="1"/>
        <w:numId w:val="16"/>
      </w:numPr>
      <w:tabs>
        <w:tab w:val="clear" w:pos="2302"/>
      </w:tabs>
    </w:pPr>
  </w:style>
  <w:style w:type="paragraph" w:customStyle="1" w:styleId="ListNumber3Level3">
    <w:name w:val="List Number 3 (Level 3)"/>
    <w:basedOn w:val="Text3"/>
    <w:pPr>
      <w:numPr>
        <w:ilvl w:val="2"/>
        <w:numId w:val="16"/>
      </w:numPr>
      <w:tabs>
        <w:tab w:val="clear" w:pos="2302"/>
      </w:tabs>
    </w:pPr>
  </w:style>
  <w:style w:type="paragraph" w:customStyle="1" w:styleId="ListNumber3Level4">
    <w:name w:val="List Number 3 (Level 4)"/>
    <w:basedOn w:val="Text3"/>
    <w:pPr>
      <w:numPr>
        <w:ilvl w:val="3"/>
        <w:numId w:val="16"/>
      </w:numPr>
      <w:tabs>
        <w:tab w:val="clear" w:pos="2302"/>
      </w:tabs>
    </w:pPr>
  </w:style>
  <w:style w:type="paragraph" w:customStyle="1" w:styleId="ListNumber4Level2">
    <w:name w:val="List Number 4 (Level 2)"/>
    <w:basedOn w:val="Text4"/>
    <w:pPr>
      <w:numPr>
        <w:ilvl w:val="1"/>
        <w:numId w:val="17"/>
      </w:numPr>
      <w:tabs>
        <w:tab w:val="clear" w:pos="2302"/>
      </w:tabs>
    </w:pPr>
  </w:style>
  <w:style w:type="paragraph" w:customStyle="1" w:styleId="ListNumber4Level3">
    <w:name w:val="List Number 4 (Level 3)"/>
    <w:basedOn w:val="Text4"/>
    <w:pPr>
      <w:numPr>
        <w:ilvl w:val="2"/>
        <w:numId w:val="17"/>
      </w:numPr>
      <w:tabs>
        <w:tab w:val="clear" w:pos="2302"/>
      </w:tabs>
    </w:pPr>
  </w:style>
  <w:style w:type="paragraph" w:customStyle="1" w:styleId="ListNumber4Level4">
    <w:name w:val="List Number 4 (Level 4)"/>
    <w:basedOn w:val="Text4"/>
    <w:pPr>
      <w:numPr>
        <w:ilvl w:val="3"/>
        <w:numId w:val="17"/>
      </w:numPr>
      <w:tabs>
        <w:tab w:val="clear" w:pos="2302"/>
      </w:tabs>
    </w:pPr>
  </w:style>
  <w:style w:type="paragraph" w:styleId="TOCHeading">
    <w:name w:val="TOC Heading"/>
    <w:basedOn w:val="Normal"/>
    <w:next w:val="Normal"/>
    <w:uiPriority w:val="39"/>
    <w:qFormat/>
    <w:pPr>
      <w:keepNext/>
      <w:spacing w:before="240"/>
      <w:jc w:val="center"/>
    </w:pPr>
    <w:rPr>
      <w:b/>
    </w:rPr>
  </w:style>
  <w:style w:type="paragraph" w:customStyle="1" w:styleId="Contact">
    <w:name w:val="Contact"/>
    <w:basedOn w:val="Normal"/>
    <w:next w:val="Normal"/>
    <w:uiPriority w:val="99"/>
    <w:pPr>
      <w:spacing w:after="480"/>
      <w:ind w:left="567" w:hanging="567"/>
      <w:jc w:val="left"/>
    </w:pPr>
  </w:style>
  <w:style w:type="paragraph" w:customStyle="1" w:styleId="Designator">
    <w:name w:val="Designator"/>
    <w:basedOn w:val="Normal"/>
    <w:pPr>
      <w:spacing w:after="0"/>
      <w:jc w:val="center"/>
    </w:pPr>
    <w:rPr>
      <w:b/>
      <w:caps/>
      <w:sz w:val="32"/>
    </w:rPr>
  </w:style>
  <w:style w:type="paragraph" w:customStyle="1" w:styleId="Releasable">
    <w:name w:val="Releasable"/>
    <w:basedOn w:val="Normal"/>
    <w:qFormat/>
    <w:pPr>
      <w:spacing w:after="0"/>
      <w:jc w:val="center"/>
    </w:pPr>
    <w:rPr>
      <w:b/>
      <w:caps/>
      <w:sz w:val="32"/>
      <w:lang w:val="de-DE"/>
    </w:rPr>
  </w:style>
  <w:style w:type="paragraph" w:customStyle="1" w:styleId="RUE">
    <w:name w:val="RUE"/>
    <w:basedOn w:val="Normal"/>
    <w:pPr>
      <w:spacing w:after="0"/>
      <w:jc w:val="center"/>
    </w:pPr>
    <w:rPr>
      <w:b/>
      <w:caps/>
      <w:sz w:val="32"/>
      <w:bdr w:val="single" w:sz="18" w:space="0" w:color="auto"/>
      <w:lang w:val="de-DE"/>
    </w:rPr>
  </w:style>
  <w:style w:type="paragraph" w:customStyle="1" w:styleId="ConfidentialUE">
    <w:name w:val="Confidential UE"/>
    <w:basedOn w:val="Normal"/>
    <w:pPr>
      <w:spacing w:after="0"/>
      <w:jc w:val="center"/>
    </w:pPr>
    <w:rPr>
      <w:b/>
      <w:caps/>
      <w:sz w:val="32"/>
      <w:bdr w:val="single" w:sz="18" w:space="0" w:color="auto"/>
    </w:rPr>
  </w:style>
  <w:style w:type="paragraph" w:customStyle="1" w:styleId="SecretUE">
    <w:name w:val="Secret UE"/>
    <w:basedOn w:val="Normal"/>
    <w:pPr>
      <w:spacing w:after="0"/>
      <w:jc w:val="center"/>
    </w:pPr>
    <w:rPr>
      <w:b/>
      <w:caps/>
      <w:color w:val="FF0000"/>
      <w:sz w:val="32"/>
      <w:bdr w:val="single" w:sz="18" w:space="0" w:color="FF0000"/>
    </w:rPr>
  </w:style>
  <w:style w:type="paragraph" w:customStyle="1" w:styleId="TrsSecretUE">
    <w:name w:val="Très Secret UE"/>
    <w:basedOn w:val="Normal"/>
    <w:pPr>
      <w:spacing w:after="0"/>
      <w:jc w:val="center"/>
    </w:pPr>
    <w:rPr>
      <w:b/>
      <w:caps/>
      <w:color w:val="FF0000"/>
      <w:sz w:val="32"/>
      <w:bdr w:val="single" w:sz="18" w:space="0" w:color="FF0000"/>
    </w:rPr>
  </w:style>
  <w:style w:type="character" w:customStyle="1" w:styleId="FooterChar">
    <w:name w:val="Footer Char"/>
    <w:link w:val="Footer"/>
    <w:uiPriority w:val="99"/>
    <w:rsid w:val="00B538D8"/>
    <w:rPr>
      <w:rFonts w:ascii="Arial" w:hAnsi="Arial"/>
      <w:sz w:val="16"/>
      <w:lang w:eastAsia="en-US"/>
    </w:rPr>
  </w:style>
  <w:style w:type="paragraph" w:customStyle="1" w:styleId="ZCom">
    <w:name w:val="Z_Com"/>
    <w:basedOn w:val="Normal"/>
    <w:next w:val="ZDGName"/>
    <w:uiPriority w:val="99"/>
    <w:rsid w:val="00B538D8"/>
    <w:pPr>
      <w:widowControl w:val="0"/>
      <w:autoSpaceDE w:val="0"/>
      <w:autoSpaceDN w:val="0"/>
      <w:spacing w:after="0"/>
      <w:ind w:right="85"/>
    </w:pPr>
    <w:rPr>
      <w:rFonts w:ascii="Arial" w:hAnsi="Arial" w:cs="Arial"/>
      <w:szCs w:val="24"/>
      <w:lang w:eastAsia="en-GB"/>
    </w:rPr>
  </w:style>
  <w:style w:type="paragraph" w:customStyle="1" w:styleId="ZDGName">
    <w:name w:val="Z_DGName"/>
    <w:basedOn w:val="Normal"/>
    <w:uiPriority w:val="99"/>
    <w:rsid w:val="00B538D8"/>
    <w:pPr>
      <w:widowControl w:val="0"/>
      <w:autoSpaceDE w:val="0"/>
      <w:autoSpaceDN w:val="0"/>
      <w:spacing w:after="0"/>
      <w:ind w:right="85"/>
      <w:jc w:val="left"/>
    </w:pPr>
    <w:rPr>
      <w:rFonts w:ascii="Arial" w:hAnsi="Arial" w:cs="Arial"/>
      <w:sz w:val="16"/>
      <w:szCs w:val="16"/>
      <w:lang w:eastAsia="en-GB"/>
    </w:rPr>
  </w:style>
  <w:style w:type="character" w:customStyle="1" w:styleId="HeaderChar">
    <w:name w:val="Header Char"/>
    <w:link w:val="Header"/>
    <w:uiPriority w:val="99"/>
    <w:rsid w:val="00B538D8"/>
    <w:rPr>
      <w:sz w:val="24"/>
      <w:lang w:eastAsia="en-US"/>
    </w:rPr>
  </w:style>
  <w:style w:type="character" w:styleId="Hyperlink">
    <w:name w:val="Hyperlink"/>
    <w:uiPriority w:val="99"/>
    <w:unhideWhenUsed/>
    <w:rsid w:val="00BF61CA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F341F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AF341F"/>
    <w:rPr>
      <w:rFonts w:ascii="Tahoma" w:hAnsi="Tahoma" w:cs="Tahoma"/>
      <w:sz w:val="16"/>
      <w:szCs w:val="16"/>
      <w:lang w:eastAsia="en-US"/>
    </w:rPr>
  </w:style>
  <w:style w:type="character" w:customStyle="1" w:styleId="Heading4Char">
    <w:name w:val="Heading 4 Char"/>
    <w:link w:val="Heading4"/>
    <w:rsid w:val="00554619"/>
    <w:rPr>
      <w:i/>
      <w:color w:val="000000"/>
      <w:sz w:val="24"/>
      <w:lang w:val="fr-BE" w:eastAsia="en-US"/>
    </w:rPr>
  </w:style>
  <w:style w:type="paragraph" w:customStyle="1" w:styleId="FITTable">
    <w:name w:val="FIT Table"/>
    <w:basedOn w:val="Normal"/>
    <w:rsid w:val="00DB72E9"/>
    <w:pPr>
      <w:spacing w:before="60" w:after="60"/>
    </w:pPr>
    <w:rPr>
      <w:sz w:val="22"/>
    </w:rPr>
  </w:style>
  <w:style w:type="character" w:customStyle="1" w:styleId="TitleChar">
    <w:name w:val="Title Char"/>
    <w:link w:val="Title"/>
    <w:rsid w:val="00DB72E9"/>
    <w:rPr>
      <w:b/>
      <w:kern w:val="28"/>
      <w:sz w:val="48"/>
      <w:lang w:eastAsia="en-US"/>
    </w:rPr>
  </w:style>
  <w:style w:type="table" w:styleId="TableGrid">
    <w:name w:val="Table Grid"/>
    <w:basedOn w:val="TableNormal"/>
    <w:uiPriority w:val="59"/>
    <w:rsid w:val="00D6384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Guidelines">
    <w:name w:val="Guidelines"/>
    <w:basedOn w:val="Text2"/>
    <w:link w:val="GuidelinesChar"/>
    <w:rsid w:val="00120799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ind w:left="0"/>
    </w:pPr>
    <w:rPr>
      <w:color w:val="4F81BD"/>
    </w:rPr>
  </w:style>
  <w:style w:type="character" w:customStyle="1" w:styleId="Text2Char">
    <w:name w:val="Text 2 Char"/>
    <w:link w:val="Text2"/>
    <w:rsid w:val="00120799"/>
    <w:rPr>
      <w:sz w:val="24"/>
      <w:lang w:eastAsia="en-US"/>
    </w:rPr>
  </w:style>
  <w:style w:type="character" w:customStyle="1" w:styleId="GuidelinesChar">
    <w:name w:val="Guidelines Char"/>
    <w:link w:val="Guidelines"/>
    <w:rsid w:val="00120799"/>
    <w:rPr>
      <w:color w:val="4F81BD"/>
      <w:sz w:val="24"/>
      <w:lang w:eastAsia="en-US"/>
    </w:rPr>
  </w:style>
  <w:style w:type="character" w:styleId="FootnoteReference">
    <w:name w:val="footnote reference"/>
    <w:uiPriority w:val="99"/>
    <w:semiHidden/>
    <w:unhideWhenUsed/>
    <w:rsid w:val="00D56D3F"/>
    <w:rPr>
      <w:vertAlign w:val="superscript"/>
    </w:rPr>
  </w:style>
  <w:style w:type="table" w:customStyle="1" w:styleId="TableGrid1">
    <w:name w:val="Table Grid1"/>
    <w:basedOn w:val="TableNormal"/>
    <w:next w:val="TableGrid"/>
    <w:rsid w:val="00990D9F"/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2Char">
    <w:name w:val="Heading 2 Char"/>
    <w:link w:val="Heading2"/>
    <w:rsid w:val="00E272CB"/>
    <w:rPr>
      <w:b/>
      <w:sz w:val="24"/>
      <w:lang w:val="fr-BE" w:eastAsia="en-US"/>
    </w:rPr>
  </w:style>
  <w:style w:type="character" w:customStyle="1" w:styleId="Heading3Char">
    <w:name w:val="Heading 3 Char"/>
    <w:link w:val="Heading3"/>
    <w:rsid w:val="00F235A7"/>
    <w:rPr>
      <w:color w:val="000000"/>
      <w:sz w:val="24"/>
      <w:lang w:val="fr-BE" w:eastAsia="en-US"/>
    </w:rPr>
  </w:style>
  <w:style w:type="paragraph" w:styleId="ListParagraph">
    <w:name w:val="List Paragraph"/>
    <w:basedOn w:val="Normal"/>
    <w:uiPriority w:val="34"/>
    <w:qFormat/>
    <w:rsid w:val="00592E64"/>
    <w:pPr>
      <w:ind w:left="720"/>
      <w:contextualSpacing/>
    </w:pPr>
  </w:style>
  <w:style w:type="numbering" w:customStyle="1" w:styleId="Headings">
    <w:name w:val="Headings"/>
    <w:uiPriority w:val="99"/>
    <w:rsid w:val="00162E7B"/>
    <w:pPr>
      <w:numPr>
        <w:numId w:val="18"/>
      </w:numPr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targetScreenSz w:val="1024x768"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numbering" Target="numbering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footer" Target="footer1.xml" /><Relationship Id="rId8" Type="http://schemas.openxmlformats.org/officeDocument/2006/relationships/header" Target="header1.xml" /><Relationship Id="rId9" Type="http://schemas.openxmlformats.org/officeDocument/2006/relationships/footer" Target="footer2.xml" /></Relationships>
</file>

<file path=word/_rels/fontTable.xml.rels>&#65279;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2" Type="http://schemas.openxmlformats.org/officeDocument/2006/relationships/font" Target="fonts/font2.odttf" /><Relationship Id="rId3" Type="http://schemas.openxmlformats.org/officeDocument/2006/relationships/font" Target="fonts/font3.odttf" /><Relationship Id="rId4" Type="http://schemas.openxmlformats.org/officeDocument/2006/relationships/font" Target="fonts/font4.odttf" /><Relationship Id="rId5" Type="http://schemas.openxmlformats.org/officeDocument/2006/relationships/font" Target="fonts/font5.odttf" /><Relationship Id="rId6" Type="http://schemas.openxmlformats.org/officeDocument/2006/relationships/font" Target="fonts/font6.odttf" /><Relationship Id="rId7" Type="http://schemas.openxmlformats.org/officeDocument/2006/relationships/font" Target="fonts/font7.odttf" /></Relationships>
</file>

<file path=word/_rels/settings.xml.rels>&#65279;<?xml version="1.0" encoding="utf-8" standalone="yes"?><Relationships xmlns="http://schemas.openxmlformats.org/package/2006/relationships"><Relationship Id="rId1" Type="http://schemas.openxmlformats.org/officeDocument/2006/relationships/attachedTemplate" Target="file:///C:\Users\Public\Documents\Templates\REP.DOTM" TargetMode="External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E5A5CCC-2329-4772-8C3A-1AB7F544E1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REP.DOTM</Template>
  <TotalTime>1</TotalTime>
  <Pages>138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Title of the RDP</vt:lpstr>
    </vt:vector>
  </TitlesOfParts>
  <Company>Member State Name</Company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Title of the RDP</dc:title>
  <dc:creator>Member State Authority</dc:creator>
  <cp:keywords>EL4</cp:keywords>
  <cp:lastModifiedBy>MATHIEU Serge (AGRI-EXT)</cp:lastModifiedBy>
  <cp:revision>2</cp:revision>
  <cp:lastPrinted>2013-05-31T11:39:00Z</cp:lastPrinted>
  <dcterms:created xsi:type="dcterms:W3CDTF">2016-04-11T12:06:00Z</dcterms:created>
  <dcterms:modified xsi:type="dcterms:W3CDTF">2016-04-11T12:06:00Z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">
    <vt:lpwstr/>
  </property>
  <property fmtid="{D5CDD505-2E9C-101B-9397-08002B2CF9AE}" pid="3" name="Contributor">
    <vt:lpwstr/>
  </property>
  <property fmtid="{D5CDD505-2E9C-101B-9397-08002B2CF9AE}" pid="4" name="Created using">
    <vt:lpwstr>EL 4.6 Build 21000</vt:lpwstr>
  </property>
  <property fmtid="{D5CDD505-2E9C-101B-9397-08002B2CF9AE}" pid="5" name="Creator">
    <vt:lpwstr/>
  </property>
  <property fmtid="{D5CDD505-2E9C-101B-9397-08002B2CF9AE}" pid="6" name="DateAlarm">
    <vt:lpwstr/>
  </property>
  <property fmtid="{D5CDD505-2E9C-101B-9397-08002B2CF9AE}" pid="7" name="DatePublication">
    <vt:lpwstr/>
  </property>
  <property fmtid="{D5CDD505-2E9C-101B-9397-08002B2CF9AE}" pid="8" name="Description">
    <vt:lpwstr/>
  </property>
  <property fmtid="{D5CDD505-2E9C-101B-9397-08002B2CF9AE}" pid="9" name="DocID_EU">
    <vt:lpwstr> </vt:lpwstr>
  </property>
  <property fmtid="{D5CDD505-2E9C-101B-9397-08002B2CF9AE}" pid="10" name="ELDocType">
    <vt:lpwstr>rep.dot</vt:lpwstr>
  </property>
  <property fmtid="{D5CDD505-2E9C-101B-9397-08002B2CF9AE}" pid="11" name="EL_Author">
    <vt:lpwstr>Vallet Marc (Everis)</vt:lpwstr>
  </property>
  <property fmtid="{D5CDD505-2E9C-101B-9397-08002B2CF9AE}" pid="12" name="EL_Language">
    <vt:lpwstr>EN</vt:lpwstr>
  </property>
  <property fmtid="{D5CDD505-2E9C-101B-9397-08002B2CF9AE}" pid="13" name="EurolookVersion">
    <vt:lpwstr>4.5</vt:lpwstr>
  </property>
  <property fmtid="{D5CDD505-2E9C-101B-9397-08002B2CF9AE}" pid="14" name="Formatting">
    <vt:lpwstr>4.1</vt:lpwstr>
  </property>
  <property fmtid="{D5CDD505-2E9C-101B-9397-08002B2CF9AE}" pid="15" name="Language">
    <vt:lpwstr>EN</vt:lpwstr>
  </property>
  <property fmtid="{D5CDD505-2E9C-101B-9397-08002B2CF9AE}" pid="16" name="Last edited using">
    <vt:lpwstr>EL 4.6 Build 34000</vt:lpwstr>
  </property>
  <property fmtid="{D5CDD505-2E9C-101B-9397-08002B2CF9AE}" pid="17" name="Publisher">
    <vt:lpwstr/>
  </property>
  <property fmtid="{D5CDD505-2E9C-101B-9397-08002B2CF9AE}" pid="18" name="Reference">
    <vt:lpwstr/>
  </property>
  <property fmtid="{D5CDD505-2E9C-101B-9397-08002B2CF9AE}" pid="19" name="Rights">
    <vt:lpwstr/>
  </property>
  <property fmtid="{D5CDD505-2E9C-101B-9397-08002B2CF9AE}" pid="20" name="TemplateVersion">
    <vt:lpwstr>4.5.0.2</vt:lpwstr>
  </property>
  <property fmtid="{D5CDD505-2E9C-101B-9397-08002B2CF9AE}" pid="21" name="Type">
    <vt:lpwstr>Eurolook Report</vt:lpwstr>
  </property>
</Properties>
</file>