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25E1A" w14:textId="77777777" w:rsidR="002E2B1E" w:rsidRDefault="00A943EE" w:rsidP="002E2B1E">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702BD1">
        <w:rPr>
          <w:rFonts w:ascii="Times New Roman" w:eastAsiaTheme="majorEastAsia" w:hAnsi="Times New Roman" w:cstheme="majorBidi"/>
          <w:bCs/>
          <w:sz w:val="24"/>
          <w:szCs w:val="28"/>
        </w:rPr>
        <w:t>844</w:t>
      </w:r>
      <w:r w:rsidR="00246159" w:rsidRPr="00246159">
        <w:rPr>
          <w:rFonts w:ascii="Times New Roman" w:eastAsiaTheme="majorEastAsia" w:hAnsi="Times New Roman" w:cstheme="majorBidi"/>
          <w:bCs/>
          <w:sz w:val="24"/>
          <w:szCs w:val="28"/>
        </w:rPr>
        <w:t xml:space="preserve">/ </w:t>
      </w:r>
      <w:r w:rsidR="00702BD1">
        <w:rPr>
          <w:rFonts w:ascii="Times New Roman" w:eastAsiaTheme="majorEastAsia" w:hAnsi="Times New Roman" w:cstheme="majorBidi"/>
          <w:bCs/>
          <w:sz w:val="24"/>
          <w:szCs w:val="28"/>
        </w:rPr>
        <w:t>22.07.</w:t>
      </w:r>
      <w:r w:rsidR="00246159" w:rsidRPr="00CC3AB5">
        <w:rPr>
          <w:rFonts w:ascii="Times New Roman" w:eastAsiaTheme="majorEastAsia" w:hAnsi="Times New Roman" w:cstheme="majorBidi"/>
          <w:bCs/>
          <w:sz w:val="24"/>
          <w:szCs w:val="28"/>
        </w:rPr>
        <w:t>2</w:t>
      </w:r>
      <w:r w:rsidR="00246159" w:rsidRPr="00246159">
        <w:rPr>
          <w:rFonts w:ascii="Times New Roman" w:eastAsiaTheme="majorEastAsia" w:hAnsi="Times New Roman" w:cstheme="majorBidi"/>
          <w:bCs/>
          <w:sz w:val="24"/>
          <w:szCs w:val="28"/>
        </w:rPr>
        <w:t>02</w:t>
      </w:r>
      <w:r w:rsidR="000C0BB6">
        <w:rPr>
          <w:rFonts w:ascii="Times New Roman" w:eastAsiaTheme="majorEastAsia" w:hAnsi="Times New Roman" w:cstheme="majorBidi"/>
          <w:bCs/>
          <w:sz w:val="24"/>
          <w:szCs w:val="28"/>
          <w:lang w:val="en-US"/>
        </w:rPr>
        <w:t>2</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r w:rsidR="002E2B1E">
        <w:rPr>
          <w:rFonts w:ascii="Times New Roman" w:eastAsiaTheme="majorEastAsia" w:hAnsi="Times New Roman" w:cstheme="majorBidi"/>
          <w:bCs/>
          <w:sz w:val="24"/>
          <w:szCs w:val="28"/>
        </w:rPr>
        <w:t>,</w:t>
      </w:r>
    </w:p>
    <w:p w14:paraId="3D9F95F4" w14:textId="7155B433" w:rsidR="00F77E52" w:rsidRDefault="002E2B1E" w:rsidP="00F77E52">
      <w:pPr>
        <w:spacing w:after="0" w:line="360" w:lineRule="auto"/>
        <w:jc w:val="both"/>
        <w:rPr>
          <w:rFonts w:ascii="Times New Roman" w:hAnsi="Times New Roman" w:cs="Times New Roman"/>
          <w:b/>
          <w:sz w:val="24"/>
          <w:szCs w:val="24"/>
        </w:rPr>
      </w:pPr>
      <w:r w:rsidRPr="002E2B1E">
        <w:rPr>
          <w:rFonts w:ascii="Times New Roman" w:eastAsiaTheme="majorEastAsia" w:hAnsi="Times New Roman" w:cstheme="majorBidi"/>
          <w:bCs/>
          <w:sz w:val="24"/>
          <w:szCs w:val="28"/>
        </w:rPr>
        <w:t xml:space="preserve"> </w:t>
      </w: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РД09-1266/14.11.2022 г.</w:t>
      </w:r>
      <w:r w:rsidR="00BD247C">
        <w:rPr>
          <w:rFonts w:ascii="Times New Roman" w:eastAsiaTheme="majorEastAsia" w:hAnsi="Times New Roman" w:cstheme="majorBidi"/>
          <w:bCs/>
          <w:sz w:val="24"/>
          <w:szCs w:val="28"/>
        </w:rPr>
        <w:t>, изм. Заповед № РД09-</w:t>
      </w:r>
      <w:r w:rsidR="006C64D5">
        <w:rPr>
          <w:rFonts w:ascii="Times New Roman" w:eastAsiaTheme="majorEastAsia" w:hAnsi="Times New Roman" w:cstheme="majorBidi"/>
          <w:bCs/>
          <w:sz w:val="24"/>
          <w:szCs w:val="28"/>
        </w:rPr>
        <w:t>1365</w:t>
      </w:r>
      <w:r w:rsidR="00BD247C">
        <w:rPr>
          <w:rFonts w:ascii="Times New Roman" w:eastAsiaTheme="majorEastAsia" w:hAnsi="Times New Roman" w:cstheme="majorBidi"/>
          <w:bCs/>
          <w:sz w:val="24"/>
          <w:szCs w:val="28"/>
        </w:rPr>
        <w:t>/</w:t>
      </w:r>
      <w:r w:rsidR="006C64D5">
        <w:rPr>
          <w:rFonts w:ascii="Times New Roman" w:eastAsiaTheme="majorEastAsia" w:hAnsi="Times New Roman" w:cstheme="majorBidi"/>
          <w:bCs/>
          <w:sz w:val="24"/>
          <w:szCs w:val="28"/>
        </w:rPr>
        <w:t>19</w:t>
      </w:r>
      <w:r w:rsidR="00BD247C">
        <w:rPr>
          <w:rFonts w:ascii="Times New Roman" w:eastAsiaTheme="majorEastAsia" w:hAnsi="Times New Roman" w:cstheme="majorBidi"/>
          <w:bCs/>
          <w:sz w:val="24"/>
          <w:szCs w:val="28"/>
        </w:rPr>
        <w:t>.12.2022 г.</w:t>
      </w:r>
      <w:r w:rsidR="00F77E52">
        <w:rPr>
          <w:rFonts w:ascii="Times New Roman" w:eastAsiaTheme="majorEastAsia" w:hAnsi="Times New Roman" w:cstheme="majorBidi"/>
          <w:bCs/>
          <w:sz w:val="24"/>
          <w:szCs w:val="28"/>
        </w:rPr>
        <w:t>,</w:t>
      </w:r>
      <w:r w:rsidR="00F77E52" w:rsidRPr="00F77E52">
        <w:rPr>
          <w:rFonts w:ascii="Times New Roman" w:hAnsi="Times New Roman"/>
          <w:sz w:val="24"/>
          <w:szCs w:val="24"/>
        </w:rPr>
        <w:t xml:space="preserve"> </w:t>
      </w:r>
      <w:r w:rsidR="00F77E52" w:rsidRPr="004D5BC6">
        <w:rPr>
          <w:rFonts w:ascii="Times New Roman" w:hAnsi="Times New Roman"/>
          <w:sz w:val="24"/>
          <w:szCs w:val="24"/>
        </w:rPr>
        <w:t xml:space="preserve">Заповед № РД 09 – </w:t>
      </w:r>
      <w:r w:rsidR="00F77E52">
        <w:rPr>
          <w:rFonts w:ascii="Times New Roman" w:hAnsi="Times New Roman"/>
          <w:sz w:val="24"/>
          <w:szCs w:val="24"/>
          <w:lang w:val="en-US"/>
        </w:rPr>
        <w:t xml:space="preserve">806 </w:t>
      </w:r>
      <w:r w:rsidR="00F77E52" w:rsidRPr="004D5BC6">
        <w:rPr>
          <w:rFonts w:ascii="Times New Roman" w:hAnsi="Times New Roman"/>
          <w:sz w:val="24"/>
          <w:szCs w:val="24"/>
        </w:rPr>
        <w:t xml:space="preserve">от </w:t>
      </w:r>
      <w:r w:rsidR="00F77E52">
        <w:rPr>
          <w:rFonts w:ascii="Times New Roman" w:hAnsi="Times New Roman"/>
          <w:sz w:val="24"/>
          <w:szCs w:val="24"/>
          <w:lang w:val="en-US"/>
        </w:rPr>
        <w:t>26.</w:t>
      </w:r>
      <w:r w:rsidR="00F77E52" w:rsidRPr="004D5BC6">
        <w:rPr>
          <w:rFonts w:ascii="Times New Roman" w:hAnsi="Times New Roman"/>
          <w:sz w:val="24"/>
          <w:szCs w:val="24"/>
        </w:rPr>
        <w:t>07.2023 г.</w:t>
      </w:r>
      <w:r w:rsidR="00EC0F20">
        <w:rPr>
          <w:rFonts w:ascii="Times New Roman" w:hAnsi="Times New Roman"/>
          <w:sz w:val="24"/>
          <w:szCs w:val="24"/>
        </w:rPr>
        <w:t xml:space="preserve">, </w:t>
      </w:r>
      <w:r w:rsidR="0078711C" w:rsidRPr="004D5BC6">
        <w:rPr>
          <w:rFonts w:ascii="Times New Roman" w:hAnsi="Times New Roman"/>
          <w:sz w:val="24"/>
          <w:szCs w:val="24"/>
        </w:rPr>
        <w:t xml:space="preserve">Заповед № РД 09 – </w:t>
      </w:r>
      <w:r w:rsidR="00EC0F20">
        <w:rPr>
          <w:rFonts w:ascii="Times New Roman" w:hAnsi="Times New Roman"/>
          <w:sz w:val="24"/>
          <w:szCs w:val="24"/>
        </w:rPr>
        <w:t>601</w:t>
      </w:r>
      <w:r w:rsidR="0078711C">
        <w:rPr>
          <w:rFonts w:ascii="Times New Roman" w:hAnsi="Times New Roman"/>
          <w:sz w:val="24"/>
          <w:szCs w:val="24"/>
          <w:lang w:val="en-US"/>
        </w:rPr>
        <w:t xml:space="preserve"> </w:t>
      </w:r>
      <w:r w:rsidR="0078711C" w:rsidRPr="004D5BC6">
        <w:rPr>
          <w:rFonts w:ascii="Times New Roman" w:hAnsi="Times New Roman"/>
          <w:sz w:val="24"/>
          <w:szCs w:val="24"/>
        </w:rPr>
        <w:t>от</w:t>
      </w:r>
      <w:r w:rsidR="00EC0F20">
        <w:rPr>
          <w:rFonts w:ascii="Times New Roman" w:hAnsi="Times New Roman"/>
          <w:sz w:val="24"/>
          <w:szCs w:val="24"/>
        </w:rPr>
        <w:t xml:space="preserve"> 07.</w:t>
      </w:r>
      <w:r w:rsidR="0078711C" w:rsidRPr="004D5BC6">
        <w:rPr>
          <w:rFonts w:ascii="Times New Roman" w:hAnsi="Times New Roman"/>
          <w:sz w:val="24"/>
          <w:szCs w:val="24"/>
        </w:rPr>
        <w:t>0</w:t>
      </w:r>
      <w:r w:rsidR="0078711C">
        <w:rPr>
          <w:rFonts w:ascii="Times New Roman" w:hAnsi="Times New Roman"/>
          <w:sz w:val="24"/>
          <w:szCs w:val="24"/>
        </w:rPr>
        <w:t>6</w:t>
      </w:r>
      <w:r w:rsidR="0078711C" w:rsidRPr="004D5BC6">
        <w:rPr>
          <w:rFonts w:ascii="Times New Roman" w:hAnsi="Times New Roman"/>
          <w:sz w:val="24"/>
          <w:szCs w:val="24"/>
        </w:rPr>
        <w:t>.202</w:t>
      </w:r>
      <w:r w:rsidR="0078711C">
        <w:rPr>
          <w:rFonts w:ascii="Times New Roman" w:hAnsi="Times New Roman"/>
          <w:sz w:val="24"/>
          <w:szCs w:val="24"/>
        </w:rPr>
        <w:t>4</w:t>
      </w:r>
      <w:r w:rsidR="0078711C" w:rsidRPr="004D5BC6">
        <w:rPr>
          <w:rFonts w:ascii="Times New Roman" w:hAnsi="Times New Roman"/>
          <w:sz w:val="24"/>
          <w:szCs w:val="24"/>
        </w:rPr>
        <w:t xml:space="preserve"> г.</w:t>
      </w:r>
      <w:r w:rsidR="00EC0F20">
        <w:rPr>
          <w:rFonts w:ascii="Times New Roman" w:hAnsi="Times New Roman"/>
          <w:sz w:val="24"/>
          <w:szCs w:val="24"/>
        </w:rPr>
        <w:t xml:space="preserve"> и </w:t>
      </w:r>
      <w:r w:rsidR="00EC0F20" w:rsidRPr="004D5BC6">
        <w:rPr>
          <w:rFonts w:ascii="Times New Roman" w:hAnsi="Times New Roman"/>
          <w:sz w:val="24"/>
          <w:szCs w:val="24"/>
        </w:rPr>
        <w:t xml:space="preserve">Заповед № РД 09 – </w:t>
      </w:r>
      <w:r w:rsidR="00DE3634">
        <w:rPr>
          <w:rFonts w:ascii="Times New Roman" w:hAnsi="Times New Roman"/>
          <w:sz w:val="24"/>
          <w:szCs w:val="24"/>
        </w:rPr>
        <w:t>725</w:t>
      </w:r>
      <w:r w:rsidR="00EC0F20">
        <w:rPr>
          <w:rFonts w:ascii="Times New Roman" w:hAnsi="Times New Roman"/>
          <w:sz w:val="24"/>
          <w:szCs w:val="24"/>
          <w:lang w:val="en-US"/>
        </w:rPr>
        <w:t xml:space="preserve"> </w:t>
      </w:r>
      <w:r w:rsidR="00EC0F20" w:rsidRPr="004D5BC6">
        <w:rPr>
          <w:rFonts w:ascii="Times New Roman" w:hAnsi="Times New Roman"/>
          <w:sz w:val="24"/>
          <w:szCs w:val="24"/>
        </w:rPr>
        <w:t>от</w:t>
      </w:r>
      <w:r w:rsidR="00DE3634">
        <w:rPr>
          <w:rFonts w:ascii="Times New Roman" w:hAnsi="Times New Roman"/>
          <w:sz w:val="24"/>
          <w:szCs w:val="24"/>
        </w:rPr>
        <w:t xml:space="preserve"> 01.</w:t>
      </w:r>
      <w:r w:rsidR="00EC0F20" w:rsidRPr="004D5BC6">
        <w:rPr>
          <w:rFonts w:ascii="Times New Roman" w:hAnsi="Times New Roman"/>
          <w:sz w:val="24"/>
          <w:szCs w:val="24"/>
        </w:rPr>
        <w:t>0</w:t>
      </w:r>
      <w:r w:rsidR="00DE3634">
        <w:rPr>
          <w:rFonts w:ascii="Times New Roman" w:hAnsi="Times New Roman"/>
          <w:sz w:val="24"/>
          <w:szCs w:val="24"/>
        </w:rPr>
        <w:t>7</w:t>
      </w:r>
      <w:r w:rsidR="00EC0F20" w:rsidRPr="004D5BC6">
        <w:rPr>
          <w:rFonts w:ascii="Times New Roman" w:hAnsi="Times New Roman"/>
          <w:sz w:val="24"/>
          <w:szCs w:val="24"/>
        </w:rPr>
        <w:t>.202</w:t>
      </w:r>
      <w:r w:rsidR="00EC0F20">
        <w:rPr>
          <w:rFonts w:ascii="Times New Roman" w:hAnsi="Times New Roman"/>
          <w:sz w:val="24"/>
          <w:szCs w:val="24"/>
        </w:rPr>
        <w:t>4</w:t>
      </w:r>
      <w:r w:rsidR="00EC0F20" w:rsidRPr="004D5BC6">
        <w:rPr>
          <w:rFonts w:ascii="Times New Roman" w:hAnsi="Times New Roman"/>
          <w:sz w:val="24"/>
          <w:szCs w:val="24"/>
        </w:rPr>
        <w:t xml:space="preserve"> г.</w:t>
      </w:r>
    </w:p>
    <w:p w14:paraId="10C3B489" w14:textId="3414DE15" w:rsidR="002E2B1E" w:rsidRDefault="002E2B1E" w:rsidP="002E2B1E">
      <w:pPr>
        <w:spacing w:line="360" w:lineRule="auto"/>
        <w:jc w:val="right"/>
        <w:rPr>
          <w:rFonts w:ascii="Times New Roman" w:eastAsiaTheme="majorEastAsia" w:hAnsi="Times New Roman" w:cstheme="majorBidi"/>
          <w:bCs/>
          <w:sz w:val="24"/>
          <w:szCs w:val="28"/>
          <w:lang w:val="en-US"/>
        </w:rPr>
      </w:pPr>
    </w:p>
    <w:p w14:paraId="115FC9FE" w14:textId="27ACEC37" w:rsidR="00CE5239" w:rsidRDefault="00CE5239"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lastRenderedPageBreak/>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65B0A65"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FF0179E" w:rsidR="00A42E1B" w:rsidRPr="00641D4B" w:rsidRDefault="00607AFC">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0BB8FC8D" w:rsidR="00A42E1B" w:rsidRPr="00641D4B" w:rsidRDefault="00607AFC">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2DF5435A" w:rsidR="00A42E1B" w:rsidRPr="00641D4B" w:rsidRDefault="00607AFC">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E69CC13" w:rsidR="00A42E1B" w:rsidRPr="00641D4B" w:rsidRDefault="00607AFC">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43C8CF1" w:rsidR="00A42E1B" w:rsidRPr="00641D4B" w:rsidRDefault="00607AFC">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F9ECFE3" w:rsidR="00A42E1B" w:rsidRPr="00641D4B" w:rsidRDefault="00607AFC">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33C28BE4" w:rsidR="00A42E1B" w:rsidRPr="00641D4B" w:rsidRDefault="00607AFC">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1074DE11" w:rsidR="00A42E1B" w:rsidRPr="00641D4B" w:rsidRDefault="00607AFC">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FAD4188" w:rsidR="00A42E1B" w:rsidRPr="00641D4B" w:rsidRDefault="00607AFC">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1E3533B6" w:rsidR="00A42E1B" w:rsidRPr="00641D4B" w:rsidRDefault="00607AFC">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39CB7CA3" w:rsidR="00A42E1B" w:rsidRPr="00641D4B" w:rsidRDefault="00607AFC">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5AA5B27D" w:rsidR="00A42E1B" w:rsidRPr="00641D4B" w:rsidRDefault="00607AFC">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3B092133"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34E7A5CD"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3B5B9045" w:rsidR="00A42E1B" w:rsidRPr="00641D4B" w:rsidRDefault="00607AFC">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26F665DD" w:rsidR="00A42E1B" w:rsidRPr="00641D4B" w:rsidRDefault="00607AFC">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5FB9F82B"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46C737E"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1FC8B9D2"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3704AF3C" w:rsidR="00A42E1B" w:rsidRPr="00641D4B" w:rsidRDefault="00607AFC">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714652BE" w14:textId="35062606"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31E12EC6" w14:textId="3A39139C"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181C4BA2"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16379E50" w:rsidR="00A42E1B" w:rsidRPr="00641D4B" w:rsidRDefault="00607AFC">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5122829" w14:textId="55D800C1" w:rsidR="00A42E1B" w:rsidRPr="00641D4B" w:rsidRDefault="00607AFC">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1539FD3F" w:rsidR="00A42E1B" w:rsidRPr="00641D4B" w:rsidRDefault="00607AFC">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BE8FEDA" w14:textId="6CAC9925" w:rsidR="00A42E1B" w:rsidRPr="00641D4B" w:rsidRDefault="00607AFC">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4D428DD4" w:rsidR="00A42E1B" w:rsidRPr="00641D4B" w:rsidRDefault="00607AFC">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49E7FFAB" w14:textId="5BFF4273" w:rsidR="00A42E1B" w:rsidRPr="00641D4B" w:rsidRDefault="00607AFC">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64481E75" w14:textId="0D381303" w:rsidR="00A42E1B" w:rsidRPr="00641D4B" w:rsidRDefault="00607AFC">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3DC55874" w14:textId="45013511"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56DF2DD6" w14:textId="1D494BB2"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7B537A76" w:rsidR="00A42E1B" w:rsidRPr="00641D4B" w:rsidRDefault="00607AFC">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3FD2BF5C" w14:textId="63033884" w:rsidR="00A42E1B" w:rsidRPr="00641D4B" w:rsidRDefault="00607AFC">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7A138793" w:rsidR="00A42E1B" w:rsidRPr="00641D4B" w:rsidRDefault="00607AFC">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1A9F5EF7" w14:textId="23839B16"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6F0AEC30" w14:textId="0E9145A5"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1113F210" w14:textId="707F2791"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453A16C5" w14:textId="0074425C" w:rsidR="00A42E1B" w:rsidRPr="00641D4B" w:rsidRDefault="00607AFC">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0885DEE" w14:textId="001BBA0D" w:rsidR="00A42E1B" w:rsidRPr="00641D4B" w:rsidRDefault="00607AFC">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350CC547" w:rsidR="00A42E1B" w:rsidRPr="00641D4B" w:rsidRDefault="00607AFC">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48D954F2" w:rsidR="00A42E1B" w:rsidRPr="00641D4B" w:rsidRDefault="00607AFC">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176F05">
              <w:rPr>
                <w:rFonts w:ascii="Times New Roman" w:eastAsia="Times New Roman" w:hAnsi="Times New Roman" w:cs="Times New Roman"/>
                <w:color w:val="000000"/>
                <w:sz w:val="24"/>
                <w:szCs w:val="24"/>
                <w:lang w:eastAsia="bg-BG"/>
              </w:rPr>
              <w:t>обн</w:t>
            </w:r>
            <w:proofErr w:type="spellEnd"/>
            <w:r w:rsidRPr="00176F05">
              <w:rPr>
                <w:rFonts w:ascii="Times New Roman" w:eastAsia="Times New Roman" w:hAnsi="Times New Roman" w:cs="Times New Roman"/>
                <w:color w:val="000000"/>
                <w:sz w:val="24"/>
                <w:szCs w:val="24"/>
                <w:lang w:eastAsia="bg-BG"/>
              </w:rPr>
              <w:t>.,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МЗм</w:t>
            </w:r>
            <w:proofErr w:type="spellEnd"/>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lastRenderedPageBreak/>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proofErr w:type="spellStart"/>
            <w:r w:rsidRPr="002637EC">
              <w:rPr>
                <w:rFonts w:ascii="Times New Roman" w:eastAsia="Times New Roman" w:hAnsi="Times New Roman" w:cs="Times New Roman"/>
                <w:b/>
                <w:sz w:val="24"/>
                <w:szCs w:val="24"/>
                <w:lang w:val="x-none" w:eastAsia="bg-BG"/>
              </w:rPr>
              <w:t>Възобновяеми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енергийни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източници</w:t>
            </w:r>
            <w:proofErr w:type="spellEnd"/>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 xml:space="preserve">"Енергия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w:t>
            </w:r>
            <w:proofErr w:type="spellStart"/>
            <w:r w:rsidRPr="00B07A43">
              <w:rPr>
                <w:rFonts w:ascii="Times New Roman" w:eastAsia="Times New Roman" w:hAnsi="Times New Roman" w:cs="Times New Roman"/>
                <w:sz w:val="24"/>
                <w:szCs w:val="24"/>
                <w:lang w:eastAsia="bg-BG"/>
              </w:rPr>
              <w:t>аеротермална</w:t>
            </w:r>
            <w:proofErr w:type="spellEnd"/>
            <w:r w:rsidRPr="00B07A43">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B07A43">
              <w:rPr>
                <w:rFonts w:ascii="Times New Roman" w:eastAsia="Times New Roman" w:hAnsi="Times New Roman" w:cs="Times New Roman"/>
                <w:sz w:val="24"/>
                <w:szCs w:val="24"/>
                <w:lang w:eastAsia="bg-BG"/>
              </w:rPr>
              <w:t>сметищен</w:t>
            </w:r>
            <w:proofErr w:type="spellEnd"/>
            <w:r w:rsidRPr="00B07A43">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proofErr w:type="spellStart"/>
            <w:r w:rsidRPr="00CC3AB5">
              <w:rPr>
                <w:rFonts w:ascii="Times New Roman" w:hAnsi="Times New Roman" w:cs="Times New Roman"/>
                <w:sz w:val="24"/>
                <w:szCs w:val="24"/>
                <w:lang w:val="x-none"/>
              </w:rPr>
              <w:t>ъвкупност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от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дейности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спомагащи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за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прилагане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приоритетите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Полезна</w:t>
            </w:r>
            <w:proofErr w:type="spellEnd"/>
            <w:r w:rsidRPr="00CC3AB5">
              <w:rPr>
                <w:rFonts w:ascii="Times New Roman" w:hAnsi="Times New Roman" w:cs="Times New Roman"/>
                <w:b/>
                <w:sz w:val="24"/>
                <w:szCs w:val="24"/>
                <w:lang w:val="x-none"/>
              </w:rPr>
              <w:t xml:space="preserve">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proofErr w:type="spellStart"/>
            <w:r w:rsidRPr="00CC3AB5">
              <w:rPr>
                <w:rFonts w:ascii="Times New Roman" w:hAnsi="Times New Roman" w:cs="Times New Roman"/>
                <w:sz w:val="24"/>
                <w:szCs w:val="24"/>
                <w:lang w:val="x-none"/>
              </w:rPr>
              <w:t>онятие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по</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смисъла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lastRenderedPageBreak/>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747CC0C1" w:rsidR="00F965C0" w:rsidRDefault="00F965C0" w:rsidP="00E71F8B"/>
    <w:p w14:paraId="70FBAEA3" w14:textId="152B2CF9" w:rsidR="00D23679" w:rsidRDefault="00D23679" w:rsidP="00E71F8B"/>
    <w:p w14:paraId="346911B1" w14:textId="5FF2F02A" w:rsidR="00D23679" w:rsidRDefault="00D23679" w:rsidP="00E71F8B"/>
    <w:p w14:paraId="05F45A92" w14:textId="230511B5" w:rsidR="00D23679" w:rsidRDefault="00D23679" w:rsidP="00E71F8B"/>
    <w:p w14:paraId="14851BBB" w14:textId="54796613" w:rsidR="00D23679" w:rsidRDefault="00D23679" w:rsidP="00E71F8B"/>
    <w:p w14:paraId="504DCAEE" w14:textId="4AFD89DC" w:rsidR="00D23679" w:rsidRDefault="00D23679" w:rsidP="00E71F8B"/>
    <w:p w14:paraId="7B9E885F" w14:textId="70A63A3C" w:rsidR="00D23679" w:rsidRDefault="00D23679" w:rsidP="00E71F8B"/>
    <w:p w14:paraId="3415122C" w14:textId="54BE28E3" w:rsidR="00D23679" w:rsidRDefault="00D23679" w:rsidP="00E71F8B"/>
    <w:p w14:paraId="1E3378AA" w14:textId="2BBA21F7" w:rsidR="00D23679" w:rsidRDefault="00D23679" w:rsidP="00E71F8B"/>
    <w:p w14:paraId="1EB5D806" w14:textId="48121B9D" w:rsidR="00D23679" w:rsidRDefault="00D23679" w:rsidP="00E71F8B"/>
    <w:p w14:paraId="79BA34D1" w14:textId="65F3FC05" w:rsidR="00D23679" w:rsidRDefault="00D23679" w:rsidP="00E71F8B"/>
    <w:p w14:paraId="5C182F05" w14:textId="39C80EC6" w:rsidR="00D23679" w:rsidRDefault="00D23679" w:rsidP="00E71F8B"/>
    <w:p w14:paraId="4AEB98D9" w14:textId="3D948273" w:rsidR="00D23679" w:rsidRDefault="00D23679" w:rsidP="00E71F8B"/>
    <w:p w14:paraId="055D55FD" w14:textId="325C6630" w:rsidR="00D23679" w:rsidRDefault="00D23679" w:rsidP="00E71F8B"/>
    <w:p w14:paraId="1DC9092B" w14:textId="468C77B1" w:rsidR="00D23679" w:rsidRDefault="00D23679" w:rsidP="00E71F8B"/>
    <w:p w14:paraId="15D88A5C" w14:textId="151ED6F0" w:rsidR="00D23679" w:rsidRDefault="00D23679" w:rsidP="00E71F8B"/>
    <w:p w14:paraId="5B286092" w14:textId="0B32B34B" w:rsidR="00D23679" w:rsidRDefault="00D23679" w:rsidP="00E71F8B"/>
    <w:p w14:paraId="3314F09B" w14:textId="4B6E3C55" w:rsidR="00D23679" w:rsidRDefault="00D23679" w:rsidP="00E71F8B"/>
    <w:p w14:paraId="5F0D626B" w14:textId="1D2AFB49" w:rsidR="00D23679" w:rsidRDefault="00D23679" w:rsidP="00E71F8B"/>
    <w:p w14:paraId="14F6D565" w14:textId="77777777" w:rsidR="00D23679" w:rsidRDefault="00D23679" w:rsidP="00E71F8B"/>
    <w:p w14:paraId="75409A90" w14:textId="77777777" w:rsidR="00F459D2" w:rsidRDefault="00F74842" w:rsidP="00A51A64">
      <w:pPr>
        <w:pStyle w:val="Heading1"/>
        <w:spacing w:before="0"/>
      </w:pPr>
      <w:bookmarkStart w:id="8" w:name="_Toc66698655"/>
      <w:bookmarkStart w:id="9" w:name="_Toc85035022"/>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3C1FB8">
              <w:rPr>
                <w:rFonts w:ascii="Times New Roman" w:eastAsiaTheme="majorEastAsia" w:hAnsi="Times New Roman" w:cs="Times New Roman"/>
                <w:bCs/>
                <w:sz w:val="24"/>
                <w:szCs w:val="24"/>
              </w:rPr>
              <w:t>нисковъглеродна</w:t>
            </w:r>
            <w:proofErr w:type="spellEnd"/>
            <w:r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 xml:space="preserve">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3C1FB8">
              <w:rPr>
                <w:rFonts w:ascii="Times New Roman" w:eastAsiaTheme="majorEastAsia" w:hAnsi="Times New Roman" w:cs="Times New Roman"/>
                <w:bCs/>
                <w:sz w:val="24"/>
                <w:szCs w:val="24"/>
              </w:rPr>
              <w:t>биоикономиката</w:t>
            </w:r>
            <w:proofErr w:type="spellEnd"/>
            <w:r w:rsidRPr="003C1FB8">
              <w:rPr>
                <w:rFonts w:ascii="Times New Roman" w:eastAsiaTheme="majorEastAsia" w:hAnsi="Times New Roman" w:cs="Times New Roman"/>
                <w:bCs/>
                <w:sz w:val="24"/>
                <w:szCs w:val="24"/>
              </w:rPr>
              <w:t>“</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lastRenderedPageBreak/>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7F222478" w14:textId="23FD33F5" w:rsidR="00F77E52" w:rsidRDefault="00F4347A" w:rsidP="00F77E52">
            <w:pPr>
              <w:spacing w:before="240" w:after="200" w:line="276" w:lineRule="auto"/>
              <w:jc w:val="both"/>
              <w:rPr>
                <w:rFonts w:ascii="Times New Roman" w:hAnsi="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EC0F20" w:rsidRPr="00617602">
              <w:rPr>
                <w:rFonts w:ascii="Times New Roman" w:hAnsi="Times New Roman"/>
                <w:color w:val="000000"/>
                <w:sz w:val="24"/>
                <w:szCs w:val="24"/>
                <w:lang w:eastAsia="en-GB"/>
              </w:rPr>
              <w:t xml:space="preserve">73 419 370,67  </w:t>
            </w:r>
            <w:r w:rsidR="00F77E52">
              <w:rPr>
                <w:rFonts w:ascii="Times New Roman" w:hAnsi="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F77E52" w14:paraId="57760059" w14:textId="77777777" w:rsidTr="0054407E">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BDE084D" w14:textId="77777777" w:rsidR="00F77E52" w:rsidRDefault="00F77E52" w:rsidP="00F77E52">
                  <w:pPr>
                    <w:spacing w:before="240"/>
                    <w:contextualSpacing/>
                    <w:jc w:val="center"/>
                    <w:rPr>
                      <w:rFonts w:ascii="Times New Roman" w:eastAsia="Times New Roman" w:hAnsi="Times New Roman"/>
                      <w:b/>
                      <w:bCs/>
                      <w:sz w:val="24"/>
                      <w:szCs w:val="24"/>
                      <w:lang w:eastAsia="bg-BG"/>
                    </w:rPr>
                  </w:pPr>
                  <w:r>
                    <w:rPr>
                      <w:rFonts w:ascii="Times New Roman" w:hAnsi="Times New Roman"/>
                      <w:b/>
                      <w:bCs/>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FF163C9"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A8E12DA"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Национално съфинансиране</w:t>
                  </w:r>
                </w:p>
              </w:tc>
            </w:tr>
            <w:tr w:rsidR="00F77E52" w14:paraId="323E4FB9"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4F8374A" w14:textId="2DDD27E4" w:rsidR="00F77E52" w:rsidRDefault="00EC0F20" w:rsidP="00F77E52">
                  <w:pPr>
                    <w:spacing w:before="240"/>
                    <w:contextualSpacing/>
                    <w:jc w:val="center"/>
                    <w:rPr>
                      <w:rFonts w:ascii="Times New Roman" w:hAnsi="Times New Roman"/>
                      <w:b/>
                      <w:bCs/>
                      <w:sz w:val="24"/>
                      <w:szCs w:val="24"/>
                      <w:lang w:eastAsia="bg-BG"/>
                    </w:rPr>
                  </w:pPr>
                  <w:r w:rsidRPr="00617602">
                    <w:rPr>
                      <w:rFonts w:ascii="Times New Roman" w:hAnsi="Times New Roman"/>
                      <w:color w:val="000000"/>
                      <w:sz w:val="24"/>
                      <w:szCs w:val="24"/>
                      <w:lang w:eastAsia="en-GB"/>
                    </w:rPr>
                    <w:t xml:space="preserve">73 419 370,67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16DED5F" w14:textId="1FDFDCCB"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62 406 465,07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1382709" w14:textId="256E2FF9"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11 012 905,60 </w:t>
                  </w:r>
                  <w:r w:rsidR="00F77E52">
                    <w:rPr>
                      <w:rFonts w:ascii="Times New Roman" w:hAnsi="Times New Roman"/>
                      <w:sz w:val="24"/>
                      <w:szCs w:val="24"/>
                      <w:lang w:eastAsia="bg-BG"/>
                    </w:rPr>
                    <w:t>лева</w:t>
                  </w:r>
                </w:p>
              </w:tc>
            </w:tr>
            <w:tr w:rsidR="00F77E52" w14:paraId="35FAE0B6"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B8542AD" w14:textId="5F79DD1F" w:rsidR="00F77E52" w:rsidRDefault="00EC0F20" w:rsidP="00F77E52">
                  <w:pPr>
                    <w:spacing w:before="240"/>
                    <w:contextualSpacing/>
                    <w:jc w:val="center"/>
                    <w:rPr>
                      <w:rFonts w:ascii="Times New Roman" w:eastAsia="Times New Roman" w:hAnsi="Times New Roman"/>
                      <w:b/>
                      <w:bCs/>
                      <w:sz w:val="24"/>
                      <w:szCs w:val="24"/>
                      <w:lang w:eastAsia="bg-BG"/>
                    </w:rPr>
                  </w:pPr>
                  <w:r w:rsidRPr="00617602">
                    <w:rPr>
                      <w:rFonts w:ascii="Times New Roman" w:hAnsi="Times New Roman"/>
                      <w:color w:val="000000"/>
                      <w:sz w:val="24"/>
                      <w:szCs w:val="24"/>
                      <w:lang w:eastAsia="en-GB"/>
                    </w:rPr>
                    <w:t xml:space="preserve">37 539 303,95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25BB1D9" w14:textId="066F443C"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31 908 408,36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C2CB37" w14:textId="12BBA259"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5 630 895,59 </w:t>
                  </w:r>
                  <w:r w:rsidR="00F77E52">
                    <w:rPr>
                      <w:rFonts w:ascii="Times New Roman" w:hAnsi="Times New Roman"/>
                      <w:sz w:val="24"/>
                      <w:szCs w:val="24"/>
                    </w:rPr>
                    <w:t>евро</w:t>
                  </w:r>
                </w:p>
              </w:tc>
            </w:tr>
            <w:tr w:rsidR="00F77E52" w14:paraId="000D4ACD"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8B76F6" w14:textId="77777777" w:rsidR="00F77E52" w:rsidRDefault="00F77E52" w:rsidP="00F77E52">
                  <w:pPr>
                    <w:spacing w:before="240"/>
                    <w:contextualSpacing/>
                    <w:jc w:val="center"/>
                    <w:rPr>
                      <w:rFonts w:ascii="Times New Roman" w:eastAsia="Times New Roman" w:hAnsi="Times New Roman"/>
                      <w:sz w:val="24"/>
                      <w:szCs w:val="24"/>
                      <w:lang w:eastAsia="bg-BG"/>
                    </w:rPr>
                  </w:pPr>
                  <w:r>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vAlign w:val="center"/>
                  <w:hideMark/>
                </w:tcPr>
                <w:p w14:paraId="255FBB32"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85 %</w:t>
                  </w:r>
                </w:p>
              </w:tc>
              <w:tc>
                <w:tcPr>
                  <w:tcW w:w="0" w:type="auto"/>
                  <w:tcBorders>
                    <w:top w:val="single" w:sz="4" w:space="0" w:color="auto"/>
                    <w:left w:val="nil"/>
                    <w:bottom w:val="single" w:sz="4" w:space="0" w:color="auto"/>
                    <w:right w:val="single" w:sz="4" w:space="0" w:color="auto"/>
                  </w:tcBorders>
                  <w:vAlign w:val="center"/>
                  <w:hideMark/>
                </w:tcPr>
                <w:p w14:paraId="649D4281"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15 %</w:t>
                  </w:r>
                </w:p>
              </w:tc>
            </w:tr>
          </w:tbl>
          <w:p w14:paraId="13CD07DE" w14:textId="04A9BF72"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xml:space="preserve">. При условие, че един кандидат има подадено проектно предложение по </w:t>
            </w:r>
            <w:proofErr w:type="spellStart"/>
            <w:r w:rsidR="00BC2464" w:rsidRPr="00CC3AB5">
              <w:rPr>
                <w:rFonts w:ascii="Times New Roman" w:eastAsia="Times New Roman" w:hAnsi="Times New Roman" w:cs="Times New Roman"/>
                <w:bCs/>
                <w:sz w:val="24"/>
                <w:szCs w:val="24"/>
                <w:shd w:val="clear" w:color="auto" w:fill="FEFEFE"/>
                <w:lang w:eastAsia="bg-BG"/>
              </w:rPr>
              <w:t>обявениата</w:t>
            </w:r>
            <w:proofErr w:type="spellEnd"/>
            <w:r w:rsidR="00BC2464" w:rsidRPr="00CC3AB5">
              <w:rPr>
                <w:rFonts w:ascii="Times New Roman" w:eastAsia="Times New Roman" w:hAnsi="Times New Roman" w:cs="Times New Roman"/>
                <w:bCs/>
                <w:sz w:val="24"/>
                <w:szCs w:val="24"/>
                <w:shd w:val="clear" w:color="auto" w:fill="FEFEFE"/>
                <w:lang w:eastAsia="bg-BG"/>
              </w:rPr>
              <w:t xml:space="preserve"> през </w:t>
            </w:r>
            <w:r w:rsidR="00BC2464" w:rsidRPr="00CC3AB5">
              <w:rPr>
                <w:rFonts w:ascii="Times New Roman" w:eastAsia="Times New Roman" w:hAnsi="Times New Roman" w:cs="Times New Roman"/>
                <w:bCs/>
                <w:sz w:val="24"/>
                <w:szCs w:val="24"/>
                <w:shd w:val="clear" w:color="auto" w:fill="FEFEFE"/>
                <w:lang w:eastAsia="bg-BG"/>
              </w:rPr>
              <w:lastRenderedPageBreak/>
              <w:t>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C2464" w:rsidRPr="00F314C4">
              <w:rPr>
                <w:rFonts w:ascii="Times New Roman" w:eastAsia="Times New Roman" w:hAnsi="Times New Roman" w:cs="Times New Roman"/>
                <w:bCs/>
                <w:sz w:val="24"/>
                <w:szCs w:val="24"/>
                <w:shd w:val="clear" w:color="auto" w:fill="FEFEFE"/>
                <w:lang w:eastAsia="bg-BG"/>
              </w:rPr>
              <w:t>подмярка</w:t>
            </w:r>
            <w:proofErr w:type="spellEnd"/>
            <w:r w:rsidR="00BC246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F314C4">
              <w:rPr>
                <w:rFonts w:ascii="Times New Roman" w:eastAsia="Times New Roman" w:hAnsi="Times New Roman" w:cs="Times New Roman"/>
                <w:bCs/>
                <w:sz w:val="24"/>
                <w:szCs w:val="24"/>
                <w:shd w:val="clear" w:color="auto" w:fill="FEFEFE"/>
                <w:lang w:eastAsia="bg-BG"/>
              </w:rPr>
              <w:t>подмярка</w:t>
            </w:r>
            <w:proofErr w:type="spellEnd"/>
            <w:r w:rsidR="00BD7AE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314C4">
              <w:rPr>
                <w:rFonts w:ascii="Times New Roman" w:hAnsi="Times New Roman" w:cs="Times New Roman"/>
                <w:sz w:val="24"/>
                <w:szCs w:val="24"/>
              </w:rPr>
              <w:t>е.ж</w:t>
            </w:r>
            <w:proofErr w:type="spellEnd"/>
            <w:r w:rsidRPr="00F314C4">
              <w:rPr>
                <w:rFonts w:ascii="Times New Roman" w:hAnsi="Times New Roman" w:cs="Times New Roman"/>
                <w:sz w:val="24"/>
                <w:szCs w:val="24"/>
              </w:rPr>
              <w:t xml:space="preserve">. в селските райони“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 xml:space="preserve">е установено с влязло в сила наказателно постановление или съдебно решение, нарушение </w:t>
            </w:r>
            <w:r w:rsidR="0027252F" w:rsidRPr="0027252F">
              <w:rPr>
                <w:rFonts w:ascii="Times New Roman" w:hAnsi="Times New Roman" w:cs="Times New Roman"/>
                <w:sz w:val="24"/>
                <w:szCs w:val="24"/>
              </w:rPr>
              <w:lastRenderedPageBreak/>
              <w:t>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w:t>
            </w:r>
            <w:r w:rsidRPr="00197E09">
              <w:rPr>
                <w:rFonts w:ascii="Times New Roman" w:eastAsia="Times New Roman" w:hAnsi="Times New Roman" w:cs="Times New Roman"/>
                <w:color w:val="000000"/>
                <w:sz w:val="24"/>
                <w:szCs w:val="24"/>
                <w:lang w:eastAsia="bg-BG"/>
              </w:rPr>
              <w:lastRenderedPageBreak/>
              <w:t>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 xml:space="preserve">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lastRenderedPageBreak/>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свързано с инвестиции за производство на електрическа и/или топлинна 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53255688"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3E3014">
              <w:rPr>
                <w:rFonts w:ascii="Times New Roman" w:eastAsia="Times New Roman" w:hAnsi="Times New Roman" w:cs="Times New Roman"/>
                <w:color w:val="000000"/>
                <w:sz w:val="24"/>
                <w:szCs w:val="24"/>
                <w:lang w:val="en-US" w:eastAsia="bg-BG"/>
              </w:rPr>
              <w:t xml:space="preserve"> </w:t>
            </w:r>
            <w:r w:rsidR="003E3014" w:rsidRPr="00604CD4">
              <w:rPr>
                <w:rFonts w:ascii="Times New Roman" w:hAnsi="Times New Roman"/>
                <w:bCs/>
                <w:sz w:val="24"/>
                <w:szCs w:val="24"/>
              </w:rPr>
              <w:t>в съответствие с приложимото национално законодателство</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CC3AB5">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lastRenderedPageBreak/>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2"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lastRenderedPageBreak/>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3"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59D4207F" w14:textId="77777777" w:rsidR="003E3014"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2BF969F0" w14:textId="77777777" w:rsidR="003E3014" w:rsidRPr="003E3014" w:rsidRDefault="003E3014" w:rsidP="003E3014">
            <w:pPr>
              <w:numPr>
                <w:ilvl w:val="0"/>
                <w:numId w:val="11"/>
              </w:numPr>
              <w:overflowPunct w:val="0"/>
              <w:autoSpaceDE w:val="0"/>
              <w:autoSpaceDN w:val="0"/>
              <w:adjustRightInd w:val="0"/>
              <w:ind w:left="709" w:hanging="283"/>
              <w:contextualSpacing/>
              <w:textAlignment w:val="baseline"/>
              <w:rPr>
                <w:rFonts w:ascii="Times New Roman" w:eastAsia="Times New Roman" w:hAnsi="Times New Roman" w:cs="Times New Roman"/>
                <w:sz w:val="24"/>
                <w:szCs w:val="24"/>
                <w:lang w:eastAsia="bg-BG"/>
              </w:rPr>
            </w:pPr>
            <w:proofErr w:type="spellStart"/>
            <w:r w:rsidRPr="003E3014">
              <w:rPr>
                <w:rFonts w:ascii="Times New Roman" w:eastAsia="Times New Roman" w:hAnsi="Times New Roman" w:cs="Times New Roman"/>
                <w:sz w:val="24"/>
                <w:szCs w:val="24"/>
                <w:lang w:val="en-GB" w:eastAsia="bg-BG"/>
              </w:rPr>
              <w:t>Мерк</w:t>
            </w:r>
            <w:proofErr w:type="spellEnd"/>
            <w:r w:rsidRPr="003E3014">
              <w:rPr>
                <w:rFonts w:ascii="Times New Roman" w:eastAsia="Times New Roman" w:hAnsi="Times New Roman" w:cs="Times New Roman"/>
                <w:sz w:val="24"/>
                <w:szCs w:val="24"/>
                <w:lang w:eastAsia="bg-BG"/>
              </w:rPr>
              <w:t>и за енергийна ефективност, които са предписани като задължителни за сградата в обследването за енергийна ефективност, включително</w:t>
            </w:r>
            <w:r w:rsidRPr="003E3014">
              <w:rPr>
                <w:rFonts w:ascii="Times New Roman" w:eastAsia="Times New Roman" w:hAnsi="Times New Roman" w:cs="Times New Roman"/>
                <w:sz w:val="24"/>
                <w:szCs w:val="24"/>
                <w:lang w:val="en-GB" w:eastAsia="bg-BG"/>
              </w:rPr>
              <w:t>:</w:t>
            </w:r>
          </w:p>
          <w:p w14:paraId="1A61E0C0"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външните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ограждащи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елементи</w:t>
            </w:r>
            <w:proofErr w:type="spellEnd"/>
            <w:r w:rsidRPr="003E3014">
              <w:rPr>
                <w:rFonts w:ascii="Times New Roman" w:eastAsia="Times New Roman" w:hAnsi="Times New Roman" w:cs="Times New Roman"/>
                <w:sz w:val="24"/>
                <w:szCs w:val="24"/>
                <w:lang w:val="en-GB" w:eastAsia="bg-BG"/>
              </w:rPr>
              <w:t>:</w:t>
            </w:r>
          </w:p>
          <w:p w14:paraId="37F7E0F2" w14:textId="77777777" w:rsidR="003E3014" w:rsidRPr="003E3014" w:rsidRDefault="003E3014" w:rsidP="003E3014">
            <w:pPr>
              <w:numPr>
                <w:ilvl w:val="0"/>
                <w:numId w:val="7"/>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proofErr w:type="gramStart"/>
            <w:r w:rsidRPr="003E3014">
              <w:rPr>
                <w:rFonts w:ascii="Times New Roman" w:eastAsia="Times New Roman" w:hAnsi="Times New Roman" w:cs="Times New Roman"/>
                <w:sz w:val="24"/>
                <w:szCs w:val="24"/>
                <w:lang w:val="en-GB" w:eastAsia="bg-BG"/>
              </w:rPr>
              <w:t>подмяна</w:t>
            </w:r>
            <w:proofErr w:type="spellEnd"/>
            <w:proofErr w:type="gram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дограма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прозорци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врати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др</w:t>
            </w:r>
            <w:proofErr w:type="spellEnd"/>
            <w:r w:rsidRPr="003E3014">
              <w:rPr>
                <w:rFonts w:ascii="Times New Roman" w:eastAsia="Times New Roman" w:hAnsi="Times New Roman" w:cs="Times New Roman"/>
                <w:sz w:val="24"/>
                <w:szCs w:val="24"/>
                <w:lang w:val="en-GB" w:eastAsia="bg-BG"/>
              </w:rPr>
              <w:t>.);</w:t>
            </w:r>
          </w:p>
          <w:p w14:paraId="3B7D6A6C"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поддържане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микроклимата</w:t>
            </w:r>
            <w:proofErr w:type="spellEnd"/>
            <w:r w:rsidRPr="003E3014">
              <w:rPr>
                <w:rFonts w:ascii="Times New Roman" w:eastAsia="Times New Roman" w:hAnsi="Times New Roman" w:cs="Times New Roman"/>
                <w:sz w:val="24"/>
                <w:szCs w:val="24"/>
                <w:lang w:val="en-GB" w:eastAsia="bg-BG"/>
              </w:rPr>
              <w:t>:</w:t>
            </w:r>
          </w:p>
          <w:p w14:paraId="55688826"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модернизация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амортизирани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охлаждане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вентилация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повишаване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w:t>
            </w:r>
          </w:p>
          <w:p w14:paraId="263C0E9F"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w:t>
            </w:r>
          </w:p>
          <w:p w14:paraId="6909A40E"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електрическата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изпълнение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енергоспестяващо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w:t>
            </w:r>
            <w:proofErr w:type="spellEnd"/>
            <w:r w:rsidRPr="003E3014">
              <w:rPr>
                <w:rFonts w:ascii="Times New Roman" w:eastAsia="Times New Roman" w:hAnsi="Times New Roman" w:cs="Times New Roman"/>
                <w:sz w:val="24"/>
                <w:szCs w:val="24"/>
                <w:lang w:val="en-GB" w:eastAsia="bg-BG"/>
              </w:rPr>
              <w:t>;</w:t>
            </w:r>
          </w:p>
          <w:p w14:paraId="31E79311" w14:textId="7CE11204" w:rsidR="003E3014" w:rsidRDefault="003E3014" w:rsidP="003E3014">
            <w:pPr>
              <w:numPr>
                <w:ilvl w:val="0"/>
                <w:numId w:val="8"/>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инсталиране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автоматизирано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централизирано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управление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осветлението</w:t>
            </w:r>
            <w:proofErr w:type="spellEnd"/>
            <w:r w:rsidRPr="003E3014">
              <w:rPr>
                <w:rFonts w:ascii="Times New Roman" w:eastAsia="Times New Roman" w:hAnsi="Times New Roman" w:cs="Times New Roman"/>
                <w:sz w:val="24"/>
                <w:szCs w:val="24"/>
                <w:lang w:val="en-GB" w:eastAsia="bg-BG"/>
              </w:rPr>
              <w:t xml:space="preserve"> и/</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отоплението</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охлаждането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617D242E" w14:textId="66BB523E" w:rsidR="007B16A6" w:rsidRPr="00BE6121" w:rsidRDefault="007B16A6" w:rsidP="00BE6121">
            <w:pPr>
              <w:pStyle w:val="ListParagraph"/>
              <w:widowControl w:val="0"/>
              <w:numPr>
                <w:ilvl w:val="0"/>
                <w:numId w:val="12"/>
              </w:numPr>
              <w:autoSpaceDE w:val="0"/>
              <w:autoSpaceDN w:val="0"/>
              <w:adjustRightInd w:val="0"/>
              <w:jc w:val="both"/>
              <w:rPr>
                <w:lang w:val="en-GB"/>
              </w:rPr>
            </w:pPr>
            <w:proofErr w:type="spellStart"/>
            <w:r w:rsidRPr="00BE6121">
              <w:rPr>
                <w:lang w:val="en-GB"/>
              </w:rPr>
              <w:t>Поставяне</w:t>
            </w:r>
            <w:proofErr w:type="spellEnd"/>
            <w:r w:rsidRPr="00BE6121">
              <w:rPr>
                <w:lang w:val="en-GB"/>
              </w:rPr>
              <w:t>/</w:t>
            </w:r>
            <w:proofErr w:type="spellStart"/>
            <w:r w:rsidRPr="00BE6121">
              <w:rPr>
                <w:lang w:val="en-GB"/>
              </w:rPr>
              <w:t>инсталиране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системи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оползотворяване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от</w:t>
            </w:r>
            <w:proofErr w:type="spellEnd"/>
            <w:r w:rsidRPr="00BE6121">
              <w:rPr>
                <w:lang w:val="en-GB"/>
              </w:rPr>
              <w:t xml:space="preserve"> </w:t>
            </w:r>
            <w:proofErr w:type="spellStart"/>
            <w:r w:rsidRPr="00BE6121">
              <w:rPr>
                <w:lang w:val="en-GB"/>
              </w:rPr>
              <w:t>възобновяеми</w:t>
            </w:r>
            <w:proofErr w:type="spellEnd"/>
            <w:r w:rsidRPr="00BE6121">
              <w:rPr>
                <w:lang w:val="en-GB"/>
              </w:rPr>
              <w:t xml:space="preserve"> </w:t>
            </w:r>
            <w:proofErr w:type="spellStart"/>
            <w:r w:rsidRPr="00BE6121">
              <w:rPr>
                <w:lang w:val="en-GB"/>
              </w:rPr>
              <w:t>енергийни</w:t>
            </w:r>
            <w:proofErr w:type="spellEnd"/>
            <w:r w:rsidRPr="00BE6121">
              <w:rPr>
                <w:lang w:val="en-GB"/>
              </w:rPr>
              <w:t xml:space="preserve"> </w:t>
            </w:r>
            <w:proofErr w:type="spellStart"/>
            <w:r w:rsidRPr="00BE6121">
              <w:rPr>
                <w:lang w:val="en-GB"/>
              </w:rPr>
              <w:t>източници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енергийните</w:t>
            </w:r>
            <w:proofErr w:type="spellEnd"/>
            <w:r w:rsidRPr="00BE6121">
              <w:rPr>
                <w:lang w:val="en-GB"/>
              </w:rPr>
              <w:t xml:space="preserve"> </w:t>
            </w:r>
            <w:proofErr w:type="spellStart"/>
            <w:r w:rsidRPr="00BE6121">
              <w:rPr>
                <w:lang w:val="en-GB"/>
              </w:rPr>
              <w:t>потребности</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сградата</w:t>
            </w:r>
            <w:proofErr w:type="spellEnd"/>
            <w:r w:rsidRPr="00BE6121">
              <w:rPr>
                <w:lang w:val="en-GB"/>
              </w:rPr>
              <w:t xml:space="preserve"> и </w:t>
            </w:r>
            <w:proofErr w:type="spellStart"/>
            <w:r w:rsidRPr="00BE6121">
              <w:rPr>
                <w:lang w:val="en-GB"/>
              </w:rPr>
              <w:t>батерии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съхранение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ако</w:t>
            </w:r>
            <w:proofErr w:type="spellEnd"/>
            <w:r w:rsidRPr="00BE6121">
              <w:rPr>
                <w:lang w:val="en-GB"/>
              </w:rPr>
              <w:t xml:space="preserve"> </w:t>
            </w:r>
            <w:proofErr w:type="spellStart"/>
            <w:r w:rsidRPr="00BE6121">
              <w:rPr>
                <w:lang w:val="en-GB"/>
              </w:rPr>
              <w:t>са</w:t>
            </w:r>
            <w:proofErr w:type="spellEnd"/>
            <w:r w:rsidRPr="00BE6121">
              <w:rPr>
                <w:lang w:val="en-GB"/>
              </w:rPr>
              <w:t xml:space="preserve"> </w:t>
            </w:r>
            <w:proofErr w:type="spellStart"/>
            <w:r w:rsidRPr="00BE6121">
              <w:rPr>
                <w:lang w:val="en-GB"/>
              </w:rPr>
              <w:t>предписани</w:t>
            </w:r>
            <w:proofErr w:type="spellEnd"/>
            <w:r w:rsidRPr="00BE6121">
              <w:rPr>
                <w:lang w:val="en-GB"/>
              </w:rPr>
              <w:t xml:space="preserve"> в </w:t>
            </w:r>
            <w:proofErr w:type="spellStart"/>
            <w:r w:rsidRPr="00BE6121">
              <w:rPr>
                <w:lang w:val="en-GB"/>
              </w:rPr>
              <w:t>енергийното</w:t>
            </w:r>
            <w:proofErr w:type="spellEnd"/>
            <w:r w:rsidRPr="00BE6121">
              <w:rPr>
                <w:lang w:val="en-GB"/>
              </w:rPr>
              <w:t xml:space="preserve"> </w:t>
            </w:r>
            <w:proofErr w:type="spellStart"/>
            <w:r w:rsidRPr="00BE6121">
              <w:rPr>
                <w:lang w:val="en-GB"/>
              </w:rPr>
              <w:t>обследване</w:t>
            </w:r>
            <w:proofErr w:type="spellEnd"/>
            <w:r w:rsidRPr="00BE6121">
              <w:rPr>
                <w:lang w:val="en-GB"/>
              </w:rPr>
              <w:t>;</w:t>
            </w:r>
          </w:p>
          <w:p w14:paraId="1C01AED2"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Съпътстващи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изпълнението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съответното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възстановяване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изпълнените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енергоспестяващ</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Съпътстващите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lastRenderedPageBreak/>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единствено</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възстановяването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първоначалното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състояние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нарушено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079C783F"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произтичат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изисквания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безопасната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предписани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като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задължителни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техническия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паспорт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18BDC714"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eastAsia="bg-BG"/>
              </w:rPr>
              <w:t>С</w:t>
            </w:r>
            <w:r w:rsidRPr="003E3014">
              <w:rPr>
                <w:rFonts w:ascii="Times New Roman" w:eastAsia="Times New Roman" w:hAnsi="Times New Roman" w:cs="Times New Roman"/>
                <w:sz w:val="24"/>
                <w:szCs w:val="24"/>
                <w:lang w:val="en-GB" w:eastAsia="bg-BG"/>
              </w:rPr>
              <w:t xml:space="preserve">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необходими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въвеждане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eastAsia="bg-BG"/>
              </w:rPr>
              <w:t>, включително</w:t>
            </w:r>
            <w:r w:rsidRPr="003E3014">
              <w:rPr>
                <w:rFonts w:ascii="Times New Roman" w:eastAsia="Times New Roman" w:hAnsi="Times New Roman" w:cs="Times New Roman"/>
                <w:sz w:val="24"/>
                <w:szCs w:val="24"/>
                <w:lang w:val="en-GB" w:eastAsia="bg-BG"/>
              </w:rPr>
              <w:t>:</w:t>
            </w:r>
          </w:p>
          <w:p w14:paraId="438B1AF7" w14:textId="77777777" w:rsidR="003E3014" w:rsidRPr="003E3014" w:rsidRDefault="003E3014" w:rsidP="003E3014">
            <w:pPr>
              <w:numPr>
                <w:ilvl w:val="0"/>
                <w:numId w:val="9"/>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отстраняване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локални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дефекти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повреди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конструктивна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устойчивост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същото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време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създават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пряка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ползватели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неотстраняването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им</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довело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по-сериозни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промени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носещата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бъдеще</w:t>
            </w:r>
            <w:proofErr w:type="spellEnd"/>
            <w:r w:rsidRPr="003E3014">
              <w:rPr>
                <w:rFonts w:ascii="Times New Roman" w:eastAsia="Times New Roman" w:hAnsi="Times New Roman" w:cs="Times New Roman"/>
                <w:sz w:val="24"/>
                <w:szCs w:val="24"/>
                <w:lang w:val="en-GB" w:eastAsia="bg-BG"/>
              </w:rPr>
              <w:t>;</w:t>
            </w:r>
          </w:p>
          <w:p w14:paraId="162B4654" w14:textId="2A3BC6FC" w:rsidR="00223860" w:rsidRPr="00CC3AB5" w:rsidRDefault="003E3014" w:rsidP="003E3014">
            <w:pPr>
              <w:widowControl w:val="0"/>
              <w:autoSpaceDE w:val="0"/>
              <w:autoSpaceDN w:val="0"/>
              <w:adjustRightInd w:val="0"/>
              <w:spacing w:line="276" w:lineRule="auto"/>
              <w:jc w:val="both"/>
              <w:rPr>
                <w:rFonts w:ascii="Times New Roman" w:hAnsi="Times New Roman" w:cs="Times New Roman"/>
                <w:sz w:val="24"/>
                <w:szCs w:val="24"/>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пожарна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безопасност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мълниезащитна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заземителна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достъпна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архитектурна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среда</w:t>
            </w:r>
            <w:proofErr w:type="spellEnd"/>
            <w:r w:rsidRPr="003E3014">
              <w:rPr>
                <w:rFonts w:ascii="Times New Roman" w:eastAsia="Times New Roman" w:hAnsi="Times New Roman" w:cs="Times New Roman"/>
                <w:sz w:val="24"/>
                <w:szCs w:val="24"/>
                <w:lang w:val="en-GB" w:eastAsia="bg-BG"/>
              </w:rPr>
              <w:t>.</w:t>
            </w:r>
            <w:r w:rsidRPr="003E3014">
              <w:rPr>
                <w:rFonts w:ascii="Times New Roman" w:eastAsia="Times New Roman" w:hAnsi="Times New Roman" w:cs="Times New Roman"/>
                <w:sz w:val="24"/>
                <w:szCs w:val="24"/>
                <w:lang w:eastAsia="bg-BG"/>
              </w:rPr>
              <w:t>)</w:t>
            </w:r>
            <w:r w:rsidR="00223860" w:rsidRPr="00CC3AB5">
              <w:rPr>
                <w:rFonts w:ascii="Times New Roman" w:hAnsi="Times New Roman" w:cs="Times New Roman"/>
                <w:sz w:val="24"/>
                <w:szCs w:val="24"/>
              </w:rPr>
              <w:t>;</w:t>
            </w:r>
          </w:p>
          <w:p w14:paraId="1535C39C" w14:textId="68B8B5B1"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w:t>
            </w:r>
            <w:r w:rsidRPr="00CC3AB5">
              <w:rPr>
                <w:rFonts w:ascii="Times New Roman" w:hAnsi="Times New Roman" w:cs="Times New Roman"/>
                <w:sz w:val="24"/>
                <w:szCs w:val="24"/>
              </w:rPr>
              <w:lastRenderedPageBreak/>
              <w:t xml:space="preserve">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е) за енергийно обследване,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lastRenderedPageBreak/>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17924570"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15. За разходите по т. </w:t>
            </w:r>
            <w:r w:rsidR="00F578CB">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се изисква да се представят оферти. Допустимите разходи по </w:t>
            </w:r>
            <w:r w:rsidR="00F578CB" w:rsidRPr="00CC3AB5">
              <w:rPr>
                <w:rFonts w:ascii="Times New Roman" w:hAnsi="Times New Roman"/>
                <w:sz w:val="24"/>
                <w:szCs w:val="24"/>
              </w:rPr>
              <w:t xml:space="preserve">т. </w:t>
            </w:r>
            <w:r w:rsidR="00BF3320">
              <w:rPr>
                <w:rFonts w:ascii="Times New Roman" w:hAnsi="Times New Roman"/>
                <w:sz w:val="24"/>
                <w:szCs w:val="24"/>
              </w:rPr>
              <w:t>4</w:t>
            </w:r>
            <w:r w:rsidRPr="00CC3AB5">
              <w:rPr>
                <w:rFonts w:ascii="Times New Roman" w:hAnsi="Times New Roman" w:cs="Times New Roman"/>
                <w:sz w:val="24"/>
                <w:szCs w:val="24"/>
              </w:rPr>
              <w:t xml:space="preserve">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proofErr w:type="spellStart"/>
            <w:r w:rsidRPr="00CC3AB5">
              <w:rPr>
                <w:rFonts w:ascii="Times New Roman" w:eastAsia="Times New Roman" w:hAnsi="Times New Roman" w:cs="Times New Roman"/>
                <w:bCs/>
                <w:sz w:val="24"/>
                <w:szCs w:val="24"/>
                <w:shd w:val="clear" w:color="auto" w:fill="FEFEFE"/>
                <w:lang w:eastAsia="bg-BG"/>
              </w:rPr>
              <w:t>омисията</w:t>
            </w:r>
            <w:proofErr w:type="spellEnd"/>
            <w:r w:rsidRPr="00CC3AB5">
              <w:rPr>
                <w:rFonts w:ascii="Times New Roman" w:eastAsia="Times New Roman" w:hAnsi="Times New Roman" w:cs="Times New Roman"/>
                <w:bCs/>
                <w:sz w:val="24"/>
                <w:szCs w:val="24"/>
                <w:shd w:val="clear" w:color="auto" w:fill="FEFEFE"/>
                <w:lang w:eastAsia="bg-BG"/>
              </w:rPr>
              <w:t xml:space="preserve">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xml:space="preserve">.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val="en-US" w:eastAsia="bg-BG"/>
              </w:rPr>
              <w:lastRenderedPageBreak/>
              <w:t>(</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proofErr w:type="spellStart"/>
            <w:r w:rsidR="00CD2D26" w:rsidRPr="00CC3AB5">
              <w:rPr>
                <w:rFonts w:ascii="Times New Roman" w:eastAsia="Times New Roman" w:hAnsi="Times New Roman" w:cs="Times New Roman"/>
                <w:bCs/>
                <w:sz w:val="24"/>
                <w:szCs w:val="24"/>
                <w:shd w:val="clear" w:color="auto" w:fill="FEFEFE"/>
                <w:lang w:eastAsia="bg-BG"/>
              </w:rPr>
              <w:t>пар</w:t>
            </w:r>
            <w:proofErr w:type="spellEnd"/>
            <w:r w:rsidR="00CD2D26" w:rsidRPr="00CC3AB5">
              <w:rPr>
                <w:rFonts w:ascii="Times New Roman" w:eastAsia="Times New Roman" w:hAnsi="Times New Roman" w:cs="Times New Roman"/>
                <w:bCs/>
                <w:sz w:val="24"/>
                <w:szCs w:val="24"/>
                <w:shd w:val="clear" w:color="auto" w:fill="FEFEFE"/>
                <w:lang w:eastAsia="bg-BG"/>
              </w:rPr>
              <w:t xml:space="preserve">.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 xml:space="preserve">В случай, че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стопанските обекти превишава 20 % от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 xml:space="preserve">Съгласно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 xml:space="preserve">публични правомощия, извършваните от </w:t>
            </w:r>
            <w:r w:rsidRPr="00CC3AB5">
              <w:rPr>
                <w:rFonts w:ascii="Times New Roman" w:eastAsia="Times New Roman" w:hAnsi="Times New Roman" w:cs="Times New Roman"/>
                <w:bCs/>
                <w:sz w:val="24"/>
                <w:szCs w:val="24"/>
                <w:shd w:val="clear" w:color="auto" w:fill="FEFEFE"/>
                <w:lang w:eastAsia="bg-BG"/>
              </w:rPr>
              <w:lastRenderedPageBreak/>
              <w:t>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w:t>
            </w:r>
            <w:proofErr w:type="spellStart"/>
            <w:r w:rsidRPr="00CC3AB5">
              <w:rPr>
                <w:rFonts w:ascii="Times New Roman" w:eastAsia="Times New Roman" w:hAnsi="Times New Roman" w:cs="Times New Roman"/>
                <w:bCs/>
                <w:sz w:val="24"/>
                <w:szCs w:val="24"/>
                <w:shd w:val="clear" w:color="auto" w:fill="FEFEFE"/>
                <w:lang w:eastAsia="bg-BG"/>
              </w:rPr>
              <w:t>определнието</w:t>
            </w:r>
            <w:proofErr w:type="spellEnd"/>
            <w:r w:rsidRPr="00CC3AB5">
              <w:rPr>
                <w:rFonts w:ascii="Times New Roman" w:eastAsia="Times New Roman" w:hAnsi="Times New Roman" w:cs="Times New Roman"/>
                <w:bCs/>
                <w:sz w:val="24"/>
                <w:szCs w:val="24"/>
                <w:shd w:val="clear" w:color="auto" w:fill="FEFEFE"/>
                <w:lang w:eastAsia="bg-BG"/>
              </w:rPr>
              <w:t xml:space="preserve"> за обществени услуги по настоящите Условия за кандидатстване или, в случай на смесено ползване, стопанското използване остава само спомагателно съгласно изискванията на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 xml:space="preserve">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w:t>
            </w:r>
            <w:proofErr w:type="spellStart"/>
            <w:r w:rsidRPr="00CC3AB5">
              <w:rPr>
                <w:rFonts w:ascii="Times New Roman" w:eastAsia="Times New Roman" w:hAnsi="Times New Roman" w:cs="Times New Roman"/>
                <w:bCs/>
                <w:sz w:val="24"/>
                <w:szCs w:val="24"/>
                <w:shd w:val="clear" w:color="auto" w:fill="FEFEFE"/>
                <w:lang w:eastAsia="bg-BG"/>
              </w:rPr>
              <w:t>интервениця</w:t>
            </w:r>
            <w:proofErr w:type="spellEnd"/>
            <w:r w:rsidRPr="00CC3AB5">
              <w:rPr>
                <w:rFonts w:ascii="Times New Roman" w:eastAsia="Times New Roman" w:hAnsi="Times New Roman" w:cs="Times New Roman"/>
                <w:bCs/>
                <w:sz w:val="24"/>
                <w:szCs w:val="24"/>
                <w:shd w:val="clear" w:color="auto" w:fill="FEFEFE"/>
                <w:lang w:eastAsia="bg-BG"/>
              </w:rPr>
              <w:t xml:space="preserve">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proofErr w:type="spellStart"/>
            <w:r w:rsidR="00FE7BDB" w:rsidRPr="00CC3AB5">
              <w:rPr>
                <w:rFonts w:ascii="Times New Roman" w:hAnsi="Times New Roman" w:cs="Times New Roman"/>
                <w:sz w:val="24"/>
                <w:szCs w:val="24"/>
              </w:rPr>
              <w:t>определнн</w:t>
            </w:r>
            <w:proofErr w:type="spellEnd"/>
            <w:r w:rsidR="00FE7BDB" w:rsidRPr="00CC3AB5">
              <w:rPr>
                <w:rFonts w:ascii="Times New Roman" w:hAnsi="Times New Roman" w:cs="Times New Roman"/>
                <w:sz w:val="24"/>
                <w:szCs w:val="24"/>
              </w:rPr>
              <w:t xml:space="preserve">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w:t>
            </w:r>
            <w:proofErr w:type="spellStart"/>
            <w:r w:rsidR="00FE7BDB" w:rsidRPr="00CC3AB5">
              <w:rPr>
                <w:rFonts w:ascii="Times New Roman" w:hAnsi="Times New Roman" w:cs="Times New Roman"/>
                <w:sz w:val="24"/>
                <w:szCs w:val="24"/>
              </w:rPr>
              <w:t>чл</w:t>
            </w:r>
            <w:proofErr w:type="spellEnd"/>
            <w:r w:rsidR="00FE7BDB" w:rsidRPr="00CC3AB5">
              <w:rPr>
                <w:rFonts w:ascii="Times New Roman" w:hAnsi="Times New Roman" w:cs="Times New Roman"/>
                <w:sz w:val="24"/>
                <w:szCs w:val="24"/>
              </w:rPr>
              <w:t xml:space="preserve">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lastRenderedPageBreak/>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lastRenderedPageBreak/>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CC3AB5">
              <w:rPr>
                <w:rFonts w:ascii="Times New Roman" w:eastAsia="Times New Roman" w:hAnsi="Times New Roman" w:cs="Times New Roman"/>
                <w:sz w:val="24"/>
                <w:szCs w:val="24"/>
              </w:rPr>
              <w:t>ите</w:t>
            </w:r>
            <w:proofErr w:type="spellEnd"/>
            <w:r w:rsidR="0055430E" w:rsidRPr="00CC3AB5">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proofErr w:type="spellStart"/>
            <w:r w:rsidR="0055430E" w:rsidRPr="00CC3AB5">
              <w:rPr>
                <w:rFonts w:ascii="Times New Roman" w:eastAsia="Times New Roman" w:hAnsi="Times New Roman" w:cs="Times New Roman"/>
                <w:sz w:val="24"/>
                <w:szCs w:val="24"/>
              </w:rPr>
              <w:t>оценителните</w:t>
            </w:r>
            <w:r w:rsidR="00F556AD" w:rsidRPr="00CC3AB5">
              <w:rPr>
                <w:rFonts w:ascii="Times New Roman" w:eastAsia="Times New Roman" w:hAnsi="Times New Roman" w:cs="Times New Roman"/>
                <w:sz w:val="24"/>
                <w:szCs w:val="24"/>
              </w:rPr>
              <w:t>лната</w:t>
            </w:r>
            <w:proofErr w:type="spellEnd"/>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и определя 15-дневен срок за тяхното отстраняване. </w:t>
            </w:r>
            <w:r w:rsidR="002F4D31" w:rsidRPr="00CC3AB5">
              <w:rPr>
                <w:rFonts w:ascii="Times New Roman" w:eastAsia="Times New Roman" w:hAnsi="Times New Roman" w:cs="Times New Roman"/>
                <w:sz w:val="24"/>
                <w:szCs w:val="24"/>
              </w:rPr>
              <w:lastRenderedPageBreak/>
              <w:t>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CC3AB5">
              <w:rPr>
                <w:rFonts w:ascii="Times New Roman" w:eastAsia="Times New Roman" w:hAnsi="Times New Roman" w:cs="Times New Roman"/>
                <w:sz w:val="24"/>
                <w:szCs w:val="24"/>
              </w:rPr>
              <w:t>неотстраняването</w:t>
            </w:r>
            <w:proofErr w:type="spellEnd"/>
            <w:r w:rsidR="008C0977" w:rsidRPr="00CC3AB5">
              <w:rPr>
                <w:rFonts w:ascii="Times New Roman" w:eastAsia="Times New Roman" w:hAnsi="Times New Roman" w:cs="Times New Roman"/>
                <w:sz w:val="24"/>
                <w:szCs w:val="24"/>
              </w:rPr>
              <w:t xml:space="preserve">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случаи на несъответствия и/или </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CC3AB5">
              <w:rPr>
                <w:rFonts w:ascii="Times New Roman" w:eastAsia="Times New Roman" w:hAnsi="Times New Roman" w:cs="Times New Roman"/>
                <w:sz w:val="24"/>
                <w:szCs w:val="24"/>
              </w:rPr>
              <w:t>подмярката</w:t>
            </w:r>
            <w:proofErr w:type="spellEnd"/>
            <w:r w:rsidR="008C0977" w:rsidRPr="00CC3AB5">
              <w:rPr>
                <w:rFonts w:ascii="Times New Roman" w:eastAsia="Times New Roman" w:hAnsi="Times New Roman" w:cs="Times New Roman"/>
                <w:sz w:val="24"/>
                <w:szCs w:val="24"/>
              </w:rPr>
              <w:t>.</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proofErr w:type="spellStart"/>
            <w:r w:rsidRPr="00CC3AB5">
              <w:rPr>
                <w:rFonts w:ascii="Times New Roman" w:eastAsia="Times New Roman" w:hAnsi="Times New Roman" w:cs="Times New Roman"/>
                <w:b/>
                <w:bCs/>
                <w:sz w:val="24"/>
                <w:szCs w:val="24"/>
                <w:shd w:val="clear" w:color="auto" w:fill="FEFEFE"/>
                <w:lang w:eastAsia="bg-BG"/>
              </w:rPr>
              <w:t>проектни</w:t>
            </w:r>
            <w:proofErr w:type="spellEnd"/>
            <w:r w:rsidRPr="00CC3AB5">
              <w:rPr>
                <w:rFonts w:ascii="Times New Roman" w:eastAsia="Times New Roman" w:hAnsi="Times New Roman" w:cs="Times New Roman"/>
                <w:b/>
                <w:bCs/>
                <w:sz w:val="24"/>
                <w:szCs w:val="24"/>
                <w:shd w:val="clear" w:color="auto" w:fill="FEFEFE"/>
                <w:lang w:eastAsia="bg-BG"/>
              </w:rPr>
              <w:t xml:space="preserve">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w:t>
            </w:r>
            <w:r w:rsidR="00B91461" w:rsidRPr="00CC3AB5">
              <w:rPr>
                <w:rFonts w:ascii="Times New Roman" w:hAnsi="Times New Roman" w:cs="Times New Roman"/>
                <w:sz w:val="24"/>
                <w:szCs w:val="24"/>
              </w:rPr>
              <w:lastRenderedPageBreak/>
              <w:t xml:space="preserve">които се предоставят обществени услуги, с цел подобряване на тяхната енергийна ефективност“ по </w:t>
            </w:r>
            <w:proofErr w:type="spellStart"/>
            <w:r w:rsidR="00B91461" w:rsidRPr="00CC3AB5">
              <w:rPr>
                <w:rFonts w:ascii="Times New Roman" w:eastAsia="Times New Roman" w:hAnsi="Times New Roman" w:cs="Times New Roman"/>
                <w:bCs/>
                <w:sz w:val="24"/>
                <w:szCs w:val="24"/>
                <w:shd w:val="clear" w:color="auto" w:fill="FEFEFE"/>
                <w:lang w:eastAsia="bg-BG"/>
              </w:rPr>
              <w:t>подмярка</w:t>
            </w:r>
            <w:proofErr w:type="spellEnd"/>
            <w:r w:rsidR="00B91461"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lastRenderedPageBreak/>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proofErr w:type="spellStart"/>
            <w:r w:rsidRPr="004D5EEF">
              <w:rPr>
                <w:rFonts w:ascii="Times New Roman" w:eastAsia="Times New Roman" w:hAnsi="Times New Roman" w:cs="Times New Roman"/>
                <w:b/>
                <w:bCs/>
                <w:color w:val="000000"/>
                <w:sz w:val="24"/>
                <w:szCs w:val="24"/>
                <w:lang w:val="en-US"/>
              </w:rPr>
              <w:lastRenderedPageBreak/>
              <w:t>Критерии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подбор</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проектни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предложения</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включени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инвестиции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ремонт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общински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сгради</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които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предоставят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обществени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цел</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подобряване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тяхната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ефективност</w:t>
            </w:r>
            <w:bookmarkEnd w:id="73"/>
            <w:proofErr w:type="spellEnd"/>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Точки</w:t>
            </w:r>
            <w:proofErr w:type="spellEnd"/>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Изграждане</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инфраструктура</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Северозападен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район</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разположена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границите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Северозападен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район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Р. </w:t>
            </w:r>
            <w:proofErr w:type="spellStart"/>
            <w:r w:rsidRPr="004D5EEF">
              <w:rPr>
                <w:rFonts w:ascii="Times New Roman" w:eastAsia="Times New Roman" w:hAnsi="Times New Roman" w:cs="Times New Roman"/>
                <w:color w:val="000000"/>
                <w:sz w:val="24"/>
                <w:szCs w:val="24"/>
                <w:lang w:val="en-US"/>
              </w:rPr>
              <w:t>България</w:t>
            </w:r>
            <w:proofErr w:type="spellEnd"/>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Плевен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Ловеч</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Видин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Враца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Монтана</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население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което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ще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възползва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подобрените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основни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и </w:t>
            </w:r>
            <w:proofErr w:type="spellStart"/>
            <w:r w:rsidRPr="004D5EEF">
              <w:rPr>
                <w:rFonts w:ascii="Times New Roman" w:eastAsia="Times New Roman" w:hAnsi="Times New Roman" w:cs="Times New Roman"/>
                <w:b/>
                <w:bCs/>
                <w:color w:val="000000"/>
                <w:sz w:val="24"/>
                <w:szCs w:val="24"/>
                <w:lang w:val="en-US"/>
              </w:rPr>
              <w:t>обхвата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териториално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въздействие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4000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4001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6000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6001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8000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8001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lastRenderedPageBreak/>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5639530C" w:rsidR="004D5EEF" w:rsidRPr="004D5EEF" w:rsidRDefault="004D5EEF" w:rsidP="00501F97">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Проекти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насочени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към</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производство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собствено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потребление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възобновяеми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източници</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b/>
                <w:bCs/>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закупуване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оборудване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изграждането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съоръжения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възобновяеми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енергийни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източници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процентно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изражение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10 %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30 %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30</w:t>
            </w:r>
            <w:proofErr w:type="gramStart"/>
            <w:r w:rsidRPr="004D5EEF">
              <w:rPr>
                <w:rFonts w:ascii="Times New Roman" w:eastAsia="Times New Roman" w:hAnsi="Times New Roman" w:cs="Times New Roman"/>
                <w:color w:val="000000"/>
                <w:sz w:val="24"/>
                <w:szCs w:val="24"/>
                <w:lang w:val="en-US"/>
              </w:rPr>
              <w:t>,01</w:t>
            </w:r>
            <w:proofErr w:type="gramEnd"/>
            <w:r w:rsidRPr="004D5EEF">
              <w:rPr>
                <w:rFonts w:ascii="Times New Roman" w:eastAsia="Times New Roman" w:hAnsi="Times New Roman" w:cs="Times New Roman"/>
                <w:color w:val="000000"/>
                <w:sz w:val="24"/>
                <w:szCs w:val="24"/>
                <w:lang w:val="en-US"/>
              </w:rPr>
              <w:t xml:space="preserve">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Максимален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точки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критериите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proofErr w:type="spellStart"/>
            <w:r w:rsidRPr="001F4313">
              <w:rPr>
                <w:rFonts w:ascii="Times New Roman" w:eastAsia="Times New Roman" w:hAnsi="Times New Roman" w:cs="Times New Roman"/>
                <w:b/>
                <w:bCs/>
                <w:color w:val="000000"/>
                <w:sz w:val="24"/>
                <w:szCs w:val="24"/>
                <w:lang w:val="en-US"/>
              </w:rPr>
              <w:t>Подпомагат</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проектни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предложения</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които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получили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минимален</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брой</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от</w:t>
            </w:r>
            <w:proofErr w:type="spellEnd"/>
            <w:r w:rsidRPr="001F4313">
              <w:rPr>
                <w:rFonts w:ascii="Times New Roman" w:eastAsia="Times New Roman" w:hAnsi="Times New Roman" w:cs="Times New Roman"/>
                <w:b/>
                <w:bCs/>
                <w:color w:val="000000"/>
                <w:sz w:val="24"/>
                <w:szCs w:val="24"/>
                <w:lang w:val="en-US"/>
              </w:rPr>
              <w:t xml:space="preserve"> 13 </w:t>
            </w:r>
            <w:proofErr w:type="spellStart"/>
            <w:r w:rsidRPr="001F4313">
              <w:rPr>
                <w:rFonts w:ascii="Times New Roman" w:eastAsia="Times New Roman" w:hAnsi="Times New Roman" w:cs="Times New Roman"/>
                <w:b/>
                <w:bCs/>
                <w:color w:val="000000"/>
                <w:sz w:val="24"/>
                <w:szCs w:val="24"/>
                <w:lang w:val="en-US"/>
              </w:rPr>
              <w:t>точки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критериите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за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подбор</w:t>
            </w:r>
            <w:proofErr w:type="spellEnd"/>
            <w:r w:rsidRPr="001F4313">
              <w:rPr>
                <w:rFonts w:ascii="Times New Roman" w:eastAsia="Times New Roman" w:hAnsi="Times New Roman" w:cs="Times New Roman"/>
                <w:b/>
                <w:bCs/>
                <w:color w:val="000000"/>
                <w:sz w:val="24"/>
                <w:szCs w:val="24"/>
                <w:lang w:val="en-US"/>
              </w:rPr>
              <w:t>.</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77A7D7C3" w:rsid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 xml:space="preserve">1. По Критерий № 3 „Проекти, насочени към производство на енергия за собствено потребление от възобновяеми енергийни източници“, точки по </w:t>
            </w:r>
            <w:proofErr w:type="spellStart"/>
            <w:r w:rsidRPr="00C54A01">
              <w:rPr>
                <w:rFonts w:ascii="Times New Roman" w:eastAsia="Times New Roman" w:hAnsi="Times New Roman" w:cs="Times New Roman"/>
                <w:bCs/>
                <w:color w:val="000000"/>
                <w:sz w:val="24"/>
                <w:szCs w:val="24"/>
              </w:rPr>
              <w:t>подкритерий</w:t>
            </w:r>
            <w:proofErr w:type="spellEnd"/>
            <w:r w:rsidRPr="00C54A01">
              <w:rPr>
                <w:rFonts w:ascii="Times New Roman" w:eastAsia="Times New Roman" w:hAnsi="Times New Roman" w:cs="Times New Roman"/>
                <w:bCs/>
                <w:color w:val="000000"/>
                <w:sz w:val="24"/>
                <w:szCs w:val="24"/>
              </w:rPr>
              <w:t xml:space="preserve">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7D0D5816" w14:textId="79AAD2EB" w:rsidR="003E3014" w:rsidRPr="00C54A01" w:rsidRDefault="003E3014" w:rsidP="00AC1828">
            <w:pPr>
              <w:jc w:val="both"/>
              <w:rPr>
                <w:rFonts w:ascii="Times New Roman" w:eastAsia="Times New Roman" w:hAnsi="Times New Roman" w:cs="Times New Roman"/>
                <w:bCs/>
                <w:color w:val="000000"/>
                <w:sz w:val="24"/>
                <w:szCs w:val="24"/>
              </w:rPr>
            </w:pPr>
            <w:r>
              <w:rPr>
                <w:rFonts w:ascii="Times New Roman" w:hAnsi="Times New Roman"/>
                <w:sz w:val="24"/>
                <w:szCs w:val="24"/>
              </w:rPr>
              <w:t xml:space="preserve">2. </w:t>
            </w:r>
            <w:r w:rsidRPr="00A350AD">
              <w:rPr>
                <w:rFonts w:ascii="Times New Roman" w:hAnsi="Times New Roman"/>
                <w:bCs/>
                <w:color w:val="000000"/>
                <w:sz w:val="24"/>
                <w:szCs w:val="24"/>
              </w:rPr>
              <w:t>За доказване на съответс</w:t>
            </w:r>
            <w:r>
              <w:rPr>
                <w:rFonts w:ascii="Times New Roman" w:hAnsi="Times New Roman"/>
                <w:bCs/>
                <w:color w:val="000000"/>
                <w:sz w:val="24"/>
                <w:szCs w:val="24"/>
              </w:rPr>
              <w:t>т</w:t>
            </w:r>
            <w:r w:rsidRPr="00A350AD">
              <w:rPr>
                <w:rFonts w:ascii="Times New Roman" w:hAnsi="Times New Roman"/>
                <w:bCs/>
                <w:color w:val="000000"/>
                <w:sz w:val="24"/>
                <w:szCs w:val="24"/>
              </w:rPr>
              <w:t>вие с Критерий 3 „Проекти, насочени към производство на енергия за собствено потребление от възобновяеми енергийни източници“, кандидатите следва да представят 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за собствено потребление от ВЕИ.</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w:t>
            </w:r>
            <w:r w:rsidR="003C3916" w:rsidRPr="003C3916">
              <w:rPr>
                <w:rFonts w:ascii="Times New Roman" w:eastAsia="Times New Roman" w:hAnsi="Times New Roman" w:cs="Times New Roman"/>
                <w:sz w:val="24"/>
                <w:szCs w:val="24"/>
                <w:shd w:val="clear" w:color="auto" w:fill="FEFEFE"/>
              </w:rPr>
              <w:lastRenderedPageBreak/>
              <w:t>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във формат „</w:t>
            </w:r>
            <w:proofErr w:type="spellStart"/>
            <w:r w:rsidR="00885A9A" w:rsidRPr="00351469">
              <w:rPr>
                <w:rFonts w:ascii="Times New Roman" w:eastAsia="Times New Roman" w:hAnsi="Times New Roman" w:cs="Times New Roman"/>
                <w:iCs/>
                <w:sz w:val="24"/>
                <w:szCs w:val="24"/>
                <w:shd w:val="clear" w:color="auto" w:fill="FEFEFE"/>
              </w:rPr>
              <w:t>doc</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docx</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xml:space="preserve">”,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5"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6"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7"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8"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xml:space="preserve">. За инвестиционни </w:t>
            </w:r>
            <w:r w:rsidR="009326BC" w:rsidRPr="009326BC">
              <w:rPr>
                <w:rFonts w:ascii="Times New Roman" w:eastAsia="Times New Roman" w:hAnsi="Times New Roman" w:cs="Times New Roman"/>
                <w:color w:val="000000"/>
                <w:sz w:val="24"/>
                <w:szCs w:val="24"/>
                <w:lang w:eastAsia="bg-BG"/>
              </w:rPr>
              <w:lastRenderedPageBreak/>
              <w:t xml:space="preserve">проекти, които включват обекти недвижими културни ценности и графично и </w:t>
            </w:r>
            <w:proofErr w:type="spellStart"/>
            <w:r w:rsidR="009326BC" w:rsidRPr="009326BC">
              <w:rPr>
                <w:rFonts w:ascii="Times New Roman" w:eastAsia="Times New Roman" w:hAnsi="Times New Roman" w:cs="Times New Roman"/>
                <w:color w:val="000000"/>
                <w:sz w:val="24"/>
                <w:szCs w:val="24"/>
                <w:lang w:eastAsia="bg-BG"/>
              </w:rPr>
              <w:t>фотозаснемане</w:t>
            </w:r>
            <w:proofErr w:type="spellEnd"/>
            <w:r w:rsidR="009326BC" w:rsidRPr="009326BC">
              <w:rPr>
                <w:rFonts w:ascii="Times New Roman" w:eastAsia="Times New Roman" w:hAnsi="Times New Roman" w:cs="Times New Roman"/>
                <w:color w:val="000000"/>
                <w:sz w:val="24"/>
                <w:szCs w:val="24"/>
                <w:lang w:eastAsia="bg-BG"/>
              </w:rPr>
              <w:t xml:space="preserve"> на обекта и </w:t>
            </w:r>
            <w:proofErr w:type="spellStart"/>
            <w:r w:rsidR="009326BC" w:rsidRPr="009326BC">
              <w:rPr>
                <w:rFonts w:ascii="Times New Roman" w:eastAsia="Times New Roman" w:hAnsi="Times New Roman" w:cs="Times New Roman"/>
                <w:color w:val="000000"/>
                <w:sz w:val="24"/>
                <w:szCs w:val="24"/>
                <w:lang w:eastAsia="bg-BG"/>
              </w:rPr>
              <w:t>съгласувателно</w:t>
            </w:r>
            <w:proofErr w:type="spellEnd"/>
            <w:r w:rsidR="009326BC" w:rsidRPr="009326BC">
              <w:rPr>
                <w:rFonts w:ascii="Times New Roman" w:eastAsia="Times New Roman" w:hAnsi="Times New Roman" w:cs="Times New Roman"/>
                <w:color w:val="000000"/>
                <w:sz w:val="24"/>
                <w:szCs w:val="24"/>
                <w:lang w:eastAsia="bg-BG"/>
              </w:rPr>
              <w:t xml:space="preserve">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В случаите, когато е необходимо да се издаде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 от Министерство на културата за него може към датата на кандидатстване да се представи входящ номер на искането за издаване на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1"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w:t>
            </w:r>
            <w:proofErr w:type="spellStart"/>
            <w:r w:rsidR="009C53F8" w:rsidRPr="00CC3AB5">
              <w:rPr>
                <w:rFonts w:ascii="Times New Roman" w:hAnsi="Times New Roman" w:cs="Times New Roman"/>
                <w:sz w:val="24"/>
                <w:szCs w:val="24"/>
              </w:rPr>
              <w:t>илиобзавеждането</w:t>
            </w:r>
            <w:proofErr w:type="spellEnd"/>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Представя се във формат „</w:t>
            </w:r>
            <w:proofErr w:type="spellStart"/>
            <w:r w:rsidR="000B358A" w:rsidRPr="00CC3AB5">
              <w:rPr>
                <w:rFonts w:ascii="Times New Roman" w:hAnsi="Times New Roman" w:cs="Times New Roman"/>
                <w:sz w:val="24"/>
                <w:szCs w:val="24"/>
              </w:rPr>
              <w:t>xls</w:t>
            </w:r>
            <w:proofErr w:type="spellEnd"/>
            <w:r w:rsidR="000B358A" w:rsidRPr="00CC3AB5">
              <w:rPr>
                <w:rFonts w:ascii="Times New Roman" w:hAnsi="Times New Roman" w:cs="Times New Roman"/>
                <w:sz w:val="24"/>
                <w:szCs w:val="24"/>
              </w:rPr>
              <w:t>“ или „</w:t>
            </w:r>
            <w:proofErr w:type="spellStart"/>
            <w:r w:rsidR="000B358A" w:rsidRPr="00CC3AB5">
              <w:rPr>
                <w:rFonts w:ascii="Times New Roman" w:hAnsi="Times New Roman" w:cs="Times New Roman"/>
                <w:sz w:val="24"/>
                <w:szCs w:val="24"/>
              </w:rPr>
              <w:t>xlsx</w:t>
            </w:r>
            <w:proofErr w:type="spellEnd"/>
            <w:r w:rsidR="000B358A" w:rsidRPr="00CC3AB5">
              <w:rPr>
                <w:rFonts w:ascii="Times New Roman" w:hAnsi="Times New Roman" w:cs="Times New Roman"/>
                <w:sz w:val="24"/>
                <w:szCs w:val="24"/>
              </w:rPr>
              <w:t xml:space="preserve">”,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4"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 xml:space="preserve">Когато обектите са недвижими културни ценности се представя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 на културата. Представят се във формат „</w:t>
            </w:r>
            <w:proofErr w:type="spellStart"/>
            <w:r w:rsidRPr="009C53F8">
              <w:rPr>
                <w:rFonts w:ascii="Times New Roman" w:hAnsi="Times New Roman" w:cs="Times New Roman"/>
                <w:sz w:val="24"/>
                <w:szCs w:val="24"/>
              </w:rPr>
              <w:t>pdf</w:t>
            </w:r>
            <w:proofErr w:type="spellEnd"/>
            <w:r w:rsidRPr="009C53F8">
              <w:rPr>
                <w:rFonts w:ascii="Times New Roman" w:hAnsi="Times New Roman" w:cs="Times New Roman"/>
                <w:sz w:val="24"/>
                <w:szCs w:val="24"/>
              </w:rPr>
              <w:t>“ или „</w:t>
            </w:r>
            <w:proofErr w:type="spellStart"/>
            <w:r w:rsidRPr="009C53F8">
              <w:rPr>
                <w:rFonts w:ascii="Times New Roman" w:hAnsi="Times New Roman" w:cs="Times New Roman"/>
                <w:sz w:val="24"/>
                <w:szCs w:val="24"/>
              </w:rPr>
              <w:t>jpg</w:t>
            </w:r>
            <w:proofErr w:type="spellEnd"/>
            <w:r w:rsidRPr="009C53F8">
              <w:rPr>
                <w:rFonts w:ascii="Times New Roman" w:hAnsi="Times New Roman" w:cs="Times New Roman"/>
                <w:sz w:val="24"/>
                <w:szCs w:val="24"/>
              </w:rPr>
              <w:t>“.</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lastRenderedPageBreak/>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w:t>
            </w:r>
            <w:proofErr w:type="spellStart"/>
            <w:r w:rsidR="00F545E4" w:rsidRPr="00AA32C5">
              <w:rPr>
                <w:rFonts w:ascii="Times New Roman" w:hAnsi="Times New Roman" w:cs="Times New Roman"/>
                <w:sz w:val="24"/>
                <w:szCs w:val="24"/>
              </w:rPr>
              <w:t>pdf</w:t>
            </w:r>
            <w:proofErr w:type="spellEnd"/>
            <w:r w:rsidR="00F545E4" w:rsidRPr="00AA32C5">
              <w:rPr>
                <w:rFonts w:ascii="Times New Roman" w:hAnsi="Times New Roman" w:cs="Times New Roman"/>
                <w:sz w:val="24"/>
                <w:szCs w:val="24"/>
              </w:rPr>
              <w:t>“ и „</w:t>
            </w:r>
            <w:proofErr w:type="spellStart"/>
            <w:r w:rsidR="00F545E4" w:rsidRPr="00AA32C5">
              <w:rPr>
                <w:rFonts w:ascii="Times New Roman" w:hAnsi="Times New Roman" w:cs="Times New Roman"/>
                <w:sz w:val="24"/>
                <w:szCs w:val="24"/>
                <w:lang w:val="en-US"/>
              </w:rPr>
              <w:t>xls</w:t>
            </w:r>
            <w:proofErr w:type="spellEnd"/>
            <w:r w:rsidR="00F545E4" w:rsidRPr="00AA32C5">
              <w:rPr>
                <w:rFonts w:ascii="Times New Roman" w:hAnsi="Times New Roman" w:cs="Times New Roman"/>
                <w:sz w:val="24"/>
                <w:szCs w:val="24"/>
              </w:rPr>
              <w:t>“ или „</w:t>
            </w:r>
            <w:proofErr w:type="spellStart"/>
            <w:r w:rsidR="00F545E4" w:rsidRPr="00AA32C5">
              <w:rPr>
                <w:rFonts w:ascii="Times New Roman" w:hAnsi="Times New Roman" w:cs="Times New Roman"/>
                <w:sz w:val="24"/>
                <w:szCs w:val="24"/>
              </w:rPr>
              <w:t>xlsx</w:t>
            </w:r>
            <w:proofErr w:type="spellEnd"/>
            <w:r w:rsidR="00F545E4" w:rsidRPr="00AA32C5">
              <w:rPr>
                <w:rFonts w:ascii="Times New Roman" w:hAnsi="Times New Roman" w:cs="Times New Roman"/>
                <w:sz w:val="24"/>
                <w:szCs w:val="24"/>
              </w:rPr>
              <w:t>“.</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5"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4B597E06"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1D5A06" w:rsidRPr="00604CD4">
              <w:rPr>
                <w:rFonts w:ascii="Times New Roman" w:hAnsi="Times New Roman"/>
                <w:bCs/>
                <w:sz w:val="24"/>
                <w:szCs w:val="24"/>
              </w:rPr>
              <w:t xml:space="preserve"> в съответствие с приложимото национално законодателство</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w:t>
            </w:r>
            <w:proofErr w:type="spellStart"/>
            <w:r w:rsidR="00170E2E" w:rsidRPr="00170E2E">
              <w:rPr>
                <w:rFonts w:ascii="Times New Roman" w:hAnsi="Times New Roman" w:cs="Times New Roman"/>
                <w:sz w:val="24"/>
                <w:szCs w:val="24"/>
              </w:rPr>
              <w:t>pdf</w:t>
            </w:r>
            <w:proofErr w:type="spellEnd"/>
            <w:r w:rsidR="00170E2E" w:rsidRPr="00170E2E">
              <w:rPr>
                <w:rFonts w:ascii="Times New Roman" w:hAnsi="Times New Roman" w:cs="Times New Roman"/>
                <w:sz w:val="24"/>
                <w:szCs w:val="24"/>
              </w:rPr>
              <w:t>“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w:t>
            </w:r>
            <w:r w:rsidRPr="00F314C4">
              <w:rPr>
                <w:rFonts w:ascii="Times New Roman" w:hAnsi="Times New Roman" w:cs="Times New Roman"/>
                <w:sz w:val="24"/>
                <w:szCs w:val="24"/>
              </w:rPr>
              <w:lastRenderedPageBreak/>
              <w:t>(КИИП) (важи в случаите на инвестиции за производство на електрическа и/или топлинна енергия или енергия за охлаждане). Представя се във формат „</w:t>
            </w:r>
            <w:proofErr w:type="spellStart"/>
            <w:r w:rsidRPr="00F314C4">
              <w:rPr>
                <w:rFonts w:ascii="Times New Roman" w:hAnsi="Times New Roman" w:cs="Times New Roman"/>
                <w:sz w:val="24"/>
                <w:szCs w:val="24"/>
              </w:rPr>
              <w:t>pdf</w:t>
            </w:r>
            <w:proofErr w:type="spellEnd"/>
            <w:r w:rsidRPr="00F314C4">
              <w:rPr>
                <w:rFonts w:ascii="Times New Roman" w:hAnsi="Times New Roman" w:cs="Times New Roman"/>
                <w:sz w:val="24"/>
                <w:szCs w:val="24"/>
              </w:rPr>
              <w:t>“ или „</w:t>
            </w:r>
            <w:proofErr w:type="spellStart"/>
            <w:r w:rsidRPr="00F314C4">
              <w:rPr>
                <w:rFonts w:ascii="Times New Roman" w:hAnsi="Times New Roman" w:cs="Times New Roman"/>
                <w:sz w:val="24"/>
                <w:szCs w:val="24"/>
              </w:rPr>
              <w:t>jpg</w:t>
            </w:r>
            <w:proofErr w:type="spellEnd"/>
            <w:r w:rsidRPr="00F314C4">
              <w:rPr>
                <w:rFonts w:ascii="Times New Roman" w:hAnsi="Times New Roman" w:cs="Times New Roman"/>
                <w:sz w:val="24"/>
                <w:szCs w:val="24"/>
              </w:rPr>
              <w:t>“.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w:t>
            </w:r>
            <w:proofErr w:type="spellStart"/>
            <w:r w:rsidR="002F207B" w:rsidRPr="002F207B">
              <w:rPr>
                <w:rFonts w:ascii="Times New Roman" w:hAnsi="Times New Roman" w:cs="Times New Roman"/>
                <w:sz w:val="24"/>
                <w:szCs w:val="24"/>
              </w:rPr>
              <w:t>pdf</w:t>
            </w:r>
            <w:proofErr w:type="spellEnd"/>
            <w:r w:rsidR="002F207B" w:rsidRPr="002F207B">
              <w:rPr>
                <w:rFonts w:ascii="Times New Roman" w:hAnsi="Times New Roman" w:cs="Times New Roman"/>
                <w:sz w:val="24"/>
                <w:szCs w:val="24"/>
              </w:rPr>
              <w:t>“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1494202A" w14:textId="4344968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(не се представя за дейности включващи обекти ново строителство). </w:t>
            </w:r>
            <w:r w:rsidR="001D5A06" w:rsidRPr="00EA17D0">
              <w:rPr>
                <w:rFonts w:ascii="Times New Roman" w:hAnsi="Times New Roman"/>
                <w:color w:val="000000"/>
                <w:sz w:val="24"/>
                <w:szCs w:val="24"/>
                <w:lan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D5A06">
              <w:rPr>
                <w:rFonts w:ascii="Times New Roman" w:hAnsi="Times New Roman"/>
                <w:color w:val="000000"/>
                <w:sz w:val="24"/>
                <w:szCs w:val="24"/>
                <w:lang w:eastAsia="bg-BG"/>
              </w:rPr>
              <w:t xml:space="preserve">. </w:t>
            </w:r>
            <w:r w:rsidR="002B13D9" w:rsidRPr="002B13D9">
              <w:rPr>
                <w:rFonts w:ascii="Times New Roman" w:eastAsia="Times New Roman" w:hAnsi="Times New Roman" w:cs="Times New Roman"/>
                <w:color w:val="000000"/>
                <w:sz w:val="24"/>
                <w:szCs w:val="24"/>
                <w:lang w:eastAsia="bg-BG"/>
              </w:rPr>
              <w:t>Представя се във формат „</w:t>
            </w:r>
            <w:proofErr w:type="spellStart"/>
            <w:r w:rsidR="002B13D9" w:rsidRPr="002B13D9">
              <w:rPr>
                <w:rFonts w:ascii="Times New Roman" w:eastAsia="Times New Roman" w:hAnsi="Times New Roman" w:cs="Times New Roman"/>
                <w:color w:val="000000"/>
                <w:sz w:val="24"/>
                <w:szCs w:val="24"/>
                <w:lang w:eastAsia="bg-BG"/>
              </w:rPr>
              <w:t>pdf</w:t>
            </w:r>
            <w:proofErr w:type="spellEnd"/>
            <w:r w:rsidR="002B13D9" w:rsidRPr="002B13D9">
              <w:rPr>
                <w:rFonts w:ascii="Times New Roman" w:eastAsia="Times New Roman" w:hAnsi="Times New Roman" w:cs="Times New Roman"/>
                <w:color w:val="000000"/>
                <w:sz w:val="24"/>
                <w:szCs w:val="24"/>
                <w:lang w:eastAsia="bg-BG"/>
              </w:rPr>
              <w:t>“ или „</w:t>
            </w:r>
            <w:proofErr w:type="spellStart"/>
            <w:r w:rsidR="002B13D9" w:rsidRPr="002B13D9">
              <w:rPr>
                <w:rFonts w:ascii="Times New Roman" w:eastAsia="Times New Roman" w:hAnsi="Times New Roman" w:cs="Times New Roman"/>
                <w:color w:val="000000"/>
                <w:sz w:val="24"/>
                <w:szCs w:val="24"/>
                <w:lang w:eastAsia="bg-BG"/>
              </w:rPr>
              <w:t>jpg</w:t>
            </w:r>
            <w:proofErr w:type="spellEnd"/>
            <w:r w:rsidR="002B13D9" w:rsidRPr="002B13D9">
              <w:rPr>
                <w:rFonts w:ascii="Times New Roman" w:eastAsia="Times New Roman" w:hAnsi="Times New Roman" w:cs="Times New Roman"/>
                <w:color w:val="000000"/>
                <w:sz w:val="24"/>
                <w:szCs w:val="24"/>
                <w:lang w:eastAsia="bg-BG"/>
              </w:rPr>
              <w:t>“.</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394EA30A" w:rsidR="00F155CC" w:rsidRPr="00936BDE" w:rsidRDefault="001D5A06" w:rsidP="001D5A06">
            <w:pPr>
              <w:jc w:val="both"/>
              <w:rPr>
                <w:rFonts w:ascii="Times New Roman" w:hAnsi="Times New Roman" w:cs="Times New Roman"/>
                <w:sz w:val="24"/>
                <w:szCs w:val="24"/>
              </w:rPr>
            </w:pPr>
            <w:r>
              <w:rPr>
                <w:rFonts w:ascii="Times New Roman" w:hAnsi="Times New Roman"/>
                <w:sz w:val="24"/>
                <w:szCs w:val="24"/>
              </w:rPr>
              <w:t xml:space="preserve">1. </w:t>
            </w:r>
            <w:r w:rsidRPr="007C0152">
              <w:rPr>
                <w:rFonts w:ascii="Times New Roman" w:hAnsi="Times New Roman"/>
                <w:sz w:val="24"/>
                <w:szCs w:val="24"/>
              </w:rPr>
              <w:t xml:space="preserve">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w:t>
            </w:r>
            <w:r>
              <w:rPr>
                <w:rFonts w:ascii="Times New Roman" w:hAnsi="Times New Roman"/>
                <w:sz w:val="24"/>
                <w:szCs w:val="24"/>
              </w:rPr>
              <w:t xml:space="preserve">за собствено потребление от ВЕИ (важи </w:t>
            </w:r>
            <w:r w:rsidRPr="007C0152">
              <w:rPr>
                <w:rFonts w:ascii="Times New Roman" w:hAnsi="Times New Roman"/>
                <w:sz w:val="24"/>
                <w:szCs w:val="24"/>
              </w:rPr>
              <w:t xml:space="preserve">при заявени точки по Критерий 3 </w:t>
            </w:r>
            <w:r>
              <w:rPr>
                <w:rFonts w:ascii="Times New Roman" w:hAnsi="Times New Roman"/>
                <w:sz w:val="24"/>
                <w:szCs w:val="24"/>
              </w:rPr>
              <w:t>„</w:t>
            </w:r>
            <w:r w:rsidRPr="007C0152">
              <w:rPr>
                <w:rFonts w:ascii="Times New Roman" w:hAnsi="Times New Roman"/>
                <w:sz w:val="24"/>
                <w:szCs w:val="24"/>
              </w:rPr>
              <w:t>Проекти, насочени към производство на енергия за собствено потребление от възобновяеми енергийни източници</w:t>
            </w:r>
            <w:r>
              <w:rPr>
                <w:rFonts w:ascii="Times New Roman" w:hAnsi="Times New Roman"/>
                <w:sz w:val="24"/>
                <w:szCs w:val="24"/>
              </w:rPr>
              <w:t>“).</w:t>
            </w:r>
          </w:p>
        </w:tc>
      </w:tr>
    </w:tbl>
    <w:p w14:paraId="502385FF" w14:textId="77777777" w:rsidR="00B40904" w:rsidRDefault="00B40904" w:rsidP="009A1CFE">
      <w:pPr>
        <w:pStyle w:val="Heading2"/>
        <w:spacing w:before="0"/>
        <w:jc w:val="both"/>
      </w:pPr>
      <w:bookmarkStart w:id="83" w:name="_Toc66698694"/>
      <w:bookmarkStart w:id="84" w:name="_Toc85035060"/>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0A8AD0F6" w:rsidR="00AE6E0E" w:rsidRPr="00D96BD8" w:rsidRDefault="00953753" w:rsidP="001D5A06">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 xml:space="preserve">23:59 ч. на </w:t>
            </w:r>
            <w:r w:rsidR="00216E11">
              <w:rPr>
                <w:rFonts w:ascii="Times New Roman" w:eastAsia="Times New Roman" w:hAnsi="Times New Roman" w:cs="Times New Roman"/>
                <w:sz w:val="24"/>
                <w:szCs w:val="24"/>
                <w:shd w:val="clear" w:color="auto" w:fill="FEFEFE"/>
              </w:rPr>
              <w:t>2</w:t>
            </w:r>
            <w:r w:rsidR="001D5A06">
              <w:rPr>
                <w:rFonts w:ascii="Times New Roman" w:eastAsia="Times New Roman" w:hAnsi="Times New Roman" w:cs="Times New Roman"/>
                <w:sz w:val="24"/>
                <w:szCs w:val="24"/>
                <w:shd w:val="clear" w:color="auto" w:fill="FEFEFE"/>
              </w:rPr>
              <w:t>4</w:t>
            </w:r>
            <w:r w:rsidR="00216E11">
              <w:rPr>
                <w:rFonts w:ascii="Times New Roman" w:eastAsia="Times New Roman" w:hAnsi="Times New Roman" w:cs="Times New Roman"/>
                <w:sz w:val="24"/>
                <w:szCs w:val="24"/>
                <w:shd w:val="clear" w:color="auto" w:fill="FEFEFE"/>
              </w:rPr>
              <w:t xml:space="preserve"> </w:t>
            </w:r>
            <w:r w:rsidR="001D5A06">
              <w:rPr>
                <w:rFonts w:ascii="Times New Roman" w:eastAsia="Times New Roman" w:hAnsi="Times New Roman" w:cs="Times New Roman"/>
                <w:sz w:val="24"/>
                <w:szCs w:val="24"/>
                <w:shd w:val="clear" w:color="auto" w:fill="FEFEFE"/>
              </w:rPr>
              <w:t>февруари</w:t>
            </w:r>
            <w:r w:rsidR="00216E11">
              <w:rPr>
                <w:rFonts w:ascii="Times New Roman" w:eastAsia="Times New Roman" w:hAnsi="Times New Roman" w:cs="Times New Roman"/>
                <w:sz w:val="24"/>
                <w:szCs w:val="24"/>
                <w:shd w:val="clear" w:color="auto" w:fill="FEFEFE"/>
              </w:rPr>
              <w:t xml:space="preserve"> </w:t>
            </w:r>
            <w:r w:rsidR="000564DC" w:rsidRPr="000564DC">
              <w:rPr>
                <w:rFonts w:ascii="Times New Roman" w:eastAsia="Times New Roman" w:hAnsi="Times New Roman" w:cs="Times New Roman"/>
                <w:sz w:val="24"/>
                <w:szCs w:val="24"/>
                <w:shd w:val="clear" w:color="auto" w:fill="FEFEFE"/>
              </w:rPr>
              <w:t>202</w:t>
            </w:r>
            <w:r w:rsidR="001D5A06">
              <w:rPr>
                <w:rFonts w:ascii="Times New Roman" w:eastAsia="Times New Roman" w:hAnsi="Times New Roman" w:cs="Times New Roman"/>
                <w:sz w:val="24"/>
                <w:szCs w:val="24"/>
                <w:shd w:val="clear" w:color="auto" w:fill="FEFEFE"/>
              </w:rPr>
              <w:t>3</w:t>
            </w:r>
            <w:r w:rsidR="000564DC" w:rsidRPr="000564DC">
              <w:rPr>
                <w:rFonts w:ascii="Times New Roman" w:eastAsia="Times New Roman" w:hAnsi="Times New Roman" w:cs="Times New Roman"/>
                <w:sz w:val="24"/>
                <w:szCs w:val="24"/>
                <w:shd w:val="clear" w:color="auto" w:fill="FEFEFE"/>
              </w:rPr>
              <w:t xml:space="preserve">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lastRenderedPageBreak/>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lastRenderedPageBreak/>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38"/>
      <w:footerReference w:type="default" r:id="rId39"/>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84C5E" w14:textId="77777777" w:rsidR="00607AFC" w:rsidRDefault="00607AFC" w:rsidP="00F74842">
      <w:pPr>
        <w:spacing w:after="0" w:line="240" w:lineRule="auto"/>
      </w:pPr>
      <w:r>
        <w:separator/>
      </w:r>
    </w:p>
  </w:endnote>
  <w:endnote w:type="continuationSeparator" w:id="0">
    <w:p w14:paraId="7EA1E295" w14:textId="77777777" w:rsidR="00607AFC" w:rsidRDefault="00607AFC" w:rsidP="00F74842">
      <w:pPr>
        <w:spacing w:after="0" w:line="240" w:lineRule="auto"/>
      </w:pPr>
      <w:r>
        <w:continuationSeparator/>
      </w:r>
    </w:p>
  </w:endnote>
  <w:endnote w:type="continuationNotice" w:id="1">
    <w:p w14:paraId="4156477D" w14:textId="77777777" w:rsidR="00607AFC" w:rsidRDefault="00607A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3ABA62B2" w:rsidR="003E3014" w:rsidRPr="00552BF6" w:rsidRDefault="003E3014">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DE3634">
          <w:rPr>
            <w:rFonts w:ascii="Times New Roman" w:hAnsi="Times New Roman" w:cs="Times New Roman"/>
            <w:noProof/>
          </w:rPr>
          <w:t>20</w:t>
        </w:r>
        <w:r w:rsidRPr="00552BF6">
          <w:rPr>
            <w:rFonts w:ascii="Times New Roman" w:hAnsi="Times New Roman" w:cs="Times New Roman"/>
          </w:rPr>
          <w:fldChar w:fldCharType="end"/>
        </w:r>
      </w:p>
    </w:sdtContent>
  </w:sdt>
  <w:p w14:paraId="2B2A725D" w14:textId="77777777" w:rsidR="003E3014" w:rsidRPr="00D4540D" w:rsidRDefault="003E3014"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A9182" w14:textId="77777777" w:rsidR="00607AFC" w:rsidRDefault="00607AFC" w:rsidP="00F74842">
      <w:pPr>
        <w:spacing w:after="0" w:line="240" w:lineRule="auto"/>
      </w:pPr>
      <w:r>
        <w:separator/>
      </w:r>
    </w:p>
  </w:footnote>
  <w:footnote w:type="continuationSeparator" w:id="0">
    <w:p w14:paraId="183288D9" w14:textId="77777777" w:rsidR="00607AFC" w:rsidRDefault="00607AFC" w:rsidP="00F74842">
      <w:pPr>
        <w:spacing w:after="0" w:line="240" w:lineRule="auto"/>
      </w:pPr>
      <w:r>
        <w:continuationSeparator/>
      </w:r>
    </w:p>
  </w:footnote>
  <w:footnote w:type="continuationNotice" w:id="1">
    <w:p w14:paraId="79F8A531" w14:textId="77777777" w:rsidR="00607AFC" w:rsidRDefault="00607A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3E3014" w:rsidRPr="003C1FB8" w:rsidRDefault="003E3014"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CE5AF1"/>
    <w:multiLevelType w:val="hybridMultilevel"/>
    <w:tmpl w:val="347E4A6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235284F"/>
    <w:multiLevelType w:val="hybridMultilevel"/>
    <w:tmpl w:val="153284A0"/>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73F0398"/>
    <w:multiLevelType w:val="hybridMultilevel"/>
    <w:tmpl w:val="F4667926"/>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6CD57498"/>
    <w:multiLevelType w:val="hybridMultilevel"/>
    <w:tmpl w:val="71984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A0753A"/>
    <w:multiLevelType w:val="hybridMultilevel"/>
    <w:tmpl w:val="E4566F2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790220A1"/>
    <w:multiLevelType w:val="hybridMultilevel"/>
    <w:tmpl w:val="FC62E5F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8"/>
  </w:num>
  <w:num w:numId="6">
    <w:abstractNumId w:val="7"/>
  </w:num>
  <w:num w:numId="7">
    <w:abstractNumId w:val="9"/>
  </w:num>
  <w:num w:numId="8">
    <w:abstractNumId w:val="3"/>
  </w:num>
  <w:num w:numId="9">
    <w:abstractNumId w:val="2"/>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5A51"/>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65E"/>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5A06"/>
    <w:rsid w:val="001D6215"/>
    <w:rsid w:val="001D6D69"/>
    <w:rsid w:val="001D6F7F"/>
    <w:rsid w:val="001E0EA1"/>
    <w:rsid w:val="001E1C3B"/>
    <w:rsid w:val="001E1F61"/>
    <w:rsid w:val="001E3ABF"/>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16E11"/>
    <w:rsid w:val="002213F8"/>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2B1E"/>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236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014"/>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B86"/>
    <w:rsid w:val="00416017"/>
    <w:rsid w:val="00416730"/>
    <w:rsid w:val="00417393"/>
    <w:rsid w:val="00417654"/>
    <w:rsid w:val="004178BA"/>
    <w:rsid w:val="00420AB4"/>
    <w:rsid w:val="00421557"/>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1F97"/>
    <w:rsid w:val="005023C0"/>
    <w:rsid w:val="00502DE3"/>
    <w:rsid w:val="00504162"/>
    <w:rsid w:val="00510785"/>
    <w:rsid w:val="00510E2F"/>
    <w:rsid w:val="0051225C"/>
    <w:rsid w:val="0051340A"/>
    <w:rsid w:val="0051462F"/>
    <w:rsid w:val="005146B0"/>
    <w:rsid w:val="0051537C"/>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4C50"/>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67B67"/>
    <w:rsid w:val="0057008E"/>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1BB4"/>
    <w:rsid w:val="006050E1"/>
    <w:rsid w:val="00605162"/>
    <w:rsid w:val="006052F0"/>
    <w:rsid w:val="006065C8"/>
    <w:rsid w:val="00607AFC"/>
    <w:rsid w:val="00607C57"/>
    <w:rsid w:val="0061080D"/>
    <w:rsid w:val="00611C66"/>
    <w:rsid w:val="00612104"/>
    <w:rsid w:val="00615434"/>
    <w:rsid w:val="006166A4"/>
    <w:rsid w:val="00616771"/>
    <w:rsid w:val="00620CBA"/>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64D5"/>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5650"/>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3EB6"/>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8711C"/>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16A6"/>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29A3"/>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6F8"/>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1BFA"/>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A90"/>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0EE4"/>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247C"/>
    <w:rsid w:val="00BD5607"/>
    <w:rsid w:val="00BD7775"/>
    <w:rsid w:val="00BD7AE4"/>
    <w:rsid w:val="00BE074F"/>
    <w:rsid w:val="00BE2680"/>
    <w:rsid w:val="00BE2AB9"/>
    <w:rsid w:val="00BE2D02"/>
    <w:rsid w:val="00BE3BD3"/>
    <w:rsid w:val="00BE3F88"/>
    <w:rsid w:val="00BE429C"/>
    <w:rsid w:val="00BE4B8C"/>
    <w:rsid w:val="00BE56C3"/>
    <w:rsid w:val="00BE6121"/>
    <w:rsid w:val="00BE70EE"/>
    <w:rsid w:val="00BE776C"/>
    <w:rsid w:val="00BF0ED8"/>
    <w:rsid w:val="00BF1935"/>
    <w:rsid w:val="00BF319A"/>
    <w:rsid w:val="00BF3320"/>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8EA"/>
    <w:rsid w:val="00CC5993"/>
    <w:rsid w:val="00CC6EFE"/>
    <w:rsid w:val="00CD0109"/>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61B"/>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679"/>
    <w:rsid w:val="00D23892"/>
    <w:rsid w:val="00D25B5B"/>
    <w:rsid w:val="00D27CA6"/>
    <w:rsid w:val="00D30DBB"/>
    <w:rsid w:val="00D324CD"/>
    <w:rsid w:val="00D3257C"/>
    <w:rsid w:val="00D32825"/>
    <w:rsid w:val="00D331DE"/>
    <w:rsid w:val="00D33B6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7CA"/>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499"/>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634"/>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0DE4"/>
    <w:rsid w:val="00EC0F20"/>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4E14"/>
    <w:rsid w:val="00F35895"/>
    <w:rsid w:val="00F358BC"/>
    <w:rsid w:val="00F35B62"/>
    <w:rsid w:val="00F36974"/>
    <w:rsid w:val="00F37CF1"/>
    <w:rsid w:val="00F420C2"/>
    <w:rsid w:val="00F4340B"/>
    <w:rsid w:val="00F4347A"/>
    <w:rsid w:val="00F43FC0"/>
    <w:rsid w:val="00F459D2"/>
    <w:rsid w:val="00F460CE"/>
    <w:rsid w:val="00F46725"/>
    <w:rsid w:val="00F46C05"/>
    <w:rsid w:val="00F5215A"/>
    <w:rsid w:val="00F5218D"/>
    <w:rsid w:val="00F52552"/>
    <w:rsid w:val="00F53FBD"/>
    <w:rsid w:val="00F545E4"/>
    <w:rsid w:val="00F54D20"/>
    <w:rsid w:val="00F556AD"/>
    <w:rsid w:val="00F56127"/>
    <w:rsid w:val="00F57832"/>
    <w:rsid w:val="00F578CB"/>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77E52"/>
    <w:rsid w:val="00F803C4"/>
    <w:rsid w:val="00F80890"/>
    <w:rsid w:val="00F80E53"/>
    <w:rsid w:val="00F81ABC"/>
    <w:rsid w:val="00F82A2F"/>
    <w:rsid w:val="00F85FA5"/>
    <w:rsid w:val="00F8694A"/>
    <w:rsid w:val="00F86FD8"/>
    <w:rsid w:val="00F874F6"/>
    <w:rsid w:val="00F91280"/>
    <w:rsid w:val="00F92452"/>
    <w:rsid w:val="00F92743"/>
    <w:rsid w:val="00F92A54"/>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B5DB6"/>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3813BB79-AE5F-42AE-9EDC-D2ACC925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99812322">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00979540">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3&amp;Type=201/" TargetMode="External"/><Relationship Id="rId39" Type="http://schemas.openxmlformats.org/officeDocument/2006/relationships/footer" Target="footer1.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yperlink" Target="http://www.mzh.government.bg/mzh/bg/Home.asp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yperlink" Target="apis://Base=NARH&amp;DocCode=40006&amp;Type=201/" TargetMode="External"/><Relationship Id="rId36" Type="http://schemas.openxmlformats.org/officeDocument/2006/relationships/hyperlink" Target="mailto:rdd@mzh.government.bg"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hyperlink" Target="apis://Base=NARH&amp;DocCode=82245&amp;ToPar=Art2_Al2&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apis://Base=NARH&amp;DocCode=85477&amp;ToPar=Chap&#1076;&#1074;&#1072;&#1076;&#1077;&#1089;&#1077;&#1090;&#1080;&#1090;&#1088;&#1077;&#1090;&#1072;&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40197&amp;ToPar=Chap&#1096;&#1077;&#1089;&#1090;&#1072;&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CAE4B-62CB-4AA7-AEED-0ECA5A7A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16492</Words>
  <Characters>94008</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8</cp:revision>
  <cp:lastPrinted>2021-10-12T09:55:00Z</cp:lastPrinted>
  <dcterms:created xsi:type="dcterms:W3CDTF">2024-05-31T08:42:00Z</dcterms:created>
  <dcterms:modified xsi:type="dcterms:W3CDTF">2024-07-02T06:03:00Z</dcterms:modified>
</cp:coreProperties>
</file>