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E5" w:rsidRPr="007D0AFE" w:rsidRDefault="000B6AE5" w:rsidP="000B6AE5">
      <w:pPr>
        <w:widowControl w:val="0"/>
        <w:autoSpaceDE w:val="0"/>
        <w:autoSpaceDN w:val="0"/>
        <w:adjustRightInd w:val="0"/>
        <w:ind w:left="283"/>
        <w:rPr>
          <w:rFonts w:ascii="Verdana" w:hAnsi="Verdana" w:cs="Verdana"/>
          <w:bCs/>
          <w:smallCaps/>
          <w:sz w:val="18"/>
          <w:szCs w:val="18"/>
        </w:rPr>
      </w:pPr>
      <w:bookmarkStart w:id="0" w:name="_GoBack"/>
      <w:bookmarkEnd w:id="0"/>
    </w:p>
    <w:p w:rsidR="007E1EE7" w:rsidRPr="007D0AFE" w:rsidRDefault="007E1EE7" w:rsidP="007E1EE7">
      <w:pPr>
        <w:widowControl w:val="0"/>
        <w:autoSpaceDE w:val="0"/>
        <w:autoSpaceDN w:val="0"/>
        <w:adjustRightInd w:val="0"/>
        <w:rPr>
          <w:rFonts w:ascii="Verdana" w:hAnsi="Verdana" w:cs="Verdana"/>
          <w:bCs/>
          <w:smallCaps/>
          <w:sz w:val="18"/>
          <w:szCs w:val="18"/>
        </w:rPr>
      </w:pPr>
    </w:p>
    <w:p w:rsidR="007D0AFE" w:rsidRPr="007D0AFE" w:rsidRDefault="007D0AFE" w:rsidP="00C016BC">
      <w:pPr>
        <w:widowControl w:val="0"/>
        <w:autoSpaceDE w:val="0"/>
        <w:autoSpaceDN w:val="0"/>
        <w:adjustRightInd w:val="0"/>
        <w:rPr>
          <w:rFonts w:ascii="Verdana" w:hAnsi="Verdana" w:cs="Verdana"/>
          <w:bCs/>
          <w:smallCaps/>
          <w:sz w:val="18"/>
          <w:szCs w:val="18"/>
        </w:rPr>
      </w:pPr>
    </w:p>
    <w:p w:rsidR="00EA28D4" w:rsidRDefault="00EA28D4" w:rsidP="00EA28D4">
      <w:pPr>
        <w:spacing w:line="360" w:lineRule="auto"/>
        <w:outlineLvl w:val="0"/>
        <w:rPr>
          <w:rFonts w:ascii="Verdana" w:hAnsi="Verdana" w:cs="Verdana"/>
          <w:b/>
          <w:caps/>
          <w:spacing w:val="3"/>
          <w:sz w:val="20"/>
          <w:szCs w:val="20"/>
          <w:lang w:eastAsia="en-US"/>
        </w:rPr>
      </w:pPr>
    </w:p>
    <w:p w:rsidR="00B9154C" w:rsidRDefault="00B9154C" w:rsidP="00EA28D4">
      <w:pPr>
        <w:spacing w:line="360" w:lineRule="auto"/>
        <w:outlineLvl w:val="0"/>
        <w:rPr>
          <w:rFonts w:ascii="Verdana" w:hAnsi="Verdana" w:cs="Verdana"/>
          <w:b/>
          <w:caps/>
          <w:spacing w:val="3"/>
          <w:sz w:val="20"/>
          <w:szCs w:val="20"/>
          <w:lang w:eastAsia="en-US"/>
        </w:rPr>
      </w:pPr>
    </w:p>
    <w:p w:rsidR="00B9154C" w:rsidRPr="007E1EE7" w:rsidRDefault="00B9154C" w:rsidP="00EA28D4">
      <w:pPr>
        <w:spacing w:line="360" w:lineRule="auto"/>
        <w:outlineLvl w:val="0"/>
        <w:rPr>
          <w:rFonts w:ascii="Verdana" w:hAnsi="Verdana" w:cs="Verdana"/>
          <w:b/>
          <w:caps/>
          <w:spacing w:val="3"/>
          <w:sz w:val="20"/>
          <w:szCs w:val="20"/>
          <w:lang w:eastAsia="en-US"/>
        </w:rPr>
      </w:pPr>
    </w:p>
    <w:tbl>
      <w:tblPr>
        <w:tblW w:w="15650" w:type="dxa"/>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650"/>
      </w:tblGrid>
      <w:tr w:rsidR="007D0AFE" w:rsidRPr="007D0AFE" w:rsidTr="007D0AFE">
        <w:trPr>
          <w:trHeight w:val="958"/>
        </w:trPr>
        <w:tc>
          <w:tcPr>
            <w:tcW w:w="15650" w:type="dxa"/>
            <w:shd w:val="clear" w:color="auto" w:fill="BDD6EE"/>
          </w:tcPr>
          <w:p w:rsidR="007D0AFE" w:rsidRPr="007D0AFE" w:rsidRDefault="007D0AFE" w:rsidP="00B90C96">
            <w:pPr>
              <w:tabs>
                <w:tab w:val="left" w:pos="2190"/>
              </w:tabs>
              <w:spacing w:before="120" w:after="120" w:line="360" w:lineRule="auto"/>
              <w:ind w:left="283" w:right="283"/>
              <w:jc w:val="center"/>
              <w:rPr>
                <w:rFonts w:ascii="Verdana" w:hAnsi="Verdana"/>
                <w:b/>
                <w:sz w:val="20"/>
                <w:szCs w:val="20"/>
              </w:rPr>
            </w:pPr>
            <w:r w:rsidRPr="007D0AFE">
              <w:rPr>
                <w:rFonts w:ascii="Verdana" w:hAnsi="Verdana"/>
                <w:b/>
                <w:spacing w:val="70"/>
              </w:rPr>
              <w:t>СПРАВКА</w:t>
            </w:r>
            <w:r>
              <w:rPr>
                <w:rFonts w:ascii="Verdana" w:hAnsi="Verdana"/>
                <w:b/>
                <w:spacing w:val="70"/>
              </w:rPr>
              <w:br/>
            </w:r>
            <w:r w:rsidR="002264C4" w:rsidRPr="007D0AFE">
              <w:rPr>
                <w:rFonts w:ascii="Verdana" w:hAnsi="Verdana"/>
                <w:b/>
                <w:sz w:val="20"/>
                <w:szCs w:val="20"/>
              </w:rPr>
              <w:t xml:space="preserve">ЗА ОТРАЗЯВАНЕ НА ПОСТЪПИЛИТЕ ПРЕДЛОЖЕНИЯ И СТАНОВИЩА ОТ ОБЩЕСТВЕНИТЕ КОНСУЛТАЦИИ </w:t>
            </w:r>
            <w:r w:rsidR="00257BFA" w:rsidRPr="007D0AFE">
              <w:rPr>
                <w:rFonts w:ascii="Verdana" w:hAnsi="Verdana"/>
                <w:b/>
                <w:sz w:val="20"/>
                <w:szCs w:val="20"/>
              </w:rPr>
              <w:t xml:space="preserve">ПО ПРОЕКТА НА </w:t>
            </w:r>
            <w:r w:rsidR="00257BFA" w:rsidRPr="00257BFA">
              <w:rPr>
                <w:rFonts w:ascii="Verdana" w:hAnsi="Verdana"/>
                <w:b/>
                <w:sz w:val="20"/>
                <w:szCs w:val="20"/>
              </w:rPr>
              <w:t>НАРЕДБА ЗА ИЗМЕНЕНИЕ И ДОПЪЛНЕНИЕ НА НАРЕДБА № 14 ОТ 2023 Г. ЗА УСЛОВИЯТА И РЕДА ЗА ПРЕДОСТАВЯНЕ НА ФИНАНСОВА ПОМОЩ ПО ИНТЕРВЕНЦИИТЕ В ЛОЗАРО-ВИНАРСКИЯ СЕКТОР, ВКЛЮЧЕНИ В СТРАТЕГИЧЕСКИЯ ПЛАН ЗА РАЗВИТИЕ НА ЗЕМЕДЕЛИЕТО И СЕЛСКИТЕ РАЙОНИ ЗА ПЕРИОДА 2023 – 2027 ГОДИНА</w:t>
            </w:r>
          </w:p>
        </w:tc>
      </w:tr>
    </w:tbl>
    <w:p w:rsidR="007D0AFE" w:rsidRPr="00EA28D4" w:rsidRDefault="007D0AFE" w:rsidP="007D0AFE">
      <w:pPr>
        <w:ind w:left="283" w:right="283"/>
        <w:rPr>
          <w:rFonts w:ascii="Verdana" w:hAnsi="Verdana"/>
          <w:sz w:val="16"/>
          <w:szCs w:val="16"/>
        </w:rPr>
      </w:pPr>
    </w:p>
    <w:tbl>
      <w:tblPr>
        <w:tblW w:w="15650"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3030"/>
        <w:gridCol w:w="5475"/>
        <w:gridCol w:w="1559"/>
        <w:gridCol w:w="4964"/>
      </w:tblGrid>
      <w:tr w:rsidR="007D0AFE" w:rsidRPr="007D0AFE" w:rsidTr="007E1EE7">
        <w:trPr>
          <w:tblHeader/>
        </w:trPr>
        <w:tc>
          <w:tcPr>
            <w:tcW w:w="622" w:type="dxa"/>
            <w:tcBorders>
              <w:top w:val="single" w:sz="24" w:space="0" w:color="2E74B5"/>
              <w:left w:val="single" w:sz="24" w:space="0" w:color="2E74B5"/>
              <w:bottom w:val="single" w:sz="24" w:space="0" w:color="2E74B5"/>
              <w:right w:val="single" w:sz="12" w:space="0" w:color="2E74B5"/>
            </w:tcBorders>
            <w:shd w:val="clear" w:color="auto" w:fill="DEEAF6"/>
            <w:vAlign w:val="center"/>
          </w:tcPr>
          <w:p w:rsidR="007D0AFE" w:rsidRPr="007D0AFE" w:rsidRDefault="007D0AFE" w:rsidP="004F669B">
            <w:pPr>
              <w:tabs>
                <w:tab w:val="left" w:pos="192"/>
              </w:tabs>
              <w:jc w:val="center"/>
              <w:rPr>
                <w:rFonts w:ascii="Verdana" w:hAnsi="Verdana"/>
                <w:b/>
                <w:sz w:val="18"/>
                <w:szCs w:val="18"/>
              </w:rPr>
            </w:pPr>
            <w:r w:rsidRPr="007D0AFE">
              <w:rPr>
                <w:rFonts w:ascii="Verdana" w:hAnsi="Verdana"/>
                <w:b/>
                <w:sz w:val="18"/>
                <w:szCs w:val="18"/>
              </w:rPr>
              <w:t>№</w:t>
            </w:r>
          </w:p>
        </w:tc>
        <w:tc>
          <w:tcPr>
            <w:tcW w:w="3030" w:type="dxa"/>
            <w:tcBorders>
              <w:top w:val="single" w:sz="24" w:space="0" w:color="2E74B5"/>
              <w:left w:val="single" w:sz="12" w:space="0" w:color="2E74B5"/>
              <w:bottom w:val="single" w:sz="24" w:space="0" w:color="2E74B5"/>
              <w:right w:val="single" w:sz="12" w:space="0" w:color="2E74B5"/>
            </w:tcBorders>
            <w:shd w:val="clear" w:color="auto" w:fill="DEEAF6"/>
            <w:vAlign w:val="center"/>
          </w:tcPr>
          <w:p w:rsidR="007D0AFE" w:rsidRPr="007D0AFE" w:rsidRDefault="007D0AFE" w:rsidP="004F669B">
            <w:pPr>
              <w:spacing w:before="60"/>
              <w:jc w:val="center"/>
              <w:rPr>
                <w:rFonts w:ascii="Verdana" w:hAnsi="Verdana"/>
                <w:b/>
                <w:sz w:val="18"/>
                <w:szCs w:val="18"/>
              </w:rPr>
            </w:pPr>
            <w:r w:rsidRPr="007D0AFE">
              <w:rPr>
                <w:rFonts w:ascii="Verdana" w:hAnsi="Verdana"/>
                <w:b/>
                <w:sz w:val="18"/>
                <w:szCs w:val="18"/>
              </w:rPr>
              <w:t>Организация/потребител</w:t>
            </w:r>
          </w:p>
          <w:p w:rsidR="007D0AFE" w:rsidRPr="007D0AFE" w:rsidRDefault="007D0AFE" w:rsidP="004F669B">
            <w:pPr>
              <w:spacing w:after="40"/>
              <w:jc w:val="center"/>
              <w:rPr>
                <w:rFonts w:ascii="Verdana" w:hAnsi="Verdana"/>
                <w:b/>
                <w:sz w:val="13"/>
                <w:szCs w:val="13"/>
              </w:rPr>
            </w:pPr>
            <w:r w:rsidRPr="007D0AFE">
              <w:rPr>
                <w:rFonts w:ascii="Verdana" w:hAnsi="Verdana"/>
                <w:b/>
                <w:sz w:val="13"/>
                <w:szCs w:val="13"/>
              </w:rPr>
              <w:t>(вкл. начина на получаване на предложението)</w:t>
            </w:r>
          </w:p>
        </w:tc>
        <w:tc>
          <w:tcPr>
            <w:tcW w:w="5475" w:type="dxa"/>
            <w:tcBorders>
              <w:top w:val="single" w:sz="24" w:space="0" w:color="2E74B5"/>
              <w:left w:val="single" w:sz="12" w:space="0" w:color="2E74B5"/>
              <w:bottom w:val="single" w:sz="24" w:space="0" w:color="2E74B5"/>
              <w:right w:val="single" w:sz="12" w:space="0" w:color="2E74B5"/>
            </w:tcBorders>
            <w:shd w:val="clear" w:color="auto" w:fill="DEEAF6"/>
            <w:vAlign w:val="center"/>
          </w:tcPr>
          <w:p w:rsidR="007D0AFE" w:rsidRPr="007D0AFE" w:rsidRDefault="007D0AFE" w:rsidP="004F669B">
            <w:pPr>
              <w:jc w:val="center"/>
              <w:rPr>
                <w:rFonts w:ascii="Verdana" w:hAnsi="Verdana"/>
                <w:b/>
                <w:sz w:val="18"/>
                <w:szCs w:val="18"/>
              </w:rPr>
            </w:pPr>
            <w:r w:rsidRPr="007D0AFE">
              <w:rPr>
                <w:rFonts w:ascii="Verdana" w:hAnsi="Verdana"/>
                <w:b/>
                <w:sz w:val="18"/>
                <w:szCs w:val="18"/>
              </w:rPr>
              <w:t>Предложения и становища</w:t>
            </w:r>
          </w:p>
        </w:tc>
        <w:tc>
          <w:tcPr>
            <w:tcW w:w="1559" w:type="dxa"/>
            <w:tcBorders>
              <w:top w:val="single" w:sz="24" w:space="0" w:color="2E74B5"/>
              <w:left w:val="single" w:sz="12" w:space="0" w:color="2E74B5"/>
              <w:bottom w:val="single" w:sz="24" w:space="0" w:color="2E74B5"/>
              <w:right w:val="single" w:sz="12" w:space="0" w:color="2E74B5"/>
            </w:tcBorders>
            <w:shd w:val="clear" w:color="auto" w:fill="DEEAF6"/>
            <w:vAlign w:val="center"/>
          </w:tcPr>
          <w:p w:rsidR="007D0AFE" w:rsidRPr="007D0AFE" w:rsidRDefault="007D0AFE" w:rsidP="004F669B">
            <w:pPr>
              <w:jc w:val="center"/>
              <w:rPr>
                <w:rFonts w:ascii="Verdana" w:hAnsi="Verdana"/>
                <w:b/>
                <w:sz w:val="18"/>
                <w:szCs w:val="18"/>
              </w:rPr>
            </w:pPr>
            <w:r w:rsidRPr="007D0AFE">
              <w:rPr>
                <w:rFonts w:ascii="Verdana" w:hAnsi="Verdana"/>
                <w:b/>
                <w:sz w:val="18"/>
                <w:szCs w:val="18"/>
              </w:rPr>
              <w:t>Приети/</w:t>
            </w:r>
          </w:p>
          <w:p w:rsidR="007D0AFE" w:rsidRPr="007D0AFE" w:rsidRDefault="007D0AFE" w:rsidP="004F669B">
            <w:pPr>
              <w:jc w:val="center"/>
              <w:rPr>
                <w:rFonts w:ascii="Verdana" w:hAnsi="Verdana"/>
                <w:b/>
                <w:sz w:val="18"/>
                <w:szCs w:val="18"/>
              </w:rPr>
            </w:pPr>
            <w:r w:rsidRPr="007D0AFE">
              <w:rPr>
                <w:rFonts w:ascii="Verdana" w:hAnsi="Verdana"/>
                <w:b/>
                <w:sz w:val="18"/>
                <w:szCs w:val="18"/>
              </w:rPr>
              <w:t>неприети</w:t>
            </w:r>
          </w:p>
        </w:tc>
        <w:tc>
          <w:tcPr>
            <w:tcW w:w="4964" w:type="dxa"/>
            <w:tcBorders>
              <w:top w:val="single" w:sz="24" w:space="0" w:color="2E74B5"/>
              <w:left w:val="single" w:sz="12" w:space="0" w:color="2E74B5"/>
              <w:bottom w:val="single" w:sz="24" w:space="0" w:color="2E74B5"/>
              <w:right w:val="single" w:sz="24" w:space="0" w:color="2E74B5"/>
            </w:tcBorders>
            <w:shd w:val="clear" w:color="auto" w:fill="DEEAF6"/>
            <w:vAlign w:val="center"/>
          </w:tcPr>
          <w:p w:rsidR="007D0AFE" w:rsidRPr="007D0AFE" w:rsidRDefault="007D0AFE" w:rsidP="004F669B">
            <w:pPr>
              <w:jc w:val="center"/>
              <w:rPr>
                <w:rFonts w:ascii="Verdana" w:hAnsi="Verdana"/>
                <w:sz w:val="18"/>
                <w:szCs w:val="18"/>
              </w:rPr>
            </w:pPr>
            <w:r w:rsidRPr="007D0AFE">
              <w:rPr>
                <w:rFonts w:ascii="Verdana" w:hAnsi="Verdana"/>
                <w:b/>
                <w:sz w:val="18"/>
                <w:szCs w:val="18"/>
              </w:rPr>
              <w:t>Мотиви</w:t>
            </w:r>
          </w:p>
        </w:tc>
      </w:tr>
      <w:tr w:rsidR="007D0AFE" w:rsidRPr="007D0AFE" w:rsidTr="007E1EE7">
        <w:trPr>
          <w:trHeight w:val="596"/>
        </w:trPr>
        <w:tc>
          <w:tcPr>
            <w:tcW w:w="622" w:type="dxa"/>
            <w:vMerge w:val="restart"/>
            <w:tcBorders>
              <w:top w:val="single" w:sz="24" w:space="0" w:color="2E74B5"/>
              <w:left w:val="single" w:sz="24" w:space="0" w:color="2E74B5"/>
              <w:bottom w:val="single" w:sz="18" w:space="0" w:color="2E74B5"/>
              <w:right w:val="single" w:sz="12" w:space="0" w:color="2E74B5"/>
            </w:tcBorders>
            <w:shd w:val="clear" w:color="auto" w:fill="auto"/>
          </w:tcPr>
          <w:p w:rsidR="007D0AFE" w:rsidRPr="007D0AFE" w:rsidRDefault="007D0AFE" w:rsidP="004F669B">
            <w:pPr>
              <w:pStyle w:val="ListParagraph"/>
              <w:numPr>
                <w:ilvl w:val="0"/>
                <w:numId w:val="6"/>
              </w:numPr>
              <w:tabs>
                <w:tab w:val="left" w:pos="192"/>
              </w:tabs>
              <w:jc w:val="center"/>
              <w:rPr>
                <w:rFonts w:ascii="Verdana" w:hAnsi="Verdana"/>
                <w:b/>
                <w:sz w:val="22"/>
                <w:szCs w:val="22"/>
              </w:rPr>
            </w:pPr>
          </w:p>
        </w:tc>
        <w:tc>
          <w:tcPr>
            <w:tcW w:w="3030" w:type="dxa"/>
            <w:vMerge w:val="restart"/>
            <w:tcBorders>
              <w:top w:val="single" w:sz="24" w:space="0" w:color="2E74B5"/>
              <w:left w:val="single" w:sz="12" w:space="0" w:color="2E74B5"/>
              <w:bottom w:val="single" w:sz="18" w:space="0" w:color="2E74B5"/>
              <w:right w:val="single" w:sz="18" w:space="0" w:color="2E74B5"/>
            </w:tcBorders>
            <w:shd w:val="clear" w:color="auto" w:fill="auto"/>
          </w:tcPr>
          <w:p w:rsidR="00C016BC" w:rsidRPr="00C016BC" w:rsidRDefault="00C016BC" w:rsidP="00C016BC">
            <w:pPr>
              <w:rPr>
                <w:rFonts w:ascii="Verdana" w:hAnsi="Verdana"/>
                <w:sz w:val="20"/>
                <w:szCs w:val="20"/>
              </w:rPr>
            </w:pPr>
            <w:proofErr w:type="spellStart"/>
            <w:r w:rsidRPr="00C016BC">
              <w:rPr>
                <w:rFonts w:ascii="Verdana" w:hAnsi="Verdana"/>
                <w:b/>
                <w:sz w:val="20"/>
                <w:szCs w:val="20"/>
              </w:rPr>
              <w:t>tzviatkov</w:t>
            </w:r>
            <w:proofErr w:type="spellEnd"/>
            <w:r w:rsidRPr="00C016BC">
              <w:rPr>
                <w:rFonts w:ascii="Verdana" w:hAnsi="Verdana"/>
                <w:b/>
                <w:sz w:val="20"/>
                <w:szCs w:val="20"/>
              </w:rPr>
              <w:t xml:space="preserve"> </w:t>
            </w:r>
            <w:r w:rsidRPr="00C016BC">
              <w:rPr>
                <w:rFonts w:ascii="Verdana" w:hAnsi="Verdana"/>
                <w:sz w:val="20"/>
                <w:szCs w:val="20"/>
              </w:rPr>
              <w:t xml:space="preserve">– </w:t>
            </w:r>
          </w:p>
          <w:p w:rsidR="007D0AFE" w:rsidRPr="00C016BC" w:rsidRDefault="00C016BC" w:rsidP="00C016BC">
            <w:pPr>
              <w:rPr>
                <w:rFonts w:ascii="Verdana" w:hAnsi="Verdana"/>
                <w:sz w:val="22"/>
                <w:szCs w:val="22"/>
              </w:rPr>
            </w:pPr>
            <w:r w:rsidRPr="00C016BC">
              <w:rPr>
                <w:rFonts w:ascii="Verdana" w:hAnsi="Verdana"/>
                <w:sz w:val="20"/>
                <w:szCs w:val="20"/>
              </w:rPr>
              <w:t>получено на Портала</w:t>
            </w:r>
            <w:r w:rsidR="00CE5DE2">
              <w:rPr>
                <w:rFonts w:ascii="Verdana" w:hAnsi="Verdana"/>
                <w:sz w:val="20"/>
                <w:szCs w:val="20"/>
              </w:rPr>
              <w:t xml:space="preserve"> за обществена консултация на 07</w:t>
            </w:r>
            <w:r>
              <w:rPr>
                <w:rFonts w:ascii="Verdana" w:hAnsi="Verdana"/>
                <w:sz w:val="20"/>
                <w:szCs w:val="20"/>
              </w:rPr>
              <w:t>.05.2024</w:t>
            </w:r>
            <w:r w:rsidRPr="00C016BC">
              <w:rPr>
                <w:rFonts w:ascii="Verdana" w:hAnsi="Verdana"/>
                <w:sz w:val="20"/>
                <w:szCs w:val="20"/>
              </w:rPr>
              <w:t xml:space="preserve"> г.</w:t>
            </w:r>
          </w:p>
        </w:tc>
        <w:tc>
          <w:tcPr>
            <w:tcW w:w="5475" w:type="dxa"/>
            <w:tcBorders>
              <w:top w:val="single" w:sz="24" w:space="0" w:color="2E74B5"/>
              <w:left w:val="single" w:sz="18" w:space="0" w:color="2E74B5"/>
              <w:bottom w:val="nil"/>
              <w:right w:val="single" w:sz="12" w:space="0" w:color="2E74B5"/>
            </w:tcBorders>
            <w:shd w:val="clear" w:color="auto" w:fill="auto"/>
          </w:tcPr>
          <w:p w:rsidR="00C016BC"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 xml:space="preserve">§ 1. В чл. 8, ал. 2, т. 13 накрая </w:t>
            </w:r>
            <w:proofErr w:type="spellStart"/>
            <w:r w:rsidRPr="00C016BC">
              <w:rPr>
                <w:rFonts w:ascii="Verdana" w:hAnsi="Verdana"/>
                <w:sz w:val="20"/>
                <w:szCs w:val="20"/>
              </w:rPr>
              <w:t>сe</w:t>
            </w:r>
            <w:proofErr w:type="spellEnd"/>
            <w:r w:rsidRPr="00C016BC">
              <w:rPr>
                <w:rFonts w:ascii="Verdana" w:hAnsi="Verdana"/>
                <w:sz w:val="20"/>
                <w:szCs w:val="20"/>
              </w:rPr>
              <w:t xml:space="preserve"> добавя „както и за парцели засадени преди по-малко от 3 години преди подаване на заявлението за предоставяне на финансова помощ, за които не са подавани декларации за всяка от годините след подадено в ИАЛВ уведомление за извършено засаждане по издадено разрешение за нови лозови насаждения или уведомление за извършено </w:t>
            </w:r>
            <w:proofErr w:type="spellStart"/>
            <w:r w:rsidRPr="00C016BC">
              <w:rPr>
                <w:rFonts w:ascii="Verdana" w:hAnsi="Verdana"/>
                <w:sz w:val="20"/>
                <w:szCs w:val="20"/>
              </w:rPr>
              <w:t>презасаждане</w:t>
            </w:r>
            <w:proofErr w:type="spellEnd"/>
            <w:r w:rsidRPr="00C016BC">
              <w:rPr>
                <w:rFonts w:ascii="Verdana" w:hAnsi="Verdana"/>
                <w:sz w:val="20"/>
                <w:szCs w:val="20"/>
              </w:rPr>
              <w:t>/присаждане“.</w:t>
            </w:r>
          </w:p>
          <w:p w:rsidR="00C016BC" w:rsidRPr="00C016BC"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Текущо съдържание е:</w:t>
            </w:r>
          </w:p>
          <w:p w:rsidR="00C016BC" w:rsidRPr="00C016BC"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Чл. 8. (1) Недопустими за подпомагане са следните дейности:</w:t>
            </w:r>
          </w:p>
          <w:p w:rsidR="00C016BC" w:rsidRPr="00C016BC"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(2) Финансова помощ не се предоставя за:</w:t>
            </w:r>
          </w:p>
          <w:p w:rsidR="007E1EE7"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13. парцели с винени лозя, за които не са подавани годишни декларации за реколта през последните 3 години преди подаване на заявлението за предоставяне на финансова помощ;</w:t>
            </w:r>
          </w:p>
          <w:p w:rsidR="00C016BC" w:rsidRPr="00A909B5" w:rsidRDefault="00C016BC" w:rsidP="00C016BC">
            <w:pPr>
              <w:pStyle w:val="NormalWeb"/>
              <w:spacing w:before="0" w:beforeAutospacing="0" w:after="0" w:afterAutospacing="0"/>
              <w:jc w:val="both"/>
              <w:rPr>
                <w:rFonts w:ascii="Verdana" w:hAnsi="Verdana"/>
                <w:sz w:val="20"/>
                <w:szCs w:val="20"/>
              </w:rPr>
            </w:pPr>
            <w:r w:rsidRPr="00A909B5">
              <w:rPr>
                <w:rStyle w:val="Strong"/>
                <w:rFonts w:ascii="Verdana" w:hAnsi="Verdana"/>
                <w:sz w:val="20"/>
                <w:szCs w:val="20"/>
              </w:rPr>
              <w:t>ПРЕДЛОЖЕНИЕ:</w:t>
            </w:r>
          </w:p>
          <w:p w:rsidR="00C016BC" w:rsidRPr="00C016BC"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Параграфът да отпадне.</w:t>
            </w:r>
          </w:p>
          <w:p w:rsidR="00C016BC" w:rsidRPr="00C016BC" w:rsidRDefault="00C016BC" w:rsidP="00C016BC">
            <w:pPr>
              <w:pStyle w:val="NormalWeb"/>
              <w:spacing w:before="0" w:beforeAutospacing="0" w:after="0" w:afterAutospacing="0"/>
              <w:jc w:val="both"/>
              <w:rPr>
                <w:rFonts w:ascii="Verdana" w:hAnsi="Verdana"/>
                <w:sz w:val="20"/>
                <w:szCs w:val="20"/>
              </w:rPr>
            </w:pPr>
            <w:r w:rsidRPr="00C016BC">
              <w:rPr>
                <w:rStyle w:val="Strong"/>
                <w:rFonts w:ascii="Verdana" w:hAnsi="Verdana"/>
                <w:sz w:val="20"/>
                <w:szCs w:val="20"/>
              </w:rPr>
              <w:t>ОСНОВАНИЕ:</w:t>
            </w:r>
          </w:p>
          <w:p w:rsidR="00C016BC" w:rsidRPr="00C016BC"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lastRenderedPageBreak/>
              <w:t>Липсват мотиви в проекта на доклад към НИД, с които да е мотивиран предложения параграф.</w:t>
            </w:r>
          </w:p>
          <w:p w:rsidR="00C016BC" w:rsidRPr="00C016BC"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Не е ясна причината за предлагане на параграфа.</w:t>
            </w:r>
          </w:p>
          <w:p w:rsidR="00C016BC" w:rsidRPr="00C016BC"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Не е ясен обхвата на субектите, които ще попаднат в този обхват и най- вече тези, които са кандидатствали през 2023г., което би ги направило недопустими кандидати с този текст в наредбата, който е приет след приключване на приема и те не са били наясно с това „бъдещо“ условие. Конкретно за последните параграфът води до загуба на финансови средства под формата на услуги и време, които са вложи в подготовката на тези проекти, а липсва такава финансова оценка в проекта на доклада.</w:t>
            </w:r>
          </w:p>
          <w:p w:rsidR="00C016BC" w:rsidRPr="00C016BC"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 xml:space="preserve">В предложения текст не е уточнено коя е „декларацията“, като няма поне препратка към декларация за реколта, ако се има в предвид нея. </w:t>
            </w:r>
            <w:proofErr w:type="spellStart"/>
            <w:r w:rsidRPr="00C016BC">
              <w:rPr>
                <w:rFonts w:ascii="Verdana" w:hAnsi="Verdana"/>
                <w:sz w:val="20"/>
                <w:szCs w:val="20"/>
              </w:rPr>
              <w:t>Гроздопроизводителите</w:t>
            </w:r>
            <w:proofErr w:type="spellEnd"/>
            <w:r w:rsidRPr="00C016BC">
              <w:rPr>
                <w:rFonts w:ascii="Verdana" w:hAnsi="Verdana"/>
                <w:sz w:val="20"/>
                <w:szCs w:val="20"/>
              </w:rPr>
              <w:t xml:space="preserve"> подават повече от една декларация във връзка със своята дейност.</w:t>
            </w:r>
          </w:p>
          <w:p w:rsidR="00C016BC" w:rsidRPr="00C016BC"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Декларацията за реколта се подава на основание член 33 на Регламент (ЕС) 2018/273, който е със следното съдържание:</w:t>
            </w:r>
          </w:p>
          <w:p w:rsidR="00C016BC" w:rsidRPr="00C016BC"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Член 33 Декларации за реколтата</w:t>
            </w:r>
          </w:p>
          <w:p w:rsidR="00C016BC" w:rsidRPr="00C016BC"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Държавите членки могат да изискват всички лица, прибиращи реколтата или, въз основа на обективни и недискриминационни критерии — някои от тях, да подават декларация за реколтата до компетентните органи по отношение на лозарската година, в която е била прибрана съответната реколта.</w:t>
            </w:r>
          </w:p>
          <w:p w:rsidR="00C016BC" w:rsidRPr="00C016BC"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Членът ясно сочи към лица, които прибират реколта и не сочи към всички лица, които отглеждат винени лозя.</w:t>
            </w:r>
          </w:p>
          <w:p w:rsidR="00C016BC" w:rsidRPr="00C016BC"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В ЗВСН е наличен текст</w:t>
            </w:r>
          </w:p>
          <w:p w:rsidR="00C016BC" w:rsidRPr="00C016BC"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Раздел II. Декларации</w:t>
            </w:r>
          </w:p>
          <w:p w:rsidR="00C016BC" w:rsidRPr="00C016BC"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 xml:space="preserve">Чл. 42. Ежегодно в срок до 15 януари производителите на винено грозде подават пред </w:t>
            </w:r>
            <w:r w:rsidRPr="00C016BC">
              <w:rPr>
                <w:rFonts w:ascii="Verdana" w:hAnsi="Verdana"/>
                <w:sz w:val="20"/>
                <w:szCs w:val="20"/>
              </w:rPr>
              <w:lastRenderedPageBreak/>
              <w:t>териториалното звено на ИАЛВ декларация за реколтата от грозде за текущата винарска година.</w:t>
            </w:r>
          </w:p>
          <w:p w:rsidR="00C016BC" w:rsidRPr="00C016BC"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Членът ясно сочи към лица, които са производители на винено грозде и не сочи към всички лица, които отглеждат винени лозя.</w:t>
            </w:r>
          </w:p>
          <w:p w:rsidR="00C016BC" w:rsidRPr="00C016BC"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Като не отчитам, че в регламента е посочено „прибират реколта“, а в закона липсва този текст, и като анализиран двата текста в тесния обхват на регламента спрямо субектите, които трябва да подават декларацията за реколта, предложеният параграф от МЗХ създава допълнителна административна тежест върху кандидати по интервенцията, ежегодно да подават „нулеви“ декларации за да бъдат допустими по интервенцията и то в бъдещ период, след влизане в сила на изменението.</w:t>
            </w:r>
          </w:p>
          <w:p w:rsidR="007D0AFE" w:rsidRPr="00C016BC" w:rsidRDefault="00C016BC" w:rsidP="007E1EE7">
            <w:pPr>
              <w:pStyle w:val="NormalWeb"/>
              <w:spacing w:before="0" w:beforeAutospacing="0" w:after="120" w:afterAutospacing="0"/>
              <w:jc w:val="both"/>
              <w:rPr>
                <w:rFonts w:ascii="Verdana" w:hAnsi="Verdana"/>
                <w:sz w:val="20"/>
                <w:szCs w:val="20"/>
              </w:rPr>
            </w:pPr>
            <w:r w:rsidRPr="00C016BC">
              <w:rPr>
                <w:rFonts w:ascii="Verdana" w:hAnsi="Verdana"/>
                <w:sz w:val="20"/>
                <w:szCs w:val="20"/>
              </w:rPr>
              <w:t>Засегнатите субекти от предложения параграф не са били наясно с бъдещото му „разширеното“ тълкуване от МЗХ и стават недопустими за кандидатстване през следващите три години, след влизане в сила на изменението. Липсва краткосрочна и средносрочна предвидимост на икономическата среда за тази дейност.</w:t>
            </w:r>
          </w:p>
        </w:tc>
        <w:tc>
          <w:tcPr>
            <w:tcW w:w="1559" w:type="dxa"/>
            <w:tcBorders>
              <w:top w:val="single" w:sz="24" w:space="0" w:color="2E74B5"/>
              <w:left w:val="single" w:sz="12" w:space="0" w:color="2E74B5"/>
              <w:bottom w:val="nil"/>
              <w:right w:val="single" w:sz="12" w:space="0" w:color="2E74B5"/>
            </w:tcBorders>
            <w:shd w:val="clear" w:color="auto" w:fill="auto"/>
          </w:tcPr>
          <w:p w:rsidR="007D0AFE" w:rsidRPr="00BA6DBE" w:rsidRDefault="00D00E7F" w:rsidP="004F669B">
            <w:pPr>
              <w:rPr>
                <w:rFonts w:ascii="Verdana" w:hAnsi="Verdana"/>
                <w:sz w:val="20"/>
                <w:szCs w:val="20"/>
              </w:rPr>
            </w:pPr>
            <w:r w:rsidRPr="00BA6DBE">
              <w:rPr>
                <w:rFonts w:ascii="Verdana" w:hAnsi="Verdana"/>
                <w:sz w:val="20"/>
                <w:szCs w:val="20"/>
              </w:rPr>
              <w:lastRenderedPageBreak/>
              <w:t>Приема се частично</w:t>
            </w:r>
          </w:p>
        </w:tc>
        <w:tc>
          <w:tcPr>
            <w:tcW w:w="4964" w:type="dxa"/>
            <w:tcBorders>
              <w:top w:val="single" w:sz="24" w:space="0" w:color="2E74B5"/>
              <w:left w:val="single" w:sz="12" w:space="0" w:color="2E74B5"/>
              <w:bottom w:val="nil"/>
              <w:right w:val="single" w:sz="24" w:space="0" w:color="2E74B5"/>
            </w:tcBorders>
            <w:shd w:val="clear" w:color="auto" w:fill="auto"/>
          </w:tcPr>
          <w:p w:rsidR="007D0AFE" w:rsidRPr="00BA6DBE" w:rsidRDefault="00D00E7F" w:rsidP="004F669B">
            <w:pPr>
              <w:rPr>
                <w:rFonts w:ascii="Verdana" w:hAnsi="Verdana"/>
                <w:sz w:val="20"/>
                <w:szCs w:val="20"/>
              </w:rPr>
            </w:pPr>
            <w:r w:rsidRPr="00BA6DBE">
              <w:rPr>
                <w:rFonts w:ascii="Verdana" w:hAnsi="Verdana"/>
                <w:sz w:val="20"/>
                <w:szCs w:val="20"/>
              </w:rPr>
              <w:t>Текстът е редактира</w:t>
            </w:r>
            <w:r w:rsidR="00F55671" w:rsidRPr="00BA6DBE">
              <w:rPr>
                <w:rFonts w:ascii="Verdana" w:hAnsi="Verdana"/>
                <w:sz w:val="20"/>
                <w:szCs w:val="20"/>
              </w:rPr>
              <w:t>н</w:t>
            </w:r>
            <w:r w:rsidRPr="00BA6DBE">
              <w:rPr>
                <w:rFonts w:ascii="Verdana" w:hAnsi="Verdana"/>
                <w:sz w:val="20"/>
                <w:szCs w:val="20"/>
              </w:rPr>
              <w:t xml:space="preserve"> и съобразен със ЗВСН.</w:t>
            </w:r>
          </w:p>
        </w:tc>
      </w:tr>
      <w:tr w:rsidR="007D0AFE" w:rsidRPr="007D0AFE" w:rsidTr="007E1EE7">
        <w:trPr>
          <w:trHeight w:val="596"/>
        </w:trPr>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7D0AFE" w:rsidRPr="007D0AFE" w:rsidRDefault="007D0AFE" w:rsidP="007D0AFE">
            <w:pPr>
              <w:numPr>
                <w:ilvl w:val="0"/>
                <w:numId w:val="5"/>
              </w:numPr>
              <w:tabs>
                <w:tab w:val="left" w:pos="192"/>
              </w:tabs>
              <w:ind w:left="0" w:firstLine="0"/>
              <w:jc w:val="center"/>
              <w:rPr>
                <w:rFonts w:ascii="Verdana" w:hAnsi="Verdana"/>
                <w:b/>
                <w:sz w:val="22"/>
                <w:szCs w:val="22"/>
              </w:rPr>
            </w:pPr>
          </w:p>
        </w:tc>
        <w:tc>
          <w:tcPr>
            <w:tcW w:w="3030" w:type="dxa"/>
            <w:vMerge/>
            <w:tcBorders>
              <w:top w:val="single" w:sz="12" w:space="0" w:color="2E74B5"/>
              <w:left w:val="single" w:sz="12" w:space="0" w:color="2E74B5"/>
              <w:bottom w:val="single" w:sz="24" w:space="0" w:color="2E74B5"/>
              <w:right w:val="single" w:sz="18" w:space="0" w:color="2E74B5"/>
            </w:tcBorders>
            <w:shd w:val="clear" w:color="auto" w:fill="auto"/>
          </w:tcPr>
          <w:p w:rsidR="007D0AFE" w:rsidRPr="007D0AFE" w:rsidRDefault="007D0AFE" w:rsidP="004F669B">
            <w:pPr>
              <w:rPr>
                <w:rFonts w:ascii="Verdana" w:hAnsi="Verdana"/>
                <w:b/>
                <w:sz w:val="22"/>
                <w:szCs w:val="22"/>
              </w:rPr>
            </w:pPr>
          </w:p>
        </w:tc>
        <w:tc>
          <w:tcPr>
            <w:tcW w:w="5475" w:type="dxa"/>
            <w:tcBorders>
              <w:top w:val="nil"/>
              <w:left w:val="single" w:sz="18" w:space="0" w:color="2E74B5"/>
              <w:bottom w:val="single" w:sz="24" w:space="0" w:color="2E74B5"/>
              <w:right w:val="single" w:sz="12" w:space="0" w:color="2E74B5"/>
            </w:tcBorders>
            <w:shd w:val="clear" w:color="auto" w:fill="auto"/>
          </w:tcPr>
          <w:p w:rsidR="00C016BC" w:rsidRPr="00C016BC" w:rsidRDefault="00C016BC" w:rsidP="007E1EE7">
            <w:pPr>
              <w:pStyle w:val="NormalWeb"/>
              <w:spacing w:before="0" w:beforeAutospacing="0" w:after="0" w:afterAutospacing="0"/>
              <w:jc w:val="both"/>
              <w:rPr>
                <w:rFonts w:ascii="Verdana" w:hAnsi="Verdana"/>
                <w:sz w:val="20"/>
                <w:szCs w:val="20"/>
              </w:rPr>
            </w:pPr>
            <w:r w:rsidRPr="00C016BC">
              <w:rPr>
                <w:rFonts w:ascii="Verdana" w:hAnsi="Verdana"/>
                <w:sz w:val="20"/>
                <w:szCs w:val="20"/>
              </w:rPr>
              <w:t>§ 2. В чл. 16, ал. 3 думите „10 работни дни преди края“ се заменят с „15 септември“.</w:t>
            </w:r>
          </w:p>
          <w:p w:rsidR="00C016BC" w:rsidRPr="00C016BC"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Текущо съдържание на:</w:t>
            </w:r>
          </w:p>
          <w:p w:rsidR="007E1EE7" w:rsidRPr="00C016BC"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 xml:space="preserve">чл. 16, ал. 3 е „(3) До два месеца след подписване на договора за предоставяне на финансова помощ, но не по-късно от 10 работни дни преди края на съответната финансова година, ползвателите на финансова помощ прикачат в системата сканирани или подписани с КЕП </w:t>
            </w:r>
            <w:proofErr w:type="spellStart"/>
            <w:r w:rsidRPr="00C016BC">
              <w:rPr>
                <w:rFonts w:ascii="Verdana" w:hAnsi="Verdana"/>
                <w:sz w:val="20"/>
                <w:szCs w:val="20"/>
              </w:rPr>
              <w:t>разходооправдателни</w:t>
            </w:r>
            <w:proofErr w:type="spellEnd"/>
            <w:r w:rsidRPr="00C016BC">
              <w:rPr>
                <w:rFonts w:ascii="Verdana" w:hAnsi="Verdana"/>
                <w:sz w:val="20"/>
                <w:szCs w:val="20"/>
              </w:rPr>
              <w:t xml:space="preserve"> документи (фактури, платежни нареждания и банкови извлечения, заверени от банката) и предоставят в оригинал банкова гаранция, учредена в полза на ДФЗ, в </w:t>
            </w:r>
            <w:r w:rsidRPr="00C016BC">
              <w:rPr>
                <w:rFonts w:ascii="Verdana" w:hAnsi="Verdana"/>
                <w:sz w:val="20"/>
                <w:szCs w:val="20"/>
              </w:rPr>
              <w:lastRenderedPageBreak/>
              <w:t>размер 110 на сто от исканата за авансово изплащане сума, със срок на валидност не по-малко от 4 месеца след изтичане на срока за изпълнение на всички дейности по договор.“</w:t>
            </w:r>
          </w:p>
          <w:p w:rsidR="00C016BC" w:rsidRPr="00C016BC" w:rsidRDefault="00C016BC" w:rsidP="00C016BC">
            <w:pPr>
              <w:pStyle w:val="NormalWeb"/>
              <w:spacing w:before="0" w:beforeAutospacing="0" w:after="0" w:afterAutospacing="0"/>
              <w:jc w:val="both"/>
              <w:rPr>
                <w:rFonts w:ascii="Verdana" w:hAnsi="Verdana"/>
                <w:b/>
                <w:sz w:val="20"/>
                <w:szCs w:val="20"/>
              </w:rPr>
            </w:pPr>
            <w:r w:rsidRPr="00C016BC">
              <w:rPr>
                <w:rFonts w:ascii="Verdana" w:hAnsi="Verdana"/>
                <w:b/>
                <w:sz w:val="20"/>
                <w:szCs w:val="20"/>
              </w:rPr>
              <w:t>ПРЕДЛОЖЕНИЕ:</w:t>
            </w:r>
          </w:p>
          <w:p w:rsidR="007E1EE7"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Параграфът да отпадне.</w:t>
            </w:r>
          </w:p>
          <w:p w:rsidR="00C016BC" w:rsidRPr="00C016BC" w:rsidRDefault="00C016BC" w:rsidP="00C016BC">
            <w:pPr>
              <w:pStyle w:val="NormalWeb"/>
              <w:spacing w:before="0" w:beforeAutospacing="0" w:after="0" w:afterAutospacing="0"/>
              <w:jc w:val="both"/>
              <w:rPr>
                <w:rFonts w:ascii="Verdana" w:hAnsi="Verdana"/>
                <w:b/>
                <w:sz w:val="20"/>
                <w:szCs w:val="20"/>
              </w:rPr>
            </w:pPr>
            <w:r w:rsidRPr="00C016BC">
              <w:rPr>
                <w:rFonts w:ascii="Verdana" w:hAnsi="Verdana"/>
                <w:b/>
                <w:sz w:val="20"/>
                <w:szCs w:val="20"/>
              </w:rPr>
              <w:t>ОСНОВАНИЕ:</w:t>
            </w:r>
          </w:p>
          <w:p w:rsidR="00C016BC" w:rsidRPr="00C016BC"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Липсват мотиви и обосновка защо с предложението се намалява времето, с което разполагат кандидатите за предоставя документите.</w:t>
            </w:r>
          </w:p>
          <w:p w:rsidR="00C016BC" w:rsidRPr="00C016BC"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Определението за „Финансова година" е „годината, започваща на 16 октомври в предходната година и завършваща на 15 октомври в тек</w:t>
            </w:r>
            <w:r>
              <w:rPr>
                <w:rFonts w:ascii="Verdana" w:hAnsi="Verdana"/>
                <w:sz w:val="20"/>
                <w:szCs w:val="20"/>
              </w:rPr>
              <w:t>ущата година.“</w:t>
            </w:r>
          </w:p>
          <w:p w:rsidR="00C016BC" w:rsidRPr="00C016BC"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Реално 10 работни дни съвпадат с началото на месец октомври, което е с 15 дни повече спрямо новия срок по предложения параграф.</w:t>
            </w:r>
          </w:p>
          <w:p w:rsidR="00C016BC" w:rsidRPr="00C016BC" w:rsidRDefault="00C016BC" w:rsidP="00C016BC">
            <w:pPr>
              <w:pStyle w:val="NormalWeb"/>
              <w:spacing w:before="0" w:beforeAutospacing="0" w:after="0" w:afterAutospacing="0"/>
              <w:jc w:val="both"/>
              <w:rPr>
                <w:rFonts w:ascii="Verdana" w:hAnsi="Verdana"/>
                <w:sz w:val="20"/>
                <w:szCs w:val="20"/>
              </w:rPr>
            </w:pPr>
            <w:r>
              <w:rPr>
                <w:rFonts w:ascii="Verdana" w:hAnsi="Verdana"/>
                <w:sz w:val="20"/>
                <w:szCs w:val="20"/>
              </w:rPr>
              <w:t xml:space="preserve">От 2014г. </w:t>
            </w:r>
            <w:r w:rsidRPr="00C016BC">
              <w:rPr>
                <w:rFonts w:ascii="Verdana" w:hAnsi="Verdana"/>
                <w:sz w:val="20"/>
                <w:szCs w:val="20"/>
              </w:rPr>
              <w:t>до 2023г. срокът за обработка на заявленията за кандидатстване е увеличен от 60 работни дни на 90 календарни дни, а с параграфа се намалява времето за подготовка на Кандидата!</w:t>
            </w:r>
          </w:p>
          <w:p w:rsidR="007D0AFE" w:rsidRPr="00C016BC" w:rsidRDefault="00C016BC" w:rsidP="00C016BC">
            <w:pPr>
              <w:pStyle w:val="NormalWeb"/>
              <w:spacing w:before="0" w:beforeAutospacing="0" w:after="0" w:afterAutospacing="0"/>
              <w:jc w:val="both"/>
              <w:rPr>
                <w:rFonts w:ascii="Verdana" w:hAnsi="Verdana"/>
                <w:sz w:val="20"/>
                <w:szCs w:val="20"/>
              </w:rPr>
            </w:pPr>
            <w:r w:rsidRPr="00C016BC">
              <w:rPr>
                <w:rFonts w:ascii="Verdana" w:hAnsi="Verdana"/>
                <w:sz w:val="20"/>
                <w:szCs w:val="20"/>
              </w:rPr>
              <w:t>Допълнително МЗХ не прилага ограничение на ДФЗ с дата, до която може да провежда извънредни приеми по интервенцията, както е обявено за 2024г., с което реално допълнително може да съкрати срока за предоставяне на документите по алинеята, защото предхождащия срок е до 2 месеца от подписване на договора, а това означава от 1 ден до два месеца!</w:t>
            </w:r>
          </w:p>
        </w:tc>
        <w:tc>
          <w:tcPr>
            <w:tcW w:w="1559" w:type="dxa"/>
            <w:tcBorders>
              <w:top w:val="nil"/>
              <w:left w:val="single" w:sz="12" w:space="0" w:color="2E74B5"/>
              <w:bottom w:val="single" w:sz="24" w:space="0" w:color="2E74B5"/>
              <w:right w:val="single" w:sz="12" w:space="0" w:color="2E74B5"/>
            </w:tcBorders>
            <w:shd w:val="clear" w:color="auto" w:fill="auto"/>
          </w:tcPr>
          <w:p w:rsidR="007D0AFE" w:rsidRPr="00BA6DBE" w:rsidRDefault="00D00E7F" w:rsidP="004F669B">
            <w:pPr>
              <w:rPr>
                <w:rFonts w:ascii="Verdana" w:hAnsi="Verdana"/>
                <w:sz w:val="20"/>
                <w:szCs w:val="20"/>
              </w:rPr>
            </w:pPr>
            <w:r w:rsidRPr="00BA6DBE">
              <w:rPr>
                <w:rFonts w:ascii="Verdana" w:hAnsi="Verdana"/>
                <w:sz w:val="20"/>
                <w:szCs w:val="20"/>
              </w:rPr>
              <w:lastRenderedPageBreak/>
              <w:t>Приема се</w:t>
            </w:r>
          </w:p>
        </w:tc>
        <w:tc>
          <w:tcPr>
            <w:tcW w:w="4964" w:type="dxa"/>
            <w:tcBorders>
              <w:top w:val="nil"/>
              <w:left w:val="single" w:sz="12" w:space="0" w:color="2E74B5"/>
              <w:bottom w:val="single" w:sz="24" w:space="0" w:color="2E74B5"/>
              <w:right w:val="single" w:sz="24" w:space="0" w:color="2E74B5"/>
            </w:tcBorders>
            <w:shd w:val="clear" w:color="auto" w:fill="auto"/>
          </w:tcPr>
          <w:p w:rsidR="007D0AFE" w:rsidRPr="007D0AFE" w:rsidRDefault="007D0AFE" w:rsidP="004F669B">
            <w:pPr>
              <w:rPr>
                <w:rFonts w:ascii="Verdana" w:hAnsi="Verdana"/>
                <w:sz w:val="22"/>
                <w:szCs w:val="22"/>
              </w:rPr>
            </w:pPr>
          </w:p>
        </w:tc>
      </w:tr>
    </w:tbl>
    <w:p w:rsidR="007D0AFE" w:rsidRDefault="007D0AFE" w:rsidP="00B9154C">
      <w:pPr>
        <w:rPr>
          <w:rFonts w:ascii="Verdana" w:hAnsi="Verdana"/>
          <w:sz w:val="20"/>
          <w:szCs w:val="20"/>
        </w:rPr>
      </w:pPr>
    </w:p>
    <w:sectPr w:rsidR="007D0AFE" w:rsidSect="00EA28D4">
      <w:footerReference w:type="even" r:id="rId8"/>
      <w:footerReference w:type="default" r:id="rId9"/>
      <w:headerReference w:type="first" r:id="rId10"/>
      <w:pgSz w:w="16838" w:h="11906" w:orient="landscape" w:code="9"/>
      <w:pgMar w:top="1134" w:right="907" w:bottom="28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EB0" w:rsidRDefault="00D57EB0">
      <w:r>
        <w:separator/>
      </w:r>
    </w:p>
  </w:endnote>
  <w:endnote w:type="continuationSeparator" w:id="0">
    <w:p w:rsidR="00D57EB0" w:rsidRDefault="00D5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rFonts w:ascii="Verdana" w:hAnsi="Verdana"/>
        <w:noProof/>
        <w:sz w:val="18"/>
        <w:szCs w:val="18"/>
      </w:rPr>
    </w:sdtEndPr>
    <w:sdtContent>
      <w:p w:rsidR="00D56BB2" w:rsidRPr="00F22457" w:rsidRDefault="00D56BB2" w:rsidP="00D56BB2">
        <w:pPr>
          <w:pStyle w:val="Footer"/>
          <w:jc w:val="right"/>
          <w:rPr>
            <w:rFonts w:ascii="Verdana" w:hAnsi="Verdana"/>
            <w:sz w:val="18"/>
            <w:szCs w:val="18"/>
          </w:rPr>
        </w:pPr>
        <w:r w:rsidRPr="00F22457">
          <w:rPr>
            <w:rFonts w:ascii="Verdana" w:hAnsi="Verdana"/>
            <w:sz w:val="18"/>
            <w:szCs w:val="18"/>
          </w:rPr>
          <w:fldChar w:fldCharType="begin"/>
        </w:r>
        <w:r w:rsidRPr="00F22457">
          <w:rPr>
            <w:rFonts w:ascii="Verdana" w:hAnsi="Verdana"/>
            <w:sz w:val="18"/>
            <w:szCs w:val="18"/>
          </w:rPr>
          <w:instrText xml:space="preserve"> PAGE   \* MERGEFORMAT </w:instrText>
        </w:r>
        <w:r w:rsidRPr="00F22457">
          <w:rPr>
            <w:rFonts w:ascii="Verdana" w:hAnsi="Verdana"/>
            <w:sz w:val="18"/>
            <w:szCs w:val="18"/>
          </w:rPr>
          <w:fldChar w:fldCharType="separate"/>
        </w:r>
        <w:r w:rsidR="00B9154C">
          <w:rPr>
            <w:rFonts w:ascii="Verdana" w:hAnsi="Verdana"/>
            <w:noProof/>
            <w:sz w:val="18"/>
            <w:szCs w:val="18"/>
          </w:rPr>
          <w:t>2</w:t>
        </w:r>
        <w:r w:rsidRPr="00F22457">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EB0" w:rsidRDefault="00D57EB0">
      <w:r>
        <w:separator/>
      </w:r>
    </w:p>
  </w:footnote>
  <w:footnote w:type="continuationSeparator" w:id="0">
    <w:p w:rsidR="00D57EB0" w:rsidRDefault="00D57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11" w:rsidRPr="00896E11"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rPr>
    </w:pPr>
    <w:r w:rsidRPr="00896E11">
      <w:rPr>
        <w:rFonts w:ascii="Verdana" w:hAnsi="Verdana"/>
        <w:sz w:val="18"/>
        <w:szCs w:val="18"/>
      </w:rPr>
      <w:t>Класификация на информацията:</w:t>
    </w:r>
  </w:p>
  <w:p w:rsidR="00896E11" w:rsidRPr="00F22457"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896E11">
      <w:rPr>
        <w:rFonts w:ascii="Verdana" w:hAnsi="Verdana"/>
        <w:bCs/>
        <w:sz w:val="18"/>
        <w:szCs w:val="18"/>
      </w:rPr>
      <w:t>Ниво 0, TLP-</w:t>
    </w:r>
    <w:r w:rsidRPr="00896E11">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C3A"/>
    <w:multiLevelType w:val="multilevel"/>
    <w:tmpl w:val="098A458C"/>
    <w:lvl w:ilvl="0">
      <w:start w:val="1"/>
      <w:numFmt w:val="decimal"/>
      <w:suff w:val="space"/>
      <w:lvlText w:val="%1."/>
      <w:lvlJc w:val="right"/>
      <w:pPr>
        <w:ind w:left="28" w:firstLine="397"/>
      </w:pPr>
      <w:rPr>
        <w:rFonts w:hint="default"/>
      </w:rPr>
    </w:lvl>
    <w:lvl w:ilvl="1">
      <w:start w:val="1"/>
      <w:numFmt w:val="lowerLetter"/>
      <w:lvlText w:val="%2."/>
      <w:lvlJc w:val="left"/>
      <w:pPr>
        <w:ind w:left="1468" w:hanging="360"/>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5A9D"/>
    <w:rsid w:val="000B6AE5"/>
    <w:rsid w:val="000B6D57"/>
    <w:rsid w:val="000C46A7"/>
    <w:rsid w:val="000C5E61"/>
    <w:rsid w:val="000D4198"/>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7AA6"/>
    <w:rsid w:val="001808B4"/>
    <w:rsid w:val="0018509E"/>
    <w:rsid w:val="00191645"/>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264C4"/>
    <w:rsid w:val="00230E0E"/>
    <w:rsid w:val="00233C04"/>
    <w:rsid w:val="002348DC"/>
    <w:rsid w:val="002369C8"/>
    <w:rsid w:val="002375B3"/>
    <w:rsid w:val="00237A17"/>
    <w:rsid w:val="00241F4C"/>
    <w:rsid w:val="0024444A"/>
    <w:rsid w:val="00250B87"/>
    <w:rsid w:val="002536A8"/>
    <w:rsid w:val="00257983"/>
    <w:rsid w:val="00257BFA"/>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0E6C"/>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46856"/>
    <w:rsid w:val="00351063"/>
    <w:rsid w:val="00357018"/>
    <w:rsid w:val="003640F0"/>
    <w:rsid w:val="0037191E"/>
    <w:rsid w:val="00377A96"/>
    <w:rsid w:val="00377FE2"/>
    <w:rsid w:val="00384B8B"/>
    <w:rsid w:val="00387130"/>
    <w:rsid w:val="00387162"/>
    <w:rsid w:val="00395655"/>
    <w:rsid w:val="003A02F6"/>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468C"/>
    <w:rsid w:val="0046759A"/>
    <w:rsid w:val="004677F5"/>
    <w:rsid w:val="00467C52"/>
    <w:rsid w:val="004720AF"/>
    <w:rsid w:val="0047261C"/>
    <w:rsid w:val="004861AE"/>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5643"/>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570D3"/>
    <w:rsid w:val="006712A6"/>
    <w:rsid w:val="00671E4E"/>
    <w:rsid w:val="006740B7"/>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75FE"/>
    <w:rsid w:val="007516D1"/>
    <w:rsid w:val="00756290"/>
    <w:rsid w:val="00756A19"/>
    <w:rsid w:val="0076108C"/>
    <w:rsid w:val="00761B5E"/>
    <w:rsid w:val="0076408A"/>
    <w:rsid w:val="00774BE7"/>
    <w:rsid w:val="00777754"/>
    <w:rsid w:val="00780EAB"/>
    <w:rsid w:val="00781306"/>
    <w:rsid w:val="007836C8"/>
    <w:rsid w:val="007934F1"/>
    <w:rsid w:val="00794229"/>
    <w:rsid w:val="007A76C5"/>
    <w:rsid w:val="007B1141"/>
    <w:rsid w:val="007B24F7"/>
    <w:rsid w:val="007C6C8E"/>
    <w:rsid w:val="007D0AFE"/>
    <w:rsid w:val="007D6B06"/>
    <w:rsid w:val="007E1EE7"/>
    <w:rsid w:val="007E249E"/>
    <w:rsid w:val="007E633B"/>
    <w:rsid w:val="007E6AD6"/>
    <w:rsid w:val="007F135A"/>
    <w:rsid w:val="007F4201"/>
    <w:rsid w:val="0080232E"/>
    <w:rsid w:val="00812789"/>
    <w:rsid w:val="00815CDE"/>
    <w:rsid w:val="00826D8F"/>
    <w:rsid w:val="00826F86"/>
    <w:rsid w:val="00831124"/>
    <w:rsid w:val="00831D3C"/>
    <w:rsid w:val="00831E9A"/>
    <w:rsid w:val="00833124"/>
    <w:rsid w:val="008332E4"/>
    <w:rsid w:val="00842C8D"/>
    <w:rsid w:val="00844CC3"/>
    <w:rsid w:val="00845BC3"/>
    <w:rsid w:val="008476BF"/>
    <w:rsid w:val="008508D5"/>
    <w:rsid w:val="0085319B"/>
    <w:rsid w:val="00854E7C"/>
    <w:rsid w:val="00855317"/>
    <w:rsid w:val="00855962"/>
    <w:rsid w:val="00860FE7"/>
    <w:rsid w:val="00861CE5"/>
    <w:rsid w:val="0086226E"/>
    <w:rsid w:val="008625A0"/>
    <w:rsid w:val="00864193"/>
    <w:rsid w:val="0086505F"/>
    <w:rsid w:val="00865EE3"/>
    <w:rsid w:val="0086600C"/>
    <w:rsid w:val="00872A86"/>
    <w:rsid w:val="00873084"/>
    <w:rsid w:val="00874481"/>
    <w:rsid w:val="00875D88"/>
    <w:rsid w:val="00887B6C"/>
    <w:rsid w:val="0089123B"/>
    <w:rsid w:val="00891BE7"/>
    <w:rsid w:val="00894946"/>
    <w:rsid w:val="008963DE"/>
    <w:rsid w:val="00896E11"/>
    <w:rsid w:val="008A00BC"/>
    <w:rsid w:val="008A1687"/>
    <w:rsid w:val="008A2DF5"/>
    <w:rsid w:val="008A52D8"/>
    <w:rsid w:val="008A5E27"/>
    <w:rsid w:val="008A721D"/>
    <w:rsid w:val="008B1BC5"/>
    <w:rsid w:val="008B6F93"/>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0E39"/>
    <w:rsid w:val="009A1973"/>
    <w:rsid w:val="009A19C4"/>
    <w:rsid w:val="009B1744"/>
    <w:rsid w:val="009B1EE9"/>
    <w:rsid w:val="009B568A"/>
    <w:rsid w:val="009D0944"/>
    <w:rsid w:val="009D6D2E"/>
    <w:rsid w:val="009D753B"/>
    <w:rsid w:val="009E0CEB"/>
    <w:rsid w:val="009E5A9F"/>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09B5"/>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0899"/>
    <w:rsid w:val="00B5191C"/>
    <w:rsid w:val="00B5236B"/>
    <w:rsid w:val="00B5758A"/>
    <w:rsid w:val="00B6355E"/>
    <w:rsid w:val="00B65B84"/>
    <w:rsid w:val="00B7272A"/>
    <w:rsid w:val="00B73133"/>
    <w:rsid w:val="00B74629"/>
    <w:rsid w:val="00B75F90"/>
    <w:rsid w:val="00B8036D"/>
    <w:rsid w:val="00B84A5C"/>
    <w:rsid w:val="00B87124"/>
    <w:rsid w:val="00B90C96"/>
    <w:rsid w:val="00B9154C"/>
    <w:rsid w:val="00B948D2"/>
    <w:rsid w:val="00BA478A"/>
    <w:rsid w:val="00BA66F5"/>
    <w:rsid w:val="00BA6DBE"/>
    <w:rsid w:val="00BA726F"/>
    <w:rsid w:val="00BB13DA"/>
    <w:rsid w:val="00BB2597"/>
    <w:rsid w:val="00BD068F"/>
    <w:rsid w:val="00BD0FA0"/>
    <w:rsid w:val="00BD2B98"/>
    <w:rsid w:val="00BD7BD3"/>
    <w:rsid w:val="00BE0D0E"/>
    <w:rsid w:val="00BE395D"/>
    <w:rsid w:val="00BE482D"/>
    <w:rsid w:val="00BF0159"/>
    <w:rsid w:val="00C00A4C"/>
    <w:rsid w:val="00C016B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E5DE2"/>
    <w:rsid w:val="00CF24CD"/>
    <w:rsid w:val="00CF4B16"/>
    <w:rsid w:val="00CF5221"/>
    <w:rsid w:val="00CF5822"/>
    <w:rsid w:val="00CF5A9B"/>
    <w:rsid w:val="00CF61A2"/>
    <w:rsid w:val="00CF6672"/>
    <w:rsid w:val="00D00E7F"/>
    <w:rsid w:val="00D03A5F"/>
    <w:rsid w:val="00D11E74"/>
    <w:rsid w:val="00D11FEB"/>
    <w:rsid w:val="00D144A4"/>
    <w:rsid w:val="00D14A2E"/>
    <w:rsid w:val="00D22435"/>
    <w:rsid w:val="00D23711"/>
    <w:rsid w:val="00D25823"/>
    <w:rsid w:val="00D2649F"/>
    <w:rsid w:val="00D349DC"/>
    <w:rsid w:val="00D36CA4"/>
    <w:rsid w:val="00D37896"/>
    <w:rsid w:val="00D41A30"/>
    <w:rsid w:val="00D469E3"/>
    <w:rsid w:val="00D532DC"/>
    <w:rsid w:val="00D56BB2"/>
    <w:rsid w:val="00D57EB0"/>
    <w:rsid w:val="00D63557"/>
    <w:rsid w:val="00D66487"/>
    <w:rsid w:val="00D71C75"/>
    <w:rsid w:val="00D723F2"/>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544"/>
    <w:rsid w:val="00E7793E"/>
    <w:rsid w:val="00E7794B"/>
    <w:rsid w:val="00E804F0"/>
    <w:rsid w:val="00E8474D"/>
    <w:rsid w:val="00E87046"/>
    <w:rsid w:val="00E9475D"/>
    <w:rsid w:val="00E9569E"/>
    <w:rsid w:val="00E96851"/>
    <w:rsid w:val="00EA151B"/>
    <w:rsid w:val="00EA28D4"/>
    <w:rsid w:val="00EA3777"/>
    <w:rsid w:val="00EA759A"/>
    <w:rsid w:val="00EA7FE4"/>
    <w:rsid w:val="00EB06DD"/>
    <w:rsid w:val="00EB4615"/>
    <w:rsid w:val="00EB648A"/>
    <w:rsid w:val="00EB6C95"/>
    <w:rsid w:val="00EB6E90"/>
    <w:rsid w:val="00EB6F0C"/>
    <w:rsid w:val="00EB71B3"/>
    <w:rsid w:val="00EC103F"/>
    <w:rsid w:val="00EC2608"/>
    <w:rsid w:val="00EC5557"/>
    <w:rsid w:val="00EC5DBC"/>
    <w:rsid w:val="00EC66E9"/>
    <w:rsid w:val="00ED364A"/>
    <w:rsid w:val="00ED7690"/>
    <w:rsid w:val="00EE137A"/>
    <w:rsid w:val="00EE22E1"/>
    <w:rsid w:val="00EF21BC"/>
    <w:rsid w:val="00EF3B04"/>
    <w:rsid w:val="00EF70A7"/>
    <w:rsid w:val="00EF72B0"/>
    <w:rsid w:val="00F00C40"/>
    <w:rsid w:val="00F00CD5"/>
    <w:rsid w:val="00F03EE5"/>
    <w:rsid w:val="00F04A79"/>
    <w:rsid w:val="00F06310"/>
    <w:rsid w:val="00F10769"/>
    <w:rsid w:val="00F12F9E"/>
    <w:rsid w:val="00F15297"/>
    <w:rsid w:val="00F22457"/>
    <w:rsid w:val="00F23427"/>
    <w:rsid w:val="00F30ED8"/>
    <w:rsid w:val="00F316E9"/>
    <w:rsid w:val="00F34EFA"/>
    <w:rsid w:val="00F37E2C"/>
    <w:rsid w:val="00F43176"/>
    <w:rsid w:val="00F44CFD"/>
    <w:rsid w:val="00F456C2"/>
    <w:rsid w:val="00F51B36"/>
    <w:rsid w:val="00F521F4"/>
    <w:rsid w:val="00F54AC6"/>
    <w:rsid w:val="00F55671"/>
    <w:rsid w:val="00F61E91"/>
    <w:rsid w:val="00F629A8"/>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7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uiPriority w:val="99"/>
    <w:rsid w:val="00780EAB"/>
    <w:pPr>
      <w:widowControl w:val="0"/>
      <w:autoSpaceDE w:val="0"/>
      <w:autoSpaceDN w:val="0"/>
      <w:adjustRightInd w:val="0"/>
    </w:pPr>
    <w:rPr>
      <w:sz w:val="24"/>
      <w:szCs w:val="24"/>
      <w:lang w:val="bg-BG"/>
    </w:rPr>
  </w:style>
  <w:style w:type="paragraph" w:styleId="BodyText">
    <w:name w:val="Body Text"/>
    <w:basedOn w:val="Normal"/>
    <w:link w:val="BodyTextChar"/>
    <w:rsid w:val="007D0AFE"/>
    <w:pPr>
      <w:spacing w:after="120"/>
    </w:pPr>
  </w:style>
  <w:style w:type="character" w:customStyle="1" w:styleId="BodyTextChar">
    <w:name w:val="Body Text Char"/>
    <w:basedOn w:val="DefaultParagraphFont"/>
    <w:link w:val="BodyText"/>
    <w:rsid w:val="007D0AFE"/>
    <w:rPr>
      <w:sz w:val="24"/>
      <w:szCs w:val="24"/>
      <w:lang w:val="bg-BG" w:eastAsia="bg-BG"/>
    </w:rPr>
  </w:style>
  <w:style w:type="paragraph" w:styleId="ListParagraph">
    <w:name w:val="List Paragraph"/>
    <w:basedOn w:val="Normal"/>
    <w:uiPriority w:val="34"/>
    <w:qFormat/>
    <w:rsid w:val="007D0AFE"/>
    <w:pPr>
      <w:ind w:left="720"/>
      <w:contextualSpacing/>
    </w:pPr>
  </w:style>
  <w:style w:type="paragraph" w:styleId="NormalWeb">
    <w:name w:val="Normal (Web)"/>
    <w:basedOn w:val="Normal"/>
    <w:uiPriority w:val="99"/>
    <w:unhideWhenUsed/>
    <w:rsid w:val="00C016BC"/>
    <w:pPr>
      <w:spacing w:before="100" w:beforeAutospacing="1" w:after="100" w:afterAutospacing="1"/>
    </w:pPr>
  </w:style>
  <w:style w:type="character" w:styleId="Strong">
    <w:name w:val="Strong"/>
    <w:basedOn w:val="DefaultParagraphFont"/>
    <w:uiPriority w:val="22"/>
    <w:qFormat/>
    <w:rsid w:val="00C016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27183062">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25E07-A475-460C-8622-CD90F7E6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2024-05-08T10:07:00Z</dcterms:created>
  <dcterms:modified xsi:type="dcterms:W3CDTF">2024-05-14T10:46:00Z</dcterms:modified>
</cp:coreProperties>
</file>