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core.xml" ContentType="application/vnd.openxmlformats-package.core-properties+xml"/>
  <Override PartName="/word/activeX/activeX16.xml" ContentType="application/vnd.ms-office.activeX+xml"/>
  <Override PartName="/word/activeX/activeX15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23"/>
      </w:tblGrid>
      <w:tr w:rsidR="008B1142" w:rsidRPr="008B1142" w14:paraId="2109902E" w14:textId="77777777" w:rsidTr="00656AEB">
        <w:tc>
          <w:tcPr>
            <w:tcW w:w="10266" w:type="dxa"/>
            <w:gridSpan w:val="2"/>
            <w:shd w:val="clear" w:color="auto" w:fill="D9D9D9"/>
          </w:tcPr>
          <w:p w14:paraId="7693D970" w14:textId="1AA3297C" w:rsidR="00076E63" w:rsidRPr="008B1142" w:rsidRDefault="00FE55C5" w:rsidP="008F6747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8B1142" w:rsidRPr="008B1142" w14:paraId="7714BD33" w14:textId="77777777" w:rsidTr="00656AEB">
        <w:tc>
          <w:tcPr>
            <w:tcW w:w="5043" w:type="dxa"/>
          </w:tcPr>
          <w:p w14:paraId="06ECFD2C" w14:textId="3DE221CC" w:rsidR="00076E63" w:rsidRPr="008B1142" w:rsidRDefault="00076E63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4CB926E6" w14:textId="6D2D7389" w:rsidR="00C43737" w:rsidRPr="008B1142" w:rsidRDefault="00C43737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 и храните</w:t>
            </w:r>
          </w:p>
        </w:tc>
        <w:tc>
          <w:tcPr>
            <w:tcW w:w="5223" w:type="dxa"/>
          </w:tcPr>
          <w:p w14:paraId="76161BF2" w14:textId="77777777" w:rsidR="00076E63" w:rsidRPr="008B1142" w:rsidRDefault="00076E63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493AFD50" w14:textId="07CA8D65" w:rsidR="00076E63" w:rsidRPr="008B1142" w:rsidRDefault="00303446" w:rsidP="008F674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 на Постановление на Министерския съвет за изменение </w:t>
            </w:r>
            <w:r w:rsidR="00FB31C0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допълнение 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Тарифата за таксите, които се събират по Закона за лова и опазване на дивеча, приета с Постановле</w:t>
            </w:r>
            <w:r w:rsidR="00BA15B7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ние </w:t>
            </w:r>
            <w:r w:rsidR="006D3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</w:r>
            <w:r w:rsidR="00BA15B7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№ 283 на Министерския съвет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2000 г. (</w:t>
            </w:r>
            <w:bookmarkStart w:id="0" w:name="to_paragraph_id6811589"/>
            <w:bookmarkEnd w:id="0"/>
            <w:proofErr w:type="spellStart"/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., ДВ, </w:t>
            </w:r>
            <w:hyperlink r:id="rId8" w:history="1">
              <w:proofErr w:type="spellStart"/>
              <w:r w:rsidRPr="008B11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бр</w:t>
              </w:r>
              <w:proofErr w:type="spellEnd"/>
              <w:r w:rsidRPr="008B11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 2</w:t>
              </w:r>
            </w:hyperlink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2001 </w:t>
            </w:r>
            <w:proofErr w:type="gramStart"/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г.;</w:t>
            </w:r>
            <w:proofErr w:type="gramEnd"/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изм. и доп., бр. 36 от 2002 г., бр. 4 от 2004 г. и бр. 58 от 2012 г.)</w:t>
            </w:r>
          </w:p>
        </w:tc>
      </w:tr>
      <w:tr w:rsidR="008B1142" w:rsidRPr="008B1142" w14:paraId="37CC55A8" w14:textId="77777777" w:rsidTr="00656AEB">
        <w:tc>
          <w:tcPr>
            <w:tcW w:w="5043" w:type="dxa"/>
            <w:tcBorders>
              <w:bottom w:val="single" w:sz="18" w:space="0" w:color="auto"/>
            </w:tcBorders>
          </w:tcPr>
          <w:p w14:paraId="71AB573E" w14:textId="5133F062" w:rsidR="00076E63" w:rsidRPr="008B1142" w:rsidRDefault="00076E63" w:rsidP="008F67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7pt;height:39.95pt" o:ole="">
                  <v:imagedata r:id="rId9" o:title=""/>
                </v:shape>
                <w:control r:id="rId10" w:name="OptionButton2" w:shapeid="_x0000_i1060"/>
              </w:object>
            </w:r>
          </w:p>
        </w:tc>
        <w:tc>
          <w:tcPr>
            <w:tcW w:w="5223" w:type="dxa"/>
            <w:tcBorders>
              <w:bottom w:val="single" w:sz="18" w:space="0" w:color="auto"/>
            </w:tcBorders>
          </w:tcPr>
          <w:p w14:paraId="404D88F2" w14:textId="6891679D" w:rsidR="00076E63" w:rsidRDefault="00076E63" w:rsidP="008F67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object w:dxaOrig="225" w:dyaOrig="225" w14:anchorId="53AA5392">
                <v:shape id="_x0000_i1062" type="#_x0000_t75" style="width:202.7pt;height:39.1pt" o:ole="">
                  <v:imagedata r:id="rId11" o:title=""/>
                </v:shape>
                <w:control r:id="rId12" w:name="OptionButton1" w:shapeid="_x0000_i1062"/>
              </w:object>
            </w:r>
          </w:p>
          <w:p w14:paraId="6830EBA0" w14:textId="74908DA7" w:rsidR="006D3B2F" w:rsidRPr="008B1142" w:rsidRDefault="006D3B2F" w:rsidP="008F6747">
            <w:pPr>
              <w:spacing w:after="0" w:line="360" w:lineRule="auto"/>
              <w:ind w:left="283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C33F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периода </w:t>
            </w:r>
            <w:r w:rsidRPr="00C33FD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януари</w:t>
            </w:r>
            <w:r w:rsidRPr="00C33FD9">
              <w:rPr>
                <w:rFonts w:ascii="Times New Roman" w:hAnsi="Times New Roman" w:cs="Times New Roman"/>
                <w:smallCaps/>
                <w:sz w:val="24"/>
                <w:szCs w:val="24"/>
                <w:lang w:val="bg-BG"/>
              </w:rPr>
              <w:t xml:space="preserve"> – </w:t>
            </w:r>
            <w:r w:rsidRPr="00C33FD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юни</w:t>
            </w:r>
            <w:r w:rsidRPr="00C33FD9">
              <w:rPr>
                <w:rFonts w:ascii="Times New Roman" w:hAnsi="Times New Roman" w:cs="Times New Roman"/>
                <w:smallCaps/>
                <w:sz w:val="24"/>
                <w:szCs w:val="24"/>
                <w:lang w:val="bg-BG"/>
              </w:rPr>
              <w:t xml:space="preserve"> 2024 </w:t>
            </w:r>
            <w:r w:rsidRPr="00C33FD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</w:tr>
      <w:tr w:rsidR="008B1142" w:rsidRPr="008B1142" w14:paraId="46A9895B" w14:textId="77777777" w:rsidTr="00656AEB">
        <w:tc>
          <w:tcPr>
            <w:tcW w:w="5043" w:type="dxa"/>
            <w:tcBorders>
              <w:bottom w:val="nil"/>
            </w:tcBorders>
          </w:tcPr>
          <w:p w14:paraId="5589987B" w14:textId="77777777" w:rsidR="00076E63" w:rsidRPr="00C33FD9" w:rsidRDefault="00076E63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3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14:paraId="316B6F30" w14:textId="66F85101" w:rsidR="00AD317A" w:rsidRPr="00C33FD9" w:rsidRDefault="00AD317A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33F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инж. Росен Райчев – заместник</w:t>
            </w:r>
            <w:r w:rsidR="008F6747" w:rsidRPr="00C33F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33FD9" w:rsidRPr="00C33F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134F7B" w:rsidRPr="00C33F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изпълнителен </w:t>
            </w:r>
            <w:r w:rsidRPr="00C33F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директор на Изпълнителна </w:t>
            </w:r>
            <w:proofErr w:type="spellStart"/>
            <w:r w:rsidRPr="00C33F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агеция</w:t>
            </w:r>
            <w:proofErr w:type="spellEnd"/>
            <w:r w:rsidRPr="00C33F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горите</w:t>
            </w:r>
          </w:p>
        </w:tc>
        <w:tc>
          <w:tcPr>
            <w:tcW w:w="5223" w:type="dxa"/>
            <w:tcBorders>
              <w:bottom w:val="nil"/>
            </w:tcBorders>
          </w:tcPr>
          <w:p w14:paraId="591CB806" w14:textId="77777777" w:rsidR="00C43737" w:rsidRPr="008B1142" w:rsidRDefault="00076E63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55D0CF32" w14:textId="321E5B40" w:rsidR="00AD317A" w:rsidRPr="00134F7B" w:rsidRDefault="00AD317A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0889310480, </w:t>
            </w:r>
            <w:hyperlink r:id="rId13" w:history="1">
              <w:r w:rsidR="000112A7" w:rsidRPr="008B1142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rraichev@iag.bg</w:t>
              </w:r>
            </w:hyperlink>
          </w:p>
        </w:tc>
      </w:tr>
      <w:tr w:rsidR="008B1142" w:rsidRPr="008B1142" w14:paraId="121121B3" w14:textId="77777777" w:rsidTr="00656AEB">
        <w:tc>
          <w:tcPr>
            <w:tcW w:w="5043" w:type="dxa"/>
            <w:tcBorders>
              <w:top w:val="nil"/>
              <w:bottom w:val="nil"/>
            </w:tcBorders>
          </w:tcPr>
          <w:p w14:paraId="53276664" w14:textId="597F6321" w:rsidR="006B7744" w:rsidRPr="00C33FD9" w:rsidRDefault="006B7744" w:rsidP="00903991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33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инж. </w:t>
            </w:r>
            <w:r w:rsidR="00707A40" w:rsidRPr="00C33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Ю</w:t>
            </w:r>
            <w:r w:rsidR="0090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рий Флоров</w:t>
            </w:r>
            <w:r w:rsidRPr="00C33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– </w:t>
            </w:r>
            <w:r w:rsidR="0090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и. д. директор на дирекция </w:t>
            </w:r>
            <w:r w:rsidR="00BE7CFF" w:rsidRPr="00C33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„Контрол по опазване на горските територии и ловно стопанство“</w:t>
            </w:r>
            <w:r w:rsidR="00707A40" w:rsidRPr="00C33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, </w:t>
            </w:r>
            <w:r w:rsidRPr="00C33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Изпълнителна агенция по горите</w:t>
            </w:r>
          </w:p>
        </w:tc>
        <w:tc>
          <w:tcPr>
            <w:tcW w:w="5223" w:type="dxa"/>
            <w:tcBorders>
              <w:top w:val="nil"/>
              <w:bottom w:val="nil"/>
            </w:tcBorders>
          </w:tcPr>
          <w:p w14:paraId="298FF0AF" w14:textId="18C83AD8" w:rsidR="006B7744" w:rsidRPr="008B1142" w:rsidRDefault="00D2740A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14" w:history="1"/>
            <w:r w:rsidR="006B7744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088</w:t>
            </w:r>
            <w:r w:rsidR="00707A40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5841547</w:t>
            </w:r>
            <w:r w:rsidR="006B7744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hyperlink r:id="rId15" w:history="1">
              <w:r w:rsidR="000112A7" w:rsidRPr="008B1142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lov@iag.bg</w:t>
              </w:r>
            </w:hyperlink>
          </w:p>
        </w:tc>
      </w:tr>
      <w:tr w:rsidR="008B1142" w:rsidRPr="008B1142" w14:paraId="4FA317F1" w14:textId="77777777" w:rsidTr="00656AEB">
        <w:tc>
          <w:tcPr>
            <w:tcW w:w="5043" w:type="dxa"/>
            <w:tcBorders>
              <w:top w:val="nil"/>
            </w:tcBorders>
          </w:tcPr>
          <w:p w14:paraId="03CF23F3" w14:textId="7E495775" w:rsidR="006B7744" w:rsidRPr="008B1142" w:rsidRDefault="006B7744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Гергана Царска – главен юрисконсулт в отдел „Правни дейности“, дирекция „Правно-административни дейности“, Изпълнителна агенция по горите</w:t>
            </w:r>
          </w:p>
        </w:tc>
        <w:tc>
          <w:tcPr>
            <w:tcW w:w="5223" w:type="dxa"/>
            <w:tcBorders>
              <w:top w:val="nil"/>
            </w:tcBorders>
          </w:tcPr>
          <w:p w14:paraId="3CA2E11E" w14:textId="05638EF4" w:rsidR="006B7744" w:rsidRPr="008B1142" w:rsidRDefault="006B7744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02/98511519, </w:t>
            </w:r>
            <w:hyperlink r:id="rId16" w:history="1">
              <w:r w:rsidR="000112A7" w:rsidRPr="008B1142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bg-BG"/>
                </w:rPr>
                <w:t>gergana@iag.bg</w:t>
              </w:r>
            </w:hyperlink>
          </w:p>
        </w:tc>
      </w:tr>
      <w:tr w:rsidR="008B1142" w:rsidRPr="008B1142" w14:paraId="2757906E" w14:textId="77777777" w:rsidTr="00656AEB">
        <w:tc>
          <w:tcPr>
            <w:tcW w:w="10266" w:type="dxa"/>
            <w:gridSpan w:val="2"/>
          </w:tcPr>
          <w:p w14:paraId="71074557" w14:textId="4AB34338" w:rsidR="00076E63" w:rsidRPr="008B1142" w:rsidRDefault="00076E63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2966551B" w14:textId="499580C8" w:rsidR="00C925F4" w:rsidRPr="008B1142" w:rsidRDefault="00C925F4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Необходимост от актуализиране размера на някои такси, които се събират по Закона за лова и опазване на дивеча </w:t>
            </w:r>
          </w:p>
          <w:p w14:paraId="681665DE" w14:textId="6BB994FC" w:rsidR="00C925F4" w:rsidRDefault="00B458F1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14:paraId="085256AE" w14:textId="728A1AE9" w:rsidR="00C925F4" w:rsidRPr="008B1142" w:rsidRDefault="00C925F4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Тарифата за таксите, които се събират по Закона за лова и опазване на дивеча е приета с Постановление № 2</w:t>
            </w:r>
            <w:r w:rsidR="007C3763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83 на Министерския съвет от 2000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г. В бр. 18 от 2023 г. на „Държавен вестник“ са обнародвани промени в Правилника за прилагане на Закона за лова и опазване на дивеча</w:t>
            </w:r>
            <w:r w:rsidR="00B458F1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B458F1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B458F1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ППЗЛОД</w:t>
            </w:r>
            <w:r w:rsidR="00B458F1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, с които се изменя реда, по който се придобива право на лов. С измененията е предвидено провеждането на електронен тест, като част от теоретичния изпит и е променен състава на изпитните комисии. Във връзка с тези промени, се предлага да се увеличи размера на таксите за полагане на изпит за придобиване право на лов, като се завиши техния размер за теоретичния и практическия изпит, съобразно разходите, които прави административния орган по 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lastRenderedPageBreak/>
              <w:t xml:space="preserve">тяхното предоставяне. </w:t>
            </w:r>
            <w:r w:rsidR="00404DBA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Част от теоретичния</w:t>
            </w:r>
            <w:r w:rsidR="00F5782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изпит </w:t>
            </w:r>
            <w:r w:rsidR="000B6D75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ще </w:t>
            </w:r>
            <w:r w:rsidR="00F5782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се провежда чрез попълване на електронен тест на предоставен от изпитната комисия таблет.</w:t>
            </w:r>
            <w:r w:rsidR="00707A4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Изпитната комисия се състои от експерти с необходимото образование и познания в областта на ловното </w:t>
            </w:r>
            <w:r w:rsidR="008D1A28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стопанство. Продължителността на</w:t>
            </w:r>
            <w:r w:rsidR="00707A4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изпита е </w:t>
            </w:r>
            <w:r w:rsidR="00EA1EB2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над</w:t>
            </w:r>
            <w:r w:rsidR="00707A4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EA1EB2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3 </w:t>
            </w:r>
            <w:r w:rsidR="00707A4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часа. Практическият изпит е с доста по-кратка продължителност и се провежда от </w:t>
            </w:r>
            <w:r w:rsidR="00EA1EB2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други </w:t>
            </w:r>
            <w:r w:rsidR="007661BB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лица, притежаващи необходимата квалификация за боравене с ловно оръжие</w:t>
            </w:r>
            <w:r w:rsidR="00707A4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, следящи за успешното и безопасно провеждане на изпита. </w:t>
            </w:r>
          </w:p>
          <w:p w14:paraId="5B5FC8A2" w14:textId="19061E9E" w:rsidR="00CE16B0" w:rsidRPr="008B1142" w:rsidRDefault="00CE16B0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Проектът предвижда таксата за полагане на теоретичен изпит за придобиване право на лов да се промени от 35 лв. на 60 лв. </w:t>
            </w:r>
            <w:r w:rsidR="0001065D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По направените проучвания от Изпълнителна агенция по горите средно годишно (за последните три години) са положили теоретичен изпит 4 </w:t>
            </w:r>
            <w:r w:rsidR="00FF2D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153</w:t>
            </w:r>
            <w:r w:rsidR="0001065D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броя кандидат ловци. </w:t>
            </w:r>
          </w:p>
          <w:p w14:paraId="523D6D00" w14:textId="7004E190" w:rsidR="00227F5D" w:rsidRPr="008B1142" w:rsidRDefault="00CE16B0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Промяна се налага и в размера на таксата за полагане на </w:t>
            </w:r>
            <w:r w:rsidR="00404DBA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практически 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изпит за придобиване право на лов, като таксата за практическия изпит да се промени от 25 лв. на 35 лв. </w:t>
            </w:r>
            <w:r w:rsidR="0001065D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По направените проучвания от Изпълнителна агенция по горите средно годишно (за последните три години) са положили практически изпит 3 </w:t>
            </w:r>
            <w:r w:rsidR="00C022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318</w:t>
            </w:r>
            <w:r w:rsidR="0001065D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бр. кандидат ловци, поради факта, че не всички явили се кандидат ловци </w:t>
            </w:r>
            <w:r w:rsidR="00791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са издържали теоретичния изпит.</w:t>
            </w:r>
          </w:p>
          <w:p w14:paraId="13BF9EFA" w14:textId="404B8C45" w:rsidR="00B52087" w:rsidRPr="008B1142" w:rsidRDefault="00227F5D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Дивечът в страната е държавна собственост и преобладаващата част от намерените ежегодно падащи дивечови рога </w:t>
            </w:r>
            <w:r w:rsidR="00404DBA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– предимно от благороден елен и елен лопатар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, са предмет на последващи сделки с оглед използването им като суровина за </w:t>
            </w:r>
            <w:r w:rsidR="00404DBA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производство на 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изделия с търговско предназначение. Съобразявайки се с размера на изкупните им цени 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около 40 </w:t>
            </w:r>
            <w:proofErr w:type="spellStart"/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лв</w:t>
            </w:r>
            <w:proofErr w:type="spellEnd"/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/кг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.)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, вземайки под внимание и натрупаната през периода 2001 – 2023 г. инфлация приблизително около 15</w:t>
            </w:r>
            <w:r w:rsidR="0001065D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9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% 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5B48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калкулатор на и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нфлацията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266755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23219C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и увеличените разходи на администрацията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, проектът предвижда промяна в размера на таксите за придобиване право на собственост върху паднали дивечови рога, които </w:t>
            </w:r>
            <w:r w:rsidR="00CE16B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към настоящия момент са символични </w:t>
            </w:r>
            <w:r w:rsidR="00CE16B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CE16B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по 1,50 лв./кг за паднали рога от благороден елен и по 1,00 лв./кг за елен лопатар</w:t>
            </w:r>
            <w:r w:rsidR="00CE16B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CE16B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. </w:t>
            </w:r>
            <w:r w:rsidR="0001065D" w:rsidRPr="008B11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Средно годишно (за последните три години) </w:t>
            </w:r>
            <w:r w:rsidR="0001065D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територията на страната се събират </w:t>
            </w:r>
            <w:r w:rsidR="00C022A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5 333</w:t>
            </w:r>
            <w:r w:rsidR="00CE16B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кг</w:t>
            </w:r>
            <w:r w:rsidR="0001065D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.</w:t>
            </w:r>
            <w:r w:rsidR="00CE16B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общо, от които </w:t>
            </w:r>
            <w:r w:rsidR="00C022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4 700</w:t>
            </w:r>
            <w:r w:rsidR="00CE16B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кг. от благороден елен и </w:t>
            </w:r>
            <w:r w:rsidR="00C022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633</w:t>
            </w:r>
            <w:r w:rsidR="00CE16B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кг. от елен лопатар. </w:t>
            </w:r>
          </w:p>
          <w:p w14:paraId="7F825A58" w14:textId="46B47CD8" w:rsidR="00A849B4" w:rsidRDefault="0023219C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В тази връзка се </w:t>
            </w:r>
            <w:r w:rsidR="00B52087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предлага таксата за паднали рога от благороден елен да стане 5 лв./кг и за елен лопатар 4 лв./кг.</w:t>
            </w:r>
          </w:p>
          <w:p w14:paraId="7398720B" w14:textId="46D0D715" w:rsidR="00C925F4" w:rsidRPr="008B1142" w:rsidRDefault="00AC0408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По направените проучвания от Изпълнителна агенция по горите средноаритметично (за последните три години) са издавани 3 </w:t>
            </w:r>
            <w:r w:rsidR="00C022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709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бр. удостоверения за придобито право на подборно ловуване и дубликати. За издаването им в сега действащата тарифа са предвидени такси съответно по 1 лв. за удостоверение и по 0,50 лв. за дубликат, като техния размер не покриват разходите за предоставяне на административната услуга. В тази връзка, в проекта е предвидено за издаване на удостоверение за придобиване право на подборно ловуване, както и за дубликат на удостоверението да се събира такса в размер на 5 лв. За целта се създава нов чл. 9, а досегашния става чл. 10.</w:t>
            </w:r>
          </w:p>
          <w:p w14:paraId="7009C04E" w14:textId="6C368848" w:rsidR="00EF2DDD" w:rsidRPr="008B1142" w:rsidRDefault="00C925F4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lastRenderedPageBreak/>
              <w:t>Останалите такси към настоящия момент покриват извършените разходи за предоставяне</w:t>
            </w:r>
            <w:r w:rsidR="00F5782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на съответната услуга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.</w:t>
            </w:r>
          </w:p>
          <w:p w14:paraId="46DC90C6" w14:textId="77777777" w:rsidR="00076E63" w:rsidRDefault="00076E63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27D7343D" w14:textId="4805C5F5" w:rsidR="004357C3" w:rsidRDefault="004357C3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е възможно проблемът да се реши в рамките на </w:t>
            </w:r>
            <w:r w:rsidR="00D8156D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895E33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ействащата </w:t>
            </w:r>
            <w:r w:rsidR="00D8156D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тарифа и с промяна в организацията на работа.</w:t>
            </w:r>
          </w:p>
          <w:p w14:paraId="16AACFDA" w14:textId="5D71E633" w:rsidR="00076E63" w:rsidRDefault="00076E63" w:rsidP="008F674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ите.</w:t>
            </w:r>
          </w:p>
          <w:p w14:paraId="58ADEB3D" w14:textId="4B0ED02C" w:rsidR="00B458F1" w:rsidRPr="008B1142" w:rsidRDefault="004357C3" w:rsidP="008F674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Действащата нормативна рамка не позволява решаването на проблема</w:t>
            </w:r>
            <w:r w:rsidR="00B458F1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B458F1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 измененията в ППЗЛОД е предвидено провеждането на електронен тест</w:t>
            </w:r>
            <w:r w:rsidR="00F5782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на таблет</w:t>
            </w:r>
            <w:r w:rsidR="00B458F1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, като част от теоретичния изпит</w:t>
            </w:r>
            <w:r w:rsidR="00821475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,</w:t>
            </w:r>
            <w:r w:rsidR="00B458F1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и е променен състава на изпитните комисии. Във връзка с тези промени, се предлага да се увеличи размера на таксите за полагане на изпит за придобиване право на лов, като се завиши техния размер за теоретичния и практическия изпит, съобразно разходите, които прави административния орган по тяхното пр</w:t>
            </w:r>
            <w:r w:rsidR="00F57820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овеждане.</w:t>
            </w:r>
          </w:p>
          <w:p w14:paraId="31F4A275" w14:textId="29CAB092" w:rsidR="00076E63" w:rsidRPr="008B1142" w:rsidRDefault="00076E63" w:rsidP="008F674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14:paraId="5FE49393" w14:textId="28EFD231" w:rsidR="00D8156D" w:rsidRPr="008B1142" w:rsidRDefault="005D12FD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налагат действия, произтичащи от нормативни актове от по-висока степен или актове от правото на ЕС.</w:t>
            </w:r>
          </w:p>
          <w:p w14:paraId="6C9558B3" w14:textId="01A48903" w:rsidR="00076E63" w:rsidRPr="008B1142" w:rsidRDefault="00076E63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</w:p>
          <w:p w14:paraId="11092831" w14:textId="36427FD6" w:rsidR="00351459" w:rsidRPr="008B1142" w:rsidRDefault="00351459" w:rsidP="008F674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Последващи оценки на нормативния акт и анализ на изпълнението на политиката не са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извършвани.</w:t>
            </w:r>
          </w:p>
        </w:tc>
      </w:tr>
      <w:tr w:rsidR="008B1142" w:rsidRPr="008B1142" w14:paraId="1749561E" w14:textId="77777777" w:rsidTr="00656AEB">
        <w:tc>
          <w:tcPr>
            <w:tcW w:w="10266" w:type="dxa"/>
            <w:gridSpan w:val="2"/>
          </w:tcPr>
          <w:p w14:paraId="654CA161" w14:textId="0B0F3791" w:rsidR="00076E63" w:rsidRPr="008B1142" w:rsidRDefault="00076E63" w:rsidP="008F674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6AE13987" w14:textId="61D37428" w:rsidR="009B0C0C" w:rsidRPr="008B1142" w:rsidRDefault="00C74322" w:rsidP="008F674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1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E361F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</w:t>
            </w:r>
            <w:r w:rsidR="009B0C0C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тиг</w:t>
            </w:r>
            <w:r w:rsidR="007E361F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9B0C0C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о</w:t>
            </w:r>
            <w:r w:rsidR="00134154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бективно съотношение между размера на таксите и разходи</w:t>
            </w:r>
            <w:r w:rsidR="00694F99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134154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94F99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административния орган </w:t>
            </w:r>
            <w:r w:rsidR="00134154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</w:t>
            </w:r>
            <w:r w:rsidR="00D9220A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остойностяване на съответната </w:t>
            </w:r>
            <w:r w:rsidR="003E1400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</w:t>
            </w:r>
            <w:r w:rsidR="00D9220A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слуга</w:t>
            </w:r>
            <w:r w:rsidR="009B0C0C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съобразно актуалните икономически условия и </w:t>
            </w:r>
            <w:r w:rsidR="00694F99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реално извършените преки и непреки </w:t>
            </w:r>
            <w:r w:rsidR="009B0C0C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разходи за предоставяне</w:t>
            </w:r>
            <w:r w:rsidR="00694F99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 им.</w:t>
            </w:r>
          </w:p>
          <w:p w14:paraId="5A92609E" w14:textId="77777777" w:rsidR="009B619C" w:rsidRPr="008B1142" w:rsidRDefault="009B619C" w:rsidP="008F674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377FFE6B" w14:textId="7A455011" w:rsidR="003E1400" w:rsidRDefault="00C74322" w:rsidP="008F674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2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B619C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Гарантиране наличието на подходящи финансови средства за осигуряване на персонала и другите ресурси, необходими на компетентните лица при извършването на съответните дейности</w:t>
            </w:r>
          </w:p>
          <w:p w14:paraId="3F4A0FB5" w14:textId="4450202B" w:rsidR="00661A4B" w:rsidRPr="008B1142" w:rsidRDefault="00076E63" w:rsidP="008F674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8B1142" w:rsidRPr="008B1142" w14:paraId="70468BFA" w14:textId="77777777" w:rsidTr="00656AEB">
        <w:tc>
          <w:tcPr>
            <w:tcW w:w="10266" w:type="dxa"/>
            <w:gridSpan w:val="2"/>
          </w:tcPr>
          <w:p w14:paraId="73797BAF" w14:textId="4BAABEA3" w:rsidR="00076E63" w:rsidRPr="008B1142" w:rsidRDefault="00076E63" w:rsidP="008F674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14:paraId="70605AFD" w14:textId="64D679AE" w:rsidR="005D12FD" w:rsidRPr="008B1142" w:rsidRDefault="005D12FD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 и храните</w:t>
            </w:r>
          </w:p>
          <w:p w14:paraId="087D9BF8" w14:textId="769B4E86" w:rsidR="00076E63" w:rsidRPr="008B1142" w:rsidRDefault="00D9220A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Изпълнителна агенция по горите</w:t>
            </w:r>
            <w:r w:rsidR="003E1400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D12FD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нейните териториални структури (16);</w:t>
            </w:r>
          </w:p>
          <w:p w14:paraId="3F205B4C" w14:textId="1CA0CA0D" w:rsidR="005D12FD" w:rsidRPr="008B1142" w:rsidRDefault="005D12FD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Държавните предприятия по чл. 163 от Закона за горите (6) и техните териториални поделения (190);</w:t>
            </w:r>
          </w:p>
          <w:p w14:paraId="65083A05" w14:textId="0D6A1E69" w:rsidR="00954AC9" w:rsidRPr="008018A9" w:rsidRDefault="005D12FD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0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Ловци (166 301), ловни дружини (2</w:t>
            </w:r>
            <w:r w:rsidR="008018A9" w:rsidRPr="0080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0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805), ловни сдружения (175), НЛРС-СЛРБ (с членуващи 138 879 ловци)</w:t>
            </w:r>
            <w:r w:rsidR="001116BE" w:rsidRPr="0080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БЛРС (с членуващи 4</w:t>
            </w:r>
            <w:r w:rsidR="008018A9" w:rsidRPr="0080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116BE" w:rsidRPr="0080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490 ловци)</w:t>
            </w:r>
            <w:r w:rsidR="00954AC9" w:rsidRPr="0080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="00954AC9" w:rsidRPr="0080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4AC9" w:rsidRPr="0080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членуващи в независими сдружения </w:t>
            </w:r>
            <w:r w:rsidR="00954AC9" w:rsidRPr="008018A9">
              <w:rPr>
                <w:rFonts w:ascii="Times New Roman" w:eastAsia="Times New Roman" w:hAnsi="Times New Roman" w:cs="Times New Roman"/>
                <w:sz w:val="24"/>
                <w:szCs w:val="24"/>
              </w:rPr>
              <w:t>22 932</w:t>
            </w:r>
            <w:r w:rsidR="00954AC9" w:rsidRPr="008018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ловци.</w:t>
            </w:r>
          </w:p>
          <w:p w14:paraId="4C4CEB58" w14:textId="358B926D" w:rsidR="00FE789C" w:rsidRPr="008B1142" w:rsidRDefault="00D9220A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Физически лица</w:t>
            </w:r>
            <w:r w:rsidR="002155EE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- </w:t>
            </w:r>
            <w:r w:rsidR="005D12FD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кандидати</w:t>
            </w:r>
            <w:r w:rsidR="005D12FD" w:rsidRPr="008B1142">
              <w:t xml:space="preserve"> </w:t>
            </w:r>
            <w:r w:rsidR="005D12FD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придобиване право на лов</w:t>
            </w:r>
            <w:r w:rsidR="001116BE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6EBEDD33" w14:textId="7C94B885" w:rsidR="00707A40" w:rsidRPr="008B1142" w:rsidRDefault="00707A40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Физически лица, събирачи на </w:t>
            </w:r>
            <w:r w:rsidR="00A64FE8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паднали </w:t>
            </w:r>
            <w:r w:rsidR="00194062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дивечови рога</w:t>
            </w:r>
            <w:r w:rsidR="00EA1EB2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3103825" w14:textId="3DED7BD8" w:rsidR="00076E63" w:rsidRPr="008B1142" w:rsidRDefault="00076E63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страни/групи заинтересовани страни 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8B1142" w:rsidRPr="008B1142" w14:paraId="66D92659" w14:textId="77777777" w:rsidTr="00656AEB">
        <w:tc>
          <w:tcPr>
            <w:tcW w:w="10266" w:type="dxa"/>
            <w:gridSpan w:val="2"/>
          </w:tcPr>
          <w:p w14:paraId="5D74D9EC" w14:textId="77777777" w:rsidR="00076E63" w:rsidRPr="008B1142" w:rsidRDefault="00076E63" w:rsidP="008F674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 Варианти на действие. Анализ на въздействията:</w:t>
            </w:r>
          </w:p>
        </w:tc>
      </w:tr>
      <w:tr w:rsidR="008B1142" w:rsidRPr="008B1142" w14:paraId="0DBF4389" w14:textId="77777777" w:rsidTr="00656AEB">
        <w:tc>
          <w:tcPr>
            <w:tcW w:w="10266" w:type="dxa"/>
            <w:gridSpan w:val="2"/>
          </w:tcPr>
          <w:p w14:paraId="46468D46" w14:textId="4AE86B93" w:rsidR="0078567B" w:rsidRPr="008B1142" w:rsidRDefault="0078567B" w:rsidP="008F674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1 „Без действие“:</w:t>
            </w:r>
          </w:p>
          <w:p w14:paraId="262F7A11" w14:textId="066AB672" w:rsidR="008B1142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Описание: Вариантът „Без действие“ се характеризира с </w:t>
            </w:r>
            <w:proofErr w:type="spellStart"/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непредприемането</w:t>
            </w:r>
            <w:proofErr w:type="spellEnd"/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никакви действия</w:t>
            </w:r>
            <w:r w:rsidR="00E32DF2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които пряко да адресират дефинирания проблем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06501F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Несъответствието между размера на сега действащите такси и реалните преки и непреки разходи за определяне на този размер ще продължи да съществува.</w:t>
            </w:r>
          </w:p>
          <w:p w14:paraId="77366CD6" w14:textId="44252E30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7DFA3344" w14:textId="72AAC881" w:rsidR="0078567B" w:rsidRPr="008B1142" w:rsidRDefault="00B31725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да се увеличи административната </w:t>
            </w:r>
            <w:r w:rsidR="00EA1EB2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финансовата 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тежест за ползвателите на съответните услуги. </w:t>
            </w:r>
          </w:p>
          <w:p w14:paraId="128D08C1" w14:textId="77777777" w:rsidR="0078567B" w:rsidRPr="008B1142" w:rsidRDefault="0078567B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479592E8" w14:textId="77777777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5031A100" w14:textId="272BFEA1" w:rsidR="0078567B" w:rsidRPr="008B1142" w:rsidRDefault="00992AB7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Несъответствието между размера на сега действащите такси за полагане на теоретичния и практичния изпит за придобиване право на лов и реалните преки и непреки разходи за провеждането им ще продължи да съществува</w:t>
            </w:r>
            <w:r w:rsidR="00D37774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като по този начин постъпващите такси няма да покриват разходите по дейности, които са извършени по предоставяните услуги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Ще се запази символичната стойност на таксите за 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придобиване право на собственост върху паднали дивечови рога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Разходите по издаване на удостоверенията за придобито право на подборно ловуване и техни дубликати ще надвишават приходите от тези такси. </w:t>
            </w:r>
            <w:r w:rsidR="00E32DF2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Съществуващите държавни такси няма да бъдат приведени в съответствие с настъпилите промени в стойността на разходите за материали, услуги и др., въз основа на които е направено изчислението по Методиката по чл. 7а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1AFA6B39" w14:textId="77777777" w:rsidR="0078567B" w:rsidRPr="008B1142" w:rsidRDefault="0078567B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7EB8F8F0" w14:textId="77777777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19331CF4" w14:textId="6C9D3832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 специфични въздействия</w:t>
            </w:r>
            <w:r w:rsidR="00CC35F1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при този вариант.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B5E0C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8AD549A" w14:textId="5A62B3C4" w:rsidR="0078567B" w:rsidRPr="008B1142" w:rsidRDefault="0078567B" w:rsidP="008F6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14:paraId="04BCAB13" w14:textId="44C1D923" w:rsidR="00C74322" w:rsidRPr="008B1142" w:rsidRDefault="00C74322" w:rsidP="008F6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</w:p>
          <w:p w14:paraId="0FBBF788" w14:textId="77777777" w:rsidR="008563FD" w:rsidRPr="008B1142" w:rsidRDefault="0078567B" w:rsidP="008F6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40963A78" w14:textId="6F832A2C" w:rsidR="00197FB6" w:rsidRPr="008B1142" w:rsidRDefault="00197FB6" w:rsidP="008F6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този вариант административната тежест не се променя.</w:t>
            </w:r>
          </w:p>
          <w:p w14:paraId="3B33F2A6" w14:textId="77777777" w:rsidR="0078567B" w:rsidRPr="008B1142" w:rsidRDefault="0078567B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lastRenderedPageBreak/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52F0A50B" w14:textId="77777777" w:rsidR="0078567B" w:rsidRPr="008B1142" w:rsidRDefault="0078567B" w:rsidP="008F6747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79DCB59C" w14:textId="59AEB8F3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 „Приемане на</w:t>
            </w:r>
            <w:r w:rsidR="00FC43AB" w:rsidRPr="008B1142">
              <w:t xml:space="preserve"> </w:t>
            </w:r>
            <w:r w:rsidR="008A5EEB"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bg-BG"/>
              </w:rPr>
              <w:t>проект на</w:t>
            </w:r>
            <w:r w:rsidR="008A5EEB" w:rsidRPr="008B1142">
              <w:rPr>
                <w:lang w:val="bg-BG"/>
              </w:rPr>
              <w:t xml:space="preserve"> </w:t>
            </w:r>
            <w:r w:rsidR="00F83492"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bg-BG"/>
              </w:rPr>
              <w:t xml:space="preserve">Постановление на Министерския съвет за изменение </w:t>
            </w:r>
            <w:r w:rsidR="00FB31C0"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bg-BG"/>
              </w:rPr>
              <w:t xml:space="preserve">и допълнение </w:t>
            </w:r>
            <w:r w:rsidR="00F83492"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bg-BG"/>
              </w:rPr>
              <w:t>на Тарифата за таксите, които се събират по Закона за лова и опазване на дивеча</w:t>
            </w:r>
          </w:p>
          <w:p w14:paraId="23301AD5" w14:textId="77777777" w:rsidR="0078567B" w:rsidRPr="008B1142" w:rsidRDefault="0078567B" w:rsidP="008F67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6777E19A" w14:textId="245CD74A" w:rsidR="00540D89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приемането на проекта ще се актуализира размера на </w:t>
            </w:r>
            <w:r w:rsidR="00992AB7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съответните услуги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съобразени с потребностите на потребителите на тези услуги. Новият размер ще съответства на </w:t>
            </w:r>
            <w:r w:rsidR="00763E00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актуалните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икономически условия и разходите на административния орган за предоставяне на тези услуги</w:t>
            </w:r>
            <w:r w:rsidR="00AB5E0C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след остойностяване</w:t>
            </w:r>
            <w:r w:rsidR="007D4A3E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в т.</w:t>
            </w:r>
            <w:r w:rsidR="00992AB7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D4A3E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ч. необходимите материално-технически разходи и всички административни разходи за изпълнение на задълженията на длъжностните лица с оглед на тяхната квалификация и изразходвано работно време.</w:t>
            </w:r>
            <w:r w:rsidR="00AF3F38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този начин съществуващите държавни такси ще бъдат приведени в съответствие с настъпилите промени в стойността на разходите, въз основа на които е направено изчислението по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B31725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са изготвени план-сметки към съответните такси, които се предлага да бъдат завишени</w:t>
            </w:r>
            <w:r w:rsidR="00AF3F38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B31725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2A27485" w14:textId="77777777" w:rsidR="00540D89" w:rsidRPr="008B1142" w:rsidRDefault="005155F5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предвижда таксата за полагане на теоретичен изпит за придобиване право на лов да се промени от 35 лв. на 60 лв.</w:t>
            </w:r>
            <w:r w:rsidR="00194062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а 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таксата за практическия изпит да се промени от 25 лв. на 35 лв.</w:t>
            </w:r>
          </w:p>
          <w:p w14:paraId="076E331D" w14:textId="204ECCEF" w:rsidR="00540D89" w:rsidRPr="008B1142" w:rsidRDefault="00540D89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По направените проучвания от Изпълнителна агенция по горите средно годишно (за последните три години) са 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положили теоретичен изпит 4 </w:t>
            </w:r>
            <w:r w:rsidR="00C022A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153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броя кандидат ловци.</w:t>
            </w:r>
            <w:r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Pr="008B11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Видно от направената план сметка за конкретната такса, с цел  остойностяването ѝ, разходите за извършване на същата възлизат на 60,00 лв. към 2023 г. От тях 10,50 лв. са разходи не свързани с работни заплати.</w:t>
            </w:r>
          </w:p>
          <w:p w14:paraId="062D1622" w14:textId="290F8934" w:rsidR="00540D89" w:rsidRPr="005A1DAB" w:rsidRDefault="00540D89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предвижда таксата за полагане на практически изпит за придобиване право на лов да се промени от 25 лв. на 35 лв. </w:t>
            </w:r>
            <w:r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По направените проучвания от Изпълнителна агенция по горите средно годишно (за последните три години) 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са положили практически изпит 3 </w:t>
            </w:r>
            <w:r w:rsidR="00C022A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318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бр. кандидат ловци, поради факта, че не всички явили се кандидат ловци са издържали теоретичния изпит.</w:t>
            </w:r>
          </w:p>
          <w:p w14:paraId="0AB6C110" w14:textId="77777777" w:rsidR="00540D89" w:rsidRPr="005A1DAB" w:rsidRDefault="00540D89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Видно от направената план сметка за конкретната такса, с цел  остойностяването ѝ, разходите за извършване на същата възлизат на 34,99 лв. към 2023 г. От тях 6,83 лв. са разходи не свързани с работни заплати. </w:t>
            </w:r>
          </w:p>
          <w:p w14:paraId="50FBD06E" w14:textId="61C2F0C1" w:rsidR="00540D89" w:rsidRPr="008B1142" w:rsidRDefault="00540D89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В тази връзка</w:t>
            </w:r>
            <w:r w:rsidR="007C19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,</w:t>
            </w:r>
            <w:r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е направено предложение за увеличение на разходите за текуща издръжка по бюджета на МЗХ/ респективно ИАГ с цел покриване на необходимите разходи (издръжка и други текущи разходи) за полаганите изпити за 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придобиване право на лов</w:t>
            </w:r>
            <w:r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теоретичен изпит и за практически изпит при </w:t>
            </w:r>
            <w:r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средноаритметично </w:t>
            </w:r>
            <w:r w:rsidR="00CE61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4 153</w:t>
            </w:r>
            <w:r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бр. кандидат ловци в размер на </w:t>
            </w:r>
            <w:r w:rsidR="00CE61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35 986</w:t>
            </w:r>
            <w:r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лв. на годишна база.</w:t>
            </w:r>
          </w:p>
          <w:p w14:paraId="4702BF6D" w14:textId="5A1BC584" w:rsidR="00AE1565" w:rsidRPr="008B1142" w:rsidRDefault="00194062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Предвидена е и </w:t>
            </w:r>
            <w:r w:rsidR="005155F5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промяна в размера на таксите за придобиване право на собственост върху паднали дивечови рога, които към настоящия момент са символични (по 1,50 лв./кг за паднали рога от благороден елен и по 1,00 лв./кг за елен лопатар).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155F5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издаването им в сега действащата тарифа са предвидени такси съответно по 1 лв. за удостоверение и по 0,50 лв. за дубликат, като техния размер не покриват разходите за предоставя</w:t>
            </w:r>
            <w:r w:rsidR="00791D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на административната услуга.</w:t>
            </w:r>
          </w:p>
          <w:p w14:paraId="5D202D2C" w14:textId="5C555187" w:rsidR="005A1DAB" w:rsidRPr="005A1DAB" w:rsidRDefault="005A1DA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Съобразявайки се с размера на изкупните им цени 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около 40 лв./кг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взимайки под внимание новите икономическите условия (процент инфлация) в проекта на Постановление се предвижда таксата за паднали рога от благороден елен да се промени от 1,50 лв./кг на 5,00 лв./кг.  </w:t>
            </w:r>
            <w:r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По направените проучвания от Изпълнителна агенция по горите средно годишно (за последните три години) 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територията на страната се събират около </w:t>
            </w:r>
            <w:r w:rsidR="00CE61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4 700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кг паднали рога от благороден елен.</w:t>
            </w:r>
          </w:p>
          <w:p w14:paraId="3671CBB9" w14:textId="4E6CBB22" w:rsidR="005A1DAB" w:rsidRPr="005A1DAB" w:rsidRDefault="00AE1565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Разчетът е направен,</w:t>
            </w:r>
            <w:r w:rsidR="005A1DAB"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съгласно план сметка за конкретната такса с цел остойностяването ѝ, </w:t>
            </w:r>
            <w:r w:rsidRPr="008B11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като </w:t>
            </w:r>
            <w:r w:rsidR="005A1DAB"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разходите за извършване на същата възлизат на 5,14 лв. към 2023 г. От тях 2,66 лв. са разходи</w:t>
            </w:r>
            <w:r w:rsidR="00791D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не свързани с работни заплати.</w:t>
            </w:r>
          </w:p>
          <w:p w14:paraId="46A150C6" w14:textId="25661C0B" w:rsidR="005A1DAB" w:rsidRPr="005A1DAB" w:rsidRDefault="008B1142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п</w:t>
            </w:r>
            <w:r w:rsidR="007C19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роекта на п</w:t>
            </w:r>
            <w:r w:rsidR="005A1DAB"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остановление се предвижда таксата за паднали рога от елен лопатар да се промени от 1,00 лв./кг на 4,00 лв./кг. </w:t>
            </w:r>
            <w:r w:rsidR="005A1DAB"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По направените проучвания от Изпълнителна агенция по горите средно годишно (за последните три години) </w:t>
            </w:r>
            <w:r w:rsidR="005A1DAB"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територията на страната се събират около </w:t>
            </w:r>
            <w:r w:rsidR="00CE61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633</w:t>
            </w:r>
            <w:r w:rsidR="005A1DAB"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кг паднали рога от елен лопатар.</w:t>
            </w:r>
          </w:p>
          <w:p w14:paraId="0457CC29" w14:textId="5C6A9B5B" w:rsidR="005A1DAB" w:rsidRPr="005A1DAB" w:rsidRDefault="005A1DA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Видно от направената план сметка за конкретната такса, с цел остойностяването ѝ, разходите за извършване на същата възлизат на 4,18 лв. към 2023 г. От тях 1,70 лв. са разходи не свързани с работни заплати. Стойността на разходите за издръжка възлизат на 1</w:t>
            </w:r>
            <w:r w:rsidR="00CE61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1 626</w:t>
            </w:r>
            <w:r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лв.</w:t>
            </w:r>
            <w:r w:rsidR="00AE1565" w:rsidRPr="008B11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</w:p>
          <w:p w14:paraId="373FE263" w14:textId="79F9F9F3" w:rsidR="005A1DAB" w:rsidRPr="008B1142" w:rsidRDefault="007C196E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проекта на п</w:t>
            </w:r>
            <w:r w:rsidR="005A1DAB"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остановление се предвижда създаване на нов чл. 9, който регламентира изрично таксата </w:t>
            </w:r>
            <w:r w:rsidR="005A1DAB"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за заплащане издаването на удостоверения за придобито право на подборно ловуване и техните дубликати. Посочената услуга се регламентира в отделен член предвид факта, че таксата е различна от таксата за издаване на други удостоверения, които се събират по ЗЛОД. По сега действащата разпоредба на чл. 9, ал. 1 от ЗЛОД за всички удостоверения се събира една и съща такса, към момента на приемане на Постановление № 283 на Министерски съвет всички удостоверения са се издавали на хартиен носител. Поради наличието на установен значителен брой фалшификати на хартиените удостоверения за подборно ловуване е изменен образецът, като същите</w:t>
            </w:r>
            <w:r w:rsidR="005A1DAB"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2013 г.</w:t>
            </w:r>
            <w:r w:rsidR="005A1DAB"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се изработват на специална и защитена пластика, върху която чрез специализиран принтер и консумативи се отпечатват конкретните реквизити в удостоверението, което увеличава разходите и респективно стойността на услугата.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В тази връзка, 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създава 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нов чл. 9, а досегашния става чл. 10.</w:t>
            </w:r>
          </w:p>
          <w:p w14:paraId="3A5348B5" w14:textId="07029DD3" w:rsidR="005A1DAB" w:rsidRPr="005A1DAB" w:rsidRDefault="00A21B74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проекта е предвидено за издаване на удостоверение за придобиване право на подборно ловуване, както и за дубликат на удостоверението да се събира такса в размер на 5 лв., които </w:t>
            </w:r>
            <w:r w:rsidR="005B48E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към настоящия момент 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са 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1,00 лв. за издаване на удостоверения и 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0,50 лв. за издаване на дубликати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Размерът на таксите към момента не покрива разходите за предоставяне на административната услуга. </w:t>
            </w:r>
            <w:r w:rsidR="005A1DAB"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По направените проучвания от Изпълнителна агенция по горите средноаритметично (за последните три години) </w:t>
            </w:r>
            <w:r w:rsidR="005A1DAB"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са </w:t>
            </w:r>
            <w:r w:rsidR="005A1DAB"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издавани 3 </w:t>
            </w:r>
            <w:r w:rsidR="00CE61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709</w:t>
            </w:r>
            <w:r w:rsidR="005A1DAB"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бр. удостоверения за придобито право на подборно ловуване и дубликати</w:t>
            </w:r>
            <w:r w:rsidR="005A1DAB" w:rsidRPr="005A1D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4B8C0A04" w14:textId="636854A8" w:rsidR="005A1DAB" w:rsidRPr="008B1142" w:rsidRDefault="00A21B74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Разчетът</w:t>
            </w:r>
            <w:r w:rsidR="005A1DAB"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е направен</w:t>
            </w:r>
            <w:r w:rsidRPr="008B11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,</w:t>
            </w:r>
            <w:r w:rsidR="005A1DAB"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съгласно план сметка за конкретната такса, с цел конкретното ѝ остойностяване, разходите за издаване на удостоверения за придобито право на подборно ловуване и техните дубликати</w:t>
            </w:r>
            <w:r w:rsidRPr="008B11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, които</w:t>
            </w:r>
            <w:r w:rsidR="005A1DAB"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възлизат на 5,32 лв. към 2023 г. От тях 2,24 лв. са разходи не свързани с работни заплати. Стойността на разходите за издръжка възлизат на </w:t>
            </w:r>
            <w:r w:rsidR="00CE61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8 308</w:t>
            </w:r>
            <w:r w:rsidR="005A1DAB" w:rsidRPr="005A1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лв. на годишна база.</w:t>
            </w:r>
          </w:p>
          <w:p w14:paraId="7D28B6CB" w14:textId="14C9EC77" w:rsidR="00CC35F1" w:rsidRPr="008B1142" w:rsidRDefault="00CC35F1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</w:t>
            </w:r>
            <w:r w:rsidR="00A21B74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Постановление на Министерския съвет за изменение и допълнение на Тарифата за таксите, които се събират по Закона за лова и опазване на дивеча</w:t>
            </w:r>
            <w:r w:rsidR="008B1142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предвижда предоставянето на бърза услуга.</w:t>
            </w:r>
          </w:p>
          <w:p w14:paraId="218159FD" w14:textId="77777777" w:rsidR="008B1142" w:rsidRPr="008B1142" w:rsidRDefault="008B1142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84FAE42" w14:textId="5D9C5E88" w:rsidR="00EC757F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3165469D" w14:textId="0200013B" w:rsidR="009928A9" w:rsidRPr="00561DF8" w:rsidRDefault="00AA1003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6963D9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остъпване на допълнителни финансови средства в държавния бюджет; </w:t>
            </w:r>
            <w:r w:rsidR="007D4A3E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68342C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праведливо</w:t>
            </w:r>
            <w:r w:rsidR="00C66461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определяне </w:t>
            </w:r>
            <w:r w:rsidR="006963D9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размера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</w:t>
            </w:r>
            <w:r w:rsidR="00F7358D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963D9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съответната такса, съобразен с реално време </w:t>
            </w:r>
            <w:r w:rsidR="00C66461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разходи </w:t>
            </w:r>
            <w:r w:rsidR="006963D9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извършване на услугата</w:t>
            </w:r>
            <w:r w:rsidR="0068342C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6963D9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67F77" w:rsidRPr="000E6B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Изчислено е финансово въздействие върху държавния </w:t>
            </w:r>
            <w:r w:rsidR="0053094C" w:rsidRPr="000E6B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бюджет на предложения проект на Постановление на Министерския съвет за изменение и допълнение на </w:t>
            </w:r>
            <w:r w:rsidR="00F67F77" w:rsidRPr="000E6B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Тарифа</w:t>
            </w:r>
            <w:r w:rsidR="0053094C" w:rsidRPr="000E6B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="00F67F77" w:rsidRPr="000E6B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таксите, които се събират </w:t>
            </w:r>
            <w:r w:rsidR="00CE61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Закона за лова и опазване на дивеча</w:t>
            </w:r>
            <w:r w:rsidR="00F67F77" w:rsidRPr="000E6B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като очаквания размер </w:t>
            </w:r>
            <w:r w:rsidR="00F67F77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приходите, които ще постъпят допълнително в държавния бюджет в годишен размер са </w:t>
            </w:r>
            <w:r w:rsidR="00F67F77" w:rsidRPr="00561D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</w:t>
            </w:r>
            <w:r w:rsidR="00561DF8" w:rsidRPr="00561D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0 365</w:t>
            </w:r>
            <w:r w:rsidR="00F67F77" w:rsidRPr="00561D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лв. </w:t>
            </w:r>
          </w:p>
          <w:p w14:paraId="67340B95" w14:textId="4C733441" w:rsidR="0078567B" w:rsidRPr="008B1142" w:rsidRDefault="0078567B" w:rsidP="008F674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5CE3E7A6" w14:textId="7D220E3F" w:rsidR="002A3202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29CCA161" w14:textId="3EFCB5EC" w:rsidR="002A3202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C5237F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яма идентифицирани негативни въздействия, свързани с опазване здравето на хората</w:t>
            </w:r>
            <w:r w:rsidR="002A3202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животните.</w:t>
            </w:r>
          </w:p>
          <w:p w14:paraId="7C3EA3F5" w14:textId="7D067DA6" w:rsidR="005155F5" w:rsidRPr="008B1142" w:rsidRDefault="00ED2195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Отрицателни въздействия биха се идентифицирали при физическите лица, пряко заинтересовани от предоставяните услуги, поради повишаването размера на събираните такси, което води до повишаване на административната тежест. Целта е да се събират пропорционални такси спрямо действително извършената услуга.</w:t>
            </w:r>
            <w:r w:rsidR="0078567B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E50005D" w14:textId="77777777" w:rsidR="0078567B" w:rsidRPr="008B1142" w:rsidRDefault="0078567B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14F7397D" w14:textId="3FAE5E52" w:rsidR="005155F5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</w:t>
            </w:r>
            <w:r w:rsidR="003967C5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14:paraId="7E2AC4FA" w14:textId="029B256B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2A3202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специфични въздействия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F7C7C88" w14:textId="77777777" w:rsidR="00197FB6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14:paraId="019D757C" w14:textId="11B42D41" w:rsidR="005155F5" w:rsidRPr="008B1142" w:rsidRDefault="00194062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8A23DE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A64FE8" w:rsidRPr="008B114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  <w:t xml:space="preserve"> </w:t>
            </w:r>
          </w:p>
          <w:p w14:paraId="22B0FFF6" w14:textId="6658209C" w:rsidR="00833087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Административна тежест: </w:t>
            </w:r>
          </w:p>
          <w:p w14:paraId="78A61477" w14:textId="47EAF999" w:rsidR="00F57820" w:rsidRPr="008B1142" w:rsidRDefault="00612702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проекта</w:t>
            </w:r>
            <w:r w:rsidR="006A6B58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AD2701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Постановление на Министерския съвет за изменение </w:t>
            </w:r>
            <w:r w:rsidR="00FB31C0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допълнение </w:t>
            </w:r>
            <w:r w:rsidR="00AD2701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Тарифата за таксите, които се събират по Закона за лова и опазване на дивеча, приета с Постановление № 283 </w:t>
            </w:r>
            <w:r w:rsidR="00AD2701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на Министерския съвет от 2000 г.</w:t>
            </w:r>
            <w:r w:rsidR="00C37A6C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идентифицира допълнителна</w:t>
            </w:r>
            <w:r w:rsidR="006A6B58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административна тежест върху </w:t>
            </w:r>
            <w:r w:rsidR="006A6B58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потребителите (физически лица)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поради повишаването на такси</w:t>
            </w:r>
            <w:r w:rsidR="00C37A6C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те за провеждане на изпит за придобиване право на лов, таксите за </w:t>
            </w:r>
            <w:r w:rsidR="00C37A6C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придобиване право на собственост върху паднали дивечови рога, както и разходите по издаване на удостоверенията за придобито право на подборно ловуване и техни дубликати.</w:t>
            </w:r>
            <w:r w:rsidR="00A64FE8" w:rsidRPr="008B1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Административна тежест се създава и за събирачите на паднали дивечови рога. </w:t>
            </w:r>
          </w:p>
          <w:p w14:paraId="3905E9EE" w14:textId="03714D7A" w:rsidR="0078567B" w:rsidRPr="008B1142" w:rsidRDefault="0078567B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14:paraId="32EC2F4C" w14:textId="77777777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671FAF65" w14:textId="77777777" w:rsidR="009903C1" w:rsidRPr="008B1142" w:rsidRDefault="009903C1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6262E951" w14:textId="77777777" w:rsidR="0078567B" w:rsidRPr="008B1142" w:rsidRDefault="0078567B" w:rsidP="008F6747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</w:t>
            </w:r>
            <w:r w:rsidR="005A7120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и, административни услуги и др.</w:t>
            </w:r>
          </w:p>
          <w:p w14:paraId="27CA0F72" w14:textId="4FE189D9" w:rsidR="006C1B4C" w:rsidRPr="008B1142" w:rsidRDefault="006C1B4C" w:rsidP="008F6747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</w:tc>
      </w:tr>
      <w:tr w:rsidR="008B1142" w:rsidRPr="008B1142" w14:paraId="061F8D4E" w14:textId="77777777" w:rsidTr="00656AEB">
        <w:tc>
          <w:tcPr>
            <w:tcW w:w="10266" w:type="dxa"/>
            <w:gridSpan w:val="2"/>
          </w:tcPr>
          <w:p w14:paraId="427D7AC1" w14:textId="77777777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14:paraId="0AC556B8" w14:textId="5C305DB0" w:rsidR="0078567B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Степени на изпълнение по критерии: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3"/>
              <w:gridCol w:w="1763"/>
              <w:gridCol w:w="2354"/>
              <w:gridCol w:w="2502"/>
            </w:tblGrid>
            <w:tr w:rsidR="008B1142" w:rsidRPr="006D3B2F" w14:paraId="6B773A01" w14:textId="77777777" w:rsidTr="00E63193">
              <w:trPr>
                <w:trHeight w:val="20"/>
                <w:jc w:val="center"/>
              </w:trPr>
              <w:tc>
                <w:tcPr>
                  <w:tcW w:w="2227" w:type="dxa"/>
                  <w:gridSpan w:val="2"/>
                  <w:tcBorders>
                    <w:tl2br w:val="single" w:sz="6" w:space="0" w:color="auto"/>
                  </w:tcBorders>
                  <w:shd w:val="clear" w:color="auto" w:fill="D9D9D9"/>
                </w:tcPr>
                <w:p w14:paraId="0630F642" w14:textId="77777777" w:rsidR="00FB6A63" w:rsidRPr="006D3B2F" w:rsidRDefault="00FB6A63" w:rsidP="00D2740A">
                  <w:pPr>
                    <w:framePr w:hSpace="141" w:wrap="around" w:vAnchor="text" w:hAnchor="text" w:xAlign="center" w:y="1"/>
                    <w:spacing w:after="0" w:line="360" w:lineRule="auto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2354" w:type="dxa"/>
                  <w:shd w:val="clear" w:color="auto" w:fill="D9D9D9"/>
                  <w:vAlign w:val="center"/>
                </w:tcPr>
                <w:p w14:paraId="1F63F8D4" w14:textId="77777777" w:rsidR="00FB6A63" w:rsidRPr="006D3B2F" w:rsidRDefault="00FB6A63" w:rsidP="00D2740A">
                  <w:pPr>
                    <w:framePr w:hSpace="141" w:wrap="around" w:vAnchor="text" w:hAnchor="text" w:xAlign="center" w:y="1"/>
                    <w:spacing w:after="0" w:line="360" w:lineRule="auto"/>
                    <w:ind w:left="-160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Вариант 1</w:t>
                  </w:r>
                </w:p>
                <w:p w14:paraId="594D8EFE" w14:textId="77777777" w:rsidR="00FB6A63" w:rsidRPr="006D3B2F" w:rsidRDefault="00FB6A63" w:rsidP="00D2740A">
                  <w:pPr>
                    <w:framePr w:hSpace="141" w:wrap="around" w:vAnchor="text" w:hAnchor="text" w:xAlign="center" w:y="1"/>
                    <w:spacing w:after="0" w:line="360" w:lineRule="auto"/>
                    <w:ind w:left="-160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2502" w:type="dxa"/>
                  <w:shd w:val="clear" w:color="auto" w:fill="D9D9D9"/>
                  <w:vAlign w:val="center"/>
                </w:tcPr>
                <w:p w14:paraId="0F738609" w14:textId="77777777" w:rsidR="00FB6A63" w:rsidRPr="006D3B2F" w:rsidRDefault="00FB6A63" w:rsidP="00D2740A">
                  <w:pPr>
                    <w:framePr w:hSpace="141" w:wrap="around" w:vAnchor="text" w:hAnchor="text" w:xAlign="center" w:y="1"/>
                    <w:spacing w:after="0" w:line="360" w:lineRule="auto"/>
                    <w:ind w:left="-160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Вариант 2</w:t>
                  </w:r>
                </w:p>
                <w:p w14:paraId="5DE9BFFD" w14:textId="77777777" w:rsidR="00FB6A63" w:rsidRPr="006D3B2F" w:rsidRDefault="00FB6A63" w:rsidP="00D2740A">
                  <w:pPr>
                    <w:framePr w:hSpace="141" w:wrap="around" w:vAnchor="text" w:hAnchor="text" w:xAlign="center" w:y="1"/>
                    <w:spacing w:after="0" w:line="360" w:lineRule="auto"/>
                    <w:ind w:left="-160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„Приемане на акта“</w:t>
                  </w:r>
                </w:p>
              </w:tc>
            </w:tr>
            <w:tr w:rsidR="006D3B2F" w:rsidRPr="006D3B2F" w14:paraId="23954FEA" w14:textId="77777777" w:rsidTr="00E63193">
              <w:tblPrEx>
                <w:tblBorders>
                  <w:insideV w:val="single" w:sz="4" w:space="0" w:color="auto"/>
                </w:tblBorders>
              </w:tblPrEx>
              <w:trPr>
                <w:trHeight w:val="907"/>
                <w:jc w:val="center"/>
              </w:trPr>
              <w:tc>
                <w:tcPr>
                  <w:tcW w:w="464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57F9242F" w14:textId="77777777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 w:after="0" w:line="360" w:lineRule="auto"/>
                    <w:ind w:left="113" w:right="113"/>
                    <w:suppressOverlap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763" w:type="dxa"/>
                  <w:shd w:val="clear" w:color="auto" w:fill="FFFFFF"/>
                  <w:vAlign w:val="center"/>
                </w:tcPr>
                <w:p w14:paraId="0BEE079A" w14:textId="77777777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suppressOverlap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1</w:t>
                  </w:r>
                </w:p>
              </w:tc>
              <w:tc>
                <w:tcPr>
                  <w:tcW w:w="2354" w:type="dxa"/>
                  <w:shd w:val="clear" w:color="auto" w:fill="FFFFFF"/>
                  <w:vAlign w:val="center"/>
                </w:tcPr>
                <w:p w14:paraId="45A66155" w14:textId="77777777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02" w:type="dxa"/>
                  <w:shd w:val="clear" w:color="auto" w:fill="FFFFFF"/>
                  <w:vAlign w:val="center"/>
                </w:tcPr>
                <w:p w14:paraId="1AF0D12C" w14:textId="77777777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6D3B2F" w:rsidRPr="006D3B2F" w14:paraId="64171914" w14:textId="77777777" w:rsidTr="00E63193">
              <w:tblPrEx>
                <w:tblBorders>
                  <w:insideV w:val="single" w:sz="4" w:space="0" w:color="auto"/>
                </w:tblBorders>
              </w:tblPrEx>
              <w:trPr>
                <w:trHeight w:val="907"/>
                <w:jc w:val="center"/>
              </w:trPr>
              <w:tc>
                <w:tcPr>
                  <w:tcW w:w="464" w:type="dxa"/>
                  <w:vMerge/>
                  <w:shd w:val="clear" w:color="auto" w:fill="D9D9D9" w:themeFill="background1" w:themeFillShade="D9"/>
                  <w:textDirection w:val="btLr"/>
                  <w:vAlign w:val="center"/>
                </w:tcPr>
                <w:p w14:paraId="2B4B3480" w14:textId="77777777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763" w:type="dxa"/>
                  <w:shd w:val="clear" w:color="auto" w:fill="FFFFFF"/>
                  <w:vAlign w:val="center"/>
                </w:tcPr>
                <w:p w14:paraId="7F29D7A8" w14:textId="54314528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suppressOverlap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highlight w:val="yellow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2</w:t>
                  </w:r>
                </w:p>
              </w:tc>
              <w:tc>
                <w:tcPr>
                  <w:tcW w:w="2354" w:type="dxa"/>
                  <w:shd w:val="clear" w:color="auto" w:fill="FFFFFF"/>
                  <w:vAlign w:val="center"/>
                </w:tcPr>
                <w:p w14:paraId="03433AFA" w14:textId="7FCDCF5A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02" w:type="dxa"/>
                  <w:shd w:val="clear" w:color="auto" w:fill="FFFFFF"/>
                  <w:vAlign w:val="center"/>
                </w:tcPr>
                <w:p w14:paraId="453A2E82" w14:textId="3444D66C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6D3B2F" w:rsidRPr="006D3B2F" w14:paraId="3F33AFF7" w14:textId="77777777" w:rsidTr="00E63193">
              <w:tblPrEx>
                <w:tblBorders>
                  <w:insideV w:val="single" w:sz="4" w:space="0" w:color="auto"/>
                </w:tblBorders>
              </w:tblPrEx>
              <w:trPr>
                <w:trHeight w:val="907"/>
                <w:jc w:val="center"/>
              </w:trPr>
              <w:tc>
                <w:tcPr>
                  <w:tcW w:w="464" w:type="dxa"/>
                  <w:vMerge w:val="restart"/>
                  <w:shd w:val="clear" w:color="auto" w:fill="D9D9D9"/>
                  <w:textDirection w:val="btLr"/>
                  <w:vAlign w:val="center"/>
                </w:tcPr>
                <w:p w14:paraId="32279010" w14:textId="77777777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 w:after="0" w:line="360" w:lineRule="auto"/>
                    <w:ind w:left="113" w:right="113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Ефикасност</w:t>
                  </w:r>
                </w:p>
              </w:tc>
              <w:tc>
                <w:tcPr>
                  <w:tcW w:w="1763" w:type="dxa"/>
                  <w:shd w:val="clear" w:color="auto" w:fill="FFFFFF"/>
                  <w:vAlign w:val="center"/>
                </w:tcPr>
                <w:p w14:paraId="32CE774D" w14:textId="77777777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1</w:t>
                  </w:r>
                </w:p>
              </w:tc>
              <w:tc>
                <w:tcPr>
                  <w:tcW w:w="2354" w:type="dxa"/>
                  <w:shd w:val="clear" w:color="auto" w:fill="FFFFFF"/>
                  <w:vAlign w:val="center"/>
                </w:tcPr>
                <w:p w14:paraId="35C3955F" w14:textId="77777777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02" w:type="dxa"/>
                  <w:shd w:val="clear" w:color="auto" w:fill="FFFFFF"/>
                  <w:vAlign w:val="center"/>
                </w:tcPr>
                <w:p w14:paraId="2B463388" w14:textId="77777777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6D3B2F" w:rsidRPr="006D3B2F" w14:paraId="62D2228E" w14:textId="77777777" w:rsidTr="00E63193">
              <w:tblPrEx>
                <w:tblBorders>
                  <w:insideV w:val="single" w:sz="4" w:space="0" w:color="auto"/>
                </w:tblBorders>
              </w:tblPrEx>
              <w:trPr>
                <w:trHeight w:val="907"/>
                <w:jc w:val="center"/>
              </w:trPr>
              <w:tc>
                <w:tcPr>
                  <w:tcW w:w="464" w:type="dxa"/>
                  <w:vMerge/>
                  <w:shd w:val="clear" w:color="auto" w:fill="D9D9D9"/>
                  <w:textDirection w:val="btLr"/>
                  <w:vAlign w:val="center"/>
                </w:tcPr>
                <w:p w14:paraId="36A6B23A" w14:textId="77777777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763" w:type="dxa"/>
                  <w:shd w:val="clear" w:color="auto" w:fill="FFFFFF"/>
                  <w:vAlign w:val="center"/>
                </w:tcPr>
                <w:p w14:paraId="34102CBF" w14:textId="1523FDE8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suppressOverlap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2</w:t>
                  </w:r>
                </w:p>
              </w:tc>
              <w:tc>
                <w:tcPr>
                  <w:tcW w:w="2354" w:type="dxa"/>
                  <w:shd w:val="clear" w:color="auto" w:fill="FFFFFF"/>
                  <w:vAlign w:val="center"/>
                </w:tcPr>
                <w:p w14:paraId="6B91656A" w14:textId="081F8FD0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02" w:type="dxa"/>
                  <w:shd w:val="clear" w:color="auto" w:fill="FFFFFF"/>
                  <w:vAlign w:val="center"/>
                </w:tcPr>
                <w:p w14:paraId="43EC7F08" w14:textId="24E337E4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6D3B2F" w:rsidRPr="006D3B2F" w14:paraId="6747483B" w14:textId="77777777" w:rsidTr="00656AEB">
              <w:tblPrEx>
                <w:tblBorders>
                  <w:insideV w:val="single" w:sz="4" w:space="0" w:color="auto"/>
                </w:tblBorders>
              </w:tblPrEx>
              <w:trPr>
                <w:trHeight w:val="964"/>
                <w:jc w:val="center"/>
              </w:trPr>
              <w:tc>
                <w:tcPr>
                  <w:tcW w:w="464" w:type="dxa"/>
                  <w:vMerge w:val="restart"/>
                  <w:shd w:val="clear" w:color="auto" w:fill="D9D9D9"/>
                  <w:textDirection w:val="btLr"/>
                  <w:vAlign w:val="center"/>
                </w:tcPr>
                <w:p w14:paraId="3CF25C1D" w14:textId="77777777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 w:after="0" w:line="360" w:lineRule="auto"/>
                    <w:ind w:left="113" w:right="113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763" w:type="dxa"/>
                  <w:shd w:val="clear" w:color="auto" w:fill="FFFFFF"/>
                  <w:vAlign w:val="center"/>
                </w:tcPr>
                <w:p w14:paraId="38C4A605" w14:textId="77777777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1</w:t>
                  </w:r>
                </w:p>
              </w:tc>
              <w:tc>
                <w:tcPr>
                  <w:tcW w:w="2354" w:type="dxa"/>
                  <w:shd w:val="clear" w:color="auto" w:fill="FFFFFF"/>
                  <w:vAlign w:val="center"/>
                </w:tcPr>
                <w:p w14:paraId="6B21CD5A" w14:textId="77777777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02" w:type="dxa"/>
                  <w:shd w:val="clear" w:color="auto" w:fill="FFFFFF"/>
                  <w:vAlign w:val="center"/>
                </w:tcPr>
                <w:p w14:paraId="0ACFF71A" w14:textId="77777777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16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6D3B2F" w:rsidRPr="006D3B2F" w14:paraId="404190B1" w14:textId="77777777" w:rsidTr="00656AEB">
              <w:tblPrEx>
                <w:tblBorders>
                  <w:insideV w:val="single" w:sz="4" w:space="0" w:color="auto"/>
                </w:tblBorders>
              </w:tblPrEx>
              <w:trPr>
                <w:trHeight w:val="964"/>
                <w:jc w:val="center"/>
              </w:trPr>
              <w:tc>
                <w:tcPr>
                  <w:tcW w:w="464" w:type="dxa"/>
                  <w:vMerge/>
                  <w:shd w:val="clear" w:color="auto" w:fill="D9D9D9"/>
                  <w:textDirection w:val="btLr"/>
                  <w:vAlign w:val="center"/>
                </w:tcPr>
                <w:p w14:paraId="24470641" w14:textId="77777777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14:paraId="53C7A59B" w14:textId="04EB27E6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suppressOverlap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2</w:t>
                  </w:r>
                </w:p>
              </w:tc>
              <w:tc>
                <w:tcPr>
                  <w:tcW w:w="2354" w:type="dxa"/>
                  <w:shd w:val="clear" w:color="auto" w:fill="FFFFFF"/>
                  <w:vAlign w:val="center"/>
                </w:tcPr>
                <w:p w14:paraId="2D291BC7" w14:textId="3DDCD82F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02" w:type="dxa"/>
                  <w:shd w:val="clear" w:color="auto" w:fill="FFFFFF"/>
                  <w:vAlign w:val="center"/>
                </w:tcPr>
                <w:p w14:paraId="1D1B6D6C" w14:textId="43FC528B" w:rsidR="006D3B2F" w:rsidRPr="006D3B2F" w:rsidRDefault="006D3B2F" w:rsidP="00D2740A">
                  <w:pPr>
                    <w:framePr w:hSpace="141" w:wrap="around" w:vAnchor="text" w:hAnchor="text" w:xAlign="center" w:y="1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16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6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</w:tbl>
          <w:p w14:paraId="45128D8A" w14:textId="77777777" w:rsidR="00380BC0" w:rsidRPr="008B1142" w:rsidRDefault="00380BC0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76055530" w14:textId="052E12DF" w:rsidR="0078567B" w:rsidRPr="008B1142" w:rsidRDefault="006F0813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Сравнението по критериите </w:t>
            </w:r>
            <w:r w:rsidR="006D3B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ефективност, ефикасност и съгласуваност на двата предложени варианта показва, че при прилагане на Вариант 2 ще бъд</w:t>
            </w:r>
            <w:r w:rsidR="005155F5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ат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постигнат</w:t>
            </w:r>
            <w:r w:rsidR="005155F5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заложен</w:t>
            </w:r>
            <w:r w:rsidR="005155F5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ите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цел</w:t>
            </w:r>
            <w:r w:rsidR="005155F5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поради което Вариант 2 е препоръчителният вариант.</w:t>
            </w:r>
            <w:r w:rsidR="00CC5573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45A218DC" w14:textId="44E91EFD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Сравнете вариантите чрез сравняване на ключовите им положителни и отрицателни въздействия.</w:t>
            </w:r>
          </w:p>
          <w:p w14:paraId="76A084AA" w14:textId="29C919E2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070E584F" w14:textId="77777777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0C85DA97" w14:textId="0F458104" w:rsidR="005D5A3E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lastRenderedPageBreak/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  <w:r w:rsidR="005952E1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съгласуваност, която показва степента, до която вариантите съответстват на действащите стратегически документи.</w:t>
            </w:r>
          </w:p>
        </w:tc>
      </w:tr>
      <w:tr w:rsidR="008B1142" w:rsidRPr="008B1142" w14:paraId="3581DEA8" w14:textId="77777777" w:rsidTr="00656AEB">
        <w:tc>
          <w:tcPr>
            <w:tcW w:w="10266" w:type="dxa"/>
            <w:gridSpan w:val="2"/>
          </w:tcPr>
          <w:p w14:paraId="212C3F3B" w14:textId="77777777" w:rsidR="0078567B" w:rsidRPr="008B1142" w:rsidRDefault="0078567B" w:rsidP="00656AEB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14:paraId="6B1029EE" w14:textId="4BF9C0BD" w:rsidR="0078567B" w:rsidRPr="008B1142" w:rsidRDefault="00DE6838" w:rsidP="00656AEB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</w:t>
            </w:r>
            <w:r w:rsidR="0078567B"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2: </w:t>
            </w:r>
            <w:r w:rsidR="0078567B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8A5EEB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Приемане на проект на Постановление на Министерския съвет за изменение </w:t>
            </w:r>
            <w:r w:rsidR="00FB31C0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допълнение </w:t>
            </w:r>
            <w:r w:rsidR="008A5EEB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Тарифата за таксите, които се събират по Закона за лова и опазване на дивеча</w:t>
            </w:r>
          </w:p>
          <w:p w14:paraId="44C0DA42" w14:textId="08086662" w:rsidR="0078567B" w:rsidRPr="008B1142" w:rsidRDefault="0078567B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проблем/проблеми.</w:t>
            </w:r>
          </w:p>
        </w:tc>
      </w:tr>
      <w:tr w:rsidR="008B1142" w:rsidRPr="008B1142" w14:paraId="1511B3DD" w14:textId="77777777" w:rsidTr="00656AEB">
        <w:tc>
          <w:tcPr>
            <w:tcW w:w="10266" w:type="dxa"/>
            <w:gridSpan w:val="2"/>
          </w:tcPr>
          <w:p w14:paraId="5247B436" w14:textId="77777777" w:rsidR="0078567B" w:rsidRPr="008B1142" w:rsidRDefault="0078567B" w:rsidP="00656AEB">
            <w:pPr>
              <w:spacing w:before="120" w:after="0" w:line="32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23D96C03" w14:textId="31193F09" w:rsidR="0078567B" w:rsidRPr="008B1142" w:rsidRDefault="0078567B" w:rsidP="00656AEB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854E52D">
                <v:shape id="_x0000_i1064" type="#_x0000_t75" style="width:108.2pt;height:17.9pt" o:ole="">
                  <v:imagedata r:id="rId17" o:title=""/>
                </v:shape>
                <w:control r:id="rId18" w:name="OptionButton3" w:shapeid="_x0000_i1064"/>
              </w:object>
            </w:r>
          </w:p>
          <w:p w14:paraId="6711743F" w14:textId="263B5AD5" w:rsidR="0078567B" w:rsidRPr="008B1142" w:rsidRDefault="0078567B" w:rsidP="00656AEB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BE8C0B7">
                <v:shape id="_x0000_i1066" type="#_x0000_t75" style="width:108.2pt;height:17.9pt" o:ole="">
                  <v:imagedata r:id="rId19" o:title=""/>
                </v:shape>
                <w:control r:id="rId20" w:name="OptionButton4" w:shapeid="_x0000_i1066"/>
              </w:object>
            </w:r>
          </w:p>
          <w:p w14:paraId="23A587D4" w14:textId="58BE9060" w:rsidR="0078567B" w:rsidRPr="008B1142" w:rsidRDefault="0078567B" w:rsidP="00656AEB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B3636BA">
                <v:shape id="_x0000_i1068" type="#_x0000_t75" style="width:108.2pt;height:17.9pt" o:ole="">
                  <v:imagedata r:id="rId21" o:title=""/>
                </v:shape>
                <w:control r:id="rId22" w:name="OptionButton5" w:shapeid="_x0000_i1068"/>
              </w:object>
            </w:r>
          </w:p>
          <w:p w14:paraId="10A80B2F" w14:textId="54628B5F" w:rsidR="00F67F77" w:rsidRPr="000E6B24" w:rsidRDefault="00FA0550" w:rsidP="00656AEB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Очаква се </w:t>
            </w:r>
            <w:r w:rsidRPr="000E6B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повишаване на административната тежест </w:t>
            </w:r>
            <w:r w:rsidR="00290E68" w:rsidRPr="000E6B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Pr="000E6B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физическите лица</w:t>
            </w:r>
            <w:r w:rsidR="006C36B9" w:rsidRPr="000E6B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290E68" w:rsidRPr="000E6B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потребители </w:t>
            </w:r>
            <w:r w:rsidR="00644245" w:rsidRPr="000E6B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съответните услуги.</w:t>
            </w:r>
            <w:r w:rsidR="00F67F77" w:rsidRPr="000E6B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67F77" w:rsidRPr="000E6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Изчислено е финансово въздействие върху държавния бюджет на предложения проект на </w:t>
            </w:r>
            <w:r w:rsidR="00A445D0" w:rsidRPr="000E6B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 на Министерския съвет за изменение и допълнение на Тарифата</w:t>
            </w:r>
            <w:r w:rsidR="00F67F77" w:rsidRPr="000E6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 за таксите, които се събират </w:t>
            </w:r>
            <w:r w:rsidR="00D05605" w:rsidRPr="000E6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по Закона за лова и опазване на дивеча</w:t>
            </w:r>
            <w:r w:rsidR="00F67F77" w:rsidRPr="000E6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, като очаквания размер на приходите, които ще постъпят допълнително в държавния бюджет в годишен размер са 17</w:t>
            </w:r>
            <w:r w:rsidR="006A76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0 365</w:t>
            </w:r>
            <w:r w:rsidR="00F67F77" w:rsidRPr="000E6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 xml:space="preserve"> лв.</w:t>
            </w:r>
          </w:p>
          <w:p w14:paraId="1314A92A" w14:textId="43A7545C" w:rsidR="0078567B" w:rsidRPr="008B1142" w:rsidRDefault="0078567B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E6B2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</w:t>
            </w:r>
            <w:proofErr w:type="spellStart"/>
            <w:r w:rsidRPr="000E6B2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0E6B2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специфични въздействия на препоръчителния вариант за решаване на всеки проблем.</w:t>
            </w:r>
          </w:p>
          <w:p w14:paraId="1AAA5F2B" w14:textId="7CA26B83" w:rsidR="0078567B" w:rsidRPr="008B1142" w:rsidRDefault="0078567B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такса,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дейност.</w:t>
            </w:r>
          </w:p>
        </w:tc>
      </w:tr>
      <w:tr w:rsidR="008B1142" w:rsidRPr="008B1142" w14:paraId="56544CB3" w14:textId="77777777" w:rsidTr="00656AEB">
        <w:tc>
          <w:tcPr>
            <w:tcW w:w="10266" w:type="dxa"/>
            <w:gridSpan w:val="2"/>
          </w:tcPr>
          <w:p w14:paraId="632DE473" w14:textId="1E7FA1BC" w:rsidR="0078567B" w:rsidRPr="008B1142" w:rsidRDefault="0078567B" w:rsidP="00656AEB">
            <w:pPr>
              <w:spacing w:before="120" w:after="0" w:line="32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14:paraId="72A1EE56" w14:textId="6EE1FF07" w:rsidR="0078567B" w:rsidRPr="008B1142" w:rsidRDefault="0078567B" w:rsidP="00656AEB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9DE35FD">
                <v:shape id="_x0000_i1070" type="#_x0000_t75" style="width:108.2pt;height:17.9pt" o:ole="">
                  <v:imagedata r:id="rId23" o:title=""/>
                </v:shape>
                <w:control r:id="rId24" w:name="OptionButton16" w:shapeid="_x0000_i1070"/>
              </w:object>
            </w:r>
          </w:p>
          <w:p w14:paraId="66A4AF1D" w14:textId="52FB9F7B" w:rsidR="0078567B" w:rsidRPr="008B1142" w:rsidRDefault="0078567B" w:rsidP="00656AEB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CCA227F">
                <v:shape id="_x0000_i1072" type="#_x0000_t75" style="width:108.2pt;height:17.9pt" o:ole="">
                  <v:imagedata r:id="rId25" o:title=""/>
                </v:shape>
                <w:control r:id="rId26" w:name="OptionButton17" w:shapeid="_x0000_i1072"/>
              </w:object>
            </w:r>
          </w:p>
          <w:p w14:paraId="1AA3F1CA" w14:textId="71D1CC82" w:rsidR="00484A81" w:rsidRPr="008B1142" w:rsidRDefault="00484A81" w:rsidP="00656AEB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Размерът на таксите е в съответствие с необходимите материално-технически и административни разходи за извършване на съответната дейност и е определен по Методиката за определяне на </w:t>
            </w:r>
            <w:proofErr w:type="spellStart"/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разходоориентиран</w:t>
            </w:r>
            <w:proofErr w:type="spellEnd"/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размер на таксите по чл. 7а от Закона за ограничаване на административното регулиране и административния контрол върху стопанската дейност и разходите им. Размерът на таксите включва направените преки и непреки разходи, свързани с предоставянето на съответните дейности и услуги на физически лица. Всички тези преки и непреки разходи са посочени в стойността на услугата, а тези, за които не е възможно е възприет принципа на пропорционално разпределение на направените разходи от административния орган.</w:t>
            </w:r>
          </w:p>
          <w:p w14:paraId="56DED854" w14:textId="1B67F7FD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</w:t>
            </w:r>
            <w:proofErr w:type="spellStart"/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избрания вариант.</w:t>
            </w:r>
          </w:p>
          <w:p w14:paraId="3E1E04D4" w14:textId="496FEE58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В случай че се предвижда създаване нов регулаторен режим, посочете неговия вид (за стопанска дейност: лицензионен, регистрационен;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14:paraId="20AC0B97" w14:textId="5401FEB5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034559C7" w14:textId="5B6121B3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1691EA6E" w14:textId="7FCDD3AC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7A7A5A6B" w14:textId="2C5B35B4" w:rsidR="00715055" w:rsidRPr="008B1142" w:rsidRDefault="00715055" w:rsidP="00656AEB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Проектът не се налага да бъде </w:t>
            </w:r>
            <w:proofErr w:type="spellStart"/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нотифициран</w:t>
            </w:r>
            <w:proofErr w:type="spellEnd"/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реда на Директива (ЕС) 2015/1535 на Европейския парламент и на Съвета от 9 септември 2015 година</w:t>
            </w:r>
            <w:r w:rsidR="00351030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установяваща процедура за предоставянето на информация в сферата на техническите регламенти и правила относно услугите на информационното общество</w:t>
            </w:r>
          </w:p>
          <w:p w14:paraId="76DB4E35" w14:textId="6B4F0DF0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</w:tc>
      </w:tr>
      <w:tr w:rsidR="008B1142" w:rsidRPr="008B1142" w14:paraId="5FF8E077" w14:textId="77777777" w:rsidTr="00656AEB">
        <w:tc>
          <w:tcPr>
            <w:tcW w:w="10266" w:type="dxa"/>
            <w:gridSpan w:val="2"/>
          </w:tcPr>
          <w:p w14:paraId="7B0F5C32" w14:textId="1D1E6DFB" w:rsidR="0078567B" w:rsidRPr="008B1142" w:rsidRDefault="0078567B" w:rsidP="00656AEB">
            <w:pPr>
              <w:spacing w:before="120" w:after="0" w:line="32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1750DCF5" w14:textId="4AEDA0D9" w:rsidR="0078567B" w:rsidRPr="008B1142" w:rsidRDefault="0078567B" w:rsidP="00656AEB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319A3815">
                <v:shape id="_x0000_i1074" type="#_x0000_t75" style="width:108.2pt;height:17.9pt" o:ole="">
                  <v:imagedata r:id="rId23" o:title=""/>
                </v:shape>
                <w:control r:id="rId27" w:name="OptionButton18" w:shapeid="_x0000_i1074"/>
              </w:object>
            </w:r>
          </w:p>
          <w:p w14:paraId="7849EC3F" w14:textId="4DC03327" w:rsidR="0078567B" w:rsidRPr="008B1142" w:rsidRDefault="0078567B" w:rsidP="00656AEB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4663E39">
                <v:shape id="_x0000_i1076" type="#_x0000_t75" style="width:108.2pt;height:17.9pt" o:ole="">
                  <v:imagedata r:id="rId25" o:title=""/>
                </v:shape>
                <w:control r:id="rId28" w:name="OptionButton19" w:shapeid="_x0000_i1076"/>
              </w:object>
            </w:r>
          </w:p>
          <w:p w14:paraId="1E163E09" w14:textId="6BE62A25" w:rsidR="00764084" w:rsidRPr="008B1142" w:rsidRDefault="00764084" w:rsidP="00656AEB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създават нови регистри, както и не се засягат съществуващи такива.</w:t>
            </w:r>
          </w:p>
          <w:p w14:paraId="46F92B24" w14:textId="11D40D74" w:rsidR="0078567B" w:rsidRPr="008B1142" w:rsidRDefault="0078567B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Когато отговорът е „Да“, посочете регистрите, които се създават и по какъв начин те ще бъдат интегрирани в общата </w:t>
            </w:r>
            <w:proofErr w:type="spellStart"/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регистрова</w:t>
            </w:r>
            <w:proofErr w:type="spellEnd"/>
            <w:r w:rsidR="00E8606A"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инфраструктура.</w:t>
            </w:r>
          </w:p>
        </w:tc>
      </w:tr>
      <w:tr w:rsidR="008B1142" w:rsidRPr="008B1142" w14:paraId="274837D6" w14:textId="77777777" w:rsidTr="00656AEB">
        <w:tc>
          <w:tcPr>
            <w:tcW w:w="10266" w:type="dxa"/>
            <w:gridSpan w:val="2"/>
          </w:tcPr>
          <w:p w14:paraId="69C80DA5" w14:textId="61D3E3A8" w:rsidR="0078567B" w:rsidRPr="008B1142" w:rsidRDefault="0078567B" w:rsidP="00656AEB">
            <w:pPr>
              <w:spacing w:before="120" w:after="0" w:line="32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препоръчителният вариант въздейства върху </w:t>
            </w:r>
            <w:proofErr w:type="spellStart"/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proofErr w:type="spellEnd"/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-, малките и средните предприятия (МСП)</w:t>
            </w:r>
            <w:r w:rsidRPr="008B114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3AC059AB" w14:textId="39B532A9" w:rsidR="0078567B" w:rsidRPr="008B1142" w:rsidRDefault="0078567B" w:rsidP="00656AEB">
            <w:pPr>
              <w:spacing w:after="0" w:line="324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8B1142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616DB3D9">
                <v:shape id="_x0000_i1078" type="#_x0000_t75" style="width:259.7pt;height:17.9pt" o:ole="">
                  <v:imagedata r:id="rId29" o:title=""/>
                </v:shape>
                <w:control r:id="rId30" w:name="OptionButton6" w:shapeid="_x0000_i1078"/>
              </w:object>
            </w:r>
          </w:p>
          <w:p w14:paraId="3807A31A" w14:textId="177C2CCE" w:rsidR="0078567B" w:rsidRDefault="0078567B" w:rsidP="00656AEB">
            <w:pPr>
              <w:spacing w:after="0" w:line="324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8B1142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48996CF0">
                <v:shape id="_x0000_i1080" type="#_x0000_t75" style="width:161.05pt;height:17.9pt" o:ole="">
                  <v:imagedata r:id="rId31" o:title=""/>
                </v:shape>
                <w:control r:id="rId32" w:name="OptionButton7" w:shapeid="_x0000_i1080"/>
              </w:object>
            </w:r>
          </w:p>
          <w:p w14:paraId="1808DE63" w14:textId="0DA1C374" w:rsidR="0078567B" w:rsidRPr="008B1142" w:rsidRDefault="0078567B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следва да е </w:t>
            </w:r>
            <w:proofErr w:type="spellStart"/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препоръчителния вариант.</w:t>
            </w:r>
          </w:p>
        </w:tc>
      </w:tr>
      <w:tr w:rsidR="008B1142" w:rsidRPr="008B1142" w14:paraId="6257BA47" w14:textId="77777777" w:rsidTr="00656AEB">
        <w:tc>
          <w:tcPr>
            <w:tcW w:w="10266" w:type="dxa"/>
            <w:gridSpan w:val="2"/>
          </w:tcPr>
          <w:p w14:paraId="1892C53E" w14:textId="77777777" w:rsidR="0078567B" w:rsidRPr="008B1142" w:rsidRDefault="0078567B" w:rsidP="008F674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14:paraId="51A58D5A" w14:textId="241B8DF8" w:rsidR="0078567B" w:rsidRDefault="005D5A3E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потенциални рискове</w:t>
            </w:r>
            <w:r w:rsidR="003D4ECD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72C8784" w14:textId="6C7AA38A" w:rsidR="0078567B" w:rsidRPr="008B1142" w:rsidRDefault="0078567B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възможните рискове от прилагането на препоръчителния вариант, различни от отрицателните въздействия, напр. възникване на съдебни спорове и др.</w:t>
            </w:r>
          </w:p>
        </w:tc>
      </w:tr>
      <w:tr w:rsidR="008B1142" w:rsidRPr="008B1142" w14:paraId="2BBAF327" w14:textId="77777777" w:rsidTr="00656AEB">
        <w:tc>
          <w:tcPr>
            <w:tcW w:w="10266" w:type="dxa"/>
            <w:gridSpan w:val="2"/>
          </w:tcPr>
          <w:p w14:paraId="5A922223" w14:textId="77777777" w:rsidR="0078567B" w:rsidRPr="008B1142" w:rsidRDefault="0078567B" w:rsidP="008F674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33348B95" w14:textId="43DD1F6F" w:rsidR="0078567B" w:rsidRPr="008B1142" w:rsidRDefault="0078567B" w:rsidP="008F6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0F51C9D">
                <v:shape id="_x0000_i1082" type="#_x0000_t75" style="width:498.6pt;height:17.9pt" o:ole="">
                  <v:imagedata r:id="rId33" o:title=""/>
                </v:shape>
                <w:control r:id="rId34" w:name="OptionButton13" w:shapeid="_x0000_i1082"/>
              </w:object>
            </w:r>
          </w:p>
          <w:p w14:paraId="484F4823" w14:textId="3E4E97BA" w:rsidR="0078567B" w:rsidRPr="008B1142" w:rsidRDefault="0078567B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248F2F9F" w14:textId="0747825A" w:rsidR="0078567B" w:rsidRPr="008B1142" w:rsidRDefault="0078567B" w:rsidP="008F674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16577C51">
                <v:shape id="_x0000_i1084" type="#_x0000_t75" style="width:502.35pt;height:17.9pt" o:ole="">
                  <v:imagedata r:id="rId35" o:title=""/>
                </v:shape>
                <w:control r:id="rId36" w:name="OptionButton15" w:shapeid="_x0000_i1084"/>
              </w:object>
            </w:r>
          </w:p>
          <w:p w14:paraId="2422B67D" w14:textId="3EAEBB20" w:rsidR="0078567B" w:rsidRDefault="00FC5FA3" w:rsidP="00656AEB">
            <w:pPr>
              <w:spacing w:after="0" w:line="3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Предстоят обществени консултации по чл. 26 от Закона за но</w:t>
            </w:r>
            <w:r w:rsidR="009707C3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рмативните актове. Проектът на </w:t>
            </w:r>
            <w:r w:rsidR="00793FBC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Постановление на Министерския съвет за изменение </w:t>
            </w:r>
            <w:r w:rsidR="00FB31C0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допълнение </w:t>
            </w:r>
            <w:r w:rsidR="00793FBC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Тарифата за таксите, които се събират по Закона за лова и опазване на дивеча, приета с Постановление № 283 на Министерския съвет от 2000 г.</w:t>
            </w: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бъде публикуван на Портала за обществени консултации, както и на електронната страница на Министерство на земеделието и храните, в съответствие с изискванията на чл. 26 от Закона за нормативните актове за срок от 30 дни.</w:t>
            </w:r>
            <w:r w:rsidR="00090352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6D9FEFAF" w14:textId="77777777" w:rsidR="0078567B" w:rsidRPr="008B1142" w:rsidRDefault="0078567B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8B1142" w:rsidRPr="008B1142" w14:paraId="1FDD5F2F" w14:textId="77777777" w:rsidTr="00656AEB">
        <w:tc>
          <w:tcPr>
            <w:tcW w:w="10266" w:type="dxa"/>
            <w:gridSpan w:val="2"/>
          </w:tcPr>
          <w:p w14:paraId="3E0EEC45" w14:textId="77777777" w:rsidR="0078567B" w:rsidRPr="008B1142" w:rsidRDefault="0078567B" w:rsidP="00656AEB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5D8AE962" w14:textId="1CD04670" w:rsidR="0078567B" w:rsidRPr="008B1142" w:rsidRDefault="0078567B" w:rsidP="00656AEB">
            <w:pPr>
              <w:spacing w:after="0" w:line="324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8B1142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object w:dxaOrig="225" w:dyaOrig="225" w14:anchorId="3548FBA1">
                <v:shape id="_x0000_i1086" type="#_x0000_t75" style="width:108.2pt;height:17.9pt" o:ole="">
                  <v:imagedata r:id="rId23" o:title=""/>
                </v:shape>
                <w:control r:id="rId37" w:name="OptionButton9" w:shapeid="_x0000_i1086"/>
              </w:object>
            </w:r>
          </w:p>
          <w:p w14:paraId="35283808" w14:textId="63A4F544" w:rsidR="0078567B" w:rsidRPr="008B1142" w:rsidRDefault="0078567B" w:rsidP="00656AEB">
            <w:pPr>
              <w:spacing w:after="0" w:line="324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8B1142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4BEA1EE9">
                <v:shape id="_x0000_i1088" type="#_x0000_t75" style="width:108.2pt;height:17.9pt" o:ole="">
                  <v:imagedata r:id="rId25" o:title=""/>
                </v:shape>
                <w:control r:id="rId38" w:name="OptionButton10" w:shapeid="_x0000_i1088"/>
              </w:object>
            </w:r>
          </w:p>
          <w:p w14:paraId="3B2E629A" w14:textId="47DE5BEC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7D8985C2" w14:textId="16B708A1" w:rsidR="0078567B" w:rsidRPr="008B1142" w:rsidRDefault="0078567B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Изборът трябва да съответства на посоченото в раздел 1, съгласно неговата т. 1.5. </w:t>
            </w:r>
          </w:p>
        </w:tc>
      </w:tr>
      <w:tr w:rsidR="008B1142" w:rsidRPr="008B1142" w14:paraId="6F722E12" w14:textId="77777777" w:rsidTr="00656AEB">
        <w:tc>
          <w:tcPr>
            <w:tcW w:w="10266" w:type="dxa"/>
            <w:gridSpan w:val="2"/>
          </w:tcPr>
          <w:p w14:paraId="0A9963B9" w14:textId="5273770F" w:rsidR="0078567B" w:rsidRPr="008B1142" w:rsidRDefault="005952E1" w:rsidP="00656AEB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9. </w:t>
            </w:r>
            <w:r w:rsidR="0078567B"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399354EC" w14:textId="40EB6321" w:rsidR="0078567B" w:rsidRPr="008B1142" w:rsidRDefault="0078567B" w:rsidP="00656AEB">
            <w:pPr>
              <w:spacing w:after="0" w:line="324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8B1142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6FB0BF29">
                <v:shape id="_x0000_i1090" type="#_x0000_t75" style="width:108.2pt;height:17.9pt" o:ole="">
                  <v:imagedata r:id="rId23" o:title=""/>
                </v:shape>
                <w:control r:id="rId39" w:name="OptionButton20" w:shapeid="_x0000_i1090"/>
              </w:object>
            </w:r>
          </w:p>
          <w:p w14:paraId="642DBBB9" w14:textId="6FEFE359" w:rsidR="0078567B" w:rsidRPr="008B1142" w:rsidRDefault="0078567B" w:rsidP="00656AEB">
            <w:pPr>
              <w:spacing w:after="0" w:line="324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8B1142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6AA28506">
                <v:shape id="_x0000_i1092" type="#_x0000_t75" style="width:108.2pt;height:17.9pt" o:ole="">
                  <v:imagedata r:id="rId25" o:title=""/>
                </v:shape>
                <w:control r:id="rId40" w:name="OptionButton21" w:shapeid="_x0000_i1092"/>
              </w:object>
            </w:r>
          </w:p>
          <w:p w14:paraId="498787D1" w14:textId="77777777" w:rsidR="0078567B" w:rsidRPr="008B1142" w:rsidRDefault="0078567B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8B1142" w:rsidRPr="008B1142" w14:paraId="06C71DB2" w14:textId="77777777" w:rsidTr="00656AEB">
        <w:tc>
          <w:tcPr>
            <w:tcW w:w="10266" w:type="dxa"/>
            <w:gridSpan w:val="2"/>
          </w:tcPr>
          <w:p w14:paraId="0A5E5DE1" w14:textId="22AF3B71" w:rsidR="0078567B" w:rsidRPr="008B1142" w:rsidRDefault="0078567B" w:rsidP="008F674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14:paraId="637B2D42" w14:textId="2F7AF5EE" w:rsidR="00090352" w:rsidRPr="008B1142" w:rsidRDefault="0089109F" w:rsidP="008F6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План сметки.</w:t>
            </w:r>
          </w:p>
          <w:p w14:paraId="132ED5A7" w14:textId="5C175B6F" w:rsidR="0078567B" w:rsidRPr="008B1142" w:rsidRDefault="0078567B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Приложете необходимата допълнителна информация и документи.</w:t>
            </w:r>
          </w:p>
        </w:tc>
      </w:tr>
      <w:tr w:rsidR="008B1142" w:rsidRPr="008B1142" w14:paraId="1549F574" w14:textId="77777777" w:rsidTr="00656AEB">
        <w:trPr>
          <w:cantSplit/>
        </w:trPr>
        <w:tc>
          <w:tcPr>
            <w:tcW w:w="10266" w:type="dxa"/>
            <w:gridSpan w:val="2"/>
          </w:tcPr>
          <w:p w14:paraId="1FCAE7B8" w14:textId="77777777" w:rsidR="0078567B" w:rsidRPr="008B1142" w:rsidRDefault="0078567B" w:rsidP="008F674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57D53ECB" w14:textId="3834FA17" w:rsidR="00D05605" w:rsidRPr="008B1142" w:rsidRDefault="007C196E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1. </w:t>
            </w:r>
            <w:r w:rsidR="009450C5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Закон за </w:t>
            </w:r>
            <w:r w:rsidR="0089109F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лова и опазване на дивеча</w:t>
            </w:r>
            <w:r w:rsidR="00256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 w:rsidR="00D05605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hyperlink r:id="rId41" w:history="1">
              <w:r w:rsidR="00EC3D3A" w:rsidRPr="00E95CB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https://lex.bg/laws/ldoc/2134941184</w:t>
              </w:r>
            </w:hyperlink>
            <w:r w:rsidR="000413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39CD181E" w14:textId="5300A3E5" w:rsidR="007540D9" w:rsidRDefault="007C196E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2. </w:t>
            </w:r>
            <w:r w:rsidR="0089109F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Правилник за прилагане на Закона за лова и опазване на дивеча</w:t>
            </w:r>
            <w:r w:rsidR="002569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: </w:t>
            </w:r>
            <w:hyperlink r:id="rId42" w:history="1">
              <w:r w:rsidR="002569C7" w:rsidRPr="00E95CB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https://lex.bg/bg/laws/ldoc/-12290559</w:t>
              </w:r>
            </w:hyperlink>
            <w:r w:rsidR="000413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06E71818" w14:textId="537CEC0F" w:rsidR="007C196E" w:rsidRDefault="007C196E" w:rsidP="008F67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М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етодика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определяне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разходоориентиран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таксите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7а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акона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ограничаване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административното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регулиране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административния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върху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стопанската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дейност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разходването</w:t>
            </w:r>
            <w:proofErr w:type="spellEnd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6E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="000E1DB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hyperlink r:id="rId43" w:history="1">
              <w:r w:rsidR="0004130B" w:rsidRPr="00E95CB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https://lex.bg/bg/laws/ldoc/2135768352</w:t>
              </w:r>
            </w:hyperlink>
            <w:r w:rsidR="000413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F4C487E" w14:textId="7F0A9B22" w:rsidR="005B48EF" w:rsidRPr="005B48EF" w:rsidRDefault="005B48EF" w:rsidP="005B48EF">
            <w:pPr>
              <w:spacing w:after="0" w:line="360" w:lineRule="auto"/>
              <w:jc w:val="both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Калкулатор на инфлацията.</w:t>
            </w:r>
            <w:r>
              <w:rPr>
                <w:lang w:val="bg-BG"/>
              </w:rPr>
              <w:t xml:space="preserve"> </w:t>
            </w:r>
          </w:p>
          <w:p w14:paraId="10E75238" w14:textId="77777777" w:rsidR="0078567B" w:rsidRPr="008B1142" w:rsidRDefault="0078567B" w:rsidP="008F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изчерпателен списък на информационните източници, които са послужили за оценка на въздействията на отделните варианти и при избора на вариант за действие: регистри, бази данни, аналитични материали и др.</w:t>
            </w:r>
          </w:p>
        </w:tc>
      </w:tr>
      <w:tr w:rsidR="008B1142" w:rsidRPr="008B1142" w14:paraId="42BA7B7C" w14:textId="77777777" w:rsidTr="00656AEB">
        <w:trPr>
          <w:cantSplit/>
        </w:trPr>
        <w:tc>
          <w:tcPr>
            <w:tcW w:w="10266" w:type="dxa"/>
            <w:gridSpan w:val="2"/>
          </w:tcPr>
          <w:p w14:paraId="515A2514" w14:textId="03A2A896" w:rsidR="0078567B" w:rsidRDefault="0078567B" w:rsidP="008F674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122A38F8" w14:textId="77777777" w:rsidR="00656AEB" w:rsidRPr="00656AEB" w:rsidRDefault="00656AEB" w:rsidP="00656AE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6C2FDA4" w14:textId="67B0FDB1" w:rsidR="005D5A3E" w:rsidRPr="008B1142" w:rsidRDefault="0078567B" w:rsidP="008F67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 w:rsidR="00A3055C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инж. </w:t>
            </w:r>
            <w:r w:rsidR="00EA1EB2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Росен Райчев – заместник изпълнителен директор на </w:t>
            </w:r>
            <w:r w:rsidR="00A3055C" w:rsidRPr="008B11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Изпълнителна агенция по горите</w:t>
            </w:r>
          </w:p>
          <w:p w14:paraId="0BD9F86B" w14:textId="77777777" w:rsidR="00A3055C" w:rsidRPr="008B1142" w:rsidRDefault="00A3055C" w:rsidP="008F67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C7D80A5" w14:textId="0F75F248" w:rsidR="008E7CA9" w:rsidRPr="008B1142" w:rsidRDefault="00E8606A" w:rsidP="008F67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</w:t>
            </w:r>
            <w:r w:rsidR="00D27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</w:t>
            </w:r>
            <w:bookmarkStart w:id="1" w:name="_GoBack"/>
            <w:bookmarkEnd w:id="1"/>
            <w:r w:rsidR="000E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="005B4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="000E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D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8E7CA9"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202</w:t>
            </w:r>
            <w:r w:rsidR="00EA1EB2"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="008E7CA9" w:rsidRPr="008B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г.</w:t>
            </w:r>
          </w:p>
          <w:p w14:paraId="68DB5E38" w14:textId="282623BC" w:rsidR="007D3EFD" w:rsidRPr="008B1142" w:rsidRDefault="00D2740A" w:rsidP="008F67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pict w14:anchorId="1E165990">
                <v:shape id="_x0000_i1059" type="#_x0000_t75" alt="Microsoft Office Signature Line..." style="width:187.7pt;height:82.4pt">
                  <v:imagedata r:id="rId44" o:title=""/>
                  <o:lock v:ext="edit" ungrouping="t" rotation="t" cropping="t" verticies="t" text="t" grouping="t"/>
                  <o:signatureline v:ext="edit" id="{DCDE9FF1-EC91-48E1-A41C-C649BB6DCA05}" provid="{00000000-0000-0000-0000-000000000000}" issignatureline="t"/>
                </v:shape>
              </w:pict>
            </w:r>
          </w:p>
        </w:tc>
      </w:tr>
    </w:tbl>
    <w:p w14:paraId="3519F3E8" w14:textId="52D4E87A" w:rsidR="00E16D01" w:rsidRPr="00656AEB" w:rsidRDefault="00E16D01" w:rsidP="00791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sectPr w:rsidR="00E16D01" w:rsidRPr="00656AEB" w:rsidSect="00327BD6">
      <w:headerReference w:type="even" r:id="rId45"/>
      <w:footerReference w:type="default" r:id="rId46"/>
      <w:pgSz w:w="11906" w:h="16838" w:code="9"/>
      <w:pgMar w:top="1134" w:right="1134" w:bottom="567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FEF42" w14:textId="77777777" w:rsidR="007C196E" w:rsidRDefault="007C196E">
      <w:pPr>
        <w:spacing w:after="0" w:line="240" w:lineRule="auto"/>
      </w:pPr>
      <w:r>
        <w:separator/>
      </w:r>
    </w:p>
  </w:endnote>
  <w:endnote w:type="continuationSeparator" w:id="0">
    <w:p w14:paraId="3C8E3FB3" w14:textId="77777777" w:rsidR="007C196E" w:rsidRDefault="007C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BC7CD" w14:textId="2C467E77" w:rsidR="007C196E" w:rsidRPr="003E3642" w:rsidRDefault="007C196E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D2740A">
      <w:rPr>
        <w:rFonts w:ascii="Times New Roman" w:hAnsi="Times New Roman"/>
        <w:noProof/>
      </w:rPr>
      <w:t>11</w:t>
    </w:r>
    <w:r w:rsidRPr="003E3642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4F7A3" w14:textId="77777777" w:rsidR="007C196E" w:rsidRDefault="007C196E">
      <w:pPr>
        <w:spacing w:after="0" w:line="240" w:lineRule="auto"/>
      </w:pPr>
      <w:r>
        <w:separator/>
      </w:r>
    </w:p>
  </w:footnote>
  <w:footnote w:type="continuationSeparator" w:id="0">
    <w:p w14:paraId="5253106A" w14:textId="77777777" w:rsidR="007C196E" w:rsidRDefault="007C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18289" w14:textId="77777777" w:rsidR="007C196E" w:rsidRDefault="007C196E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F99BF7F" w14:textId="77777777" w:rsidR="007C196E" w:rsidRDefault="007C19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620C0"/>
    <w:multiLevelType w:val="hybridMultilevel"/>
    <w:tmpl w:val="E53CBD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3">
    <w:nsid w:val="292F293F"/>
    <w:multiLevelType w:val="hybridMultilevel"/>
    <w:tmpl w:val="3AE611FE"/>
    <w:lvl w:ilvl="0" w:tplc="C9F2D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F7053"/>
    <w:multiLevelType w:val="hybridMultilevel"/>
    <w:tmpl w:val="FA7A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7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9">
    <w:nsid w:val="4EBF429E"/>
    <w:multiLevelType w:val="multilevel"/>
    <w:tmpl w:val="F8CC7694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2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0701"/>
    <w:rsid w:val="00002C2B"/>
    <w:rsid w:val="00004B97"/>
    <w:rsid w:val="0001065D"/>
    <w:rsid w:val="000112A7"/>
    <w:rsid w:val="00015CD1"/>
    <w:rsid w:val="00037DE5"/>
    <w:rsid w:val="0004130B"/>
    <w:rsid w:val="00042D08"/>
    <w:rsid w:val="0006078F"/>
    <w:rsid w:val="00064387"/>
    <w:rsid w:val="00064CC7"/>
    <w:rsid w:val="0006501F"/>
    <w:rsid w:val="00076E63"/>
    <w:rsid w:val="00086D9F"/>
    <w:rsid w:val="00090352"/>
    <w:rsid w:val="0009477E"/>
    <w:rsid w:val="000A1BC7"/>
    <w:rsid w:val="000A2E06"/>
    <w:rsid w:val="000B06AF"/>
    <w:rsid w:val="000B6D75"/>
    <w:rsid w:val="000D3090"/>
    <w:rsid w:val="000E0062"/>
    <w:rsid w:val="000E1DBC"/>
    <w:rsid w:val="000E6B24"/>
    <w:rsid w:val="000F0036"/>
    <w:rsid w:val="000F5DB5"/>
    <w:rsid w:val="000F7AAB"/>
    <w:rsid w:val="001116BE"/>
    <w:rsid w:val="001138D1"/>
    <w:rsid w:val="001158F7"/>
    <w:rsid w:val="00134154"/>
    <w:rsid w:val="00134F7B"/>
    <w:rsid w:val="00145E2D"/>
    <w:rsid w:val="00150F11"/>
    <w:rsid w:val="00153946"/>
    <w:rsid w:val="0019258C"/>
    <w:rsid w:val="00194062"/>
    <w:rsid w:val="00197FB6"/>
    <w:rsid w:val="001A1FAE"/>
    <w:rsid w:val="001A318A"/>
    <w:rsid w:val="001A6EF7"/>
    <w:rsid w:val="001D0D9A"/>
    <w:rsid w:val="001E21E8"/>
    <w:rsid w:val="001E44FB"/>
    <w:rsid w:val="00204064"/>
    <w:rsid w:val="002155EE"/>
    <w:rsid w:val="00217644"/>
    <w:rsid w:val="00227F5D"/>
    <w:rsid w:val="0023219C"/>
    <w:rsid w:val="0024433B"/>
    <w:rsid w:val="00244416"/>
    <w:rsid w:val="002569C7"/>
    <w:rsid w:val="002600DA"/>
    <w:rsid w:val="00264A78"/>
    <w:rsid w:val="00266755"/>
    <w:rsid w:val="00271E74"/>
    <w:rsid w:val="00275D62"/>
    <w:rsid w:val="002825C8"/>
    <w:rsid w:val="00290E68"/>
    <w:rsid w:val="00291E82"/>
    <w:rsid w:val="002A0A52"/>
    <w:rsid w:val="002A3202"/>
    <w:rsid w:val="002A36CC"/>
    <w:rsid w:val="002C655F"/>
    <w:rsid w:val="002F131B"/>
    <w:rsid w:val="00300133"/>
    <w:rsid w:val="00303446"/>
    <w:rsid w:val="00310BB7"/>
    <w:rsid w:val="003157AE"/>
    <w:rsid w:val="00323ED2"/>
    <w:rsid w:val="003258B4"/>
    <w:rsid w:val="00327BD6"/>
    <w:rsid w:val="003423CC"/>
    <w:rsid w:val="0034619C"/>
    <w:rsid w:val="0034763E"/>
    <w:rsid w:val="00347FA3"/>
    <w:rsid w:val="00351030"/>
    <w:rsid w:val="00351459"/>
    <w:rsid w:val="0036602B"/>
    <w:rsid w:val="003669F8"/>
    <w:rsid w:val="003772E1"/>
    <w:rsid w:val="00380BC0"/>
    <w:rsid w:val="003967C5"/>
    <w:rsid w:val="003B098A"/>
    <w:rsid w:val="003B24DB"/>
    <w:rsid w:val="003B41E6"/>
    <w:rsid w:val="003C124D"/>
    <w:rsid w:val="003C5FAD"/>
    <w:rsid w:val="003D4ECD"/>
    <w:rsid w:val="003D6E8E"/>
    <w:rsid w:val="003E1400"/>
    <w:rsid w:val="003F1F20"/>
    <w:rsid w:val="00404DBA"/>
    <w:rsid w:val="0042007E"/>
    <w:rsid w:val="00426AC3"/>
    <w:rsid w:val="004357C3"/>
    <w:rsid w:val="004500C0"/>
    <w:rsid w:val="00461DA7"/>
    <w:rsid w:val="004719CC"/>
    <w:rsid w:val="00484A81"/>
    <w:rsid w:val="004A5578"/>
    <w:rsid w:val="004D53B5"/>
    <w:rsid w:val="004D6FC3"/>
    <w:rsid w:val="004E4FD6"/>
    <w:rsid w:val="004F1C8E"/>
    <w:rsid w:val="00503482"/>
    <w:rsid w:val="00512211"/>
    <w:rsid w:val="005155F5"/>
    <w:rsid w:val="005305F7"/>
    <w:rsid w:val="0053094C"/>
    <w:rsid w:val="00540D89"/>
    <w:rsid w:val="00542E1E"/>
    <w:rsid w:val="0055052E"/>
    <w:rsid w:val="00561DF8"/>
    <w:rsid w:val="00574277"/>
    <w:rsid w:val="005856BB"/>
    <w:rsid w:val="005906F7"/>
    <w:rsid w:val="005952E1"/>
    <w:rsid w:val="00596266"/>
    <w:rsid w:val="005A1DAB"/>
    <w:rsid w:val="005A7120"/>
    <w:rsid w:val="005A7D5A"/>
    <w:rsid w:val="005B48EF"/>
    <w:rsid w:val="005B492B"/>
    <w:rsid w:val="005B5CFF"/>
    <w:rsid w:val="005C68B4"/>
    <w:rsid w:val="005D0EC8"/>
    <w:rsid w:val="005D12FD"/>
    <w:rsid w:val="005D5A3E"/>
    <w:rsid w:val="005E3D80"/>
    <w:rsid w:val="005F294B"/>
    <w:rsid w:val="0060089B"/>
    <w:rsid w:val="00601837"/>
    <w:rsid w:val="006104D3"/>
    <w:rsid w:val="00612702"/>
    <w:rsid w:val="0062421D"/>
    <w:rsid w:val="00644245"/>
    <w:rsid w:val="00656AEB"/>
    <w:rsid w:val="00661A4B"/>
    <w:rsid w:val="00682EF4"/>
    <w:rsid w:val="0068342C"/>
    <w:rsid w:val="00694F99"/>
    <w:rsid w:val="006963D9"/>
    <w:rsid w:val="006A6B58"/>
    <w:rsid w:val="006A76A0"/>
    <w:rsid w:val="006B7744"/>
    <w:rsid w:val="006C1B4C"/>
    <w:rsid w:val="006C36B9"/>
    <w:rsid w:val="006C5776"/>
    <w:rsid w:val="006D022B"/>
    <w:rsid w:val="006D1CEE"/>
    <w:rsid w:val="006D3B2F"/>
    <w:rsid w:val="006D5837"/>
    <w:rsid w:val="006D7984"/>
    <w:rsid w:val="006E1651"/>
    <w:rsid w:val="006E221A"/>
    <w:rsid w:val="006F0813"/>
    <w:rsid w:val="00707A40"/>
    <w:rsid w:val="007108A0"/>
    <w:rsid w:val="00715055"/>
    <w:rsid w:val="00715CC8"/>
    <w:rsid w:val="007540D9"/>
    <w:rsid w:val="00763E00"/>
    <w:rsid w:val="00764084"/>
    <w:rsid w:val="00765AC4"/>
    <w:rsid w:val="007661BB"/>
    <w:rsid w:val="0077113B"/>
    <w:rsid w:val="0078311F"/>
    <w:rsid w:val="0078567B"/>
    <w:rsid w:val="00791DB6"/>
    <w:rsid w:val="00793FBC"/>
    <w:rsid w:val="007C0A59"/>
    <w:rsid w:val="007C196E"/>
    <w:rsid w:val="007C3763"/>
    <w:rsid w:val="007D3EFD"/>
    <w:rsid w:val="007D4A3E"/>
    <w:rsid w:val="007E361F"/>
    <w:rsid w:val="007E608F"/>
    <w:rsid w:val="007F015A"/>
    <w:rsid w:val="007F709A"/>
    <w:rsid w:val="008018A9"/>
    <w:rsid w:val="00821475"/>
    <w:rsid w:val="00833087"/>
    <w:rsid w:val="0085099C"/>
    <w:rsid w:val="008563FD"/>
    <w:rsid w:val="00883B9E"/>
    <w:rsid w:val="0089109F"/>
    <w:rsid w:val="00895E33"/>
    <w:rsid w:val="008A23DE"/>
    <w:rsid w:val="008A29C0"/>
    <w:rsid w:val="008A29EE"/>
    <w:rsid w:val="008A5EEB"/>
    <w:rsid w:val="008A6B4F"/>
    <w:rsid w:val="008A76C3"/>
    <w:rsid w:val="008B1142"/>
    <w:rsid w:val="008C499E"/>
    <w:rsid w:val="008D1A28"/>
    <w:rsid w:val="008E4F03"/>
    <w:rsid w:val="008E5075"/>
    <w:rsid w:val="008E7CA9"/>
    <w:rsid w:val="008F51E2"/>
    <w:rsid w:val="008F6747"/>
    <w:rsid w:val="00903991"/>
    <w:rsid w:val="00930CD9"/>
    <w:rsid w:val="009450C5"/>
    <w:rsid w:val="009546F1"/>
    <w:rsid w:val="00954AC9"/>
    <w:rsid w:val="009707C3"/>
    <w:rsid w:val="00980876"/>
    <w:rsid w:val="009842BF"/>
    <w:rsid w:val="00985657"/>
    <w:rsid w:val="00986B46"/>
    <w:rsid w:val="009903C1"/>
    <w:rsid w:val="009928A9"/>
    <w:rsid w:val="00992AB7"/>
    <w:rsid w:val="009A74E2"/>
    <w:rsid w:val="009B0C0C"/>
    <w:rsid w:val="009B13A5"/>
    <w:rsid w:val="009B619C"/>
    <w:rsid w:val="009D28EA"/>
    <w:rsid w:val="009D4DA5"/>
    <w:rsid w:val="009E1886"/>
    <w:rsid w:val="009F3FCB"/>
    <w:rsid w:val="009F6350"/>
    <w:rsid w:val="00A21B74"/>
    <w:rsid w:val="00A3055C"/>
    <w:rsid w:val="00A345C1"/>
    <w:rsid w:val="00A3555A"/>
    <w:rsid w:val="00A40DAD"/>
    <w:rsid w:val="00A445D0"/>
    <w:rsid w:val="00A46BA4"/>
    <w:rsid w:val="00A560BF"/>
    <w:rsid w:val="00A64FE8"/>
    <w:rsid w:val="00A70C16"/>
    <w:rsid w:val="00A77087"/>
    <w:rsid w:val="00A849B4"/>
    <w:rsid w:val="00AA1003"/>
    <w:rsid w:val="00AB1799"/>
    <w:rsid w:val="00AB5E0C"/>
    <w:rsid w:val="00AC0408"/>
    <w:rsid w:val="00AD0156"/>
    <w:rsid w:val="00AD04EB"/>
    <w:rsid w:val="00AD2701"/>
    <w:rsid w:val="00AD317A"/>
    <w:rsid w:val="00AE02FA"/>
    <w:rsid w:val="00AE1565"/>
    <w:rsid w:val="00AF3F38"/>
    <w:rsid w:val="00AF62EB"/>
    <w:rsid w:val="00AF790F"/>
    <w:rsid w:val="00B040F0"/>
    <w:rsid w:val="00B05800"/>
    <w:rsid w:val="00B132C1"/>
    <w:rsid w:val="00B27B14"/>
    <w:rsid w:val="00B31725"/>
    <w:rsid w:val="00B42604"/>
    <w:rsid w:val="00B458F1"/>
    <w:rsid w:val="00B52087"/>
    <w:rsid w:val="00B722F7"/>
    <w:rsid w:val="00B81AC5"/>
    <w:rsid w:val="00BA15B7"/>
    <w:rsid w:val="00BA2E25"/>
    <w:rsid w:val="00BA532E"/>
    <w:rsid w:val="00BE7CFF"/>
    <w:rsid w:val="00C022AA"/>
    <w:rsid w:val="00C02F30"/>
    <w:rsid w:val="00C33FD9"/>
    <w:rsid w:val="00C37A6C"/>
    <w:rsid w:val="00C40BCF"/>
    <w:rsid w:val="00C43737"/>
    <w:rsid w:val="00C46ADD"/>
    <w:rsid w:val="00C5237F"/>
    <w:rsid w:val="00C54534"/>
    <w:rsid w:val="00C66461"/>
    <w:rsid w:val="00C74322"/>
    <w:rsid w:val="00C90785"/>
    <w:rsid w:val="00C925F4"/>
    <w:rsid w:val="00C93DF1"/>
    <w:rsid w:val="00C95C39"/>
    <w:rsid w:val="00CC35F1"/>
    <w:rsid w:val="00CC5573"/>
    <w:rsid w:val="00CD5373"/>
    <w:rsid w:val="00CD745B"/>
    <w:rsid w:val="00CE0B7D"/>
    <w:rsid w:val="00CE16B0"/>
    <w:rsid w:val="00CE442B"/>
    <w:rsid w:val="00CE5798"/>
    <w:rsid w:val="00CE61DC"/>
    <w:rsid w:val="00CE6C22"/>
    <w:rsid w:val="00D05605"/>
    <w:rsid w:val="00D15737"/>
    <w:rsid w:val="00D16621"/>
    <w:rsid w:val="00D2740A"/>
    <w:rsid w:val="00D373B9"/>
    <w:rsid w:val="00D37774"/>
    <w:rsid w:val="00D4021A"/>
    <w:rsid w:val="00D44BB1"/>
    <w:rsid w:val="00D52B91"/>
    <w:rsid w:val="00D8156D"/>
    <w:rsid w:val="00D82CFD"/>
    <w:rsid w:val="00D9220A"/>
    <w:rsid w:val="00DA1052"/>
    <w:rsid w:val="00DA31EA"/>
    <w:rsid w:val="00DB0E01"/>
    <w:rsid w:val="00DB22B5"/>
    <w:rsid w:val="00DB5149"/>
    <w:rsid w:val="00DB55D0"/>
    <w:rsid w:val="00DE272E"/>
    <w:rsid w:val="00DE4CDB"/>
    <w:rsid w:val="00DE6838"/>
    <w:rsid w:val="00E16D01"/>
    <w:rsid w:val="00E20DD4"/>
    <w:rsid w:val="00E308AA"/>
    <w:rsid w:val="00E310AE"/>
    <w:rsid w:val="00E32DF2"/>
    <w:rsid w:val="00E34453"/>
    <w:rsid w:val="00E44DE0"/>
    <w:rsid w:val="00E621FE"/>
    <w:rsid w:val="00E63193"/>
    <w:rsid w:val="00E653D3"/>
    <w:rsid w:val="00E65509"/>
    <w:rsid w:val="00E70A8F"/>
    <w:rsid w:val="00E817F5"/>
    <w:rsid w:val="00E8606A"/>
    <w:rsid w:val="00E8716D"/>
    <w:rsid w:val="00EA1EB2"/>
    <w:rsid w:val="00EA6663"/>
    <w:rsid w:val="00EB5464"/>
    <w:rsid w:val="00EB6BD9"/>
    <w:rsid w:val="00EB7DBD"/>
    <w:rsid w:val="00EC3D3A"/>
    <w:rsid w:val="00EC5578"/>
    <w:rsid w:val="00EC757F"/>
    <w:rsid w:val="00ED2195"/>
    <w:rsid w:val="00EF2DDD"/>
    <w:rsid w:val="00F04B4E"/>
    <w:rsid w:val="00F14A83"/>
    <w:rsid w:val="00F16E3F"/>
    <w:rsid w:val="00F30DD2"/>
    <w:rsid w:val="00F51681"/>
    <w:rsid w:val="00F57820"/>
    <w:rsid w:val="00F67BE6"/>
    <w:rsid w:val="00F67F77"/>
    <w:rsid w:val="00F7358D"/>
    <w:rsid w:val="00F74173"/>
    <w:rsid w:val="00F83492"/>
    <w:rsid w:val="00F8508C"/>
    <w:rsid w:val="00F869D8"/>
    <w:rsid w:val="00F87F7B"/>
    <w:rsid w:val="00F948FA"/>
    <w:rsid w:val="00F97AFA"/>
    <w:rsid w:val="00FA0550"/>
    <w:rsid w:val="00FA10EC"/>
    <w:rsid w:val="00FA61E3"/>
    <w:rsid w:val="00FA757F"/>
    <w:rsid w:val="00FB26F7"/>
    <w:rsid w:val="00FB31C0"/>
    <w:rsid w:val="00FB6A63"/>
    <w:rsid w:val="00FC4097"/>
    <w:rsid w:val="00FC43AB"/>
    <w:rsid w:val="00FC508A"/>
    <w:rsid w:val="00FC5FA3"/>
    <w:rsid w:val="00FD02EE"/>
    <w:rsid w:val="00FD3057"/>
    <w:rsid w:val="00FE55C5"/>
    <w:rsid w:val="00FE789C"/>
    <w:rsid w:val="00FF2DA7"/>
    <w:rsid w:val="00FF656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529F2F02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37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raichev@iag.bg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9" Type="http://schemas.openxmlformats.org/officeDocument/2006/relationships/control" Target="activeX/activeX16.xml"/><Relationship Id="rId21" Type="http://schemas.openxmlformats.org/officeDocument/2006/relationships/image" Target="media/image5.wmf"/><Relationship Id="rId34" Type="http://schemas.openxmlformats.org/officeDocument/2006/relationships/control" Target="activeX/activeX12.xml"/><Relationship Id="rId42" Type="http://schemas.openxmlformats.org/officeDocument/2006/relationships/hyperlink" Target="https://lex.bg/bg/laws/ldoc/-12290559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gergana@iag.bg" TargetMode="External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6.xml"/><Relationship Id="rId32" Type="http://schemas.openxmlformats.org/officeDocument/2006/relationships/control" Target="activeX/activeX11.xml"/><Relationship Id="rId37" Type="http://schemas.openxmlformats.org/officeDocument/2006/relationships/control" Target="activeX/activeX14.xml"/><Relationship Id="rId40" Type="http://schemas.openxmlformats.org/officeDocument/2006/relationships/control" Target="activeX/activeX17.xm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lov@iag.bg" TargetMode="External"/><Relationship Id="rId23" Type="http://schemas.openxmlformats.org/officeDocument/2006/relationships/image" Target="media/image6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control" Target="activeX/activeX1.xml"/><Relationship Id="rId19" Type="http://schemas.openxmlformats.org/officeDocument/2006/relationships/image" Target="media/image4.wmf"/><Relationship Id="rId31" Type="http://schemas.openxmlformats.org/officeDocument/2006/relationships/image" Target="media/image9.wmf"/><Relationship Id="rId44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mailto:davidkova@iag.bg" TargetMode="External"/><Relationship Id="rId22" Type="http://schemas.openxmlformats.org/officeDocument/2006/relationships/control" Target="activeX/activeX5.xml"/><Relationship Id="rId27" Type="http://schemas.openxmlformats.org/officeDocument/2006/relationships/control" Target="activeX/activeX8.xml"/><Relationship Id="rId30" Type="http://schemas.openxmlformats.org/officeDocument/2006/relationships/control" Target="activeX/activeX10.xml"/><Relationship Id="rId35" Type="http://schemas.openxmlformats.org/officeDocument/2006/relationships/image" Target="media/image11.wmf"/><Relationship Id="rId43" Type="http://schemas.openxmlformats.org/officeDocument/2006/relationships/hyperlink" Target="https://lex.bg/bg/laws/ldoc/2135768352" TargetMode="External"/><Relationship Id="rId48" Type="http://schemas.openxmlformats.org/officeDocument/2006/relationships/theme" Target="theme/theme1.xml"/><Relationship Id="rId8" Type="http://schemas.openxmlformats.org/officeDocument/2006/relationships/hyperlink" Target="apis://Base=NORM&amp;DocCode=5542712058&amp;Type=201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0.wmf"/><Relationship Id="rId38" Type="http://schemas.openxmlformats.org/officeDocument/2006/relationships/control" Target="activeX/activeX15.xml"/><Relationship Id="rId46" Type="http://schemas.openxmlformats.org/officeDocument/2006/relationships/footer" Target="footer1.xml"/><Relationship Id="rId20" Type="http://schemas.openxmlformats.org/officeDocument/2006/relationships/control" Target="activeX/activeX4.xml"/><Relationship Id="rId41" Type="http://schemas.openxmlformats.org/officeDocument/2006/relationships/hyperlink" Target="https://lex.bg/laws/ldoc/213494118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QA+QNLURRcPT4wh63UujC1kqsh7JHX9kcQF2k3fJKyQ=</DigestValue>
    </Reference>
    <Reference Type="http://www.w3.org/2000/09/xmldsig#Object" URI="#idOfficeObject">
      <DigestMethod Algorithm="http://www.w3.org/2001/04/xmlenc#sha256"/>
      <DigestValue>QAmoIxSOD+nSm416iFNUbP7XvGlwVH3EO9U4i8gXSro=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RlJLeOiVCQBuJ+a5WChCaRLKrbCNcYrOVHNMVptyimw=</DigestValue>
    </Reference>
    <Reference Type="http://www.w3.org/2000/09/xmldsig#Object" URI="#idValidSigLnImg">
      <DigestMethod Algorithm="http://www.w3.org/2001/04/xmlenc#sha256"/>
      <DigestValue>BqaivibpSzZe8ValhJmG5vtCykVCAQFfMvZiqWqzA1c=</DigestValue>
    </Reference>
    <Reference Type="http://www.w3.org/2000/09/xmldsig#Object" URI="#idInvalidSigLnImg">
      <DigestMethod Algorithm="http://www.w3.org/2001/04/xmlenc#sha256"/>
      <DigestValue>YjnbjudFNXqTlgtx/GnMC3uHu4bKF3HYBef1+SG5h7o=</DigestValue>
    </Reference>
  </SignedInfo>
  <SignatureValue>jC6MB5T8qhWyGv1AAsw1L0GYENlnkaE3qqyuWxkTe/7YTQd739ZAqJgeWcR4DMCBXn+QnOjZwGzg
lPps4iaDh4S6VD+MvUMgNFydIessOmWBpIELYB7XHauWz7WiwwadY50ppTq2iGC8EW8GHFgb8ocB
FLIrUTfWudM4ALH29VBaz7B7oP/PHbSsdOM4BzIVpGE/XhZkOYojf2d2Ijlp/j3FsJBLfEwVs/Um
1nVIh2Khh+62RPd0JkQ//L/hu/si9JKYCrjdUeXCYiYC91BmAsxM+RzNq3mNVZ7220VjJ1giijsa
1DJsKJod7fitzDlLIYJDD1m1+iCeIQ/pFVXTrw==</SignatureValue>
  <KeyInfo>
    <X509Data>
      <X509Certificate>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MasjQfz0OO5rhtnnsHW5kSwsN5Qu7wTEmDAQl+zQC4w=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oShkfbSxatmObKX8wtheLG9kwRci+XT3lE8OYyiAaIU=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V2e2ZDV+nYlwY6C/kWBoVEyUxYOAxu3pV0uAveylV/M=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rfXixR6C7biWan0g74J3TvIkkwX5it3q0WA8A5mJBek=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auliaoDQp8aMRnygg4+bDZUjEJNdu9G9U8TcWz9HMyE=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nMVOtC7NT5HBlgoL8DRCX1GWTqbgUYZTOwbp46DgEWk=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jaBqafMoMu7Kp9BlXpZboaWSNTt4JTRj7LKw/h7vYy4=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NcWyFdMqiD+PxW6M6To04Zq+0MKv7W1yoGpqXh8fWmI=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OuXydUUBz8I6GZG4hk0JydOSD1I6R3SnfxsjbCsNVfY=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D9NFWC07RBVGz51qqpIZ6rMWNRI6uHghSkYCsyqvC18=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BitZmifd18s4B3XLnEgdi5llq+eaqxA/sSBnSsM9h6o=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wS7iXw76T9idMCJ+NK0Fu0b3ZFxoSN4VDnZuugvOUiE=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TeVY3rBQa20uj6K/KUDBQEai/decuWWg06XXLFfrAQA=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kuiTqZ+63cg3aSnq9+gOz7rHAHrV83Se1m3Ku36IM0c=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CW77OXqjE2oOHkWuLLjirFhgRCCSNZ//esnFHrwU2PA=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Bd5ri+ULXGRRlg0w1q7Ili2RwKjVU8ASn6kn/oOOh2s=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f8YKHMQ2OfBFXSsKFSHZHMUPOb7LgxJ97wPnBxQs4No=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wh47xTyuF6y+/ln/ZDiOUqNUX69UY5ihOnRmYxTm7+4=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e7lIVrroCwKs0ijsUG322hC33Wae869ja68Ec88SqCc=</DigestValue>
      </Reference>
      <Reference URI="/word/endnotes.xml?ContentType=application/vnd.openxmlformats-officedocument.wordprocessingml.endnotes+xml">
        <DigestMethod Algorithm="http://www.w3.org/2001/04/xmlenc#sha256"/>
        <DigestValue>TiQTjMvjioWgMgCgUIrr3VwDS26lKh17CrDqhtdvMlY=</DigestValue>
      </Reference>
      <Reference URI="/word/fontTable.xml?ContentType=application/vnd.openxmlformats-officedocument.wordprocessingml.fontTable+xml">
        <DigestMethod Algorithm="http://www.w3.org/2001/04/xmlenc#sha256"/>
        <DigestValue>TREowIMnahkqpzLUmxox++taNDuI52a9KwXGcRG07c8=</DigestValue>
      </Reference>
      <Reference URI="/word/footer1.xml?ContentType=application/vnd.openxmlformats-officedocument.wordprocessingml.footer+xml">
        <DigestMethod Algorithm="http://www.w3.org/2001/04/xmlenc#sha256"/>
        <DigestValue>P9f4Up5q57kgpPPKdORd7xanY+M1QpGS2t+3G0mZx1k=</DigestValue>
      </Reference>
      <Reference URI="/word/footnotes.xml?ContentType=application/vnd.openxmlformats-officedocument.wordprocessingml.footnotes+xml">
        <DigestMethod Algorithm="http://www.w3.org/2001/04/xmlenc#sha256"/>
        <DigestValue>0QFycXLosKfL1Wz9GXTphiWg1QnIh5lXbAiEMgskvvA=</DigestValue>
      </Reference>
      <Reference URI="/word/header1.xml?ContentType=application/vnd.openxmlformats-officedocument.wordprocessingml.header+xml">
        <DigestMethod Algorithm="http://www.w3.org/2001/04/xmlenc#sha256"/>
        <DigestValue>LmB9/8qINAK0F1PEgdhNr8PhRkUO913EU4PjDAz/ys8=</DigestValue>
      </Reference>
      <Reference URI="/word/media/image1.wmf?ContentType=image/x-wmf">
        <DigestMethod Algorithm="http://www.w3.org/2001/04/xmlenc#sha256"/>
        <DigestValue>3Er1V+Z6/bmFQpZ6Ihy+FM2StwOJHtg347HFmxQQBaQ=</DigestValue>
      </Reference>
      <Reference URI="/word/media/image10.wmf?ContentType=image/x-wmf">
        <DigestMethod Algorithm="http://www.w3.org/2001/04/xmlenc#sha256"/>
        <DigestValue>cI2nauaYH/4w3EeGbLGAV+CUEjwik7aKMxgw+pT9Q90=</DigestValue>
      </Reference>
      <Reference URI="/word/media/image11.wmf?ContentType=image/x-wmf">
        <DigestMethod Algorithm="http://www.w3.org/2001/04/xmlenc#sha256"/>
        <DigestValue>OxTWXX06l8ztAtu/W8juQeNggXA6EEERdtsNar29c/0=</DigestValue>
      </Reference>
      <Reference URI="/word/media/image12.emf?ContentType=image/x-emf">
        <DigestMethod Algorithm="http://www.w3.org/2001/04/xmlenc#sha256"/>
        <DigestValue>tKHUv5pmUAYiozcG5XKGONYCmenn7ZIPdZrQjJxPQvE=</DigestValue>
      </Reference>
      <Reference URI="/word/media/image2.wmf?ContentType=image/x-wmf">
        <DigestMethod Algorithm="http://www.w3.org/2001/04/xmlenc#sha256"/>
        <DigestValue>mYIyrQ40rPh0tyY8Q6yJGojCiD5fuES8kBcQifV6nYM=</DigestValue>
      </Reference>
      <Reference URI="/word/media/image3.wmf?ContentType=image/x-wmf">
        <DigestMethod Algorithm="http://www.w3.org/2001/04/xmlenc#sha256"/>
        <DigestValue>F56D+VKTW56CqkGvrXnW90FRQhdNm2cZskeaTm3t/Uw=</DigestValue>
      </Reference>
      <Reference URI="/word/media/image4.wmf?ContentType=image/x-wmf">
        <DigestMethod Algorithm="http://www.w3.org/2001/04/xmlenc#sha256"/>
        <DigestValue>4CusC9mLB7x4PYwG3WF/gOcx77qrIvd3nlO5gDHiXGc=</DigestValue>
      </Reference>
      <Reference URI="/word/media/image5.wmf?ContentType=image/x-wmf">
        <DigestMethod Algorithm="http://www.w3.org/2001/04/xmlenc#sha256"/>
        <DigestValue>lDu8Q8Y/AGkaFx8A6YSr2eTi8YIyjrISRwj+/ieF8uI=</DigestValue>
      </Reference>
      <Reference URI="/word/media/image6.wmf?ContentType=image/x-wmf">
        <DigestMethod Algorithm="http://www.w3.org/2001/04/xmlenc#sha256"/>
        <DigestValue>a4C14YyoYvdRpAw2WHySZNeEi5+PxXixXuYhUKSZSjE=</DigestValue>
      </Reference>
      <Reference URI="/word/media/image7.wmf?ContentType=image/x-wmf">
        <DigestMethod Algorithm="http://www.w3.org/2001/04/xmlenc#sha256"/>
        <DigestValue>LQ7SGn3GC2K5U/zhknmmej3EhXEXayF7Jy9RuMXFle0=</DigestValue>
      </Reference>
      <Reference URI="/word/media/image8.wmf?ContentType=image/x-wmf">
        <DigestMethod Algorithm="http://www.w3.org/2001/04/xmlenc#sha256"/>
        <DigestValue>KMXsCLCp7kYIlYpttuFYpYfq6M0aFrsdylMeDJuy3/w=</DigestValue>
      </Reference>
      <Reference URI="/word/media/image9.wmf?ContentType=image/x-wmf">
        <DigestMethod Algorithm="http://www.w3.org/2001/04/xmlenc#sha256"/>
        <DigestValue>dFfwrh6dJ00eEs7+yil/7ylcJMN61uzjMBhuS8ysbWE=</DigestValue>
      </Reference>
      <Reference URI="/word/numbering.xml?ContentType=application/vnd.openxmlformats-officedocument.wordprocessingml.numbering+xml">
        <DigestMethod Algorithm="http://www.w3.org/2001/04/xmlenc#sha256"/>
        <DigestValue>5X04YxgtZvF06+Zu/Spl+0uqTA5bTsYis5u132rEKd0=</DigestValue>
      </Reference>
      <Reference URI="/word/settings.xml?ContentType=application/vnd.openxmlformats-officedocument.wordprocessingml.settings+xml">
        <DigestMethod Algorithm="http://www.w3.org/2001/04/xmlenc#sha256"/>
        <DigestValue>RWbRvxoJjRxG1NhsPIMduwJJsXCLl9SHcUkoXe6DfG8=</DigestValue>
      </Reference>
      <Reference URI="/word/styles.xml?ContentType=application/vnd.openxmlformats-officedocument.wordprocessingml.styles+xml">
        <DigestMethod Algorithm="http://www.w3.org/2001/04/xmlenc#sha256"/>
        <DigestValue>pRoYiOoiiiqarN8njJKnspTx8yXz97iVSxQlW4NLX/U=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fJHpADUXvkbGmD1RHsYUuGdWgZwnti4oLnnxpslm0JA=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2024-04-24T09:50:44Z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{DCDE9FF1-EC91-48E1-A41C-C649BB6DCA05}</SetupID>
          <SignatureText>д-р Илиан Точев</SignatureText>
          <SignatureImage/>
          <SignatureComments/>
          <WindowsVersion>10.0</WindowsVersion>
          <OfficeVersion>16.0.17425/26</OfficeVersion>
          <ApplicationVersion>16.0.17425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2024-04-24T09:50:44Z</xd:SigningTime>
          <xd:SigningCertificate>
            <xd:Cert>
              <xd:CertDigest>
                <DigestMethod Algorithm="http://www.w3.org/2001/04/xmlenc#sha256"/>
                <DigestValue>qXtspGRZkfJbqu+Z/j7wqb9+hJQriZx28eOW2C7S/CQ=</DigestValue>
              </xd:CertDigest>
              <xd:IssuerSerial>
                <X509IssuerName>C=BG, L=Sofia, O=Information Services JSC, OID.2.5.4.97=NTRBG-831641791, CN=StampIT Global Qualified CA</X509IssuerName>
                <X509SerialNumber>2733804369776385373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//////////9kAAAAMgA0AC4ANA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iAAAARwAAACkAAAAzAAAAe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jAAAASAAAACUAAAAMAAAABAAAAFQAAACoAAAAKgAAADMAAAChAAAARwAAAAEAAABVldtBX0LbQSoAAAAzAAAADwAAAEwAAAAAAAAAAAAAAAAAAAD//////////2wAAAA0BC0AQAQgABgEOwQ4BDAEPQQgACIEPgRHBDUEMgQWAAkAAAAGAAAACQAAAAQAAAAMAAAACAAAAAkAAAAIAAAACQAAAAQAAAAI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</Object>
  <Object Id="idInvalidSigLnImg">AQAAAGwAAAAAAAAAAAAAAP8AAAB/AAAAAAAAAAAAAABzGwAAtQ0AACBFTUYAAAEAv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aA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iAAAARwAAACkAAAAzAAAAe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jAAAASAAAACUAAAAMAAAABAAAAFQAAACoAAAAKgAAADMAAAChAAAARwAAAAEAAABVldtBX0LbQSoAAAAzAAAADwAAAEwAAAAAAAAAAAAAAAAAAAD//////////2wAAAA0BC0AQAQgABgEOwQ4BDAEPQQgACIEPgRHBDUEMgRJAAkAAAAGAAAACQAAAAQAAAAMAAAACAAAAAkAAAAIAAAACQAAAAQAAAAI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DA76C-03F5-4B9D-8DC8-24DE15EB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User</cp:lastModifiedBy>
  <cp:revision>12</cp:revision>
  <cp:lastPrinted>2024-04-10T07:26:00Z</cp:lastPrinted>
  <dcterms:created xsi:type="dcterms:W3CDTF">2024-01-18T08:52:00Z</dcterms:created>
  <dcterms:modified xsi:type="dcterms:W3CDTF">2024-04-24T09:14:00Z</dcterms:modified>
</cp:coreProperties>
</file>