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5E" w:rsidRPr="008F6CE7" w:rsidRDefault="0070795E" w:rsidP="0070795E">
      <w:pPr>
        <w:pStyle w:val="Heading1"/>
        <w:rPr>
          <w:sz w:val="40"/>
          <w:szCs w:val="40"/>
        </w:rPr>
      </w:pPr>
      <w:r w:rsidRPr="008F6CE7">
        <w:rPr>
          <w:sz w:val="40"/>
          <w:szCs w:val="40"/>
        </w:rPr>
        <w:t xml:space="preserve">С П Р А В К А </w:t>
      </w:r>
    </w:p>
    <w:p w:rsidR="00F66964" w:rsidRDefault="008C2860" w:rsidP="00F66964">
      <w:pPr>
        <w:jc w:val="both"/>
        <w:rPr>
          <w:rFonts w:ascii="Times New Roman" w:hAnsi="Times New Roman" w:cs="Times New Roman"/>
          <w:b/>
          <w:sz w:val="24"/>
          <w:szCs w:val="24"/>
        </w:rPr>
      </w:pPr>
      <w:r>
        <w:rPr>
          <w:rFonts w:ascii="Times New Roman" w:hAnsi="Times New Roman" w:cs="Times New Roman"/>
          <w:b/>
          <w:sz w:val="24"/>
          <w:szCs w:val="24"/>
        </w:rPr>
        <w:t xml:space="preserve">За отразяване на становищата от обществено обсъждане </w:t>
      </w:r>
      <w:r w:rsidR="002D04FF" w:rsidRPr="00774020">
        <w:rPr>
          <w:rFonts w:ascii="Times New Roman" w:hAnsi="Times New Roman" w:cs="Times New Roman"/>
          <w:b/>
          <w:sz w:val="24"/>
          <w:szCs w:val="24"/>
        </w:rPr>
        <w:t>на</w:t>
      </w:r>
      <w:r w:rsidR="00B94CF9" w:rsidRPr="00774020">
        <w:rPr>
          <w:rFonts w:ascii="Times New Roman" w:hAnsi="Times New Roman" w:cs="Times New Roman"/>
          <w:b/>
          <w:sz w:val="24"/>
          <w:szCs w:val="24"/>
        </w:rPr>
        <w:t xml:space="preserve"> </w:t>
      </w:r>
      <w:r w:rsidR="00F66964" w:rsidRPr="00774020">
        <w:rPr>
          <w:rFonts w:ascii="Times New Roman" w:hAnsi="Times New Roman" w:cs="Times New Roman"/>
          <w:b/>
          <w:sz w:val="24"/>
          <w:szCs w:val="24"/>
        </w:rPr>
        <w:t>проект на Постановление на Министерския съвет за изменен</w:t>
      </w:r>
      <w:r w:rsidR="00F66964">
        <w:rPr>
          <w:rFonts w:ascii="Times New Roman" w:hAnsi="Times New Roman" w:cs="Times New Roman"/>
          <w:b/>
          <w:sz w:val="24"/>
          <w:szCs w:val="24"/>
        </w:rPr>
        <w:t>ие и допълнение на Наредбата за</w:t>
      </w:r>
      <w:r w:rsidR="00F66964" w:rsidRPr="00CB6EA7">
        <w:rPr>
          <w:rFonts w:ascii="Times New Roman" w:hAnsi="Times New Roman" w:cs="Times New Roman"/>
          <w:b/>
          <w:sz w:val="24"/>
          <w:szCs w:val="24"/>
        </w:rPr>
        <w:t xml:space="preserve"> изменение и допълнение на наредбата за критериите за устойчивост на биогоривата и течните горива от биомаса, приета с Постановление № 302 на Министерския съвет ОТ 2012 г. (обн., ДВ, бр. 95 от 2012 г.; изм. и доп., бр. 10 от 2019 г.)</w:t>
      </w:r>
    </w:p>
    <w:tbl>
      <w:tblPr>
        <w:tblStyle w:val="TableGrid"/>
        <w:tblW w:w="0" w:type="auto"/>
        <w:tblLook w:val="04A0" w:firstRow="1" w:lastRow="0" w:firstColumn="1" w:lastColumn="0" w:noHBand="0" w:noVBand="1"/>
      </w:tblPr>
      <w:tblGrid>
        <w:gridCol w:w="458"/>
        <w:gridCol w:w="2605"/>
        <w:gridCol w:w="4660"/>
        <w:gridCol w:w="2652"/>
        <w:gridCol w:w="2917"/>
      </w:tblGrid>
      <w:tr w:rsidR="001177E4" w:rsidRPr="00444A55" w:rsidTr="008C2860">
        <w:trPr>
          <w:trHeight w:val="900"/>
        </w:trPr>
        <w:tc>
          <w:tcPr>
            <w:tcW w:w="458" w:type="dxa"/>
          </w:tcPr>
          <w:p w:rsidR="00D33505" w:rsidRPr="00444A55" w:rsidRDefault="00D33505" w:rsidP="0070795E">
            <w:pPr>
              <w:rPr>
                <w:rFonts w:ascii="Times New Roman" w:hAnsi="Times New Roman" w:cs="Times New Roman"/>
                <w:b/>
                <w:sz w:val="16"/>
                <w:szCs w:val="16"/>
              </w:rPr>
            </w:pPr>
            <w:r w:rsidRPr="00444A55">
              <w:rPr>
                <w:rFonts w:ascii="Times New Roman" w:hAnsi="Times New Roman" w:cs="Times New Roman"/>
                <w:b/>
                <w:sz w:val="16"/>
                <w:szCs w:val="16"/>
              </w:rPr>
              <w:t>№</w:t>
            </w:r>
          </w:p>
        </w:tc>
        <w:tc>
          <w:tcPr>
            <w:tcW w:w="2605" w:type="dxa"/>
          </w:tcPr>
          <w:p w:rsidR="00D33505" w:rsidRPr="00444A55" w:rsidRDefault="00D33505" w:rsidP="00731E5D">
            <w:pPr>
              <w:rPr>
                <w:rFonts w:ascii="Times New Roman" w:hAnsi="Times New Roman" w:cs="Times New Roman"/>
                <w:b/>
                <w:sz w:val="16"/>
                <w:szCs w:val="16"/>
              </w:rPr>
            </w:pPr>
            <w:r w:rsidRPr="00444A55">
              <w:rPr>
                <w:rFonts w:ascii="Times New Roman" w:hAnsi="Times New Roman" w:cs="Times New Roman"/>
                <w:b/>
                <w:sz w:val="16"/>
                <w:szCs w:val="16"/>
              </w:rPr>
              <w:t>Предложения от:</w:t>
            </w:r>
          </w:p>
        </w:tc>
        <w:tc>
          <w:tcPr>
            <w:tcW w:w="4660" w:type="dxa"/>
          </w:tcPr>
          <w:p w:rsidR="00D33505" w:rsidRPr="00444A55" w:rsidRDefault="00D33505" w:rsidP="00731E5D">
            <w:pPr>
              <w:jc w:val="center"/>
              <w:rPr>
                <w:rFonts w:ascii="Times New Roman" w:hAnsi="Times New Roman" w:cs="Times New Roman"/>
                <w:b/>
                <w:sz w:val="16"/>
                <w:szCs w:val="16"/>
              </w:rPr>
            </w:pPr>
            <w:r w:rsidRPr="00444A55">
              <w:rPr>
                <w:rFonts w:ascii="Times New Roman" w:hAnsi="Times New Roman" w:cs="Times New Roman"/>
                <w:b/>
                <w:sz w:val="16"/>
                <w:szCs w:val="16"/>
              </w:rPr>
              <w:t xml:space="preserve">Предложение </w:t>
            </w:r>
          </w:p>
          <w:p w:rsidR="00D33505" w:rsidRPr="00444A55" w:rsidRDefault="00D33505" w:rsidP="00731E5D">
            <w:pPr>
              <w:jc w:val="center"/>
              <w:rPr>
                <w:rFonts w:ascii="Times New Roman" w:hAnsi="Times New Roman" w:cs="Times New Roman"/>
                <w:sz w:val="16"/>
                <w:szCs w:val="16"/>
              </w:rPr>
            </w:pPr>
          </w:p>
        </w:tc>
        <w:tc>
          <w:tcPr>
            <w:tcW w:w="2652" w:type="dxa"/>
          </w:tcPr>
          <w:p w:rsidR="00D33505" w:rsidRPr="00444A55" w:rsidRDefault="00D33505" w:rsidP="00731E5D">
            <w:pPr>
              <w:pStyle w:val="Heading1"/>
              <w:outlineLvl w:val="0"/>
              <w:rPr>
                <w:sz w:val="16"/>
                <w:szCs w:val="16"/>
              </w:rPr>
            </w:pPr>
            <w:r w:rsidRPr="00444A55">
              <w:rPr>
                <w:sz w:val="16"/>
                <w:szCs w:val="16"/>
              </w:rPr>
              <w:t xml:space="preserve">Приема предложението  </w:t>
            </w:r>
          </w:p>
        </w:tc>
        <w:tc>
          <w:tcPr>
            <w:tcW w:w="2917" w:type="dxa"/>
          </w:tcPr>
          <w:p w:rsidR="00D33505" w:rsidRPr="00444A55" w:rsidRDefault="00D33505" w:rsidP="00731E5D">
            <w:pPr>
              <w:pStyle w:val="Heading1"/>
              <w:outlineLvl w:val="0"/>
              <w:rPr>
                <w:sz w:val="16"/>
                <w:szCs w:val="16"/>
              </w:rPr>
            </w:pPr>
            <w:r w:rsidRPr="00444A55">
              <w:rPr>
                <w:sz w:val="16"/>
                <w:szCs w:val="16"/>
              </w:rPr>
              <w:t>Не приема предложението/</w:t>
            </w:r>
          </w:p>
          <w:p w:rsidR="00D33505" w:rsidRPr="00444A55" w:rsidRDefault="00D33505" w:rsidP="008C2860">
            <w:pPr>
              <w:pStyle w:val="Heading1"/>
              <w:outlineLvl w:val="0"/>
              <w:rPr>
                <w:b w:val="0"/>
                <w:sz w:val="16"/>
                <w:szCs w:val="16"/>
              </w:rPr>
            </w:pPr>
            <w:r w:rsidRPr="00444A55">
              <w:rPr>
                <w:sz w:val="16"/>
                <w:szCs w:val="16"/>
              </w:rPr>
              <w:t xml:space="preserve">Мотиви </w:t>
            </w:r>
          </w:p>
        </w:tc>
      </w:tr>
      <w:tr w:rsidR="00836817" w:rsidRPr="00444A55" w:rsidTr="007E0DB9">
        <w:tc>
          <w:tcPr>
            <w:tcW w:w="458" w:type="dxa"/>
            <w:vMerge w:val="restart"/>
          </w:tcPr>
          <w:p w:rsidR="00836817" w:rsidRPr="00444A55" w:rsidRDefault="00836817" w:rsidP="00E82BD0">
            <w:pPr>
              <w:rPr>
                <w:rFonts w:ascii="Times New Roman" w:hAnsi="Times New Roman" w:cs="Times New Roman"/>
                <w:sz w:val="16"/>
                <w:szCs w:val="16"/>
              </w:rPr>
            </w:pPr>
            <w:r w:rsidRPr="00444A55">
              <w:rPr>
                <w:rFonts w:ascii="Times New Roman" w:hAnsi="Times New Roman" w:cs="Times New Roman"/>
                <w:sz w:val="16"/>
                <w:szCs w:val="16"/>
              </w:rPr>
              <w:t>1</w:t>
            </w:r>
          </w:p>
        </w:tc>
        <w:tc>
          <w:tcPr>
            <w:tcW w:w="2605" w:type="dxa"/>
            <w:vMerge w:val="restart"/>
          </w:tcPr>
          <w:p w:rsidR="00836817" w:rsidRPr="00444A55" w:rsidRDefault="00836817" w:rsidP="00BC2F34">
            <w:pPr>
              <w:rPr>
                <w:rFonts w:ascii="Times New Roman" w:hAnsi="Times New Roman" w:cs="Times New Roman"/>
                <w:b/>
                <w:sz w:val="16"/>
                <w:szCs w:val="16"/>
              </w:rPr>
            </w:pPr>
            <w:r w:rsidRPr="00444A55">
              <w:rPr>
                <w:rFonts w:ascii="Times New Roman" w:hAnsi="Times New Roman" w:cs="Times New Roman"/>
                <w:b/>
                <w:sz w:val="16"/>
                <w:szCs w:val="16"/>
              </w:rPr>
              <w:t>Българска камара на химическата промишленост</w:t>
            </w:r>
          </w:p>
        </w:tc>
        <w:tc>
          <w:tcPr>
            <w:tcW w:w="4660" w:type="dxa"/>
          </w:tcPr>
          <w:p w:rsidR="00836817" w:rsidRPr="00444A55" w:rsidRDefault="00836817" w:rsidP="00F575C9">
            <w:pPr>
              <w:jc w:val="both"/>
              <w:rPr>
                <w:rFonts w:ascii="Times New Roman" w:hAnsi="Times New Roman" w:cs="Times New Roman"/>
                <w:sz w:val="16"/>
                <w:szCs w:val="16"/>
              </w:rPr>
            </w:pPr>
            <w:r w:rsidRPr="00444A55">
              <w:rPr>
                <w:rFonts w:ascii="Times New Roman" w:hAnsi="Times New Roman" w:cs="Times New Roman"/>
                <w:sz w:val="16"/>
                <w:szCs w:val="16"/>
              </w:rPr>
              <w:t>Към днешна дата Наредбата за критериите за устойчивост на биогоривата и течните биогорива от биомаса не е актуализирана в съответствие чл.29, параграф 2-7 на Директива (ЕС) 2018/2001 за насърчаване използването на енергия от възобновяеми източници (т. н. RED II).</w:t>
            </w:r>
          </w:p>
          <w:p w:rsidR="00836817" w:rsidRPr="00444A55" w:rsidRDefault="00836817" w:rsidP="00EE0AA7">
            <w:pPr>
              <w:jc w:val="both"/>
              <w:rPr>
                <w:rFonts w:ascii="Times New Roman" w:hAnsi="Times New Roman" w:cs="Times New Roman"/>
                <w:sz w:val="16"/>
                <w:szCs w:val="16"/>
              </w:rPr>
            </w:pPr>
            <w:r w:rsidRPr="00444A55">
              <w:rPr>
                <w:rFonts w:ascii="Times New Roman" w:hAnsi="Times New Roman" w:cs="Times New Roman"/>
                <w:sz w:val="16"/>
                <w:szCs w:val="16"/>
              </w:rPr>
              <w:t>Изискванията на RED II директивата са частично транспонирани в Закона за енергията от възобновяеми източници (ЗЕВИ) от 13.10.2023 г. (ДВ. бр.86 от 13.10.2023г.) и то в края на отчетната 2023 г.</w:t>
            </w:r>
          </w:p>
          <w:p w:rsidR="00836817" w:rsidRPr="00444A55" w:rsidRDefault="00836817" w:rsidP="00EE0AA7">
            <w:pPr>
              <w:jc w:val="both"/>
              <w:rPr>
                <w:rFonts w:ascii="Times New Roman" w:hAnsi="Times New Roman" w:cs="Times New Roman"/>
                <w:sz w:val="16"/>
                <w:szCs w:val="16"/>
              </w:rPr>
            </w:pPr>
            <w:r w:rsidRPr="00444A55">
              <w:rPr>
                <w:rFonts w:ascii="Times New Roman" w:hAnsi="Times New Roman" w:cs="Times New Roman"/>
                <w:sz w:val="16"/>
                <w:szCs w:val="16"/>
              </w:rPr>
              <w:t>Актуалната в момента наредба в този си вид не разглежда случаите с твърдо гориво от биомаса, a и към настоящия момент операторите осъществяват мониторинг на парникови газове от твърда биомаса и трябва да доказват устойчивост.</w:t>
            </w:r>
          </w:p>
          <w:p w:rsidR="00836817" w:rsidRPr="00444A55" w:rsidRDefault="00836817" w:rsidP="004E0F92">
            <w:pPr>
              <w:jc w:val="both"/>
              <w:rPr>
                <w:rFonts w:ascii="Times New Roman" w:hAnsi="Times New Roman" w:cs="Times New Roman"/>
                <w:sz w:val="16"/>
                <w:szCs w:val="16"/>
              </w:rPr>
            </w:pPr>
            <w:r w:rsidRPr="00444A55">
              <w:rPr>
                <w:rFonts w:ascii="Times New Roman" w:hAnsi="Times New Roman" w:cs="Times New Roman"/>
                <w:sz w:val="16"/>
                <w:szCs w:val="16"/>
              </w:rPr>
              <w:t>Нищо не е казано за операторите участващи в схемата за търговия с емисии на ЕС (ЕСТЕ).</w:t>
            </w:r>
          </w:p>
        </w:tc>
        <w:tc>
          <w:tcPr>
            <w:tcW w:w="2652" w:type="dxa"/>
          </w:tcPr>
          <w:p w:rsidR="00836817" w:rsidRPr="00444A55" w:rsidRDefault="00F575C9" w:rsidP="003C4696">
            <w:pPr>
              <w:rPr>
                <w:rFonts w:ascii="Times New Roman" w:hAnsi="Times New Roman" w:cs="Times New Roman"/>
                <w:sz w:val="16"/>
                <w:szCs w:val="16"/>
              </w:rPr>
            </w:pPr>
            <w:r w:rsidRPr="00444A55">
              <w:rPr>
                <w:rFonts w:ascii="Times New Roman" w:hAnsi="Times New Roman" w:cs="Times New Roman"/>
                <w:sz w:val="16"/>
                <w:szCs w:val="16"/>
              </w:rPr>
              <w:t>Приема се.</w:t>
            </w:r>
          </w:p>
        </w:tc>
        <w:tc>
          <w:tcPr>
            <w:tcW w:w="2917" w:type="dxa"/>
            <w:vAlign w:val="center"/>
          </w:tcPr>
          <w:p w:rsidR="00836817" w:rsidRPr="00444A55" w:rsidRDefault="00836817" w:rsidP="00CF011A">
            <w:pPr>
              <w:jc w:val="both"/>
              <w:rPr>
                <w:rFonts w:ascii="Times New Roman" w:hAnsi="Times New Roman" w:cs="Times New Roman"/>
                <w:sz w:val="16"/>
                <w:szCs w:val="16"/>
                <w:lang w:eastAsia="zh-CN"/>
              </w:rPr>
            </w:pPr>
          </w:p>
        </w:tc>
      </w:tr>
      <w:tr w:rsidR="004E0F92" w:rsidRPr="00444A55" w:rsidTr="007E0DB9">
        <w:tc>
          <w:tcPr>
            <w:tcW w:w="458" w:type="dxa"/>
            <w:vMerge/>
          </w:tcPr>
          <w:p w:rsidR="004E0F92" w:rsidRPr="00444A55" w:rsidRDefault="004E0F92" w:rsidP="00E82BD0">
            <w:pPr>
              <w:rPr>
                <w:rFonts w:ascii="Times New Roman" w:hAnsi="Times New Roman" w:cs="Times New Roman"/>
                <w:sz w:val="16"/>
                <w:szCs w:val="16"/>
              </w:rPr>
            </w:pPr>
          </w:p>
        </w:tc>
        <w:tc>
          <w:tcPr>
            <w:tcW w:w="2605" w:type="dxa"/>
            <w:vMerge/>
          </w:tcPr>
          <w:p w:rsidR="004E0F92" w:rsidRPr="00444A55" w:rsidRDefault="004E0F92" w:rsidP="00BC2F34">
            <w:pPr>
              <w:rPr>
                <w:rFonts w:ascii="Times New Roman" w:hAnsi="Times New Roman" w:cs="Times New Roman"/>
                <w:b/>
                <w:sz w:val="16"/>
                <w:szCs w:val="16"/>
              </w:rPr>
            </w:pPr>
          </w:p>
        </w:tc>
        <w:tc>
          <w:tcPr>
            <w:tcW w:w="4660" w:type="dxa"/>
          </w:tcPr>
          <w:p w:rsidR="004E0F92" w:rsidRPr="00444A55" w:rsidRDefault="004E0F92" w:rsidP="00F575C9">
            <w:pPr>
              <w:jc w:val="both"/>
              <w:rPr>
                <w:rFonts w:ascii="Times New Roman" w:hAnsi="Times New Roman" w:cs="Times New Roman"/>
                <w:sz w:val="16"/>
                <w:szCs w:val="16"/>
              </w:rPr>
            </w:pPr>
            <w:r w:rsidRPr="00444A55">
              <w:rPr>
                <w:rFonts w:ascii="Times New Roman" w:hAnsi="Times New Roman" w:cs="Times New Roman"/>
                <w:sz w:val="16"/>
                <w:szCs w:val="16"/>
              </w:rPr>
              <w:t>В проекта не става ясно какво е икономически оператор. Липсва определение за такъв. Има размиване на термини и понятия. Операторите по собствена инициатива изискват от доставчиците си Декларация, че доставяното твърдо гориво от биомаса  отговарят на критериите за устойчивост на RED II директивата. Приложените Декларации от доставчиците на биомаса, са достатъчно основание за доказване на устойчивост на използваното гориво от твърда биомаса.</w:t>
            </w:r>
          </w:p>
        </w:tc>
        <w:tc>
          <w:tcPr>
            <w:tcW w:w="2652" w:type="dxa"/>
          </w:tcPr>
          <w:p w:rsidR="004E0F92" w:rsidRPr="00444A55" w:rsidRDefault="00F575C9" w:rsidP="00647681">
            <w:pPr>
              <w:rPr>
                <w:rFonts w:ascii="Times New Roman" w:hAnsi="Times New Roman" w:cs="Times New Roman"/>
                <w:sz w:val="16"/>
                <w:szCs w:val="16"/>
              </w:rPr>
            </w:pPr>
            <w:r w:rsidRPr="00444A55">
              <w:rPr>
                <w:rFonts w:ascii="Times New Roman" w:hAnsi="Times New Roman" w:cs="Times New Roman"/>
                <w:sz w:val="16"/>
                <w:szCs w:val="16"/>
              </w:rPr>
              <w:t>Приема се</w:t>
            </w:r>
            <w:r w:rsidR="00D077E0" w:rsidRPr="00444A55">
              <w:rPr>
                <w:rFonts w:ascii="Times New Roman" w:hAnsi="Times New Roman" w:cs="Times New Roman"/>
                <w:sz w:val="16"/>
                <w:szCs w:val="16"/>
              </w:rPr>
              <w:t xml:space="preserve"> по принцип</w:t>
            </w:r>
            <w:r w:rsidRPr="00444A55">
              <w:rPr>
                <w:rFonts w:ascii="Times New Roman" w:hAnsi="Times New Roman" w:cs="Times New Roman"/>
                <w:sz w:val="16"/>
                <w:szCs w:val="16"/>
              </w:rPr>
              <w:t>.</w:t>
            </w:r>
          </w:p>
        </w:tc>
        <w:tc>
          <w:tcPr>
            <w:tcW w:w="2917" w:type="dxa"/>
            <w:vAlign w:val="center"/>
          </w:tcPr>
          <w:p w:rsidR="004E0F92" w:rsidRPr="00444A55" w:rsidRDefault="004E0F92" w:rsidP="00CF011A">
            <w:pPr>
              <w:jc w:val="both"/>
              <w:rPr>
                <w:rFonts w:ascii="Times New Roman" w:hAnsi="Times New Roman" w:cs="Times New Roman"/>
                <w:sz w:val="16"/>
                <w:szCs w:val="16"/>
                <w:lang w:eastAsia="zh-CN"/>
              </w:rPr>
            </w:pPr>
          </w:p>
        </w:tc>
      </w:tr>
      <w:tr w:rsidR="00836817" w:rsidRPr="00444A55" w:rsidTr="007E0DB9">
        <w:tc>
          <w:tcPr>
            <w:tcW w:w="458" w:type="dxa"/>
            <w:vMerge/>
          </w:tcPr>
          <w:p w:rsidR="00836817" w:rsidRPr="00444A55" w:rsidRDefault="00836817" w:rsidP="00E82BD0">
            <w:pPr>
              <w:rPr>
                <w:rFonts w:ascii="Times New Roman" w:hAnsi="Times New Roman" w:cs="Times New Roman"/>
                <w:sz w:val="16"/>
                <w:szCs w:val="16"/>
              </w:rPr>
            </w:pPr>
          </w:p>
        </w:tc>
        <w:tc>
          <w:tcPr>
            <w:tcW w:w="2605" w:type="dxa"/>
            <w:vMerge/>
          </w:tcPr>
          <w:p w:rsidR="00836817" w:rsidRPr="00444A55" w:rsidRDefault="00836817" w:rsidP="00BC2F34">
            <w:pPr>
              <w:rPr>
                <w:rFonts w:ascii="Times New Roman" w:hAnsi="Times New Roman" w:cs="Times New Roman"/>
                <w:b/>
                <w:sz w:val="16"/>
                <w:szCs w:val="16"/>
              </w:rPr>
            </w:pPr>
          </w:p>
        </w:tc>
        <w:tc>
          <w:tcPr>
            <w:tcW w:w="4660" w:type="dxa"/>
          </w:tcPr>
          <w:p w:rsidR="00836817" w:rsidRPr="00444A55" w:rsidRDefault="00836817" w:rsidP="00F575C9">
            <w:pPr>
              <w:jc w:val="both"/>
              <w:rPr>
                <w:rFonts w:ascii="Times New Roman" w:hAnsi="Times New Roman" w:cs="Times New Roman"/>
                <w:sz w:val="16"/>
                <w:szCs w:val="16"/>
              </w:rPr>
            </w:pPr>
            <w:r w:rsidRPr="00444A55">
              <w:rPr>
                <w:rFonts w:ascii="Times New Roman" w:hAnsi="Times New Roman" w:cs="Times New Roman"/>
                <w:sz w:val="16"/>
                <w:szCs w:val="16"/>
              </w:rPr>
              <w:t>Налични са очевидни противоречия в Наредбата в Раздел IV „Доброволни схеми за сертифициране на производството на биогорива, течни горива от биомаса и газообразните и твърди биогорива от биомаса”.  Сертификацията  по принцип има  доброволен (незадължителен) характер, но от проекта на Наредбата не става ясно доброволно или задължително е сертифицирането на икономическите оператори.</w:t>
            </w:r>
          </w:p>
        </w:tc>
        <w:tc>
          <w:tcPr>
            <w:tcW w:w="2652" w:type="dxa"/>
          </w:tcPr>
          <w:p w:rsidR="00836817" w:rsidRPr="00444A55" w:rsidRDefault="00F575C9" w:rsidP="00647681">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836817" w:rsidRPr="00444A55" w:rsidRDefault="00F575C9" w:rsidP="00D077E0">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 xml:space="preserve">Наименованията на схемите за сертифициране са </w:t>
            </w:r>
            <w:r w:rsidR="00D077E0" w:rsidRPr="00444A55">
              <w:rPr>
                <w:rFonts w:ascii="Times New Roman" w:hAnsi="Times New Roman" w:cs="Times New Roman"/>
                <w:sz w:val="16"/>
                <w:szCs w:val="16"/>
                <w:lang w:eastAsia="zh-CN"/>
              </w:rPr>
              <w:t>в съответствие с разпоредбите на</w:t>
            </w:r>
            <w:r w:rsidRPr="00444A55">
              <w:rPr>
                <w:rFonts w:ascii="Times New Roman" w:hAnsi="Times New Roman" w:cs="Times New Roman"/>
                <w:sz w:val="16"/>
                <w:szCs w:val="16"/>
                <w:lang w:eastAsia="zh-CN"/>
              </w:rPr>
              <w:t xml:space="preserve"> ЗЕВИ.</w:t>
            </w:r>
          </w:p>
        </w:tc>
      </w:tr>
      <w:tr w:rsidR="00836817" w:rsidRPr="00444A55" w:rsidTr="007E0DB9">
        <w:tc>
          <w:tcPr>
            <w:tcW w:w="458" w:type="dxa"/>
            <w:vMerge/>
          </w:tcPr>
          <w:p w:rsidR="00836817" w:rsidRPr="00444A55" w:rsidRDefault="00836817" w:rsidP="00E82BD0">
            <w:pPr>
              <w:rPr>
                <w:rFonts w:ascii="Times New Roman" w:hAnsi="Times New Roman" w:cs="Times New Roman"/>
                <w:sz w:val="16"/>
                <w:szCs w:val="16"/>
              </w:rPr>
            </w:pPr>
          </w:p>
        </w:tc>
        <w:tc>
          <w:tcPr>
            <w:tcW w:w="2605" w:type="dxa"/>
            <w:vMerge/>
          </w:tcPr>
          <w:p w:rsidR="00836817" w:rsidRPr="00444A55" w:rsidRDefault="00836817" w:rsidP="00BC2F34">
            <w:pPr>
              <w:rPr>
                <w:rFonts w:ascii="Times New Roman" w:hAnsi="Times New Roman" w:cs="Times New Roman"/>
                <w:b/>
                <w:sz w:val="16"/>
                <w:szCs w:val="16"/>
              </w:rPr>
            </w:pPr>
          </w:p>
        </w:tc>
        <w:tc>
          <w:tcPr>
            <w:tcW w:w="4660" w:type="dxa"/>
          </w:tcPr>
          <w:p w:rsidR="00836817" w:rsidRPr="00444A55" w:rsidRDefault="00836817" w:rsidP="00F575C9">
            <w:pPr>
              <w:jc w:val="both"/>
              <w:rPr>
                <w:rFonts w:ascii="Times New Roman" w:hAnsi="Times New Roman" w:cs="Times New Roman"/>
                <w:sz w:val="16"/>
                <w:szCs w:val="16"/>
              </w:rPr>
            </w:pPr>
            <w:r w:rsidRPr="00444A55">
              <w:rPr>
                <w:rFonts w:ascii="Times New Roman" w:hAnsi="Times New Roman" w:cs="Times New Roman"/>
                <w:sz w:val="16"/>
                <w:szCs w:val="16"/>
              </w:rPr>
              <w:t xml:space="preserve">Съгласно чл.7 Критериите за устойчивост на горивата от биомаса се считат за изпълнени, когато икономическите оператори прилагат признати от ЕК доброволни национални или международни схеми за въвеждане на стандарти за производство на биогорива, течни горива от биомаса и газообразни и твърди </w:t>
            </w:r>
            <w:r w:rsidRPr="00444A55">
              <w:rPr>
                <w:rFonts w:ascii="Times New Roman" w:hAnsi="Times New Roman" w:cs="Times New Roman"/>
                <w:sz w:val="16"/>
                <w:szCs w:val="16"/>
              </w:rPr>
              <w:lastRenderedPageBreak/>
              <w:t>биогорива от биомаса (схеми за сертифициране)</w:t>
            </w:r>
            <w:r w:rsidR="00F575C9" w:rsidRPr="00444A55">
              <w:rPr>
                <w:rFonts w:ascii="Times New Roman" w:hAnsi="Times New Roman" w:cs="Times New Roman"/>
                <w:sz w:val="16"/>
                <w:szCs w:val="16"/>
              </w:rPr>
              <w:t xml:space="preserve"> </w:t>
            </w:r>
            <w:r w:rsidRPr="00444A55">
              <w:rPr>
                <w:rFonts w:ascii="Times New Roman" w:hAnsi="Times New Roman" w:cs="Times New Roman"/>
                <w:sz w:val="16"/>
                <w:szCs w:val="16"/>
              </w:rPr>
              <w:t>при условията и по реда на чл.39 от ЗЕВИ.</w:t>
            </w:r>
          </w:p>
          <w:p w:rsidR="00836817" w:rsidRPr="00444A55" w:rsidRDefault="00836817" w:rsidP="00F575C9">
            <w:pPr>
              <w:jc w:val="both"/>
              <w:rPr>
                <w:rFonts w:ascii="Times New Roman" w:hAnsi="Times New Roman" w:cs="Times New Roman"/>
                <w:b/>
                <w:sz w:val="16"/>
                <w:szCs w:val="16"/>
              </w:rPr>
            </w:pPr>
            <w:r w:rsidRPr="00444A55">
              <w:rPr>
                <w:rFonts w:ascii="Times New Roman" w:hAnsi="Times New Roman" w:cs="Times New Roman"/>
                <w:sz w:val="16"/>
                <w:szCs w:val="16"/>
              </w:rPr>
              <w:t>В проекта за изменение на наредбата в чл.16, ал.1 се заличават думите: „в съответствие с изискванията на БДС EN 45011:1999, БДС EN ISO 19011:2004 и БДС ISO14065:2011, но не е посочен заместващ стандарт.</w:t>
            </w:r>
          </w:p>
        </w:tc>
        <w:tc>
          <w:tcPr>
            <w:tcW w:w="2652" w:type="dxa"/>
          </w:tcPr>
          <w:p w:rsidR="00836817" w:rsidRPr="00444A55" w:rsidRDefault="00F575C9" w:rsidP="00647681">
            <w:pPr>
              <w:rPr>
                <w:rFonts w:ascii="Times New Roman" w:hAnsi="Times New Roman" w:cs="Times New Roman"/>
                <w:sz w:val="16"/>
                <w:szCs w:val="16"/>
              </w:rPr>
            </w:pPr>
            <w:r w:rsidRPr="00444A55">
              <w:rPr>
                <w:rFonts w:ascii="Times New Roman" w:hAnsi="Times New Roman" w:cs="Times New Roman"/>
                <w:sz w:val="16"/>
                <w:szCs w:val="16"/>
              </w:rPr>
              <w:lastRenderedPageBreak/>
              <w:t>Приема се по принцип.</w:t>
            </w:r>
          </w:p>
        </w:tc>
        <w:tc>
          <w:tcPr>
            <w:tcW w:w="2917" w:type="dxa"/>
            <w:vAlign w:val="center"/>
          </w:tcPr>
          <w:p w:rsidR="00836817" w:rsidRPr="00444A55" w:rsidRDefault="00836817" w:rsidP="00CF011A">
            <w:pPr>
              <w:jc w:val="both"/>
              <w:rPr>
                <w:rFonts w:ascii="Times New Roman" w:hAnsi="Times New Roman" w:cs="Times New Roman"/>
                <w:sz w:val="16"/>
                <w:szCs w:val="16"/>
                <w:lang w:eastAsia="zh-CN"/>
              </w:rPr>
            </w:pPr>
          </w:p>
        </w:tc>
      </w:tr>
      <w:tr w:rsidR="00836817" w:rsidRPr="00444A55" w:rsidTr="007E0DB9">
        <w:tc>
          <w:tcPr>
            <w:tcW w:w="458" w:type="dxa"/>
            <w:vMerge/>
          </w:tcPr>
          <w:p w:rsidR="00836817" w:rsidRPr="00444A55" w:rsidRDefault="00836817" w:rsidP="00E82BD0">
            <w:pPr>
              <w:rPr>
                <w:rFonts w:ascii="Times New Roman" w:hAnsi="Times New Roman" w:cs="Times New Roman"/>
                <w:sz w:val="16"/>
                <w:szCs w:val="16"/>
              </w:rPr>
            </w:pPr>
          </w:p>
        </w:tc>
        <w:tc>
          <w:tcPr>
            <w:tcW w:w="2605" w:type="dxa"/>
            <w:vMerge/>
          </w:tcPr>
          <w:p w:rsidR="00836817" w:rsidRPr="00444A55" w:rsidRDefault="00836817" w:rsidP="00BC2F34">
            <w:pPr>
              <w:rPr>
                <w:rFonts w:ascii="Times New Roman" w:hAnsi="Times New Roman" w:cs="Times New Roman"/>
                <w:b/>
                <w:sz w:val="16"/>
                <w:szCs w:val="16"/>
              </w:rPr>
            </w:pPr>
          </w:p>
        </w:tc>
        <w:tc>
          <w:tcPr>
            <w:tcW w:w="4660" w:type="dxa"/>
          </w:tcPr>
          <w:p w:rsidR="00836817" w:rsidRPr="00444A55" w:rsidRDefault="00836817" w:rsidP="00F575C9">
            <w:pPr>
              <w:jc w:val="both"/>
              <w:rPr>
                <w:rFonts w:ascii="Times New Roman" w:hAnsi="Times New Roman" w:cs="Times New Roman"/>
                <w:sz w:val="16"/>
                <w:szCs w:val="16"/>
              </w:rPr>
            </w:pPr>
            <w:r w:rsidRPr="00444A55">
              <w:rPr>
                <w:rFonts w:ascii="Times New Roman" w:hAnsi="Times New Roman" w:cs="Times New Roman"/>
                <w:sz w:val="16"/>
                <w:szCs w:val="16"/>
              </w:rPr>
              <w:t xml:space="preserve">Тревога буди и факта, че законодателят в действащата и към момента наредба  задължава сертифициращите органи да осъществяват дейност, след получаване на сертификат от ИА БСА в съответствие с изискванията на вече отменен стандарт БДС EN ISO </w:t>
            </w:r>
            <w:r w:rsidRPr="00444A55">
              <w:rPr>
                <w:rFonts w:ascii="Times New Roman" w:hAnsi="Times New Roman" w:cs="Times New Roman"/>
                <w:sz w:val="16"/>
                <w:szCs w:val="16"/>
                <w:u w:val="single"/>
              </w:rPr>
              <w:t>19011:2004</w:t>
            </w:r>
            <w:r w:rsidRPr="00444A55">
              <w:rPr>
                <w:rFonts w:ascii="Times New Roman" w:hAnsi="Times New Roman" w:cs="Times New Roman"/>
                <w:sz w:val="16"/>
                <w:szCs w:val="16"/>
              </w:rPr>
              <w:t>. Сега действащ е БДС EN ISO 19011:2018 Указания за извършване на одит на системи за управление. Преди това отменен БДС EN ISO 19011:2011.</w:t>
            </w:r>
          </w:p>
        </w:tc>
        <w:tc>
          <w:tcPr>
            <w:tcW w:w="2652" w:type="dxa"/>
          </w:tcPr>
          <w:p w:rsidR="00836817" w:rsidRPr="00444A55" w:rsidRDefault="00F575C9" w:rsidP="00647681">
            <w:pPr>
              <w:rPr>
                <w:rFonts w:ascii="Times New Roman" w:hAnsi="Times New Roman" w:cs="Times New Roman"/>
                <w:sz w:val="16"/>
                <w:szCs w:val="16"/>
              </w:rPr>
            </w:pPr>
            <w:r w:rsidRPr="00444A55">
              <w:rPr>
                <w:rFonts w:ascii="Times New Roman" w:hAnsi="Times New Roman" w:cs="Times New Roman"/>
                <w:sz w:val="16"/>
                <w:szCs w:val="16"/>
              </w:rPr>
              <w:t>Приема се по принцип.</w:t>
            </w:r>
          </w:p>
        </w:tc>
        <w:tc>
          <w:tcPr>
            <w:tcW w:w="2917" w:type="dxa"/>
            <w:vAlign w:val="center"/>
          </w:tcPr>
          <w:p w:rsidR="00836817" w:rsidRPr="00444A55" w:rsidRDefault="00836817" w:rsidP="00CF011A">
            <w:pPr>
              <w:jc w:val="both"/>
              <w:rPr>
                <w:rFonts w:ascii="Times New Roman" w:hAnsi="Times New Roman" w:cs="Times New Roman"/>
                <w:sz w:val="16"/>
                <w:szCs w:val="16"/>
                <w:lang w:eastAsia="zh-CN"/>
              </w:rPr>
            </w:pPr>
          </w:p>
        </w:tc>
      </w:tr>
      <w:tr w:rsidR="00836817" w:rsidRPr="00444A55" w:rsidTr="007E0DB9">
        <w:tc>
          <w:tcPr>
            <w:tcW w:w="458" w:type="dxa"/>
            <w:vMerge/>
          </w:tcPr>
          <w:p w:rsidR="00836817" w:rsidRPr="00444A55" w:rsidRDefault="00836817" w:rsidP="00E82BD0">
            <w:pPr>
              <w:rPr>
                <w:rFonts w:ascii="Times New Roman" w:hAnsi="Times New Roman" w:cs="Times New Roman"/>
                <w:sz w:val="16"/>
                <w:szCs w:val="16"/>
              </w:rPr>
            </w:pPr>
          </w:p>
        </w:tc>
        <w:tc>
          <w:tcPr>
            <w:tcW w:w="2605" w:type="dxa"/>
            <w:vMerge/>
          </w:tcPr>
          <w:p w:rsidR="00836817" w:rsidRPr="00444A55" w:rsidRDefault="00836817" w:rsidP="00BC2F34">
            <w:pPr>
              <w:rPr>
                <w:rFonts w:ascii="Times New Roman" w:hAnsi="Times New Roman" w:cs="Times New Roman"/>
                <w:b/>
                <w:sz w:val="16"/>
                <w:szCs w:val="16"/>
              </w:rPr>
            </w:pPr>
          </w:p>
        </w:tc>
        <w:tc>
          <w:tcPr>
            <w:tcW w:w="4660" w:type="dxa"/>
          </w:tcPr>
          <w:p w:rsidR="00836817" w:rsidRPr="00444A55" w:rsidRDefault="00836817" w:rsidP="00F575C9">
            <w:pPr>
              <w:jc w:val="both"/>
              <w:rPr>
                <w:rFonts w:ascii="Times New Roman" w:hAnsi="Times New Roman" w:cs="Times New Roman"/>
                <w:sz w:val="16"/>
                <w:szCs w:val="16"/>
              </w:rPr>
            </w:pPr>
            <w:r w:rsidRPr="00444A55">
              <w:rPr>
                <w:rFonts w:ascii="Times New Roman" w:hAnsi="Times New Roman" w:cs="Times New Roman"/>
                <w:sz w:val="16"/>
                <w:szCs w:val="16"/>
              </w:rPr>
              <w:t>При доставки на малки количества биомаса, което може да бъде и еднократна доставка (например слама, стръкове, билки) налагането на задължително сертифициране ще бъде икономически неоправдано, както и ще направи още по–трудно намирането на доставчици на биогорива. Проектът на наредбата не дава възможност за изключения, при които само при доставки на биомаса над определени количества да се изискват такива сертификати за устойчивост.</w:t>
            </w:r>
          </w:p>
        </w:tc>
        <w:tc>
          <w:tcPr>
            <w:tcW w:w="2652" w:type="dxa"/>
          </w:tcPr>
          <w:p w:rsidR="00836817" w:rsidRPr="00444A55" w:rsidRDefault="00F575C9" w:rsidP="00647681">
            <w:pPr>
              <w:rPr>
                <w:rFonts w:ascii="Times New Roman" w:hAnsi="Times New Roman" w:cs="Times New Roman"/>
                <w:sz w:val="16"/>
                <w:szCs w:val="16"/>
              </w:rPr>
            </w:pPr>
            <w:r w:rsidRPr="00444A55">
              <w:rPr>
                <w:rFonts w:ascii="Times New Roman" w:hAnsi="Times New Roman" w:cs="Times New Roman"/>
                <w:sz w:val="16"/>
                <w:szCs w:val="16"/>
              </w:rPr>
              <w:t>Приема се по принцип.</w:t>
            </w:r>
          </w:p>
        </w:tc>
        <w:tc>
          <w:tcPr>
            <w:tcW w:w="2917" w:type="dxa"/>
            <w:vAlign w:val="center"/>
          </w:tcPr>
          <w:p w:rsidR="00836817" w:rsidRPr="00444A55" w:rsidRDefault="00836817" w:rsidP="00CF011A">
            <w:pPr>
              <w:jc w:val="both"/>
              <w:rPr>
                <w:rFonts w:ascii="Times New Roman" w:hAnsi="Times New Roman" w:cs="Times New Roman"/>
                <w:sz w:val="16"/>
                <w:szCs w:val="16"/>
                <w:lang w:eastAsia="zh-CN"/>
              </w:rPr>
            </w:pPr>
          </w:p>
        </w:tc>
      </w:tr>
      <w:tr w:rsidR="00836817" w:rsidRPr="00444A55" w:rsidTr="007E0DB9">
        <w:tc>
          <w:tcPr>
            <w:tcW w:w="458" w:type="dxa"/>
            <w:vMerge/>
          </w:tcPr>
          <w:p w:rsidR="00836817" w:rsidRPr="00444A55" w:rsidRDefault="00836817" w:rsidP="00E82BD0">
            <w:pPr>
              <w:rPr>
                <w:rFonts w:ascii="Times New Roman" w:hAnsi="Times New Roman" w:cs="Times New Roman"/>
                <w:sz w:val="16"/>
                <w:szCs w:val="16"/>
              </w:rPr>
            </w:pPr>
          </w:p>
        </w:tc>
        <w:tc>
          <w:tcPr>
            <w:tcW w:w="2605" w:type="dxa"/>
            <w:vMerge/>
          </w:tcPr>
          <w:p w:rsidR="00836817" w:rsidRPr="00444A55" w:rsidRDefault="00836817" w:rsidP="00BC2F34">
            <w:pPr>
              <w:rPr>
                <w:rFonts w:ascii="Times New Roman" w:hAnsi="Times New Roman" w:cs="Times New Roman"/>
                <w:b/>
                <w:sz w:val="16"/>
                <w:szCs w:val="16"/>
              </w:rPr>
            </w:pPr>
          </w:p>
        </w:tc>
        <w:tc>
          <w:tcPr>
            <w:tcW w:w="4660" w:type="dxa"/>
          </w:tcPr>
          <w:p w:rsidR="00836817" w:rsidRPr="00444A55" w:rsidRDefault="00836817" w:rsidP="00F575C9">
            <w:pPr>
              <w:jc w:val="both"/>
              <w:rPr>
                <w:rFonts w:ascii="Times New Roman" w:hAnsi="Times New Roman" w:cs="Times New Roman"/>
                <w:sz w:val="16"/>
                <w:szCs w:val="16"/>
              </w:rPr>
            </w:pPr>
            <w:r w:rsidRPr="00444A55">
              <w:rPr>
                <w:rFonts w:ascii="Times New Roman" w:hAnsi="Times New Roman" w:cs="Times New Roman"/>
                <w:sz w:val="16"/>
                <w:szCs w:val="16"/>
              </w:rPr>
              <w:t>В отглеждането на зърнено-житни култури (пшеница/слама) са утвърдени различни стандарти, в това число и такива спрямо почвите и вида на площите, върху които те се произвеждат. Биологичното развитие на растенията и извършваните агротехнически мероприятия позволяват отглеждането и рекултивирането им единствено от полета, трайно предназначени за земеделски нужди. Обективната невъзможност за култивирането им от площи, разположени върху горски и други залесени райони или попадащи в затревени площи, мочурища или торфища прави неприложими спрямо зърнопроизводителите (доставчиците на слама от пшеница и ечемик), въведените критерии за устойчивост съгласно обсъжданите промени в Наредбата за устойчивост на биогоривата и течните горива от биомаса и свързаните с нея актове.</w:t>
            </w:r>
            <w:r w:rsidR="007C0C2F" w:rsidRPr="00444A55">
              <w:rPr>
                <w:rFonts w:ascii="Times New Roman" w:hAnsi="Times New Roman" w:cs="Times New Roman"/>
                <w:sz w:val="16"/>
                <w:szCs w:val="16"/>
              </w:rPr>
              <w:t xml:space="preserve"> </w:t>
            </w:r>
            <w:r w:rsidRPr="00444A55">
              <w:rPr>
                <w:rFonts w:ascii="Times New Roman" w:hAnsi="Times New Roman" w:cs="Times New Roman"/>
                <w:sz w:val="16"/>
                <w:szCs w:val="16"/>
              </w:rPr>
              <w:t>От по-горе казаното става ясно едно, че е нужно да отпадне необходимостта от сертифициране на икономическите оператори и земеделските производители по смисъла на чл. 40 , ал.1 от ЗЕВИ.</w:t>
            </w:r>
            <w:r w:rsidR="001273D1" w:rsidRPr="00444A55">
              <w:rPr>
                <w:rFonts w:ascii="Times New Roman" w:hAnsi="Times New Roman" w:cs="Times New Roman"/>
                <w:sz w:val="16"/>
                <w:szCs w:val="16"/>
              </w:rPr>
              <w:t xml:space="preserve"> </w:t>
            </w:r>
            <w:r w:rsidRPr="00444A55">
              <w:rPr>
                <w:rFonts w:ascii="Times New Roman" w:hAnsi="Times New Roman" w:cs="Times New Roman"/>
                <w:sz w:val="16"/>
                <w:szCs w:val="16"/>
              </w:rPr>
              <w:t>С оглед на горе изложеното твърдото гориво от биомаса следва да бъде изключено от изискването за сертифицирано доказване на устойчив произход.</w:t>
            </w:r>
          </w:p>
        </w:tc>
        <w:tc>
          <w:tcPr>
            <w:tcW w:w="2652" w:type="dxa"/>
          </w:tcPr>
          <w:p w:rsidR="00836817" w:rsidRPr="00444A55" w:rsidRDefault="00F575C9" w:rsidP="00647681">
            <w:pPr>
              <w:rPr>
                <w:rFonts w:ascii="Times New Roman" w:hAnsi="Times New Roman" w:cs="Times New Roman"/>
                <w:sz w:val="16"/>
                <w:szCs w:val="16"/>
              </w:rPr>
            </w:pPr>
            <w:r w:rsidRPr="00444A55">
              <w:rPr>
                <w:rFonts w:ascii="Times New Roman" w:hAnsi="Times New Roman" w:cs="Times New Roman"/>
                <w:sz w:val="16"/>
                <w:szCs w:val="16"/>
              </w:rPr>
              <w:t>Приема се по принцип.</w:t>
            </w:r>
          </w:p>
        </w:tc>
        <w:tc>
          <w:tcPr>
            <w:tcW w:w="2917" w:type="dxa"/>
            <w:vAlign w:val="center"/>
          </w:tcPr>
          <w:p w:rsidR="00836817" w:rsidRPr="00444A55" w:rsidRDefault="00836817" w:rsidP="00CF011A">
            <w:pPr>
              <w:jc w:val="both"/>
              <w:rPr>
                <w:rFonts w:ascii="Times New Roman" w:hAnsi="Times New Roman" w:cs="Times New Roman"/>
                <w:sz w:val="16"/>
                <w:szCs w:val="16"/>
                <w:lang w:eastAsia="zh-CN"/>
              </w:rPr>
            </w:pPr>
          </w:p>
        </w:tc>
      </w:tr>
      <w:tr w:rsidR="00836817" w:rsidRPr="00444A55" w:rsidTr="007E0DB9">
        <w:tc>
          <w:tcPr>
            <w:tcW w:w="458" w:type="dxa"/>
            <w:vMerge/>
          </w:tcPr>
          <w:p w:rsidR="00836817" w:rsidRPr="00444A55" w:rsidRDefault="00836817" w:rsidP="00E82BD0">
            <w:pPr>
              <w:rPr>
                <w:rFonts w:ascii="Times New Roman" w:hAnsi="Times New Roman" w:cs="Times New Roman"/>
                <w:sz w:val="16"/>
                <w:szCs w:val="16"/>
              </w:rPr>
            </w:pPr>
          </w:p>
        </w:tc>
        <w:tc>
          <w:tcPr>
            <w:tcW w:w="2605" w:type="dxa"/>
            <w:vMerge/>
          </w:tcPr>
          <w:p w:rsidR="00836817" w:rsidRPr="00444A55" w:rsidRDefault="00836817" w:rsidP="00BC2F34">
            <w:pPr>
              <w:rPr>
                <w:rFonts w:ascii="Times New Roman" w:hAnsi="Times New Roman" w:cs="Times New Roman"/>
                <w:b/>
                <w:sz w:val="16"/>
                <w:szCs w:val="16"/>
              </w:rPr>
            </w:pPr>
          </w:p>
        </w:tc>
        <w:tc>
          <w:tcPr>
            <w:tcW w:w="4660" w:type="dxa"/>
          </w:tcPr>
          <w:p w:rsidR="00836817" w:rsidRPr="00444A55" w:rsidRDefault="00836817"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Буди недоумение липсата на указания от страна на Министерството на околната среда и водите (МОСВ) за прилагане на Европейското законодателство за използваното твърдо гориво от биомаса. </w:t>
            </w:r>
          </w:p>
          <w:p w:rsidR="00836817" w:rsidRPr="00444A55" w:rsidRDefault="00836817"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Считаме, че Министерството на околна среда и водите, като контролен орган по изпълнение задълженията на операторите за докладване на емисиите парникови газове, в спешен порядък трябва да издаде ясни указания за методите и начина за доказване на критериите за устойчивост на използваното твърдо гориво от </w:t>
            </w:r>
            <w:r w:rsidRPr="00444A55">
              <w:rPr>
                <w:rFonts w:ascii="Times New Roman" w:hAnsi="Times New Roman" w:cs="Times New Roman"/>
                <w:sz w:val="16"/>
                <w:szCs w:val="16"/>
              </w:rPr>
              <w:lastRenderedPageBreak/>
              <w:t>биомаса, за начина на третиране на вече доставеното и изгорено  биогориво.</w:t>
            </w:r>
          </w:p>
        </w:tc>
        <w:tc>
          <w:tcPr>
            <w:tcW w:w="2652" w:type="dxa"/>
          </w:tcPr>
          <w:p w:rsidR="00836817" w:rsidRPr="00444A55" w:rsidRDefault="00836817" w:rsidP="00647681">
            <w:pPr>
              <w:rPr>
                <w:rFonts w:ascii="Times New Roman" w:hAnsi="Times New Roman" w:cs="Times New Roman"/>
                <w:sz w:val="16"/>
                <w:szCs w:val="16"/>
              </w:rPr>
            </w:pPr>
          </w:p>
        </w:tc>
        <w:tc>
          <w:tcPr>
            <w:tcW w:w="2917" w:type="dxa"/>
            <w:vAlign w:val="center"/>
          </w:tcPr>
          <w:p w:rsidR="00836817" w:rsidRPr="00444A55" w:rsidRDefault="00836817" w:rsidP="00CF011A">
            <w:pPr>
              <w:jc w:val="both"/>
              <w:rPr>
                <w:rFonts w:ascii="Times New Roman" w:hAnsi="Times New Roman" w:cs="Times New Roman"/>
                <w:sz w:val="16"/>
                <w:szCs w:val="16"/>
                <w:lang w:eastAsia="zh-CN"/>
              </w:rPr>
            </w:pPr>
          </w:p>
        </w:tc>
      </w:tr>
      <w:tr w:rsidR="00001549" w:rsidRPr="00444A55" w:rsidTr="007E0DB9">
        <w:tc>
          <w:tcPr>
            <w:tcW w:w="458" w:type="dxa"/>
          </w:tcPr>
          <w:p w:rsidR="00001549" w:rsidRPr="00444A55" w:rsidRDefault="00001549" w:rsidP="00E82BD0">
            <w:pPr>
              <w:rPr>
                <w:rFonts w:ascii="Times New Roman" w:hAnsi="Times New Roman" w:cs="Times New Roman"/>
                <w:sz w:val="16"/>
                <w:szCs w:val="16"/>
                <w:lang w:val="en-US"/>
              </w:rPr>
            </w:pPr>
            <w:r w:rsidRPr="00444A55">
              <w:rPr>
                <w:rFonts w:ascii="Times New Roman" w:hAnsi="Times New Roman" w:cs="Times New Roman"/>
                <w:sz w:val="16"/>
                <w:szCs w:val="16"/>
                <w:lang w:val="en-US"/>
              </w:rPr>
              <w:lastRenderedPageBreak/>
              <w:t>2</w:t>
            </w:r>
          </w:p>
        </w:tc>
        <w:tc>
          <w:tcPr>
            <w:tcW w:w="2605" w:type="dxa"/>
          </w:tcPr>
          <w:p w:rsidR="00001549" w:rsidRPr="00444A55" w:rsidRDefault="00F16FD4" w:rsidP="00BC2F34">
            <w:pPr>
              <w:rPr>
                <w:rFonts w:ascii="Times New Roman" w:hAnsi="Times New Roman" w:cs="Times New Roman"/>
                <w:b/>
                <w:sz w:val="16"/>
                <w:szCs w:val="16"/>
              </w:rPr>
            </w:pPr>
            <w:r w:rsidRPr="00444A55">
              <w:rPr>
                <w:rFonts w:ascii="Times New Roman" w:hAnsi="Times New Roman" w:cs="Times New Roman"/>
                <w:b/>
                <w:sz w:val="16"/>
                <w:szCs w:val="16"/>
              </w:rPr>
              <w:t>Асоциация на българските ползватели на дървесина</w:t>
            </w:r>
          </w:p>
        </w:tc>
        <w:tc>
          <w:tcPr>
            <w:tcW w:w="4660" w:type="dxa"/>
          </w:tcPr>
          <w:p w:rsidR="00F16FD4" w:rsidRPr="00444A55" w:rsidRDefault="00F16FD4" w:rsidP="001F54B4">
            <w:pPr>
              <w:pStyle w:val="BodyText1"/>
              <w:shd w:val="clear" w:color="auto" w:fill="auto"/>
              <w:spacing w:before="0" w:after="0" w:line="264" w:lineRule="exact"/>
              <w:ind w:left="40" w:right="20" w:firstLine="0"/>
              <w:jc w:val="both"/>
              <w:rPr>
                <w:sz w:val="16"/>
                <w:szCs w:val="16"/>
              </w:rPr>
            </w:pPr>
            <w:r w:rsidRPr="00444A55">
              <w:rPr>
                <w:color w:val="000000"/>
                <w:sz w:val="16"/>
                <w:szCs w:val="16"/>
              </w:rPr>
              <w:t>В публикувания проект се цитира горскостопанската биомаса, което според нас не е точното описание на допустимата за изпозване биомаса. В Европейската ст</w:t>
            </w:r>
            <w:r w:rsidR="00EE28D3" w:rsidRPr="00444A55">
              <w:rPr>
                <w:color w:val="000000"/>
                <w:sz w:val="16"/>
                <w:szCs w:val="16"/>
              </w:rPr>
              <w:t>р</w:t>
            </w:r>
            <w:r w:rsidRPr="00444A55">
              <w:rPr>
                <w:color w:val="000000"/>
                <w:sz w:val="16"/>
                <w:szCs w:val="16"/>
              </w:rPr>
              <w:t xml:space="preserve">атегия за горите 2030 е записано, че за гарантиране на устойчиво използване на основаните на дървесина ресурси за биоенергия, следва да се спазва каскадния принцип. Съгласно чл. 213 ал. 2 от Закона за горите се забранява употребата на необработен дървен материал от категориите едра строителна дървесина и средна строителна дървесина - </w:t>
            </w:r>
            <w:r w:rsidRPr="00444A55">
              <w:rPr>
                <w:color w:val="000000"/>
                <w:sz w:val="16"/>
                <w:szCs w:val="16"/>
                <w:lang w:val="en-US"/>
              </w:rPr>
              <w:t xml:space="preserve">III </w:t>
            </w:r>
            <w:r w:rsidRPr="00444A55">
              <w:rPr>
                <w:color w:val="000000"/>
                <w:sz w:val="16"/>
                <w:szCs w:val="16"/>
              </w:rPr>
              <w:t>клас на сортиментност за производство на енергия от биомаса. В редица европейски документи, както и в документи на КЕВР за енергия от биомаса се признава само тази, произведена от отпадна биомаса.</w:t>
            </w:r>
          </w:p>
          <w:p w:rsidR="00F16FD4" w:rsidRPr="00444A55" w:rsidRDefault="00F16FD4" w:rsidP="001F54B4">
            <w:pPr>
              <w:pStyle w:val="BodyText1"/>
              <w:shd w:val="clear" w:color="auto" w:fill="auto"/>
              <w:spacing w:before="0" w:after="180" w:line="264" w:lineRule="exact"/>
              <w:ind w:left="40" w:right="20" w:firstLine="0"/>
              <w:jc w:val="both"/>
              <w:rPr>
                <w:sz w:val="16"/>
                <w:szCs w:val="16"/>
              </w:rPr>
            </w:pPr>
            <w:r w:rsidRPr="00444A55">
              <w:rPr>
                <w:color w:val="000000"/>
                <w:sz w:val="16"/>
                <w:szCs w:val="16"/>
              </w:rPr>
              <w:t xml:space="preserve">Горите изпълняват множество функции, а дървесината, добивана от тях е възобновяем, но ограничен ресурс. В Европейската стратегия за горите изрично е записано, че следва да се потребява за създаването на продукти, съхраняващи въглеродния диоксид, с висока добавена стойност и дълъг жизнен цикъл. Включването на горскостопанската биомаса, без категорично да е конкретизирано каква, дава възможност за широко тълкуване, нерегламентирано ползване на обла дървесина за производство на енергия и горива от биомаса, която е субсидирана и ще изкриви пазара на дървесина, поставяйки някои от участниците в неравностойно положение. Също така ще създаде предпоставки за нерегламентирани дейности в горите и неспазване на Европейския регламент </w:t>
            </w:r>
            <w:r w:rsidRPr="00444A55">
              <w:rPr>
                <w:color w:val="000000"/>
                <w:sz w:val="16"/>
                <w:szCs w:val="16"/>
                <w:lang w:val="en-US"/>
              </w:rPr>
              <w:t xml:space="preserve">EUDR </w:t>
            </w:r>
            <w:r w:rsidRPr="00444A55">
              <w:rPr>
                <w:color w:val="000000"/>
                <w:sz w:val="16"/>
                <w:szCs w:val="16"/>
              </w:rPr>
              <w:t>срещу обезлесяването.</w:t>
            </w:r>
          </w:p>
          <w:p w:rsidR="00001549" w:rsidRPr="00444A55" w:rsidRDefault="00F16FD4" w:rsidP="001F54B4">
            <w:pPr>
              <w:jc w:val="both"/>
              <w:rPr>
                <w:rFonts w:ascii="Times New Roman" w:hAnsi="Times New Roman" w:cs="Times New Roman"/>
                <w:sz w:val="16"/>
                <w:szCs w:val="16"/>
              </w:rPr>
            </w:pPr>
            <w:r w:rsidRPr="00444A55">
              <w:rPr>
                <w:rFonts w:ascii="Times New Roman" w:hAnsi="Times New Roman" w:cs="Times New Roman"/>
                <w:color w:val="000000"/>
                <w:sz w:val="16"/>
                <w:szCs w:val="16"/>
              </w:rPr>
              <w:t>Ето защо, за коректното прилагане на всички горепосочени изисквания предлагаме горскостопанската биомаса да се замени с ОТПАДНА ГОРСКОСТОПАНСКА БИОМАСА навсякъде в</w:t>
            </w:r>
            <w:r w:rsidRPr="00444A55">
              <w:rPr>
                <w:sz w:val="16"/>
                <w:szCs w:val="16"/>
              </w:rPr>
              <w:t xml:space="preserve"> </w:t>
            </w:r>
            <w:r w:rsidRPr="00444A55">
              <w:rPr>
                <w:rFonts w:ascii="Times New Roman" w:hAnsi="Times New Roman" w:cs="Times New Roman"/>
                <w:color w:val="000000"/>
                <w:sz w:val="16"/>
                <w:szCs w:val="16"/>
              </w:rPr>
              <w:t>проекта за Наредбата за критериите за устойчивост на биогоривата и течните горива от биомаса.</w:t>
            </w:r>
          </w:p>
        </w:tc>
        <w:tc>
          <w:tcPr>
            <w:tcW w:w="2652" w:type="dxa"/>
          </w:tcPr>
          <w:p w:rsidR="00001549" w:rsidRPr="00444A55" w:rsidRDefault="001F54B4" w:rsidP="00647681">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001549" w:rsidRPr="00444A55" w:rsidRDefault="001F54B4"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 xml:space="preserve">Определенията са в съответствие с </w:t>
            </w:r>
            <w:r w:rsidR="00D077E0" w:rsidRPr="00444A55">
              <w:rPr>
                <w:rFonts w:ascii="Times New Roman" w:hAnsi="Times New Roman" w:cs="Times New Roman"/>
                <w:sz w:val="16"/>
                <w:szCs w:val="16"/>
                <w:lang w:eastAsia="zh-CN"/>
              </w:rPr>
              <w:t xml:space="preserve">определенията в </w:t>
            </w:r>
            <w:r w:rsidRPr="00444A55">
              <w:rPr>
                <w:rFonts w:ascii="Times New Roman" w:hAnsi="Times New Roman" w:cs="Times New Roman"/>
                <w:sz w:val="16"/>
                <w:szCs w:val="16"/>
                <w:lang w:eastAsia="zh-CN"/>
              </w:rPr>
              <w:t>ЗЕВИ.</w:t>
            </w:r>
          </w:p>
        </w:tc>
      </w:tr>
      <w:tr w:rsidR="001F54B4" w:rsidRPr="00444A55" w:rsidTr="007E0DB9">
        <w:tc>
          <w:tcPr>
            <w:tcW w:w="458" w:type="dxa"/>
          </w:tcPr>
          <w:p w:rsidR="001F54B4" w:rsidRPr="00444A55" w:rsidRDefault="001F54B4" w:rsidP="001F54B4">
            <w:pPr>
              <w:rPr>
                <w:rFonts w:ascii="Times New Roman" w:hAnsi="Times New Roman" w:cs="Times New Roman"/>
                <w:sz w:val="16"/>
                <w:szCs w:val="16"/>
                <w:lang w:val="en-US"/>
              </w:rPr>
            </w:pPr>
            <w:r w:rsidRPr="00444A55">
              <w:rPr>
                <w:rFonts w:ascii="Times New Roman" w:hAnsi="Times New Roman" w:cs="Times New Roman"/>
                <w:sz w:val="16"/>
                <w:szCs w:val="16"/>
                <w:lang w:val="en-US"/>
              </w:rPr>
              <w:t>3</w:t>
            </w:r>
          </w:p>
        </w:tc>
        <w:tc>
          <w:tcPr>
            <w:tcW w:w="2605" w:type="dxa"/>
          </w:tcPr>
          <w:p w:rsidR="001F54B4" w:rsidRPr="00444A55" w:rsidRDefault="001F54B4" w:rsidP="001F54B4">
            <w:pPr>
              <w:rPr>
                <w:rFonts w:ascii="Times New Roman" w:hAnsi="Times New Roman" w:cs="Times New Roman"/>
                <w:b/>
                <w:sz w:val="16"/>
                <w:szCs w:val="16"/>
              </w:rPr>
            </w:pPr>
            <w:r w:rsidRPr="00444A55">
              <w:rPr>
                <w:rFonts w:ascii="Times New Roman" w:hAnsi="Times New Roman" w:cs="Times New Roman"/>
                <w:b/>
                <w:sz w:val="16"/>
                <w:szCs w:val="16"/>
              </w:rPr>
              <w:t>КРОНОШПАН БЪЛГАРИЯ ЕООД</w:t>
            </w:r>
          </w:p>
        </w:tc>
        <w:tc>
          <w:tcPr>
            <w:tcW w:w="4660" w:type="dxa"/>
          </w:tcPr>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В публикувания проект се цитира горскостопанската биомаса, което според нас не е точното описание на допустимата за изпозване биомаса. В Европейската стратегия за горите 2030 е записано, че за Гарантиране на устойчиво използване на основаните на дървесина ресурси за биоенергия, следва да се </w:t>
            </w:r>
            <w:r w:rsidRPr="00444A55">
              <w:rPr>
                <w:rFonts w:ascii="Times New Roman" w:hAnsi="Times New Roman" w:cs="Times New Roman"/>
                <w:sz w:val="16"/>
                <w:szCs w:val="16"/>
              </w:rPr>
              <w:lastRenderedPageBreak/>
              <w:t>спазва каскадния принцип. Съгласно чл. 213 ал. 2 от Закона за горите се забранява употребата на необработен дървен материал от категориите едра строителна дървесина и средна строителна дървесина - III клас на сортиментност за производство на енергия от биомаса. В редица европейски документи, както и в документи на КЕВР за енергия от биомаса се признава само тази, произведена от отпадна биомаса.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Горите изпълняват множество функции, а дървесината, добивана от тях е възобновяем, но ограничен ресурс. В Европейската стратегия за горите изрично е записано, че следва да се потребява за създаването на продукти, съхраняващи въглеродния диоксид, с висока добавена стойност и дълъг жизнен цикъл. Включването на горскостопанската биомаса, без категорично да е конкретизирано каква, дава възможност за широко тълкуване, нерегламентирано ползване на обла дървесина за производство на енергия и горива от биомаса, която е субсидирана и ще изкриви пазара на дървесина, поставяйки някой от участниците в неравностойно положение. Също така ще създаде предпоставки за нерегламентирани дейности в горите и неспазване на Европейския регламент EUDR срещу обезлесяването.</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Ето защо, за коректното прилагане на всички горепосочени изисквания предлагаме горскостопанската биомаса да се замени с ОТПАДНА ГОРСКОСТОПАНСКА БИОМАСА навсякъде в проекта за Наредбата за критериите за устойчивост на биогоривата и течните горива от биомаса.</w:t>
            </w:r>
          </w:p>
        </w:tc>
        <w:tc>
          <w:tcPr>
            <w:tcW w:w="2652" w:type="dxa"/>
          </w:tcPr>
          <w:p w:rsidR="001F54B4" w:rsidRPr="00444A55" w:rsidRDefault="001F54B4"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1F54B4" w:rsidRPr="00444A55" w:rsidRDefault="00D077E0"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Определенията са в съответствие с определенията в ЗЕВИ</w:t>
            </w:r>
            <w:r w:rsidR="001F54B4" w:rsidRPr="00444A55">
              <w:rPr>
                <w:rFonts w:ascii="Times New Roman" w:hAnsi="Times New Roman" w:cs="Times New Roman"/>
                <w:sz w:val="16"/>
                <w:szCs w:val="16"/>
                <w:lang w:eastAsia="zh-CN"/>
              </w:rPr>
              <w:t>.</w:t>
            </w:r>
          </w:p>
        </w:tc>
      </w:tr>
      <w:tr w:rsidR="00F6124D" w:rsidRPr="00444A55" w:rsidTr="007E0DB9">
        <w:tc>
          <w:tcPr>
            <w:tcW w:w="458" w:type="dxa"/>
          </w:tcPr>
          <w:p w:rsidR="00F6124D" w:rsidRPr="00444A55" w:rsidRDefault="00001E23"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4</w:t>
            </w:r>
          </w:p>
        </w:tc>
        <w:tc>
          <w:tcPr>
            <w:tcW w:w="2605" w:type="dxa"/>
          </w:tcPr>
          <w:p w:rsidR="00F6124D" w:rsidRPr="00444A55" w:rsidRDefault="00F6124D" w:rsidP="001F54B4">
            <w:pPr>
              <w:rPr>
                <w:rFonts w:ascii="Times New Roman" w:hAnsi="Times New Roman" w:cs="Times New Roman"/>
                <w:b/>
                <w:sz w:val="16"/>
                <w:szCs w:val="16"/>
              </w:rPr>
            </w:pPr>
            <w:r w:rsidRPr="00444A55">
              <w:rPr>
                <w:rFonts w:ascii="Times New Roman" w:hAnsi="Times New Roman" w:cs="Times New Roman"/>
                <w:b/>
                <w:sz w:val="16"/>
                <w:szCs w:val="16"/>
              </w:rPr>
              <w:t>Института за Биомаса и Биогорива - ИББ</w:t>
            </w:r>
          </w:p>
        </w:tc>
        <w:tc>
          <w:tcPr>
            <w:tcW w:w="4660" w:type="dxa"/>
          </w:tcPr>
          <w:p w:rsidR="00F6124D" w:rsidRPr="00444A55" w:rsidRDefault="00F6124D" w:rsidP="00F6124D">
            <w:pPr>
              <w:jc w:val="both"/>
              <w:rPr>
                <w:rFonts w:ascii="Times New Roman" w:hAnsi="Times New Roman" w:cs="Times New Roman"/>
                <w:sz w:val="16"/>
                <w:szCs w:val="16"/>
              </w:rPr>
            </w:pPr>
            <w:r w:rsidRPr="00444A55">
              <w:rPr>
                <w:rFonts w:ascii="Times New Roman" w:hAnsi="Times New Roman" w:cs="Times New Roman"/>
                <w:sz w:val="16"/>
                <w:szCs w:val="16"/>
              </w:rPr>
              <w:t xml:space="preserve">ИББ смята, че към публикувания Проект трябва да се добави и Инженерната Свръхбързорастяща Биомаса (SGB) - biomass.alle.bg, добивана върху многоетажни рафтове в хипер-интензивни Вертикални Многоетажни Аквапонни Ферми (В-Ферми) - подобни на В-Фермите на фирмата Aerofarms Inc. - aerofarms.com, произвеждащи по над 20 реколти годишно различни зеленолистни растения като марули и др. Нашата SGB-Технология предвижда в такива ферми да се отглеждат специално селектирани свръхбързорастящи хибриди на Бамбук (1,5м/24ч.), Кафяво Водорасло Гигантски Келп (Macrocystis Pyrifera) - расте със скорост 61см/ден, Волфия (Wolffia Arrhiza) - удвоява биомасата си на всеки 24 ч., Кудзу (Pueraria Montana) - 33см/ден, BSF-Ларва - 10,000 пъти за 14 дни и др. Така добитата биомаса няма нищо общо нито с горската, нито със селскостопанската или каквато и да било отпадна или друга такава . Например, количеството биомаса което създава един бор за 50 години живот е равно на количеството биомаса, произведено само за три часа от бързорастящ бамбук, отглеждан върху многоетажни рафтове с обща площ от 800м2 . </w:t>
            </w:r>
          </w:p>
          <w:p w:rsidR="00F6124D" w:rsidRPr="00444A55" w:rsidRDefault="00F6124D" w:rsidP="00F6124D">
            <w:pPr>
              <w:jc w:val="both"/>
              <w:rPr>
                <w:rFonts w:ascii="Times New Roman" w:hAnsi="Times New Roman" w:cs="Times New Roman"/>
                <w:sz w:val="16"/>
                <w:szCs w:val="16"/>
              </w:rPr>
            </w:pPr>
            <w:r w:rsidRPr="00444A55">
              <w:rPr>
                <w:rFonts w:ascii="Times New Roman" w:hAnsi="Times New Roman" w:cs="Times New Roman"/>
                <w:sz w:val="16"/>
                <w:szCs w:val="16"/>
              </w:rPr>
              <w:t xml:space="preserve">SGB може да се ползва директно като стерилно-чисто, 100% карбон-неутрално биогориво-заместител на въглищата и газа в ТЕЦ-овете, което да се произвежда във Вертикални Ферми, в обеми от десетки хиляди тонове дневно,  на място, в двора на ТЕЦ-а, с СО2 от  коминните газове на ТЕЦ-а и 100% рециклируема вода, на почти нулева себестойност. </w:t>
            </w:r>
            <w:r w:rsidRPr="00444A55">
              <w:rPr>
                <w:rFonts w:ascii="Times New Roman" w:hAnsi="Times New Roman" w:cs="Times New Roman"/>
                <w:sz w:val="16"/>
                <w:szCs w:val="16"/>
              </w:rPr>
              <w:lastRenderedPageBreak/>
              <w:t>Калоричността на сухата SGB е колкото на лигнитните въглища - 17MJ/kg (6kW/kg) а изгарянето й е напълно бзотпадно - отпада нуждата от скъпото транспортиране на суровина до ТЕЦ-а и обратното трупане на отпадък върху гигантски табани, какъвто е случаят с лигнита . SGB може да се компактира като се пресова във вид на пелети и брикети като енергиен склад с плътност от около 700kg/m3 и калоричност от 4,200kW/m3. Излишъците могат да се продават и транспортират лесно до други консуматори.</w:t>
            </w:r>
          </w:p>
          <w:p w:rsidR="00F6124D" w:rsidRPr="00444A55" w:rsidRDefault="00F6124D" w:rsidP="00F6124D">
            <w:pPr>
              <w:jc w:val="both"/>
              <w:rPr>
                <w:rFonts w:ascii="Times New Roman" w:hAnsi="Times New Roman" w:cs="Times New Roman"/>
                <w:sz w:val="16"/>
                <w:szCs w:val="16"/>
              </w:rPr>
            </w:pPr>
            <w:r w:rsidRPr="00444A55">
              <w:rPr>
                <w:rFonts w:ascii="Times New Roman" w:hAnsi="Times New Roman" w:cs="Times New Roman"/>
                <w:sz w:val="16"/>
                <w:szCs w:val="16"/>
              </w:rPr>
              <w:t xml:space="preserve">Освен като директно гориво за ТЕЦ-овете - за което не е необходимо почти никакво преустройство на оборудването, и което ще предпази нарязването на ТЕЦ-овете (активи за милиарди) на скрап, SGB е и перфектна суровина за добив и на редица други видове газови, течни и твърди биогорива като Зелен Биометан, Каталитичен Биоводород, Биоетанол - biogas.all.bg, Биодизел - biodizel.alle.bg, OFO-Биогориво - ofomobile.alle.bg , Кокс-Биовъглен за Металургията - biochar.alle.bg , Прахово Гориво за газо-прахови турбини, както и за редица видове стерилно-чисти храни - hrani.alle.bg, фуражи, торове, влакна, биополимери, медикаменти и много други продукти с извънредно високо търсене на международните пазари и с висока принадена стойност. </w:t>
            </w:r>
          </w:p>
          <w:p w:rsidR="00F6124D" w:rsidRPr="00444A55" w:rsidRDefault="00F6124D" w:rsidP="00F6124D">
            <w:pPr>
              <w:jc w:val="both"/>
              <w:rPr>
                <w:rFonts w:ascii="Times New Roman" w:hAnsi="Times New Roman" w:cs="Times New Roman"/>
                <w:sz w:val="16"/>
                <w:szCs w:val="16"/>
              </w:rPr>
            </w:pPr>
            <w:r w:rsidRPr="00444A55">
              <w:rPr>
                <w:rFonts w:ascii="Times New Roman" w:hAnsi="Times New Roman" w:cs="Times New Roman"/>
                <w:sz w:val="16"/>
                <w:szCs w:val="16"/>
              </w:rPr>
              <w:t xml:space="preserve">През 2025-26 г. ИББ стартира строителството върху 2 дка в ИЗ-Божурище, на Научно-Приложен SGB-Център и на първата в света 50м висока пилотна инсталация за добив на над 5,000 тона SGB на ден и на няколко вида свръхевтини чисти горива, храни и материали . Идеята ни е да положим началото на едно бъдещо снабдяване на София - а по-нататък и на други градове, с почти безплатна зелена енергия, горива, храни, структурни материали, медикаменти . </w:t>
            </w:r>
          </w:p>
          <w:p w:rsidR="00F6124D" w:rsidRPr="00444A55" w:rsidRDefault="00F6124D" w:rsidP="00F6124D">
            <w:pPr>
              <w:jc w:val="both"/>
              <w:rPr>
                <w:rFonts w:ascii="Times New Roman" w:hAnsi="Times New Roman" w:cs="Times New Roman"/>
                <w:sz w:val="16"/>
                <w:szCs w:val="16"/>
              </w:rPr>
            </w:pPr>
            <w:r w:rsidRPr="00444A55">
              <w:rPr>
                <w:rFonts w:ascii="Times New Roman" w:hAnsi="Times New Roman" w:cs="Times New Roman"/>
                <w:sz w:val="16"/>
                <w:szCs w:val="16"/>
              </w:rPr>
              <w:t xml:space="preserve">След успешния старт и тестов период, десетки подобни - но много по-големи В-Ферми ще бъдат построени из цялата страна, първо в най-изостаналите и бедни райони, с цел разкриване на хиляди нови високоплатени работни места за биофермери с бели престилки и таблет в ръка, и създаване на устойчив, високорентабилен поминък в тези опустяващи региони .Това ще се отрази неминуемо на демографската картина в тези райони, както и в цялата ни страна . </w:t>
            </w:r>
          </w:p>
          <w:p w:rsidR="00F6124D" w:rsidRPr="00444A55" w:rsidRDefault="00F6124D" w:rsidP="00F6124D">
            <w:pPr>
              <w:jc w:val="both"/>
              <w:rPr>
                <w:rFonts w:ascii="Times New Roman" w:hAnsi="Times New Roman" w:cs="Times New Roman"/>
                <w:sz w:val="16"/>
                <w:szCs w:val="16"/>
              </w:rPr>
            </w:pPr>
            <w:r w:rsidRPr="00444A55">
              <w:rPr>
                <w:rFonts w:ascii="Times New Roman" w:hAnsi="Times New Roman" w:cs="Times New Roman"/>
                <w:sz w:val="16"/>
                <w:szCs w:val="16"/>
              </w:rPr>
              <w:t>На база SGB-Техологията и огромните предимства които тя предлага за реализиране на гигантски приходи от експорт и мощен тласък на икономиката, ИББ разработи програмите "БГ-Развитие" - bg-razvitie.alle.bg и "Зелен Трилионен Фонд" - green-trillion.alle.bg за неограничено грантово финансиране на мащабни макроикономически проекти, изпълнението на които проекти би умножило многократно сегашният ни БВП и би наредило България сред най-богатите страни в света, само в рамките на десетина години .</w:t>
            </w:r>
          </w:p>
        </w:tc>
        <w:tc>
          <w:tcPr>
            <w:tcW w:w="2652" w:type="dxa"/>
          </w:tcPr>
          <w:p w:rsidR="00F6124D" w:rsidRPr="00444A55" w:rsidRDefault="00F6124D" w:rsidP="006457EF">
            <w:pPr>
              <w:rPr>
                <w:rFonts w:ascii="Times New Roman" w:hAnsi="Times New Roman" w:cs="Times New Roman"/>
                <w:sz w:val="16"/>
                <w:szCs w:val="16"/>
              </w:rPr>
            </w:pPr>
            <w:r w:rsidRPr="00444A55">
              <w:rPr>
                <w:rFonts w:ascii="Times New Roman" w:hAnsi="Times New Roman" w:cs="Times New Roman"/>
                <w:sz w:val="16"/>
                <w:szCs w:val="16"/>
              </w:rPr>
              <w:lastRenderedPageBreak/>
              <w:t>Приема се.</w:t>
            </w:r>
          </w:p>
        </w:tc>
        <w:tc>
          <w:tcPr>
            <w:tcW w:w="2917" w:type="dxa"/>
            <w:vAlign w:val="center"/>
          </w:tcPr>
          <w:p w:rsidR="00F6124D" w:rsidRPr="00444A55" w:rsidRDefault="00F6124D" w:rsidP="001F54B4">
            <w:pPr>
              <w:jc w:val="both"/>
              <w:rPr>
                <w:rFonts w:ascii="Times New Roman" w:hAnsi="Times New Roman" w:cs="Times New Roman"/>
                <w:sz w:val="16"/>
                <w:szCs w:val="16"/>
                <w:lang w:eastAsia="zh-CN"/>
              </w:rPr>
            </w:pPr>
          </w:p>
        </w:tc>
      </w:tr>
      <w:tr w:rsidR="00F6124D" w:rsidRPr="00444A55" w:rsidTr="007E0DB9">
        <w:tc>
          <w:tcPr>
            <w:tcW w:w="458" w:type="dxa"/>
          </w:tcPr>
          <w:p w:rsidR="00F6124D" w:rsidRPr="00444A55" w:rsidRDefault="00001E23"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5</w:t>
            </w:r>
          </w:p>
        </w:tc>
        <w:tc>
          <w:tcPr>
            <w:tcW w:w="2605" w:type="dxa"/>
          </w:tcPr>
          <w:p w:rsidR="00F6124D" w:rsidRPr="00444A55" w:rsidRDefault="00F6124D" w:rsidP="00D077E0">
            <w:pPr>
              <w:rPr>
                <w:rFonts w:ascii="Times New Roman" w:hAnsi="Times New Roman" w:cs="Times New Roman"/>
                <w:b/>
                <w:color w:val="FF0000"/>
                <w:sz w:val="16"/>
                <w:szCs w:val="16"/>
              </w:rPr>
            </w:pPr>
            <w:r w:rsidRPr="00444A55">
              <w:rPr>
                <w:rFonts w:ascii="Times New Roman" w:hAnsi="Times New Roman" w:cs="Times New Roman"/>
                <w:b/>
                <w:sz w:val="16"/>
                <w:szCs w:val="16"/>
              </w:rPr>
              <w:t>Б</w:t>
            </w:r>
            <w:r w:rsidR="00D077E0" w:rsidRPr="00444A55">
              <w:rPr>
                <w:rFonts w:ascii="Times New Roman" w:hAnsi="Times New Roman" w:cs="Times New Roman"/>
                <w:b/>
                <w:sz w:val="16"/>
                <w:szCs w:val="16"/>
              </w:rPr>
              <w:t>ългарска асоциация на циментовата индустрия</w:t>
            </w:r>
          </w:p>
        </w:tc>
        <w:tc>
          <w:tcPr>
            <w:tcW w:w="4660" w:type="dxa"/>
          </w:tcPr>
          <w:p w:rsidR="00F6124D" w:rsidRPr="00444A55" w:rsidRDefault="00F6124D" w:rsidP="00F6124D">
            <w:pPr>
              <w:jc w:val="both"/>
              <w:rPr>
                <w:rFonts w:ascii="Times New Roman" w:hAnsi="Times New Roman" w:cs="Times New Roman"/>
                <w:sz w:val="16"/>
                <w:szCs w:val="16"/>
              </w:rPr>
            </w:pPr>
            <w:r w:rsidRPr="00444A55">
              <w:rPr>
                <w:rFonts w:ascii="Times New Roman" w:hAnsi="Times New Roman" w:cs="Times New Roman"/>
                <w:sz w:val="16"/>
                <w:szCs w:val="16"/>
              </w:rPr>
              <w:t xml:space="preserve">От името на БАЦИ, моля да приемете следните предложения: да се дефинира изрично какво е "отпадък" по смисъла на чл. 6, в ДР на наредбата, като се препрати към Наредба № 2 от 23 юли 2014 </w:t>
            </w:r>
            <w:r w:rsidRPr="00444A55">
              <w:rPr>
                <w:rFonts w:ascii="Times New Roman" w:hAnsi="Times New Roman" w:cs="Times New Roman"/>
                <w:sz w:val="16"/>
                <w:szCs w:val="16"/>
              </w:rPr>
              <w:lastRenderedPageBreak/>
              <w:t xml:space="preserve">г. за класификация на отпадъците. Да се уточни изрично за 2023 г., че няма да се прилага наредбата. </w:t>
            </w:r>
          </w:p>
        </w:tc>
        <w:tc>
          <w:tcPr>
            <w:tcW w:w="2652" w:type="dxa"/>
          </w:tcPr>
          <w:p w:rsidR="00F6124D" w:rsidRPr="00444A55" w:rsidRDefault="00D077E0" w:rsidP="00D077E0">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F6124D" w:rsidRPr="00444A55" w:rsidRDefault="00D077E0"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може има забавяне в прилагането на наредбата.</w:t>
            </w:r>
          </w:p>
        </w:tc>
      </w:tr>
      <w:tr w:rsidR="00D077E0" w:rsidRPr="00444A55" w:rsidTr="007E0DB9">
        <w:tc>
          <w:tcPr>
            <w:tcW w:w="458" w:type="dxa"/>
          </w:tcPr>
          <w:p w:rsidR="00D077E0" w:rsidRPr="00444A55" w:rsidRDefault="00D077E0" w:rsidP="001F54B4">
            <w:pPr>
              <w:rPr>
                <w:rFonts w:ascii="Times New Roman" w:hAnsi="Times New Roman" w:cs="Times New Roman"/>
                <w:sz w:val="16"/>
                <w:szCs w:val="16"/>
                <w:lang w:val="en-US"/>
              </w:rPr>
            </w:pPr>
          </w:p>
        </w:tc>
        <w:tc>
          <w:tcPr>
            <w:tcW w:w="2605" w:type="dxa"/>
          </w:tcPr>
          <w:p w:rsidR="00D077E0" w:rsidRPr="00444A55" w:rsidRDefault="00D077E0" w:rsidP="00D077E0">
            <w:pPr>
              <w:rPr>
                <w:rFonts w:ascii="Times New Roman" w:hAnsi="Times New Roman" w:cs="Times New Roman"/>
                <w:b/>
                <w:sz w:val="16"/>
                <w:szCs w:val="16"/>
              </w:rPr>
            </w:pPr>
          </w:p>
        </w:tc>
        <w:tc>
          <w:tcPr>
            <w:tcW w:w="4660" w:type="dxa"/>
          </w:tcPr>
          <w:p w:rsidR="00D077E0" w:rsidRPr="00444A55" w:rsidRDefault="00D077E0" w:rsidP="00D077E0">
            <w:pPr>
              <w:jc w:val="both"/>
              <w:rPr>
                <w:rFonts w:ascii="Times New Roman" w:hAnsi="Times New Roman" w:cs="Times New Roman"/>
                <w:sz w:val="16"/>
                <w:szCs w:val="16"/>
              </w:rPr>
            </w:pPr>
            <w:r w:rsidRPr="00444A55">
              <w:rPr>
                <w:rFonts w:ascii="Times New Roman" w:hAnsi="Times New Roman" w:cs="Times New Roman"/>
                <w:sz w:val="16"/>
                <w:szCs w:val="16"/>
              </w:rPr>
              <w:t>Да се използват добри работещи практики, които бъдат имплементирани и в нашата наредба: в Гърция напр. са и изключени изрично от сертификация и определени категории отпадъци от селското стопанство, когато идват директно от производителя. Подкрепяме становището на „Агрополихим“ АД.</w:t>
            </w:r>
          </w:p>
          <w:p w:rsidR="00D077E0" w:rsidRPr="00444A55" w:rsidRDefault="00D077E0" w:rsidP="00D077E0">
            <w:pPr>
              <w:jc w:val="both"/>
              <w:rPr>
                <w:rFonts w:ascii="Times New Roman" w:hAnsi="Times New Roman" w:cs="Times New Roman"/>
                <w:sz w:val="16"/>
                <w:szCs w:val="16"/>
              </w:rPr>
            </w:pPr>
            <w:r w:rsidRPr="00444A55">
              <w:rPr>
                <w:rFonts w:ascii="Times New Roman" w:hAnsi="Times New Roman" w:cs="Times New Roman"/>
                <w:sz w:val="16"/>
                <w:szCs w:val="16"/>
              </w:rPr>
              <w:t>Представяме извадка от Ръководен документ в Гърция, с добри практики относно биомасата, които молим да бъдат взети предвид в окончателните текстове на наредбата.</w:t>
            </w:r>
          </w:p>
          <w:p w:rsidR="00D077E0" w:rsidRPr="00444A55" w:rsidRDefault="00D077E0" w:rsidP="00D077E0">
            <w:pPr>
              <w:jc w:val="both"/>
              <w:rPr>
                <w:rFonts w:ascii="Times New Roman" w:hAnsi="Times New Roman" w:cs="Times New Roman"/>
                <w:sz w:val="16"/>
                <w:szCs w:val="16"/>
              </w:rPr>
            </w:pPr>
            <w:r w:rsidRPr="00444A55">
              <w:rPr>
                <w:rFonts w:ascii="Times New Roman" w:hAnsi="Times New Roman" w:cs="Times New Roman"/>
                <w:sz w:val="16"/>
                <w:szCs w:val="16"/>
              </w:rPr>
              <w:t xml:space="preserve">„Разбивка на съществуващите потоци от източници на биомаса и тяхното посочено боравене от PES инсталации в съответствие с член 38 от Регламент (ЕС) 2018/2066. Плодови ядки (костилки) и други свързани вещества (напр. маслинови ядки) в хранително-вкусовата промишленост Тези вещества се считат за отпадък съгласно Директива 2008/98/ЕО, (4) съответно. Въз основа на параграфи 3.4.2, 3.4.6.4 и 9.5.9 от Ръководен документ № 3, (3) приложими, те се считат за устойчиви твърди отпадъци*. По-конкретно, параграф 3.4.6.4 гласи: „Ако на инсталацията използва биомаса за изгаряне и биомасата е отпадък (или остатък, различен от селскостопански, аквакултурни, рибни и горски остатъци), генериран от самата инсталация, операторът трябва само да изпълни задачата за класифициране на материала. Ако се установи, че категорията отпадъци (или остатъци, различни от остатъци от земеделие, аквакултури, рибарство и горско стопанство) се прилага, не се прилагат други критерии RED II. Въпреки това дали в този случай се изисква доказателство за устойчивост от схема за сертифициране или не зависи от начина, по който държавата-членка транспонира RED II в националното законодателство. Операторът на такава инсталация ще трябва да вземе предвид националното законодателство, когато изготвя своя план за мониторинг. Ако съоръжението набавя сърцевините от трети лица, съответната транспортна бележка/фактура и удостоверение от доставчика, че ядрото е промишлен страничен продукт от другото съоръжение или алтернативно, че е отпадък от другото съоръжение и се управлява като такъв, е достатъчно. Предпоставка е декларирането им пред EMA като отпадък с EKA код. Сърцевина (извлечена от сърцевина) Счита се за отпадък съгласно Директива 2008/98/ЕО. Базиран на параграфи 3.4.2, 3.4.6.4 и 9.5.9 от Ръководен документ №3, това са устойчиви твърди отпадъци*. Съответната бележка за доставка / фактура и удостоверение от маслобойната, че сърцевината е страничен продукт от това съоръжение е достатъчна. </w:t>
            </w:r>
          </w:p>
          <w:p w:rsidR="00D077E0" w:rsidRPr="00444A55" w:rsidRDefault="00D077E0" w:rsidP="00D077E0">
            <w:pPr>
              <w:jc w:val="both"/>
              <w:rPr>
                <w:rFonts w:ascii="Times New Roman" w:hAnsi="Times New Roman" w:cs="Times New Roman"/>
                <w:sz w:val="16"/>
                <w:szCs w:val="16"/>
              </w:rPr>
            </w:pPr>
            <w:r w:rsidRPr="00444A55">
              <w:rPr>
                <w:rFonts w:ascii="Times New Roman" w:hAnsi="Times New Roman" w:cs="Times New Roman"/>
                <w:sz w:val="16"/>
                <w:szCs w:val="16"/>
              </w:rPr>
              <w:t xml:space="preserve">Пелети от селскостопански отпадъци (слънчоглед, оризови люспи и др.). От определение тези вещества се считат за отпадъци въз основа на Директива 2008/98/ ЕК. Въз основа на параграфи 3.4.2 и 3.4.6.4 от Ръководен документ №3, това е устойчив твърд отпадък*. Съответният бележка за доставка / фактура от домашни съоръжения, където неговият лиценз за експлоатация посочва, че това е неговата дейност и/или </w:t>
            </w:r>
            <w:r w:rsidRPr="00444A55">
              <w:rPr>
                <w:rFonts w:ascii="Times New Roman" w:hAnsi="Times New Roman" w:cs="Times New Roman"/>
                <w:sz w:val="16"/>
                <w:szCs w:val="16"/>
              </w:rPr>
              <w:lastRenderedPageBreak/>
              <w:t>Информационният лист за безопасност на материала (SDS) е достатъчен. Необходими са ни и данни за съдържанието на биомаса, ако това е смесена биомаса гориво (вижте параграф 9.4 от Ръководен документ №3). Във всеки случай се прилагат разпоредбите на член 39 от Изпълнителен регламент (ЕС) 2018/2066 относно определянето на фракцията на биомасата. Ако пелетите идват от търговец (който напр. източници от чужбина и произходът на материала не е ясен), Информационен лист за безопасност (SDS) и данни за съдържанието на биомаса от доставчика са необходими, ако е смесено гориво от биомаса (вижте параграф 9.4 от Ръководен документ № 3). Във всеки случай се прилагат разпоредбите на член 39 от Изпълнителен регламент (ЕС) 2018/2066 относно определянето на фракцията на биомасата. Също така в този случай са необходими допълнителни сертификати за устойчивост (PoS) за проследяване на цялата мрежа за доставки. Настъргани гуми от използвани гуми / ASR (Остатъци от автомобилни шредери) Въз основа на параграфи 3.4.2, 3.4.6.2 и 9.5.5 от Ръководен документ №3, фракцията от биомаса се счита за устойчив твърд отпадък*. Тя е смесена гориво от биомаса, за което се прилагат разпоредбите, посочени в 9.2 от Ръководен документ № 3. Достатъчна е съответната бележка за доставка/фактура от местното съоръжение, където лицензът за работа посочва, че това е неговата дейност и/или Информационен лист за безопасност на материала (SDS). За ASR, съответната товарителница / фактура от домашни съоръжения,  където  лицензът  му  за експлоатация посочва, че това е неговата дейност, т. е. ОТКЗ, е достатъчно. Той трябва да бъде отбелязан като отпадък в товарителницата и придружен от документите, изисквани от EMA. Като алтернатива може да бъде придружено от информационния лист за безопасност (SDS) на ASR материала. Ако идва от търговец (който е напр. снабдяване от чужбина и произходът на материала не е ясен),допълнително са необходими сертификати за устойчивост (PoS) за проследяване на цялата мрежа за доставки.</w:t>
            </w:r>
          </w:p>
          <w:p w:rsidR="00D077E0" w:rsidRPr="00444A55" w:rsidRDefault="00D077E0" w:rsidP="00D077E0">
            <w:pPr>
              <w:jc w:val="both"/>
              <w:rPr>
                <w:rFonts w:ascii="Times New Roman" w:hAnsi="Times New Roman" w:cs="Times New Roman"/>
                <w:sz w:val="16"/>
                <w:szCs w:val="16"/>
              </w:rPr>
            </w:pPr>
            <w:r w:rsidRPr="00444A55">
              <w:rPr>
                <w:rFonts w:ascii="Times New Roman" w:hAnsi="Times New Roman" w:cs="Times New Roman"/>
                <w:sz w:val="16"/>
                <w:szCs w:val="16"/>
              </w:rPr>
              <w:t xml:space="preserve">Резитба, дърва за огрев кора от гората Съгласно член 38, параграф 5 от Изпълнителен регламент (ЕС) 2018/2066 те са остатъци от горското стопанство, така че се изисква прилагането на критериите за устойчивост и критериите за намаляване на емисиите* на RED II. От резитбите, дърва за огрев, кори от дънери, идват от частни лица, горски служби или местна власт, те трябва да са резултат от договор, например за събиране на клони от природни бедствия и да изглеждат като дадени с някакъв документ (напр. товарителница), в противен случай заверка от Изисква се призната от ЕС схема. FSC (Forest Stewardship Council) не е призната от ЕС схема. Рециклирани дървени стърготини, т.е. дървени стърготини, произведени от рециклирането на отпадъци от дървени опаковки (палети, каси) Произходът на дървените стърготини трябва да се докаже, ако идва от отпадъци от дървени опаковки, а не от неустойчива дървесина. Следователно е необходима съответната </w:t>
            </w:r>
            <w:r w:rsidRPr="00444A55">
              <w:rPr>
                <w:rFonts w:ascii="Times New Roman" w:hAnsi="Times New Roman" w:cs="Times New Roman"/>
                <w:sz w:val="16"/>
                <w:szCs w:val="16"/>
              </w:rPr>
              <w:lastRenderedPageBreak/>
              <w:t>товарителница / фактура, когато дървените стърготини са класифицирани като отпадък и са придружени от документите, изисквани от HMA. В този случай се счита за устойчив твърд отпадък*. В противен случай заверка от изисква се схема, призната от ЕС. Суха утайка от отпадъчни води (DSS - Dry Sewage Sludge) от EYDAP - Psyttalia По дефиниция се счита за отпадък съгласно Директивата 2008/98/ЕО. Въз основа на параграфи 3.4.2 и 3.4.6.4 от Ръководен документ №3, той се счита за устойчиво твърдо вещество отпадъци*. Съответната товарителница / фактура и документите, изисквани от IMA, са достатъчно. Разпоредбите, посочени в параграфи 9.5.1 и 9.5.3 от Ръководен документ № 3, също се прилагат. Спално бельо – Текстилни материали/ CDF (Произведени от килими Гориво) По дефиниция това е продукт на промишлена обработка, така че фракцията от биомаса се счита за устойчив твърд отпадък*. The съответна бележка за доставка/фактура или документи, изисквани от HMA за управлението на материала като отпадък и/или MSDS или еквивалент на CDF материала е достатъчен. Това е смесено гориво от биомаса и процентът на биомасата трябва да бъде изчислен съгласно член 39 от Изпълнителен регламент (ЕС) 2018/2066. Ако CDF се доставя от търговец (който е напр. снабдяване от чужбина и произходът на материала не е ясен),допълнителни сертификати за устойчивост (PoS) са необходими за проследяване на цялата мрежа за доставки. RDF (Refused Derived Fuel) / SRF (Solid Recovered Fuel) По дефиниция се счита за отпадък съгласно Директивата 2008/98/ЕО. Въз основа на параграфи 3.4.2 и 3.4.6.4 от Ръководен документ № 3, фракцията от биомаса се счита за устойчиво твърдо вещество отпадъци*. Достатъчни са съответната транспортна бележка/фактура или документи, изисквани от HMA за управление на материала като отпадък и/или Информационен лист за безопасност (SDS) или еквивалент на RDF/SRF материала. Това е смесено гориво от биомаса и процентът на биомасата трябва да бъде изчислен съгласно член 39 от Изпълнителен регламент (ЕС) 2018/2066. SAF (устойчива авиация Горива) Изисква се сертифициране по призната от ЕС схема. Прилагат се съответните разпоредби на (9). Използвани масла за готвене (UCO) Изисква се сертифициране по призната от ЕС схема. Хидротретирано растително масло (HVO), т.е. дизел, получен от съвместната обработка на UCO и дизел, с 10% процент UCO в сместа. Изисква се сертифициране по призната от ЕС схема. * За устойчиви твърди отпадъци се прилагат само критерии за намаляване на емисиите, стига датата на издаване на лиценза за експлоатация на съоръжението да е след 1 януари 2021 г.“</w:t>
            </w:r>
          </w:p>
        </w:tc>
        <w:tc>
          <w:tcPr>
            <w:tcW w:w="2652" w:type="dxa"/>
          </w:tcPr>
          <w:p w:rsidR="00D077E0" w:rsidRPr="00444A55" w:rsidRDefault="00D077E0" w:rsidP="006457EF">
            <w:pPr>
              <w:rPr>
                <w:rFonts w:ascii="Times New Roman" w:hAnsi="Times New Roman" w:cs="Times New Roman"/>
                <w:sz w:val="16"/>
                <w:szCs w:val="16"/>
              </w:rPr>
            </w:pPr>
            <w:r w:rsidRPr="00444A55">
              <w:rPr>
                <w:rFonts w:ascii="Times New Roman" w:hAnsi="Times New Roman" w:cs="Times New Roman"/>
                <w:sz w:val="16"/>
                <w:szCs w:val="16"/>
              </w:rPr>
              <w:lastRenderedPageBreak/>
              <w:t>Приема се.</w:t>
            </w:r>
          </w:p>
        </w:tc>
        <w:tc>
          <w:tcPr>
            <w:tcW w:w="2917" w:type="dxa"/>
            <w:vAlign w:val="center"/>
          </w:tcPr>
          <w:p w:rsidR="00D077E0" w:rsidRPr="00444A55" w:rsidRDefault="00D077E0" w:rsidP="001F54B4">
            <w:pPr>
              <w:jc w:val="both"/>
              <w:rPr>
                <w:rFonts w:ascii="Times New Roman" w:hAnsi="Times New Roman" w:cs="Times New Roman"/>
                <w:sz w:val="16"/>
                <w:szCs w:val="16"/>
                <w:lang w:eastAsia="zh-CN"/>
              </w:rPr>
            </w:pPr>
          </w:p>
        </w:tc>
      </w:tr>
      <w:tr w:rsidR="001F54B4" w:rsidRPr="00444A55" w:rsidTr="007E0DB9">
        <w:tc>
          <w:tcPr>
            <w:tcW w:w="458" w:type="dxa"/>
            <w:vMerge w:val="restart"/>
          </w:tcPr>
          <w:p w:rsidR="001F54B4" w:rsidRPr="00444A55" w:rsidRDefault="00001E23" w:rsidP="001F54B4">
            <w:pPr>
              <w:rPr>
                <w:rFonts w:ascii="Times New Roman" w:hAnsi="Times New Roman" w:cs="Times New Roman"/>
                <w:sz w:val="16"/>
                <w:szCs w:val="16"/>
                <w:lang w:val="en-US"/>
              </w:rPr>
            </w:pPr>
            <w:r w:rsidRPr="00444A55">
              <w:rPr>
                <w:rFonts w:ascii="Times New Roman" w:hAnsi="Times New Roman" w:cs="Times New Roman"/>
                <w:sz w:val="16"/>
                <w:szCs w:val="16"/>
                <w:lang w:val="en-US"/>
              </w:rPr>
              <w:lastRenderedPageBreak/>
              <w:t>6</w:t>
            </w:r>
          </w:p>
        </w:tc>
        <w:tc>
          <w:tcPr>
            <w:tcW w:w="2605" w:type="dxa"/>
            <w:vMerge w:val="restart"/>
          </w:tcPr>
          <w:p w:rsidR="001F54B4" w:rsidRPr="00444A55" w:rsidRDefault="001F54B4" w:rsidP="001F54B4">
            <w:pPr>
              <w:rPr>
                <w:rFonts w:ascii="Times New Roman" w:hAnsi="Times New Roman" w:cs="Times New Roman"/>
                <w:b/>
                <w:sz w:val="16"/>
                <w:szCs w:val="16"/>
              </w:rPr>
            </w:pPr>
            <w:r w:rsidRPr="00444A55">
              <w:rPr>
                <w:rFonts w:ascii="Times New Roman" w:hAnsi="Times New Roman" w:cs="Times New Roman"/>
                <w:b/>
                <w:sz w:val="16"/>
                <w:szCs w:val="16"/>
              </w:rPr>
              <w:t>„БРИКЕЛ“ ЕАД</w:t>
            </w:r>
          </w:p>
        </w:tc>
        <w:tc>
          <w:tcPr>
            <w:tcW w:w="4660" w:type="dxa"/>
          </w:tcPr>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Изменяната с настоящия проект Наредба за критериите за устойчивост на биогоривата и течните горива от биомаса е приета с ПМС № 302 от 26.11.2012 г. Първоначално с нея се определят критериите за устойчивост на биогоривата и течните горива от биомаса, т.е. горивата отнасящи се единствено до </w:t>
            </w:r>
            <w:r w:rsidRPr="00444A55">
              <w:rPr>
                <w:rFonts w:ascii="Times New Roman" w:hAnsi="Times New Roman" w:cs="Times New Roman"/>
                <w:sz w:val="16"/>
                <w:szCs w:val="16"/>
              </w:rPr>
              <w:lastRenderedPageBreak/>
              <w:t>транспортния сектор, като с последващи изменения обхватът и е изменен.</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Вероятно поради горната причина Предложения проект на Постановление на МС за изменение и допълнение на Наредба за критериите за устойчивост на биогоривата и течните горива от биомаса относно които се твърди, че се транспонират разпоредби от Директива (ЕС) 2018/2001 на Европейския парламент и на Съвета от 11 декември 2018 година за насърчаване използването на енергия от възобновяеми източници е сведен основно до добавяне на думите „и газообразните и твърдите горива от биомаса“ .</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Считаме, че подобен подход за изменение на нормативен акт - „на бързо“, уреждащ дадена материя, не би могъл да превърне нормативния акт след изменението му в приложимо право, относимо към всички случаи на използване на биогорива, течни горива от биомаса и газообразни и твърди горива от биомаса. Многобройните технически грешки в предложения проект са показател за не добро нормотворчество от страна на вносителите.</w:t>
            </w:r>
          </w:p>
        </w:tc>
        <w:tc>
          <w:tcPr>
            <w:tcW w:w="2652" w:type="dxa"/>
          </w:tcPr>
          <w:p w:rsidR="001F54B4" w:rsidRPr="00444A55" w:rsidRDefault="00D077E0" w:rsidP="001F54B4">
            <w:pPr>
              <w:rPr>
                <w:rFonts w:ascii="Times New Roman" w:hAnsi="Times New Roman" w:cs="Times New Roman"/>
                <w:color w:val="FF0000"/>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1F54B4" w:rsidRPr="00444A55" w:rsidRDefault="006457EF"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 xml:space="preserve">С наредбата се въвеждат </w:t>
            </w:r>
            <w:r w:rsidR="00D077E0" w:rsidRPr="00444A55">
              <w:rPr>
                <w:rFonts w:ascii="Times New Roman" w:hAnsi="Times New Roman" w:cs="Times New Roman"/>
                <w:sz w:val="16"/>
                <w:szCs w:val="16"/>
                <w:lang w:eastAsia="zh-CN"/>
              </w:rPr>
              <w:t xml:space="preserve">новите критериите за устойчивост и за намаление на емисиите на парникови газове на биогоривата, течните горива от биомаса и газообразните и твърдите </w:t>
            </w:r>
            <w:r w:rsidR="00D077E0" w:rsidRPr="00444A55">
              <w:rPr>
                <w:rFonts w:ascii="Times New Roman" w:hAnsi="Times New Roman" w:cs="Times New Roman"/>
                <w:sz w:val="16"/>
                <w:szCs w:val="16"/>
                <w:lang w:eastAsia="zh-CN"/>
              </w:rPr>
              <w:lastRenderedPageBreak/>
              <w:t>горива от биомаса, възобновяемите течни и газообразни транспортни горива от небиологичен произход и рециклираните въглеродни горива, регламентирани в Директива (ЕС) 2018/2001 на европейския парламент и на Съвета от 11 декември 2018 година за насърчаване използването на енергия от възобновяеми източници</w:t>
            </w:r>
          </w:p>
        </w:tc>
      </w:tr>
      <w:tr w:rsidR="001F54B4" w:rsidRPr="00444A55" w:rsidTr="007E0DB9">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Отделно от това реалните адресати на Наредбата, съгласно чл. 3 от същата, следва да са икономически оператори по смисъла на чл. 40, ал. 1 ЗЕВИ, които са следните лица: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1.</w:t>
            </w:r>
            <w:r w:rsidRPr="00444A55">
              <w:rPr>
                <w:rFonts w:ascii="Times New Roman" w:hAnsi="Times New Roman" w:cs="Times New Roman"/>
                <w:sz w:val="16"/>
                <w:szCs w:val="16"/>
              </w:rPr>
              <w:tab/>
              <w:t>земеделски стопани, кооперации и организации на производители;</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2.</w:t>
            </w:r>
            <w:r w:rsidRPr="00444A55">
              <w:rPr>
                <w:rFonts w:ascii="Times New Roman" w:hAnsi="Times New Roman" w:cs="Times New Roman"/>
                <w:sz w:val="16"/>
                <w:szCs w:val="16"/>
              </w:rPr>
              <w:tab/>
              <w:t>събирачи на отпадъци и остатъци;</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3.</w:t>
            </w:r>
            <w:r w:rsidRPr="00444A55">
              <w:rPr>
                <w:rFonts w:ascii="Times New Roman" w:hAnsi="Times New Roman" w:cs="Times New Roman"/>
                <w:sz w:val="16"/>
                <w:szCs w:val="16"/>
              </w:rPr>
              <w:tab/>
              <w:t>изкупвачи на суровини за производството на биогорива и течни горива от биомаса;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4.</w:t>
            </w:r>
            <w:r w:rsidRPr="00444A55">
              <w:rPr>
                <w:rFonts w:ascii="Times New Roman" w:hAnsi="Times New Roman" w:cs="Times New Roman"/>
                <w:sz w:val="16"/>
                <w:szCs w:val="16"/>
              </w:rPr>
              <w:tab/>
              <w:t>първични преработватели на суровини за производството на биогорива и течни горива от биомаса;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5.</w:t>
            </w:r>
            <w:r w:rsidRPr="00444A55">
              <w:rPr>
                <w:rFonts w:ascii="Times New Roman" w:hAnsi="Times New Roman" w:cs="Times New Roman"/>
                <w:sz w:val="16"/>
                <w:szCs w:val="16"/>
              </w:rPr>
              <w:tab/>
              <w:t>изкупвачи на първично преработени суровини за производството на биогорива и течни горива от биомаса;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6.</w:t>
            </w:r>
            <w:r w:rsidRPr="00444A55">
              <w:rPr>
                <w:rFonts w:ascii="Times New Roman" w:hAnsi="Times New Roman" w:cs="Times New Roman"/>
                <w:sz w:val="16"/>
                <w:szCs w:val="16"/>
              </w:rPr>
              <w:tab/>
              <w:t>лица, които внасят или пускат на пазара суровини за производство на биогорива и течни горива от биомаса;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7.</w:t>
            </w:r>
            <w:r w:rsidRPr="00444A55">
              <w:rPr>
                <w:rFonts w:ascii="Times New Roman" w:hAnsi="Times New Roman" w:cs="Times New Roman"/>
                <w:sz w:val="16"/>
                <w:szCs w:val="16"/>
              </w:rPr>
              <w:tab/>
              <w:t>лицензирани складодържатели на чисти биогорива и течни горива от биомаса и/или на смеси на биогорива с течни горива от нефтен произход;</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8.</w:t>
            </w:r>
            <w:r w:rsidRPr="00444A55">
              <w:rPr>
                <w:rFonts w:ascii="Times New Roman" w:hAnsi="Times New Roman" w:cs="Times New Roman"/>
                <w:sz w:val="16"/>
                <w:szCs w:val="16"/>
              </w:rPr>
              <w:tab/>
              <w:t>разпространители на биогорива и течни горива от биомаса;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9.</w:t>
            </w:r>
            <w:r w:rsidRPr="00444A55">
              <w:rPr>
                <w:rFonts w:ascii="Times New Roman" w:hAnsi="Times New Roman" w:cs="Times New Roman"/>
                <w:sz w:val="16"/>
                <w:szCs w:val="16"/>
              </w:rPr>
              <w:tab/>
              <w:t>крайни разпространители на биогорива и течни горива от биомаса;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10.</w:t>
            </w:r>
            <w:r w:rsidRPr="00444A55">
              <w:rPr>
                <w:rFonts w:ascii="Times New Roman" w:hAnsi="Times New Roman" w:cs="Times New Roman"/>
                <w:sz w:val="16"/>
                <w:szCs w:val="16"/>
              </w:rPr>
              <w:tab/>
              <w:t>лица, които пускат на пазара биогорива и течни горива от биомаса, чисти или в смеси за крайна употреба.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Т.е. лицата ползващи биомаси за горива не са Икономически оператори и на тях определено не може да се предоставя финансова подкрепа за потреблението на биогорива, но освен това действието на наредбата не би следвало да се разпростира и върху тях, което обаче не е така, тъй като, както посочихме по - горе, компетентните органи, твърдят, че ще изискват с доклада за ЕПГ за 2023 г. да се докаже изпълнение на критерии за устойчивост на използваната като гориво биомаса, за да бъдат приравнени и приети за нулеви емисиите от изгарянето й.</w:t>
            </w:r>
          </w:p>
        </w:tc>
        <w:tc>
          <w:tcPr>
            <w:tcW w:w="2652" w:type="dxa"/>
          </w:tcPr>
          <w:p w:rsidR="001F54B4" w:rsidRPr="00444A55" w:rsidRDefault="00891C61"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1F54B4" w:rsidRPr="00444A55" w:rsidRDefault="00891C61"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 1 януари 2023 г. критериите за устойчивост се прилагат въз основа на директното приложение на Регламент за изпълнение (ЕС) 2018/2066 на Комисията относно мониторинга и докладването на емисиите на парникови газове Директива 2003/87/ЕО на Европейския парламент и на Съвета, като чл. 38, пар. 5 представлява валидно правно основание за прилагане на критериите за устойчивост на национално ниво.</w:t>
            </w:r>
          </w:p>
        </w:tc>
      </w:tr>
      <w:tr w:rsidR="00FA581A" w:rsidRPr="00444A55" w:rsidTr="00B83887">
        <w:trPr>
          <w:trHeight w:val="3864"/>
        </w:trPr>
        <w:tc>
          <w:tcPr>
            <w:tcW w:w="458" w:type="dxa"/>
            <w:vMerge/>
          </w:tcPr>
          <w:p w:rsidR="00FA581A" w:rsidRPr="00444A55" w:rsidRDefault="00FA581A" w:rsidP="001F54B4">
            <w:pPr>
              <w:rPr>
                <w:rFonts w:ascii="Times New Roman" w:hAnsi="Times New Roman" w:cs="Times New Roman"/>
                <w:sz w:val="16"/>
                <w:szCs w:val="16"/>
                <w:lang w:val="en-US"/>
              </w:rPr>
            </w:pPr>
          </w:p>
        </w:tc>
        <w:tc>
          <w:tcPr>
            <w:tcW w:w="2605" w:type="dxa"/>
            <w:vMerge/>
          </w:tcPr>
          <w:p w:rsidR="00FA581A" w:rsidRPr="00444A55" w:rsidRDefault="00FA581A" w:rsidP="001F54B4">
            <w:pPr>
              <w:rPr>
                <w:rFonts w:ascii="Times New Roman" w:hAnsi="Times New Roman" w:cs="Times New Roman"/>
                <w:b/>
                <w:sz w:val="16"/>
                <w:szCs w:val="16"/>
              </w:rPr>
            </w:pPr>
          </w:p>
        </w:tc>
        <w:tc>
          <w:tcPr>
            <w:tcW w:w="4660" w:type="dxa"/>
          </w:tcPr>
          <w:p w:rsidR="00FA581A" w:rsidRPr="00444A55" w:rsidRDefault="00FA581A" w:rsidP="001F54B4">
            <w:pPr>
              <w:jc w:val="both"/>
              <w:rPr>
                <w:rFonts w:ascii="Times New Roman" w:hAnsi="Times New Roman" w:cs="Times New Roman"/>
                <w:sz w:val="16"/>
                <w:szCs w:val="16"/>
              </w:rPr>
            </w:pPr>
            <w:r w:rsidRPr="00444A55">
              <w:rPr>
                <w:rFonts w:ascii="Times New Roman" w:hAnsi="Times New Roman" w:cs="Times New Roman"/>
                <w:sz w:val="16"/>
                <w:szCs w:val="16"/>
              </w:rPr>
              <w:t>Важен момент е също, че съгласно текста на чл.37, ал.1 на критериите за устойчивост и на критериите за намаление на емисиите на парникови газове следва да отговарят биогоривата, течните горива от биомаса и газообразните и твърдите горива от биомаса, произведени от отпадъци и остатъци от земеделски земи.</w:t>
            </w:r>
          </w:p>
          <w:p w:rsidR="00FA581A" w:rsidRPr="00444A55" w:rsidRDefault="00FA581A"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Остава открит въпроса следва ли да отговаря на тези критерии </w:t>
            </w:r>
            <w:r w:rsidRPr="00444A55">
              <w:rPr>
                <w:rFonts w:ascii="Times New Roman" w:hAnsi="Times New Roman" w:cs="Times New Roman"/>
                <w:sz w:val="16"/>
                <w:szCs w:val="16"/>
                <w:u w:val="single"/>
              </w:rPr>
              <w:t>сламата</w:t>
            </w:r>
            <w:r w:rsidRPr="00444A55">
              <w:rPr>
                <w:rFonts w:ascii="Times New Roman" w:hAnsi="Times New Roman" w:cs="Times New Roman"/>
                <w:sz w:val="16"/>
                <w:szCs w:val="16"/>
              </w:rPr>
              <w:t xml:space="preserve"> например, която по смисъла на_т.31., б.”д” от § 1 на ЗЕВИ представлява "Биогориво от ново поколение и биогаз за транспорта от суровини тип "А”.</w:t>
            </w:r>
          </w:p>
        </w:tc>
        <w:tc>
          <w:tcPr>
            <w:tcW w:w="2652" w:type="dxa"/>
          </w:tcPr>
          <w:p w:rsidR="00FA581A" w:rsidRPr="00444A55" w:rsidRDefault="00FA581A" w:rsidP="001F54B4">
            <w:pPr>
              <w:rPr>
                <w:rFonts w:ascii="Times New Roman" w:hAnsi="Times New Roman" w:cs="Times New Roman"/>
                <w:sz w:val="16"/>
                <w:szCs w:val="16"/>
              </w:rPr>
            </w:pPr>
            <w:r w:rsidRPr="00444A55">
              <w:rPr>
                <w:rFonts w:ascii="Times New Roman" w:hAnsi="Times New Roman" w:cs="Times New Roman"/>
                <w:sz w:val="16"/>
                <w:szCs w:val="16"/>
              </w:rPr>
              <w:t xml:space="preserve">Не се приема. </w:t>
            </w:r>
          </w:p>
        </w:tc>
        <w:tc>
          <w:tcPr>
            <w:tcW w:w="2917" w:type="dxa"/>
            <w:vAlign w:val="center"/>
          </w:tcPr>
          <w:p w:rsidR="00FA581A" w:rsidRPr="00444A55" w:rsidRDefault="00FA581A"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се отнася за промени в Наредбата.</w:t>
            </w:r>
          </w:p>
        </w:tc>
      </w:tr>
      <w:tr w:rsidR="001F54B4" w:rsidRPr="00444A55" w:rsidTr="007E0DB9">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FA581A">
            <w:pPr>
              <w:jc w:val="both"/>
              <w:rPr>
                <w:sz w:val="16"/>
                <w:szCs w:val="16"/>
              </w:rPr>
            </w:pPr>
            <w:r w:rsidRPr="00444A55">
              <w:rPr>
                <w:rFonts w:ascii="Times New Roman" w:hAnsi="Times New Roman" w:cs="Times New Roman"/>
                <w:sz w:val="16"/>
                <w:szCs w:val="16"/>
              </w:rPr>
              <w:t>Относно отделните текстове предложението:</w:t>
            </w:r>
            <w:r w:rsidR="00FA581A" w:rsidRPr="00444A55">
              <w:rPr>
                <w:rFonts w:ascii="Times New Roman" w:hAnsi="Times New Roman" w:cs="Times New Roman"/>
                <w:sz w:val="16"/>
                <w:szCs w:val="16"/>
              </w:rPr>
              <w:t xml:space="preserve"> </w:t>
            </w:r>
            <w:r w:rsidRPr="00444A55">
              <w:rPr>
                <w:rFonts w:ascii="Times New Roman" w:hAnsi="Times New Roman" w:cs="Times New Roman"/>
                <w:sz w:val="16"/>
                <w:szCs w:val="16"/>
              </w:rPr>
              <w:t>в чл.1, т. 1 - няма къде да бъде направено изменението б) В т. 1 съюзът „и“ след „биогоривата се заличава и се добавят думите „и газообразните и твърдите горива от биомаса“; Вероятно се има предвид т.2</w:t>
            </w:r>
          </w:p>
        </w:tc>
        <w:tc>
          <w:tcPr>
            <w:tcW w:w="2652" w:type="dxa"/>
          </w:tcPr>
          <w:p w:rsidR="001F54B4" w:rsidRPr="00444A55" w:rsidRDefault="00FA581A" w:rsidP="001F54B4">
            <w:pPr>
              <w:rPr>
                <w:rFonts w:ascii="Times New Roman" w:hAnsi="Times New Roman" w:cs="Times New Roman"/>
                <w:sz w:val="16"/>
                <w:szCs w:val="16"/>
              </w:rPr>
            </w:pPr>
            <w:r w:rsidRPr="00444A55">
              <w:rPr>
                <w:rFonts w:ascii="Times New Roman" w:hAnsi="Times New Roman" w:cs="Times New Roman"/>
                <w:sz w:val="16"/>
                <w:szCs w:val="16"/>
              </w:rPr>
              <w:t>Приема се.</w:t>
            </w:r>
          </w:p>
        </w:tc>
        <w:tc>
          <w:tcPr>
            <w:tcW w:w="2917" w:type="dxa"/>
            <w:vAlign w:val="center"/>
          </w:tcPr>
          <w:p w:rsidR="001F54B4" w:rsidRPr="00444A55" w:rsidRDefault="00FA581A"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Отразено е в текста на Наредбата.</w:t>
            </w:r>
          </w:p>
        </w:tc>
      </w:tr>
      <w:tr w:rsidR="00EA597D" w:rsidRPr="00444A55" w:rsidTr="005D65D3">
        <w:trPr>
          <w:trHeight w:val="6071"/>
        </w:trPr>
        <w:tc>
          <w:tcPr>
            <w:tcW w:w="458" w:type="dxa"/>
            <w:vMerge/>
          </w:tcPr>
          <w:p w:rsidR="00EA597D" w:rsidRPr="00444A55" w:rsidRDefault="00EA597D" w:rsidP="001F54B4">
            <w:pPr>
              <w:rPr>
                <w:rFonts w:ascii="Times New Roman" w:hAnsi="Times New Roman" w:cs="Times New Roman"/>
                <w:sz w:val="16"/>
                <w:szCs w:val="16"/>
                <w:lang w:val="en-US"/>
              </w:rPr>
            </w:pPr>
          </w:p>
        </w:tc>
        <w:tc>
          <w:tcPr>
            <w:tcW w:w="2605" w:type="dxa"/>
            <w:vMerge/>
          </w:tcPr>
          <w:p w:rsidR="00EA597D" w:rsidRPr="00444A55" w:rsidRDefault="00EA597D" w:rsidP="001F54B4">
            <w:pPr>
              <w:rPr>
                <w:rFonts w:ascii="Times New Roman" w:hAnsi="Times New Roman" w:cs="Times New Roman"/>
                <w:b/>
                <w:sz w:val="16"/>
                <w:szCs w:val="16"/>
              </w:rPr>
            </w:pPr>
          </w:p>
        </w:tc>
        <w:tc>
          <w:tcPr>
            <w:tcW w:w="4660" w:type="dxa"/>
          </w:tcPr>
          <w:p w:rsidR="00EA597D" w:rsidRPr="00444A55" w:rsidRDefault="00EA597D"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 чл.2, ал.2 от Наредбата препраща към методика одобрена по реда на чл. 44, ал. 3 ЗЕВИ за изчисляването на намалението на емисиите на парникови газове в резултат на употребата на </w:t>
            </w:r>
            <w:r w:rsidRPr="00444A55">
              <w:rPr>
                <w:rFonts w:ascii="Times New Roman" w:hAnsi="Times New Roman" w:cs="Times New Roman"/>
                <w:sz w:val="16"/>
                <w:szCs w:val="16"/>
                <w:u w:val="single"/>
              </w:rPr>
              <w:t>биомаса</w:t>
            </w:r>
            <w:r w:rsidRPr="00444A55">
              <w:rPr>
                <w:rFonts w:ascii="Times New Roman" w:hAnsi="Times New Roman" w:cs="Times New Roman"/>
                <w:sz w:val="16"/>
                <w:szCs w:val="16"/>
              </w:rPr>
              <w:t>, каквато методика липсва. Поради това ще възникнат трудности при отчитането на вложената като гориво биомаса за 2023 г.</w:t>
            </w:r>
          </w:p>
          <w:p w:rsidR="00EA597D" w:rsidRPr="00444A55" w:rsidRDefault="00EA597D" w:rsidP="001F54B4">
            <w:pPr>
              <w:jc w:val="both"/>
              <w:rPr>
                <w:rFonts w:ascii="Times New Roman" w:hAnsi="Times New Roman" w:cs="Times New Roman"/>
                <w:sz w:val="16"/>
                <w:szCs w:val="16"/>
              </w:rPr>
            </w:pPr>
            <w:r w:rsidRPr="00444A55">
              <w:rPr>
                <w:rFonts w:ascii="Times New Roman" w:hAnsi="Times New Roman" w:cs="Times New Roman"/>
                <w:sz w:val="16"/>
                <w:szCs w:val="16"/>
              </w:rPr>
              <w:t>-Предложената с изменението разпоредба на чл.5, ал.6 Намалението на емисиите на</w:t>
            </w:r>
          </w:p>
          <w:p w:rsidR="00EA597D" w:rsidRPr="00444A55" w:rsidRDefault="00EA597D" w:rsidP="001F54B4">
            <w:pPr>
              <w:jc w:val="both"/>
              <w:rPr>
                <w:rFonts w:ascii="Times New Roman" w:hAnsi="Times New Roman" w:cs="Times New Roman"/>
                <w:sz w:val="16"/>
                <w:szCs w:val="16"/>
              </w:rPr>
            </w:pPr>
            <w:r w:rsidRPr="00444A55">
              <w:rPr>
                <w:rFonts w:ascii="Times New Roman" w:hAnsi="Times New Roman" w:cs="Times New Roman"/>
                <w:sz w:val="16"/>
                <w:szCs w:val="16"/>
              </w:rPr>
              <w:t>парникови газове от използването на биогоривата и биогаза, потребявани в транспорта, течните горива от биомаса и газообразните и твърдите горива от биомаса в инсталации, произвеждащи топлинна енергия и енергия за охлаждане и електрическа енергия, се изчислява по методиката по чл. 44, ал. 3 от ЗЕВИ. Тази разпоредба отново препраща към несъществуваща методика, което отново поражда въпроса за намалението на емисиите от биомаса за 2023 г.</w:t>
            </w:r>
          </w:p>
        </w:tc>
        <w:tc>
          <w:tcPr>
            <w:tcW w:w="2652" w:type="dxa"/>
          </w:tcPr>
          <w:p w:rsidR="00EA597D" w:rsidRPr="00444A55" w:rsidRDefault="00EA597D"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EA597D" w:rsidRPr="00444A55" w:rsidRDefault="00EA597D"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Има одобрена от министъра методика по чл.44. ал.3 на ЗЕВИ.</w:t>
            </w:r>
          </w:p>
        </w:tc>
      </w:tr>
      <w:tr w:rsidR="001F54B4" w:rsidRPr="00444A55" w:rsidTr="007E0DB9">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-Във връзка с предвиденото изменение в чл.5, ал.4 /вероятно ал.7, тъй като е след ал.6/, продължава да е висящ въпроса за доказване устойчивост на вложената биомаса през 2023 г.</w:t>
            </w:r>
          </w:p>
        </w:tc>
        <w:tc>
          <w:tcPr>
            <w:tcW w:w="2652" w:type="dxa"/>
          </w:tcPr>
          <w:p w:rsidR="001F54B4" w:rsidRPr="00444A55" w:rsidRDefault="00EA597D"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1F54B4" w:rsidRPr="00444A55" w:rsidRDefault="00EA597D"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 1 януари 2023 г. критериите за устойчивост се прилагат въз основа на директното приложение на Регламент за изпълнение (ЕС) 2018/2066 на Комисията относно мониторинга и докладването на емисиите на парникови газове Директива 2003/87/ЕО на Европейския парламент и на Съвета, като чл. 38, пар. 5 представлява валидно правно основание за прилагане на критериите за устойчивост на национално ниво.</w:t>
            </w:r>
          </w:p>
        </w:tc>
      </w:tr>
      <w:tr w:rsidR="001F54B4" w:rsidRPr="00444A55" w:rsidTr="007E0DB9">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За всички лица произвеждащи и ползващи биогорива, течни горива от биомаса и газообразни и твърди горива от биомаса е от голямо значение да бъдат въведени Национални схеми за сертифициране по чл.39 от ЗЕВИ. Съществуващият в Наредбата чл. 8, който урежда условията, на които следва да отговарят т. </w:t>
            </w:r>
            <w:r w:rsidRPr="00444A55">
              <w:rPr>
                <w:rFonts w:ascii="Times New Roman" w:hAnsi="Times New Roman" w:cs="Times New Roman"/>
                <w:sz w:val="16"/>
                <w:szCs w:val="16"/>
              </w:rPr>
              <w:lastRenderedPageBreak/>
              <w:t>нар. Национални схеми, е абсолютно неясен по отношение на това кой следва да инициира разработването, от кои от изброените лица следва да се разработят тези схеми. Неясно е например кой следва да разработи и поддържа електронно публично</w:t>
            </w:r>
            <w:r w:rsidR="00EA597D" w:rsidRPr="00444A55">
              <w:rPr>
                <w:rFonts w:ascii="Times New Roman" w:hAnsi="Times New Roman" w:cs="Times New Roman"/>
                <w:sz w:val="16"/>
                <w:szCs w:val="16"/>
              </w:rPr>
              <w:t xml:space="preserve"> </w:t>
            </w:r>
            <w:r w:rsidRPr="00444A55">
              <w:rPr>
                <w:rFonts w:ascii="Times New Roman" w:hAnsi="Times New Roman" w:cs="Times New Roman"/>
                <w:sz w:val="16"/>
                <w:szCs w:val="16"/>
              </w:rPr>
              <w:t>достъпна база данни с информация по т.9 или по т. 10 - да публикува поне веднъж годишно в интернет и в национален ежедневник списък на сертифициращите органи и т.н.</w:t>
            </w:r>
          </w:p>
        </w:tc>
        <w:tc>
          <w:tcPr>
            <w:tcW w:w="2652" w:type="dxa"/>
          </w:tcPr>
          <w:p w:rsidR="001F54B4" w:rsidRPr="00444A55" w:rsidRDefault="00EA597D"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1F54B4" w:rsidRPr="00444A55" w:rsidRDefault="00EA597D" w:rsidP="00EA597D">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Информацията е посочена в чл. 8 на проекта на Наредбата.</w:t>
            </w:r>
          </w:p>
        </w:tc>
      </w:tr>
      <w:tr w:rsidR="001F54B4" w:rsidRPr="00444A55" w:rsidTr="007E0DB9">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 за предложеното изменение на чл. 16- </w:t>
            </w:r>
            <w:r w:rsidRPr="00444A55">
              <w:rPr>
                <w:rFonts w:ascii="Times New Roman" w:hAnsi="Times New Roman" w:cs="Times New Roman"/>
                <w:i/>
                <w:sz w:val="16"/>
                <w:szCs w:val="16"/>
              </w:rPr>
              <w:t>В чл. 16 ал. 1 съюзът „и“ след „биогорива“ се заличава и се добавят думите „и газообразни и твърди горива от биомаса", думите „в съответствие с изискванията на БДС EN 45011:1999, БДС EN ISO 19011:2004 и БДС ISO 14065:201 “ се заличават.</w:t>
            </w:r>
            <w:r w:rsidRPr="00444A55">
              <w:rPr>
                <w:rFonts w:ascii="Times New Roman" w:hAnsi="Times New Roman" w:cs="Times New Roman"/>
                <w:sz w:val="16"/>
                <w:szCs w:val="16"/>
              </w:rPr>
              <w:t>, следва да се отбележи, че в съществуващия текст отсъства термина „биогорива“</w:t>
            </w:r>
          </w:p>
        </w:tc>
        <w:tc>
          <w:tcPr>
            <w:tcW w:w="2652" w:type="dxa"/>
            <w:vMerge w:val="restart"/>
          </w:tcPr>
          <w:p w:rsidR="001F54B4" w:rsidRPr="00444A55" w:rsidRDefault="00EA597D" w:rsidP="001F54B4">
            <w:pPr>
              <w:rPr>
                <w:rFonts w:ascii="Times New Roman" w:hAnsi="Times New Roman" w:cs="Times New Roman"/>
                <w:sz w:val="16"/>
                <w:szCs w:val="16"/>
              </w:rPr>
            </w:pPr>
            <w:r w:rsidRPr="00444A55">
              <w:rPr>
                <w:rFonts w:ascii="Times New Roman" w:hAnsi="Times New Roman" w:cs="Times New Roman"/>
                <w:sz w:val="16"/>
                <w:szCs w:val="16"/>
              </w:rPr>
              <w:t>Приема се.</w:t>
            </w: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p>
          <w:p w:rsidR="00E42938"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p w:rsidR="00E42938" w:rsidRPr="00444A55" w:rsidRDefault="00E42938" w:rsidP="001F54B4">
            <w:pPr>
              <w:rPr>
                <w:rFonts w:ascii="Times New Roman" w:hAnsi="Times New Roman" w:cs="Times New Roman"/>
                <w:sz w:val="16"/>
                <w:szCs w:val="16"/>
              </w:rPr>
            </w:pPr>
          </w:p>
        </w:tc>
        <w:tc>
          <w:tcPr>
            <w:tcW w:w="2917" w:type="dxa"/>
            <w:vAlign w:val="center"/>
          </w:tcPr>
          <w:p w:rsidR="001F54B4" w:rsidRPr="00444A55" w:rsidRDefault="001F54B4" w:rsidP="001F54B4">
            <w:pPr>
              <w:jc w:val="both"/>
              <w:rPr>
                <w:rFonts w:ascii="Times New Roman" w:hAnsi="Times New Roman" w:cs="Times New Roman"/>
                <w:sz w:val="16"/>
                <w:szCs w:val="16"/>
                <w:lang w:eastAsia="zh-CN"/>
              </w:rPr>
            </w:pPr>
          </w:p>
        </w:tc>
      </w:tr>
      <w:tr w:rsidR="001F54B4" w:rsidRPr="00444A55" w:rsidTr="0093641D">
        <w:trPr>
          <w:trHeight w:val="29805"/>
        </w:trPr>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-Като цяло материята по въвеждане на правила за устойчивост на биомаса, доказването на изискванията пред КО и съответно приравняване и приемане за нулеви емисиите от изгарянето й, е значителна по обем и сложност и надхвърля възможностите ни да намерим адекватни решения.</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Надали някои от тези „икономически оператори” - в нашия случай по чл.3, т.1 и 2 от ЗЕВИ - земеделски стопани, кооперации и организации на производители; събирачи на отпадъци и остатъци, ще притежава административния, технически и познавателен потенциал, за да отговори на изискванията на Проекта, а и на вече заложените текстове в Наредбата.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 xml:space="preserve">Действащият и към момента чл. 11 от същата предвижда Икономическите оператори /земеделски стопани, събирачи на отпадъци/ да поддържат система за масов баланс по чл. 42 ЗЕВИ и да осигуряват проследимост на всяка партида суровини, биогорива и течни горива от биомаса. Освен че системата за масов баланс по чл. 11 трябва да удостоверява, ред обстоятелства, с предложеното допълнение, тя трябва и да </w:t>
            </w:r>
            <w:r w:rsidRPr="00444A55">
              <w:rPr>
                <w:rFonts w:ascii="Times New Roman" w:hAnsi="Times New Roman" w:cs="Times New Roman"/>
                <w:b/>
                <w:sz w:val="16"/>
                <w:szCs w:val="16"/>
              </w:rPr>
              <w:t>„гарантира, че всяка партида се отчита само веднъж при изчисляването на брутното крайно потребление на енергия от възобновяеми източници в сектор електрическа енергия</w:t>
            </w:r>
            <w:r w:rsidRPr="00444A55">
              <w:rPr>
                <w:rFonts w:ascii="Times New Roman" w:hAnsi="Times New Roman" w:cs="Times New Roman"/>
                <w:sz w:val="16"/>
                <w:szCs w:val="16"/>
              </w:rPr>
              <w:t>, сектор топлинна енергия и енергия за охлаждане и сектор транспорт и е налице информация дали за производството на тази партида е била предоставена подкрепа и ако това е така — вида на схемата за подкрепа“.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Абсолютно неясно е как десетките хиляди земеделски стопани в страната ще са организират и ща създадат горната система, която според нас ще е по - сложна от която и да е друга действаща интегрирана система в страната и с която вероятно трудно ще се справи и изкуствен интелект. Кой ще обясни на тези хора, как ще въвеждат данни и къде да го направят. Как ще се случи това в селата, които нямат интернет?</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Прелюбопитно е предложението за нова ал. 3 на чл.19: „Информацията относно географския произход и вида на използваните суровини по отношение на биогоривата, течните горива от биомаса и газообразните и твърдите горива от биомаса на всеки доставчик на гориво се предоставя на потребителите чрез уебсайтовете на икономическите оператори и се актуализира ежегодно.“</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Колко „събирачи на отпадъци” та и земеделски стопани в страната поддържат свои уебсайтове е неизвестно, но надали заради наредбата броят им ще нарастне рязко. Подобни текстове са мъртвородени и само доказват огромната пропаст между работещите хора и висшата бюрокрация в страната.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Очевидно авторите на предложенията или не са запознати с реалната действителност в страната или целта им е двуяка:</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-От една страна да не позволят ползването на биомаси като гориво на територията на страната, което е изцяло в разрез с целта на ЗЕВИ, но обслужва ред икономически интереси на лица, притежаващи ВЕИ и</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lastRenderedPageBreak/>
              <w:t>-От друга страна да притиснат още повече дребните земеделски производители, които на практика няма да могат да продават и да получават макар и малък доход от остатъчните биомаси от продукцията им.</w:t>
            </w:r>
          </w:p>
          <w:p w:rsidR="001F54B4" w:rsidRPr="00444A55" w:rsidRDefault="001F54B4" w:rsidP="001F54B4">
            <w:pPr>
              <w:jc w:val="both"/>
              <w:rPr>
                <w:rFonts w:ascii="Times New Roman" w:hAnsi="Times New Roman" w:cs="Times New Roman"/>
                <w:sz w:val="16"/>
                <w:szCs w:val="16"/>
              </w:rPr>
            </w:pPr>
            <w:r w:rsidRPr="00444A55">
              <w:rPr>
                <w:rFonts w:ascii="Times New Roman" w:hAnsi="Times New Roman" w:cs="Times New Roman"/>
                <w:sz w:val="16"/>
                <w:szCs w:val="16"/>
              </w:rPr>
              <w:t>Със съжаление следва да отбележим, че след отправени запитвания към компетентните органи МОСВ и ИАОС, не получихме конкретни отговори на поставените въпроси относно доказване на устойчивост на използваната биомаса, въпреки че от тези органи се изисква да извършват прилагането на изискванията на законодателството в тази област. Единствено категорично беше потвърдено, че правилата трябва да се прилагат от 01.01.2023 г. Отделно считаме, че на служителите в МОСВ следва да се припомни, че съгласно чл. 3 от Конституцията на РБ, официалният език в РБългария е българският, а по силата на чл.14, ал.1 от АПК, административните производства се водят на български. Поради това, не следва КО в кореспонденция да сочат като източници на информация линкове, съдържащи документи на английски език.</w:t>
            </w:r>
          </w:p>
        </w:tc>
        <w:tc>
          <w:tcPr>
            <w:tcW w:w="2652" w:type="dxa"/>
            <w:vMerge/>
          </w:tcPr>
          <w:p w:rsidR="001F54B4" w:rsidRPr="00444A55" w:rsidRDefault="001F54B4" w:rsidP="001F54B4">
            <w:pPr>
              <w:rPr>
                <w:rFonts w:ascii="Times New Roman" w:hAnsi="Times New Roman" w:cs="Times New Roman"/>
                <w:sz w:val="16"/>
                <w:szCs w:val="16"/>
              </w:rPr>
            </w:pPr>
          </w:p>
        </w:tc>
        <w:tc>
          <w:tcPr>
            <w:tcW w:w="2917" w:type="dxa"/>
            <w:vAlign w:val="center"/>
          </w:tcPr>
          <w:p w:rsidR="001F54B4" w:rsidRPr="00444A55" w:rsidRDefault="00E42938"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Няма конкретно предложение.</w:t>
            </w: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E42938">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Няма конкретно предложение.</w:t>
            </w: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E42938">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Няма конкретно предложение.</w:t>
            </w: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1F54B4">
            <w:pPr>
              <w:jc w:val="both"/>
              <w:rPr>
                <w:rFonts w:ascii="Times New Roman" w:hAnsi="Times New Roman" w:cs="Times New Roman"/>
                <w:sz w:val="16"/>
                <w:szCs w:val="16"/>
                <w:lang w:eastAsia="zh-CN"/>
              </w:rPr>
            </w:pPr>
          </w:p>
          <w:p w:rsidR="00E42938" w:rsidRPr="00444A55" w:rsidRDefault="00E42938" w:rsidP="00E42938">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Няма конкретно предложение.</w:t>
            </w:r>
          </w:p>
          <w:p w:rsidR="00E42938" w:rsidRPr="00444A55" w:rsidRDefault="00E42938" w:rsidP="001F54B4">
            <w:pPr>
              <w:jc w:val="both"/>
              <w:rPr>
                <w:rFonts w:ascii="Times New Roman" w:hAnsi="Times New Roman" w:cs="Times New Roman"/>
                <w:sz w:val="16"/>
                <w:szCs w:val="16"/>
                <w:lang w:eastAsia="zh-CN"/>
              </w:rPr>
            </w:pPr>
          </w:p>
        </w:tc>
      </w:tr>
      <w:tr w:rsidR="001F54B4" w:rsidRPr="00444A55" w:rsidTr="007E0DB9">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1F54B4">
            <w:pPr>
              <w:pStyle w:val="BodyText8"/>
              <w:shd w:val="clear" w:color="auto" w:fill="auto"/>
              <w:tabs>
                <w:tab w:val="left" w:pos="969"/>
              </w:tabs>
              <w:spacing w:before="0" w:after="0" w:line="269" w:lineRule="exact"/>
              <w:ind w:right="80"/>
              <w:jc w:val="both"/>
              <w:rPr>
                <w:sz w:val="16"/>
                <w:szCs w:val="16"/>
              </w:rPr>
            </w:pPr>
            <w:r w:rsidRPr="00444A55">
              <w:rPr>
                <w:sz w:val="16"/>
                <w:szCs w:val="16"/>
              </w:rPr>
              <w:t>-С измененията на чл. 39 от ЗЕВИ с ДВ бр. 86 от 2023 г., в сила от 13.10.2023 г., с ал. 2 и 3 са предвидени възможности за министъра на ОСВ да отправи искане до Европейската комисия за вземане на решение, съгласно което определена суровина за производство на биогорива, течни горива от биомаса и газообразни и твърди горива от биомаса отговаря на критериите за устойчивост и на критериите за намаляване на емисиите на парникови газове, съответно за създаване на национална схема, в която участва и държавата.</w:t>
            </w:r>
          </w:p>
          <w:p w:rsidR="001F54B4" w:rsidRPr="00444A55" w:rsidRDefault="001F54B4" w:rsidP="001F54B4">
            <w:pPr>
              <w:pStyle w:val="BodyText8"/>
              <w:tabs>
                <w:tab w:val="left" w:pos="969"/>
              </w:tabs>
              <w:spacing w:after="0" w:line="269" w:lineRule="exact"/>
              <w:ind w:left="100" w:right="80"/>
              <w:jc w:val="both"/>
              <w:rPr>
                <w:sz w:val="16"/>
                <w:szCs w:val="16"/>
              </w:rPr>
            </w:pPr>
            <w:r w:rsidRPr="00444A55">
              <w:rPr>
                <w:sz w:val="16"/>
                <w:szCs w:val="16"/>
              </w:rPr>
              <w:t>Считаме, че реализирането на тази възможност в значителна степен ще облекчи административната тежест спрямо лицата - адресати на нововъведените задължения за доказване на устойчивост. Административният орган във всички случаи следва да разполага с достатъчно капацитет и компетентност, както и следва да прояви инициатива, за да бъде изпълнено изискването на ДИРЕКТИВА (ЕС) 2018/2001, а именно:</w:t>
            </w:r>
          </w:p>
          <w:p w:rsidR="001F54B4" w:rsidRPr="00444A55" w:rsidRDefault="001F54B4" w:rsidP="001F54B4">
            <w:pPr>
              <w:pStyle w:val="BodyText8"/>
              <w:tabs>
                <w:tab w:val="left" w:pos="969"/>
              </w:tabs>
              <w:spacing w:after="0" w:line="269" w:lineRule="exact"/>
              <w:ind w:left="100" w:right="80"/>
              <w:jc w:val="both"/>
              <w:rPr>
                <w:sz w:val="16"/>
                <w:szCs w:val="16"/>
              </w:rPr>
            </w:pPr>
            <w:r w:rsidRPr="00444A55">
              <w:rPr>
                <w:sz w:val="16"/>
                <w:szCs w:val="16"/>
              </w:rPr>
              <w:t>(111)3а да се избегне непропорционалната административна тежест, следва да бъде изготвен списък от приети стойности за най-често срещаните начини на производство на биогорива, течни горива от биомаса и газообразни и твърди горива от биомаса и този списък следва да бъде актуализиран и разширяван при наличието на допълнителни надеждни данни.</w:t>
            </w:r>
          </w:p>
          <w:p w:rsidR="001F54B4" w:rsidRPr="00444A55" w:rsidRDefault="001F54B4" w:rsidP="001F54B4">
            <w:pPr>
              <w:pStyle w:val="BodyText8"/>
              <w:tabs>
                <w:tab w:val="left" w:pos="969"/>
              </w:tabs>
              <w:spacing w:after="0" w:line="269" w:lineRule="exact"/>
              <w:ind w:left="100" w:right="80"/>
              <w:jc w:val="both"/>
              <w:rPr>
                <w:sz w:val="16"/>
                <w:szCs w:val="16"/>
              </w:rPr>
            </w:pPr>
            <w:r w:rsidRPr="00444A55">
              <w:rPr>
                <w:sz w:val="16"/>
                <w:szCs w:val="16"/>
              </w:rPr>
              <w:t>Икономическите оператори следва винаги да имат право да им бъде признавано установеното по този списък ниво на намаление на емисиите на парникови газове по отношение на биогоривата, течните горива от биомаса и газообразните и твърдите горива от биомаса.</w:t>
            </w:r>
          </w:p>
          <w:p w:rsidR="001F54B4" w:rsidRPr="00444A55" w:rsidRDefault="001F54B4" w:rsidP="001F54B4">
            <w:pPr>
              <w:pStyle w:val="BodyText8"/>
              <w:tabs>
                <w:tab w:val="left" w:pos="969"/>
              </w:tabs>
              <w:spacing w:after="0" w:line="269" w:lineRule="exact"/>
              <w:ind w:left="100" w:right="80"/>
              <w:jc w:val="both"/>
              <w:rPr>
                <w:sz w:val="16"/>
                <w:szCs w:val="16"/>
              </w:rPr>
            </w:pPr>
            <w:r w:rsidRPr="00444A55">
              <w:rPr>
                <w:sz w:val="16"/>
                <w:szCs w:val="16"/>
              </w:rPr>
              <w:t xml:space="preserve">Когато приетата стойност на намалението на емисиите на парникови газове за даден начин на производство е по-ниска от минималното ниво, от производителите, желаещи да докажат, че спазват това минимално ниво, следва да се изисква да докажат, че действителните емисии на парникови газове </w:t>
            </w:r>
            <w:r w:rsidRPr="00444A55">
              <w:rPr>
                <w:sz w:val="16"/>
                <w:szCs w:val="16"/>
              </w:rPr>
              <w:lastRenderedPageBreak/>
              <w:t>при техния производствен процес са по-ниски от използваните при изчисление на приетите стойности.</w:t>
            </w:r>
          </w:p>
          <w:p w:rsidR="001F54B4" w:rsidRPr="00444A55" w:rsidRDefault="001F54B4" w:rsidP="001F54B4">
            <w:pPr>
              <w:pStyle w:val="BodyText8"/>
              <w:shd w:val="clear" w:color="auto" w:fill="auto"/>
              <w:tabs>
                <w:tab w:val="left" w:pos="969"/>
              </w:tabs>
              <w:spacing w:before="0" w:after="0" w:line="269" w:lineRule="exact"/>
              <w:ind w:left="100" w:right="80"/>
              <w:jc w:val="both"/>
              <w:rPr>
                <w:sz w:val="16"/>
                <w:szCs w:val="16"/>
              </w:rPr>
            </w:pPr>
          </w:p>
        </w:tc>
        <w:tc>
          <w:tcPr>
            <w:tcW w:w="2652" w:type="dxa"/>
          </w:tcPr>
          <w:p w:rsidR="001F54B4"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 xml:space="preserve">Не се приема. </w:t>
            </w:r>
          </w:p>
        </w:tc>
        <w:tc>
          <w:tcPr>
            <w:tcW w:w="2917" w:type="dxa"/>
            <w:vAlign w:val="center"/>
          </w:tcPr>
          <w:p w:rsidR="001F54B4" w:rsidRPr="00444A55" w:rsidRDefault="00E42938"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е предмет на проекта на Н</w:t>
            </w:r>
            <w:r w:rsidR="000B6858" w:rsidRPr="00444A55">
              <w:rPr>
                <w:rFonts w:ascii="Times New Roman" w:hAnsi="Times New Roman" w:cs="Times New Roman"/>
                <w:sz w:val="16"/>
                <w:szCs w:val="16"/>
                <w:lang w:eastAsia="zh-CN"/>
              </w:rPr>
              <w:t>аредбата.</w:t>
            </w:r>
          </w:p>
        </w:tc>
      </w:tr>
      <w:tr w:rsidR="00EA597D" w:rsidRPr="00444A55" w:rsidTr="007E0DB9">
        <w:tc>
          <w:tcPr>
            <w:tcW w:w="458" w:type="dxa"/>
            <w:vMerge/>
          </w:tcPr>
          <w:p w:rsidR="00EA597D" w:rsidRPr="00444A55" w:rsidRDefault="00EA597D" w:rsidP="001F54B4">
            <w:pPr>
              <w:rPr>
                <w:rFonts w:ascii="Times New Roman" w:hAnsi="Times New Roman" w:cs="Times New Roman"/>
                <w:sz w:val="16"/>
                <w:szCs w:val="16"/>
                <w:lang w:val="en-US"/>
              </w:rPr>
            </w:pPr>
          </w:p>
        </w:tc>
        <w:tc>
          <w:tcPr>
            <w:tcW w:w="2605" w:type="dxa"/>
            <w:vMerge/>
          </w:tcPr>
          <w:p w:rsidR="00EA597D" w:rsidRPr="00444A55" w:rsidRDefault="00EA597D" w:rsidP="001F54B4">
            <w:pPr>
              <w:rPr>
                <w:rFonts w:ascii="Times New Roman" w:hAnsi="Times New Roman" w:cs="Times New Roman"/>
                <w:b/>
                <w:sz w:val="16"/>
                <w:szCs w:val="16"/>
              </w:rPr>
            </w:pPr>
          </w:p>
        </w:tc>
        <w:tc>
          <w:tcPr>
            <w:tcW w:w="4660" w:type="dxa"/>
          </w:tcPr>
          <w:p w:rsidR="00E42938" w:rsidRPr="00444A55" w:rsidRDefault="00E42938" w:rsidP="00E42938">
            <w:pPr>
              <w:pStyle w:val="BodyText8"/>
              <w:tabs>
                <w:tab w:val="left" w:pos="969"/>
              </w:tabs>
              <w:spacing w:after="0" w:line="269" w:lineRule="exact"/>
              <w:ind w:left="100" w:right="80"/>
              <w:jc w:val="both"/>
              <w:rPr>
                <w:sz w:val="16"/>
                <w:szCs w:val="16"/>
              </w:rPr>
            </w:pPr>
            <w:r w:rsidRPr="00444A55">
              <w:rPr>
                <w:sz w:val="16"/>
                <w:szCs w:val="16"/>
              </w:rPr>
              <w:t>От проекта на „Декларацията за устойчивост на суровините и на отпадъците и остатъците, използвани за производство на биогорива, течни горива от биомаса и твърди и газообразни горива от биомаса.“ и от „Декларация за устойчивост на партидите биогорива, течни горива от биомаса и твърди и газообразни горива от биомаса“, които трябва да се попълват от земеделските стопани следва да отпадне изискването за изчисляване и деклариране на „Потенциал за намаление на емисиите на парникови газове (ПГ“.</w:t>
            </w:r>
          </w:p>
          <w:p w:rsidR="00E42938" w:rsidRPr="00444A55" w:rsidRDefault="00E42938" w:rsidP="00E42938">
            <w:pPr>
              <w:pStyle w:val="BodyText8"/>
              <w:tabs>
                <w:tab w:val="left" w:pos="969"/>
              </w:tabs>
              <w:spacing w:after="0" w:line="269" w:lineRule="exact"/>
              <w:ind w:left="100" w:right="80"/>
              <w:jc w:val="both"/>
              <w:rPr>
                <w:sz w:val="16"/>
                <w:szCs w:val="16"/>
              </w:rPr>
            </w:pPr>
            <w:r w:rsidRPr="00444A55">
              <w:rPr>
                <w:sz w:val="16"/>
                <w:szCs w:val="16"/>
              </w:rPr>
              <w:t>Такова изчисление е в абсолютна тежест на един среден или малък земеделски производител и ще доведе до невъзможност те да участват в търговията на горива за употреба в големи горивни инсталации.</w:t>
            </w:r>
          </w:p>
          <w:p w:rsidR="00EA597D" w:rsidRPr="00444A55" w:rsidRDefault="00E42938" w:rsidP="00E42938">
            <w:pPr>
              <w:pStyle w:val="BodyText8"/>
              <w:shd w:val="clear" w:color="auto" w:fill="auto"/>
              <w:tabs>
                <w:tab w:val="left" w:pos="969"/>
              </w:tabs>
              <w:spacing w:before="0" w:after="0" w:line="269" w:lineRule="exact"/>
              <w:ind w:right="80"/>
              <w:jc w:val="both"/>
              <w:rPr>
                <w:sz w:val="16"/>
                <w:szCs w:val="16"/>
              </w:rPr>
            </w:pPr>
            <w:r w:rsidRPr="00444A55">
              <w:rPr>
                <w:sz w:val="16"/>
                <w:szCs w:val="16"/>
              </w:rPr>
              <w:t>В същия дух следва да се предвиди облекчен режим за тяхното сертифициране.</w:t>
            </w:r>
          </w:p>
        </w:tc>
        <w:tc>
          <w:tcPr>
            <w:tcW w:w="2652" w:type="dxa"/>
          </w:tcPr>
          <w:p w:rsidR="00EA597D"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EA597D" w:rsidRPr="00444A55" w:rsidRDefault="00E42938"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е приложимо съгласно разпоредбите в ЗЕВИ.</w:t>
            </w:r>
          </w:p>
        </w:tc>
      </w:tr>
      <w:tr w:rsidR="001F54B4" w:rsidRPr="00444A55" w:rsidTr="007E0DB9">
        <w:tc>
          <w:tcPr>
            <w:tcW w:w="458" w:type="dxa"/>
            <w:vMerge/>
          </w:tcPr>
          <w:p w:rsidR="001F54B4" w:rsidRPr="00444A55" w:rsidRDefault="001F54B4" w:rsidP="001F54B4">
            <w:pPr>
              <w:rPr>
                <w:rFonts w:ascii="Times New Roman" w:hAnsi="Times New Roman" w:cs="Times New Roman"/>
                <w:sz w:val="16"/>
                <w:szCs w:val="16"/>
                <w:lang w:val="en-US"/>
              </w:rPr>
            </w:pPr>
          </w:p>
        </w:tc>
        <w:tc>
          <w:tcPr>
            <w:tcW w:w="2605" w:type="dxa"/>
            <w:vMerge/>
          </w:tcPr>
          <w:p w:rsidR="001F54B4" w:rsidRPr="00444A55" w:rsidRDefault="001F54B4" w:rsidP="001F54B4">
            <w:pPr>
              <w:rPr>
                <w:rFonts w:ascii="Times New Roman" w:hAnsi="Times New Roman" w:cs="Times New Roman"/>
                <w:b/>
                <w:sz w:val="16"/>
                <w:szCs w:val="16"/>
              </w:rPr>
            </w:pPr>
          </w:p>
        </w:tc>
        <w:tc>
          <w:tcPr>
            <w:tcW w:w="4660" w:type="dxa"/>
          </w:tcPr>
          <w:p w:rsidR="001F54B4" w:rsidRPr="00444A55" w:rsidRDefault="001F54B4" w:rsidP="001F54B4">
            <w:pPr>
              <w:pStyle w:val="BodyText8"/>
              <w:tabs>
                <w:tab w:val="left" w:pos="969"/>
              </w:tabs>
              <w:spacing w:after="0" w:line="269" w:lineRule="exact"/>
              <w:ind w:right="80"/>
              <w:jc w:val="both"/>
              <w:rPr>
                <w:sz w:val="16"/>
                <w:szCs w:val="16"/>
              </w:rPr>
            </w:pPr>
            <w:r w:rsidRPr="00444A55">
              <w:rPr>
                <w:sz w:val="16"/>
                <w:szCs w:val="16"/>
              </w:rPr>
              <w:t>Във връзка с изпълнение на изискванията за доказване на устойчивост на биогорива, течни горива от биомаса и газообразни и твърди горива от биомаса за 2023 г. предлагаме в настоящата Наредба да се предвиди разумен срок за отлагане на влизане в сила на разпоредбите както на Наредбата, така и на измененията в ЗЕВИ и за периода от 01.01.2023 докато се синхронизира законодателството, докато се публикува горецитирана Методика, със съответното време за реакция и сертифициране на икономическите оператори.'</w:t>
            </w:r>
          </w:p>
          <w:p w:rsidR="001F54B4" w:rsidRPr="00444A55" w:rsidRDefault="001F54B4" w:rsidP="001F54B4">
            <w:pPr>
              <w:pStyle w:val="BodyText8"/>
              <w:tabs>
                <w:tab w:val="left" w:pos="969"/>
              </w:tabs>
              <w:spacing w:after="0" w:line="269" w:lineRule="exact"/>
              <w:ind w:right="80"/>
              <w:jc w:val="both"/>
              <w:rPr>
                <w:sz w:val="16"/>
                <w:szCs w:val="16"/>
              </w:rPr>
            </w:pPr>
            <w:r w:rsidRPr="00444A55">
              <w:rPr>
                <w:sz w:val="16"/>
                <w:szCs w:val="16"/>
              </w:rPr>
              <w:t>Следва да се има предвид , че процесът на едно сертифициране е дълъг и изисква срок повече от една година.</w:t>
            </w:r>
          </w:p>
          <w:p w:rsidR="001F54B4" w:rsidRPr="00444A55" w:rsidRDefault="001F54B4" w:rsidP="001F54B4">
            <w:pPr>
              <w:pStyle w:val="BodyText8"/>
              <w:shd w:val="clear" w:color="auto" w:fill="auto"/>
              <w:tabs>
                <w:tab w:val="left" w:pos="969"/>
              </w:tabs>
              <w:spacing w:before="0" w:after="0" w:line="269" w:lineRule="exact"/>
              <w:ind w:right="80"/>
              <w:jc w:val="both"/>
              <w:rPr>
                <w:b/>
                <w:sz w:val="16"/>
                <w:szCs w:val="16"/>
              </w:rPr>
            </w:pPr>
            <w:r w:rsidRPr="00444A55">
              <w:rPr>
                <w:sz w:val="16"/>
                <w:szCs w:val="16"/>
              </w:rPr>
              <w:t xml:space="preserve">До тогава следва да се приеме, не по преценка на компетентния орган, а задължително всичко предложено от икономическия оператор и от производителя на енергия от биогорива, течни </w:t>
            </w:r>
            <w:r w:rsidRPr="00444A55">
              <w:rPr>
                <w:sz w:val="16"/>
                <w:szCs w:val="16"/>
              </w:rPr>
              <w:lastRenderedPageBreak/>
              <w:t>горива от биомаса и газообразни и твърди горива от биомаса по отношение на доказателство за устойчивост да бъде безусловно одобрено.</w:t>
            </w:r>
          </w:p>
        </w:tc>
        <w:tc>
          <w:tcPr>
            <w:tcW w:w="2652" w:type="dxa"/>
          </w:tcPr>
          <w:p w:rsidR="001F54B4"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1F54B4" w:rsidRPr="00444A55" w:rsidRDefault="00E42938"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 1 януари 2023 г. критериите за устойчивост се прилагат въз основа на директното приложение на Регламент за изпълнение (ЕС) 2018/2066 на Комисията относно мониторинга и докладването на емисиите на парникови газове Директива 2003/87/ЕО на Европейския парламент и на Съвета, като чл. 38, пар. 5 представлява валидно правно основание за прилагане на критериите за устойчивост на национално ниво.</w:t>
            </w:r>
          </w:p>
        </w:tc>
      </w:tr>
      <w:tr w:rsidR="00CF7167" w:rsidRPr="00444A55" w:rsidTr="007E0DB9">
        <w:tc>
          <w:tcPr>
            <w:tcW w:w="458" w:type="dxa"/>
          </w:tcPr>
          <w:p w:rsidR="00CF7167" w:rsidRPr="00444A55" w:rsidRDefault="00001E23"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7</w:t>
            </w:r>
          </w:p>
        </w:tc>
        <w:tc>
          <w:tcPr>
            <w:tcW w:w="2605" w:type="dxa"/>
          </w:tcPr>
          <w:p w:rsidR="00CF7167" w:rsidRPr="00444A55" w:rsidRDefault="00CF7167" w:rsidP="001F54B4">
            <w:pPr>
              <w:rPr>
                <w:rFonts w:ascii="Times New Roman" w:hAnsi="Times New Roman" w:cs="Times New Roman"/>
                <w:b/>
                <w:sz w:val="16"/>
                <w:szCs w:val="16"/>
              </w:rPr>
            </w:pPr>
            <w:r w:rsidRPr="00444A55">
              <w:rPr>
                <w:rFonts w:ascii="Times New Roman" w:hAnsi="Times New Roman" w:cs="Times New Roman"/>
                <w:b/>
                <w:sz w:val="16"/>
                <w:szCs w:val="16"/>
              </w:rPr>
              <w:t>„Топлофикация – Бургас“ АД</w:t>
            </w:r>
          </w:p>
        </w:tc>
        <w:tc>
          <w:tcPr>
            <w:tcW w:w="4660" w:type="dxa"/>
          </w:tcPr>
          <w:p w:rsidR="00CF7167" w:rsidRPr="00444A55" w:rsidRDefault="00CF7167" w:rsidP="00CF7167">
            <w:pPr>
              <w:pStyle w:val="BodyText8"/>
              <w:tabs>
                <w:tab w:val="left" w:pos="969"/>
              </w:tabs>
              <w:spacing w:after="0" w:line="269" w:lineRule="exact"/>
              <w:ind w:right="80"/>
              <w:jc w:val="both"/>
              <w:rPr>
                <w:sz w:val="16"/>
                <w:szCs w:val="16"/>
              </w:rPr>
            </w:pPr>
            <w:r w:rsidRPr="00444A55">
              <w:rPr>
                <w:sz w:val="16"/>
                <w:szCs w:val="16"/>
              </w:rPr>
              <w:t xml:space="preserve">В Наредбата не става ясно къде е мястото на топлофикациите в йерархията за оползотворяване на биомаса при производство на топлинна и електрическа енергия (не произвеждаме, не въвеждаме суровини за производство на такива горива и не пускаме на пазара такива горива за крайна употреба, кой всъщност е икономически оператор по смисъла на Наредбата?). </w:t>
            </w:r>
          </w:p>
          <w:p w:rsidR="00CF7167" w:rsidRPr="00444A55" w:rsidRDefault="00CF7167" w:rsidP="00CF7167">
            <w:pPr>
              <w:pStyle w:val="BodyText8"/>
              <w:tabs>
                <w:tab w:val="left" w:pos="969"/>
              </w:tabs>
              <w:spacing w:after="0" w:line="269" w:lineRule="exact"/>
              <w:ind w:right="80"/>
              <w:jc w:val="both"/>
              <w:rPr>
                <w:sz w:val="16"/>
                <w:szCs w:val="16"/>
              </w:rPr>
            </w:pPr>
            <w:r w:rsidRPr="00444A55">
              <w:rPr>
                <w:sz w:val="16"/>
                <w:szCs w:val="16"/>
              </w:rPr>
              <w:t>Липсва информация за определените заинтересовани страни, които ще бъдат засегнати от предложеното изменение, както и за потенциалните значителни икономически, социални и екологични въздействия в резултат от изпълнението на промените върху малките и средните предприятия. Със Становище по екологична оценка №1-2/08.08.2012 г. на министъра на околната среда и водите е съгласуван „Национален план за действие за енергията от възобновяеми източници 2011-2020 г.”. В т.Б.2. от „Мерки и условия за предотвратяване, намаляване или възможно най-пълно отстраняване на предполагаемите неблагоприятни последствия от прилагането на плана” е заложено да се предвиди въвеждане на стимули за добиване и използването на биогорива. Топлофикациите вложиха огромни ресурси за привеждане на производствата в съответствие с европейското и родното законодателство, като се въведоха в експлоатация котли на биомаса, обособиха се складове за съхранение на биомаса, създаде се организация за доставка и оползотворяване на биомаса. Новите изисквания към топлофикациите биха утежнили допълнително производителите на топлинна и електрическа енергия, респективно крайния потребител.</w:t>
            </w:r>
          </w:p>
          <w:p w:rsidR="00CF7167" w:rsidRPr="00444A55" w:rsidRDefault="00CF7167" w:rsidP="00CF7167">
            <w:pPr>
              <w:pStyle w:val="BodyText8"/>
              <w:tabs>
                <w:tab w:val="left" w:pos="969"/>
              </w:tabs>
              <w:spacing w:after="0" w:line="269" w:lineRule="exact"/>
              <w:ind w:right="80"/>
              <w:jc w:val="both"/>
              <w:rPr>
                <w:sz w:val="16"/>
                <w:szCs w:val="16"/>
              </w:rPr>
            </w:pPr>
          </w:p>
        </w:tc>
        <w:tc>
          <w:tcPr>
            <w:tcW w:w="2652" w:type="dxa"/>
          </w:tcPr>
          <w:p w:rsidR="00CF7167" w:rsidRPr="00444A55" w:rsidRDefault="00E42938" w:rsidP="001F54B4">
            <w:pPr>
              <w:rPr>
                <w:rFonts w:ascii="Times New Roman" w:hAnsi="Times New Roman" w:cs="Times New Roman"/>
                <w:sz w:val="16"/>
                <w:szCs w:val="16"/>
              </w:rPr>
            </w:pPr>
            <w:r w:rsidRPr="00444A55">
              <w:rPr>
                <w:rFonts w:ascii="Times New Roman" w:hAnsi="Times New Roman" w:cs="Times New Roman"/>
                <w:sz w:val="16"/>
                <w:szCs w:val="16"/>
              </w:rPr>
              <w:t>Приема се.</w:t>
            </w:r>
          </w:p>
        </w:tc>
        <w:tc>
          <w:tcPr>
            <w:tcW w:w="2917" w:type="dxa"/>
            <w:vAlign w:val="center"/>
          </w:tcPr>
          <w:p w:rsidR="00CF7167" w:rsidRPr="00444A55" w:rsidRDefault="00E42938"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Отразено е в проекта на Наредбата.</w:t>
            </w:r>
          </w:p>
        </w:tc>
      </w:tr>
      <w:tr w:rsidR="00E42938" w:rsidRPr="00444A55" w:rsidTr="007E0DB9">
        <w:tc>
          <w:tcPr>
            <w:tcW w:w="458" w:type="dxa"/>
          </w:tcPr>
          <w:p w:rsidR="00E42938" w:rsidRPr="00444A55" w:rsidRDefault="00E42938" w:rsidP="001F54B4">
            <w:pPr>
              <w:rPr>
                <w:rFonts w:ascii="Times New Roman" w:hAnsi="Times New Roman" w:cs="Times New Roman"/>
                <w:sz w:val="16"/>
                <w:szCs w:val="16"/>
                <w:lang w:val="en-US"/>
              </w:rPr>
            </w:pPr>
          </w:p>
        </w:tc>
        <w:tc>
          <w:tcPr>
            <w:tcW w:w="2605" w:type="dxa"/>
          </w:tcPr>
          <w:p w:rsidR="00E42938" w:rsidRPr="00444A55" w:rsidRDefault="00E42938" w:rsidP="001F54B4">
            <w:pPr>
              <w:rPr>
                <w:rFonts w:ascii="Times New Roman" w:hAnsi="Times New Roman" w:cs="Times New Roman"/>
                <w:b/>
                <w:sz w:val="16"/>
                <w:szCs w:val="16"/>
              </w:rPr>
            </w:pPr>
          </w:p>
        </w:tc>
        <w:tc>
          <w:tcPr>
            <w:tcW w:w="4660" w:type="dxa"/>
          </w:tcPr>
          <w:p w:rsidR="00E42938" w:rsidRPr="00444A55" w:rsidRDefault="00E42938" w:rsidP="00E42938">
            <w:pPr>
              <w:pStyle w:val="BodyText8"/>
              <w:tabs>
                <w:tab w:val="left" w:pos="969"/>
              </w:tabs>
              <w:spacing w:after="0" w:line="269" w:lineRule="exact"/>
              <w:ind w:right="80"/>
              <w:jc w:val="both"/>
              <w:rPr>
                <w:sz w:val="16"/>
                <w:szCs w:val="16"/>
              </w:rPr>
            </w:pPr>
            <w:r w:rsidRPr="00444A55">
              <w:rPr>
                <w:sz w:val="16"/>
                <w:szCs w:val="16"/>
              </w:rPr>
              <w:t xml:space="preserve">Остава голяма въпросителна относно целите и постигнатия </w:t>
            </w:r>
            <w:r w:rsidRPr="00444A55">
              <w:rPr>
                <w:sz w:val="16"/>
                <w:szCs w:val="16"/>
              </w:rPr>
              <w:lastRenderedPageBreak/>
              <w:t>ефект от предложените изменения и допълнения.</w:t>
            </w:r>
          </w:p>
          <w:p w:rsidR="00E42938" w:rsidRPr="00444A55" w:rsidRDefault="00E42938" w:rsidP="00E42938">
            <w:pPr>
              <w:pStyle w:val="BodyText8"/>
              <w:tabs>
                <w:tab w:val="left" w:pos="969"/>
              </w:tabs>
              <w:spacing w:after="0" w:line="269" w:lineRule="exact"/>
              <w:ind w:right="80"/>
              <w:jc w:val="both"/>
              <w:rPr>
                <w:sz w:val="16"/>
                <w:szCs w:val="16"/>
              </w:rPr>
            </w:pPr>
            <w:r w:rsidRPr="00444A55">
              <w:rPr>
                <w:sz w:val="16"/>
                <w:szCs w:val="16"/>
              </w:rPr>
              <w:t>Добре би било да се предвиди публично достъпната информация за икономическите оператори, които отговарят на заложените в наредбата критерии, която информация да бъде структурирана в официалните сайтове на институциите по начин, който е лесен за онлайн навигиране (подобно на публичния регистър на лицата, притежаващи документи за извършване на дейности с отпадъци).</w:t>
            </w:r>
          </w:p>
          <w:p w:rsidR="00E42938" w:rsidRPr="00444A55" w:rsidRDefault="00E42938" w:rsidP="00E42938">
            <w:pPr>
              <w:pStyle w:val="BodyText8"/>
              <w:tabs>
                <w:tab w:val="left" w:pos="969"/>
              </w:tabs>
              <w:spacing w:after="0" w:line="269" w:lineRule="exact"/>
              <w:ind w:right="80"/>
              <w:jc w:val="both"/>
              <w:rPr>
                <w:sz w:val="16"/>
                <w:szCs w:val="16"/>
              </w:rPr>
            </w:pPr>
          </w:p>
        </w:tc>
        <w:tc>
          <w:tcPr>
            <w:tcW w:w="2652" w:type="dxa"/>
          </w:tcPr>
          <w:p w:rsidR="00E42938" w:rsidRPr="00444A55" w:rsidRDefault="001576F6" w:rsidP="001576F6">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E42938" w:rsidRPr="00444A55" w:rsidRDefault="001576F6" w:rsidP="000B6858">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е предмет на проекта на Наредба</w:t>
            </w:r>
            <w:r w:rsidR="000B6858" w:rsidRPr="00444A55">
              <w:rPr>
                <w:rFonts w:ascii="Times New Roman" w:hAnsi="Times New Roman" w:cs="Times New Roman"/>
                <w:sz w:val="16"/>
                <w:szCs w:val="16"/>
                <w:lang w:eastAsia="zh-CN"/>
              </w:rPr>
              <w:t>та.</w:t>
            </w:r>
          </w:p>
        </w:tc>
      </w:tr>
      <w:tr w:rsidR="001576F6" w:rsidRPr="00444A55" w:rsidTr="007E0DB9">
        <w:tc>
          <w:tcPr>
            <w:tcW w:w="458" w:type="dxa"/>
          </w:tcPr>
          <w:p w:rsidR="001576F6" w:rsidRPr="00444A55" w:rsidRDefault="001576F6" w:rsidP="001F54B4">
            <w:pPr>
              <w:rPr>
                <w:rFonts w:ascii="Times New Roman" w:hAnsi="Times New Roman" w:cs="Times New Roman"/>
                <w:sz w:val="16"/>
                <w:szCs w:val="16"/>
                <w:lang w:val="en-US"/>
              </w:rPr>
            </w:pPr>
          </w:p>
        </w:tc>
        <w:tc>
          <w:tcPr>
            <w:tcW w:w="2605" w:type="dxa"/>
          </w:tcPr>
          <w:p w:rsidR="001576F6" w:rsidRPr="00444A55" w:rsidRDefault="001576F6" w:rsidP="001F54B4">
            <w:pPr>
              <w:rPr>
                <w:rFonts w:ascii="Times New Roman" w:hAnsi="Times New Roman" w:cs="Times New Roman"/>
                <w:b/>
                <w:sz w:val="16"/>
                <w:szCs w:val="16"/>
              </w:rPr>
            </w:pPr>
          </w:p>
        </w:tc>
        <w:tc>
          <w:tcPr>
            <w:tcW w:w="4660" w:type="dxa"/>
          </w:tcPr>
          <w:p w:rsidR="001576F6" w:rsidRPr="00444A55" w:rsidRDefault="001576F6" w:rsidP="001576F6">
            <w:pPr>
              <w:pStyle w:val="BodyText8"/>
              <w:tabs>
                <w:tab w:val="left" w:pos="969"/>
              </w:tabs>
              <w:spacing w:after="0" w:line="269" w:lineRule="exact"/>
              <w:ind w:right="80"/>
              <w:jc w:val="both"/>
              <w:rPr>
                <w:sz w:val="16"/>
                <w:szCs w:val="16"/>
              </w:rPr>
            </w:pPr>
            <w:r w:rsidRPr="00444A55">
              <w:rPr>
                <w:sz w:val="16"/>
                <w:szCs w:val="16"/>
              </w:rPr>
              <w:t>Предвид отворената наказателна процедура срещу България заради липса на транспониране в националното законодателство на Директива 2018/2001 на Европейският парламент и Съвета се провежда обществено обсъждане за допълнения в горепосочената Наредба и в тази връзка правим следните допълнителни предложения:</w:t>
            </w:r>
          </w:p>
          <w:p w:rsidR="001576F6" w:rsidRPr="00444A55" w:rsidRDefault="001576F6" w:rsidP="001576F6">
            <w:pPr>
              <w:pStyle w:val="BodyText8"/>
              <w:tabs>
                <w:tab w:val="left" w:pos="969"/>
              </w:tabs>
              <w:spacing w:after="0" w:line="269" w:lineRule="exact"/>
              <w:ind w:right="80"/>
              <w:jc w:val="both"/>
              <w:rPr>
                <w:sz w:val="16"/>
                <w:szCs w:val="16"/>
              </w:rPr>
            </w:pPr>
            <w:r w:rsidRPr="00444A55">
              <w:rPr>
                <w:sz w:val="16"/>
                <w:szCs w:val="16"/>
              </w:rPr>
              <w:t>Факт е, че липсата на прозрачни правила и на съгласуваност между различните административни разрешаващи органи , забавя внедряването на нови технологии на енергия от възобновяеми източници. С подзаконовата нормативна уредба следва да се въведат опростени административни процедури и да се определят по-кратки срокове за издаването на разрешения от компетентните органи за инсталации, представляващи иновативни технологии в областта на използването на биогорива, течни горива от биомаса или газообразни и твърди горива от биомаса.</w:t>
            </w:r>
          </w:p>
          <w:p w:rsidR="001576F6" w:rsidRPr="00444A55" w:rsidRDefault="001576F6" w:rsidP="001576F6">
            <w:pPr>
              <w:pStyle w:val="BodyText8"/>
              <w:tabs>
                <w:tab w:val="left" w:pos="969"/>
              </w:tabs>
              <w:spacing w:after="0" w:line="269" w:lineRule="exact"/>
              <w:ind w:right="80"/>
              <w:jc w:val="both"/>
              <w:rPr>
                <w:sz w:val="16"/>
                <w:szCs w:val="16"/>
              </w:rPr>
            </w:pPr>
            <w:r w:rsidRPr="00444A55">
              <w:rPr>
                <w:sz w:val="16"/>
                <w:szCs w:val="16"/>
              </w:rPr>
              <w:t>В тази връзка следва нормативно да се запълнят и празнините относно обучението и квалификационната подготовка на кадри работещи в тези сектори, като се предвидят стимули за обучаващите се и да се предвидят съответните облекчения за онези работодатели, които въвеждат нови технологични инсталации в своите производствени предприятия.</w:t>
            </w:r>
          </w:p>
        </w:tc>
        <w:tc>
          <w:tcPr>
            <w:tcW w:w="2652" w:type="dxa"/>
          </w:tcPr>
          <w:p w:rsidR="001576F6" w:rsidRPr="00444A55" w:rsidRDefault="001576F6"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1576F6" w:rsidRPr="00444A55" w:rsidRDefault="001576F6"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е предмет на проекта на Н</w:t>
            </w:r>
            <w:r w:rsidR="000B6858" w:rsidRPr="00444A55">
              <w:rPr>
                <w:rFonts w:ascii="Times New Roman" w:hAnsi="Times New Roman" w:cs="Times New Roman"/>
                <w:sz w:val="16"/>
                <w:szCs w:val="16"/>
                <w:lang w:eastAsia="zh-CN"/>
              </w:rPr>
              <w:t>аредбата.</w:t>
            </w:r>
          </w:p>
        </w:tc>
      </w:tr>
      <w:tr w:rsidR="00CF7167" w:rsidRPr="00444A55" w:rsidTr="007E0DB9">
        <w:tc>
          <w:tcPr>
            <w:tcW w:w="458" w:type="dxa"/>
          </w:tcPr>
          <w:p w:rsidR="00CF7167" w:rsidRPr="00444A55" w:rsidRDefault="00001E23"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8</w:t>
            </w:r>
          </w:p>
        </w:tc>
        <w:tc>
          <w:tcPr>
            <w:tcW w:w="2605" w:type="dxa"/>
          </w:tcPr>
          <w:p w:rsidR="00CF7167" w:rsidRPr="00444A55" w:rsidRDefault="00DD08CA" w:rsidP="001F54B4">
            <w:pPr>
              <w:rPr>
                <w:rFonts w:ascii="Times New Roman" w:hAnsi="Times New Roman" w:cs="Times New Roman"/>
                <w:b/>
                <w:sz w:val="16"/>
                <w:szCs w:val="16"/>
              </w:rPr>
            </w:pPr>
            <w:r w:rsidRPr="00444A55">
              <w:rPr>
                <w:rFonts w:ascii="Times New Roman" w:hAnsi="Times New Roman" w:cs="Times New Roman"/>
                <w:b/>
                <w:sz w:val="16"/>
                <w:szCs w:val="16"/>
              </w:rPr>
              <w:t>„Топлофикация Русе" АД</w:t>
            </w:r>
          </w:p>
        </w:tc>
        <w:tc>
          <w:tcPr>
            <w:tcW w:w="4660" w:type="dxa"/>
          </w:tcPr>
          <w:p w:rsidR="00DD08CA" w:rsidRPr="00444A55" w:rsidRDefault="00DD08CA" w:rsidP="00DD08CA">
            <w:pPr>
              <w:pStyle w:val="BodyText8"/>
              <w:tabs>
                <w:tab w:val="left" w:pos="969"/>
              </w:tabs>
              <w:spacing w:after="0" w:line="269" w:lineRule="exact"/>
              <w:ind w:right="80"/>
              <w:jc w:val="both"/>
              <w:rPr>
                <w:sz w:val="16"/>
                <w:szCs w:val="16"/>
              </w:rPr>
            </w:pPr>
            <w:r w:rsidRPr="00444A55">
              <w:rPr>
                <w:sz w:val="16"/>
                <w:szCs w:val="16"/>
              </w:rPr>
              <w:t>Представяме пред Вас становище по повод обществена консултация за промяна на Наредба за критериите за устойчивост на биогоривата и течните горива от биомаса във връзка с необходимостта от пълно транспониране на Директива (ЕС) 2018/2001 на Европейския парламент и на Съвета от 11.12.2018 г. за насърчаване на използването на енергия от възобновяеми източници.</w:t>
            </w:r>
          </w:p>
          <w:p w:rsidR="00DD08CA" w:rsidRPr="00444A55" w:rsidRDefault="00DD08CA" w:rsidP="00DD08CA">
            <w:pPr>
              <w:pStyle w:val="BodyText8"/>
              <w:tabs>
                <w:tab w:val="left" w:pos="969"/>
              </w:tabs>
              <w:spacing w:after="0" w:line="269" w:lineRule="exact"/>
              <w:ind w:right="80"/>
              <w:jc w:val="both"/>
              <w:rPr>
                <w:sz w:val="16"/>
                <w:szCs w:val="16"/>
              </w:rPr>
            </w:pPr>
            <w:r w:rsidRPr="00444A55">
              <w:rPr>
                <w:sz w:val="16"/>
                <w:szCs w:val="16"/>
              </w:rPr>
              <w:t>Приемането на предвидените допълнения на НКУБТГБ представлява съществена предпоставка за пълно транспониране на Директива (ЕС) 2018/2001 в нейната цялост и избягване на наказателните мерки срещу държавата. Измененията въвеждат нови критерии за устойчивост и за намаление на емисиите на парникови газове на биогоривата, течните горива от биомаса и газообразните и твърдите горива от биомаса, регламентирани в Директивата. Към досегашните биогорива и течни горива от биомаса се добавят газообразните и твърдите горива от биомаса, като се въвеждат специфични подлежащи на особен ред за доказване критерии за устойчивост на горивата, произведени от селскостопанска биомаса и от горскостопанска биомаса.</w:t>
            </w:r>
          </w:p>
          <w:p w:rsidR="00DD08CA" w:rsidRPr="00444A55" w:rsidRDefault="00DD08CA" w:rsidP="00DD08CA">
            <w:pPr>
              <w:pStyle w:val="BodyText8"/>
              <w:tabs>
                <w:tab w:val="left" w:pos="969"/>
              </w:tabs>
              <w:spacing w:after="0" w:line="269" w:lineRule="exact"/>
              <w:ind w:right="80"/>
              <w:jc w:val="both"/>
              <w:rPr>
                <w:sz w:val="16"/>
                <w:szCs w:val="16"/>
              </w:rPr>
            </w:pPr>
            <w:r w:rsidRPr="00444A55">
              <w:rPr>
                <w:sz w:val="16"/>
                <w:szCs w:val="16"/>
              </w:rPr>
              <w:t>Дейността на „Топлофикация Русе" АД попада в категориите промишлени дейности по Приложение № 4 към чл. 117, ал. 1 от Закона за опазване на околната среда като Горивна инсталация с обща номинална входяща топлинна мощност, равна или по-голяма от 50 MW, която произвежда електрическа и топлинна енергия чрез основно гориво въглища и вторично гориво суровина/продукт биомаса; биомаса като неопасен отпадък с код 02 03 04 (материали, негодни за консумация или преработване - слънчогледова люспа); с код 02 01 03 (неопасни отпадъци от растителни тъкани - царевичак).</w:t>
            </w:r>
          </w:p>
          <w:p w:rsidR="00DD08CA" w:rsidRPr="00444A55" w:rsidRDefault="00DD08CA" w:rsidP="00DD08CA">
            <w:pPr>
              <w:pStyle w:val="BodyText8"/>
              <w:tabs>
                <w:tab w:val="left" w:pos="969"/>
              </w:tabs>
              <w:spacing w:after="0" w:line="269" w:lineRule="exact"/>
              <w:ind w:right="80"/>
              <w:jc w:val="both"/>
              <w:rPr>
                <w:sz w:val="16"/>
                <w:szCs w:val="16"/>
              </w:rPr>
            </w:pPr>
            <w:r w:rsidRPr="00444A55">
              <w:rPr>
                <w:sz w:val="16"/>
                <w:szCs w:val="16"/>
              </w:rPr>
              <w:t xml:space="preserve">В т. 7.1.2. на Ръководен документ MRR № 3/17.10.2022 г. по Регламент за мониторинг и докладване към системата на европейския съюз за търговия с емисии към Регламент за </w:t>
            </w:r>
            <w:r w:rsidRPr="00444A55">
              <w:rPr>
                <w:sz w:val="16"/>
                <w:szCs w:val="16"/>
              </w:rPr>
              <w:lastRenderedPageBreak/>
              <w:t>изпълнение (ЕС) 2018/2066 на Комисията от 19.12.2018 г. биомасата, която използва „Топлофикация Русе" АД попада в група 1 (растения и части от тях) и в група 2 (отпадъци, продукти, остатъци от биомаса).</w:t>
            </w:r>
          </w:p>
          <w:p w:rsidR="00DD08CA" w:rsidRPr="00444A55" w:rsidRDefault="00DD08CA" w:rsidP="00DD08CA">
            <w:pPr>
              <w:pStyle w:val="BodyText8"/>
              <w:tabs>
                <w:tab w:val="left" w:pos="969"/>
              </w:tabs>
              <w:spacing w:after="0" w:line="269" w:lineRule="exact"/>
              <w:ind w:right="80"/>
              <w:jc w:val="both"/>
              <w:rPr>
                <w:sz w:val="16"/>
                <w:szCs w:val="16"/>
              </w:rPr>
            </w:pPr>
            <w:r w:rsidRPr="00444A55">
              <w:rPr>
                <w:sz w:val="16"/>
                <w:szCs w:val="16"/>
              </w:rPr>
              <w:t>Според чл. 38, nap. 1 и 2 на Регламента за изпълнение (ЕС) 2018/2066 на Комисията от 19.12.2018 г. операторът може да определя данните за дейността във връзка с пораждащите емисии потоци от биомаса без да използва нива и без да представя данни от анализ за състава на биомасата, ако пораждащият емисии поток се състои изключително от биомаса и операторът може да гарантира, че в него няма примеси на други материали или горива.</w:t>
            </w:r>
          </w:p>
          <w:p w:rsidR="00DD08CA" w:rsidRPr="00444A55" w:rsidRDefault="00DD08CA" w:rsidP="00DD08CA">
            <w:pPr>
              <w:pStyle w:val="BodyText8"/>
              <w:tabs>
                <w:tab w:val="left" w:pos="969"/>
              </w:tabs>
              <w:spacing w:after="0" w:line="269" w:lineRule="exact"/>
              <w:ind w:right="80"/>
              <w:jc w:val="both"/>
              <w:rPr>
                <w:sz w:val="16"/>
                <w:szCs w:val="16"/>
              </w:rPr>
            </w:pPr>
            <w:r w:rsidRPr="00444A55">
              <w:rPr>
                <w:sz w:val="16"/>
                <w:szCs w:val="16"/>
              </w:rPr>
              <w:t>Емисионният фактор на биомасата, използвана за горене ще е равен на нула, ако тя отговаря на изискванията на чл. 38, пар. 5, а ако не съответства - то нейното въглеродно съдържание ще се смята за изкопаем въглерод.</w:t>
            </w:r>
          </w:p>
          <w:p w:rsidR="00DD08CA" w:rsidRPr="00444A55" w:rsidRDefault="00DD08CA" w:rsidP="00DD08CA">
            <w:pPr>
              <w:pStyle w:val="BodyText8"/>
              <w:tabs>
                <w:tab w:val="left" w:pos="969"/>
              </w:tabs>
              <w:spacing w:after="0" w:line="269" w:lineRule="exact"/>
              <w:ind w:right="80"/>
              <w:jc w:val="both"/>
              <w:rPr>
                <w:sz w:val="16"/>
                <w:szCs w:val="16"/>
              </w:rPr>
            </w:pPr>
            <w:r w:rsidRPr="00444A55">
              <w:rPr>
                <w:sz w:val="16"/>
                <w:szCs w:val="16"/>
              </w:rPr>
              <w:t>Наредба за критериите за устойчивост на биогоривата и течните горива от биомаса се отнася за биогорива (течни, твърди, газообразни) и начините на доказване на тяхната устойчивост.</w:t>
            </w:r>
          </w:p>
          <w:p w:rsidR="00CF7167" w:rsidRPr="00444A55" w:rsidRDefault="00CF7167" w:rsidP="00DD08CA">
            <w:pPr>
              <w:pStyle w:val="BodyText8"/>
              <w:tabs>
                <w:tab w:val="left" w:pos="969"/>
              </w:tabs>
              <w:spacing w:after="0" w:line="269" w:lineRule="exact"/>
              <w:ind w:right="80"/>
              <w:jc w:val="both"/>
              <w:rPr>
                <w:sz w:val="16"/>
                <w:szCs w:val="16"/>
              </w:rPr>
            </w:pPr>
          </w:p>
        </w:tc>
        <w:tc>
          <w:tcPr>
            <w:tcW w:w="2652" w:type="dxa"/>
          </w:tcPr>
          <w:p w:rsidR="00CF7167" w:rsidRPr="00444A55" w:rsidRDefault="000B6858"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0B6858" w:rsidRPr="00444A55" w:rsidRDefault="000B6858" w:rsidP="000B6858">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Няма конкретно предложение.</w:t>
            </w:r>
          </w:p>
          <w:p w:rsidR="00CF7167" w:rsidRPr="00444A55" w:rsidRDefault="00CF7167" w:rsidP="001F54B4">
            <w:pPr>
              <w:jc w:val="both"/>
              <w:rPr>
                <w:rFonts w:ascii="Times New Roman" w:hAnsi="Times New Roman" w:cs="Times New Roman"/>
                <w:sz w:val="16"/>
                <w:szCs w:val="16"/>
                <w:lang w:eastAsia="zh-CN"/>
              </w:rPr>
            </w:pPr>
          </w:p>
        </w:tc>
      </w:tr>
      <w:tr w:rsidR="000B6858" w:rsidRPr="00444A55" w:rsidTr="007E0DB9">
        <w:tc>
          <w:tcPr>
            <w:tcW w:w="458" w:type="dxa"/>
          </w:tcPr>
          <w:p w:rsidR="000B6858" w:rsidRPr="00444A55" w:rsidRDefault="000B6858" w:rsidP="001F54B4">
            <w:pPr>
              <w:rPr>
                <w:rFonts w:ascii="Times New Roman" w:hAnsi="Times New Roman" w:cs="Times New Roman"/>
                <w:sz w:val="16"/>
                <w:szCs w:val="16"/>
                <w:lang w:val="en-US"/>
              </w:rPr>
            </w:pPr>
          </w:p>
        </w:tc>
        <w:tc>
          <w:tcPr>
            <w:tcW w:w="2605" w:type="dxa"/>
          </w:tcPr>
          <w:p w:rsidR="000B6858" w:rsidRPr="00444A55" w:rsidRDefault="000B6858" w:rsidP="001F54B4">
            <w:pPr>
              <w:rPr>
                <w:rFonts w:ascii="Times New Roman" w:hAnsi="Times New Roman" w:cs="Times New Roman"/>
                <w:b/>
                <w:sz w:val="16"/>
                <w:szCs w:val="16"/>
              </w:rPr>
            </w:pPr>
          </w:p>
        </w:tc>
        <w:tc>
          <w:tcPr>
            <w:tcW w:w="4660" w:type="dxa"/>
          </w:tcPr>
          <w:p w:rsidR="000B6858" w:rsidRPr="00444A55" w:rsidRDefault="000B6858" w:rsidP="000B6858">
            <w:pPr>
              <w:pStyle w:val="BodyText8"/>
              <w:tabs>
                <w:tab w:val="left" w:pos="969"/>
              </w:tabs>
              <w:spacing w:after="0" w:line="269" w:lineRule="exact"/>
              <w:ind w:right="80"/>
              <w:jc w:val="both"/>
              <w:rPr>
                <w:sz w:val="16"/>
                <w:szCs w:val="16"/>
              </w:rPr>
            </w:pPr>
            <w:r w:rsidRPr="00444A55">
              <w:rPr>
                <w:sz w:val="16"/>
                <w:szCs w:val="16"/>
              </w:rPr>
              <w:t>Самата биомаса добита от селскостопански производители, не е включена в обхвата на наредбата. Наредбата не дава яснота как трябва да се изпълняват критериите за нейната устойчивост. </w:t>
            </w:r>
          </w:p>
          <w:p w:rsidR="000B6858" w:rsidRPr="00444A55" w:rsidRDefault="000B6858" w:rsidP="000B6858">
            <w:pPr>
              <w:pStyle w:val="BodyText8"/>
              <w:tabs>
                <w:tab w:val="left" w:pos="969"/>
              </w:tabs>
              <w:spacing w:after="0" w:line="269" w:lineRule="exact"/>
              <w:ind w:right="80"/>
              <w:jc w:val="both"/>
              <w:rPr>
                <w:sz w:val="16"/>
                <w:szCs w:val="16"/>
              </w:rPr>
            </w:pPr>
          </w:p>
        </w:tc>
        <w:tc>
          <w:tcPr>
            <w:tcW w:w="2652" w:type="dxa"/>
          </w:tcPr>
          <w:p w:rsidR="000B6858" w:rsidRPr="00444A55" w:rsidRDefault="000B6858"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0B6858" w:rsidRPr="00444A55" w:rsidRDefault="000B6858" w:rsidP="001F54B4">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отговаря на разпоредбите в проекта на Наредба.</w:t>
            </w:r>
          </w:p>
        </w:tc>
      </w:tr>
      <w:tr w:rsidR="000B6858" w:rsidRPr="00444A55" w:rsidTr="007E0DB9">
        <w:tc>
          <w:tcPr>
            <w:tcW w:w="458" w:type="dxa"/>
          </w:tcPr>
          <w:p w:rsidR="000B6858" w:rsidRPr="00444A55" w:rsidRDefault="000B6858" w:rsidP="001F54B4">
            <w:pPr>
              <w:rPr>
                <w:rFonts w:ascii="Times New Roman" w:hAnsi="Times New Roman" w:cs="Times New Roman"/>
                <w:sz w:val="16"/>
                <w:szCs w:val="16"/>
                <w:lang w:val="en-US"/>
              </w:rPr>
            </w:pPr>
          </w:p>
        </w:tc>
        <w:tc>
          <w:tcPr>
            <w:tcW w:w="2605" w:type="dxa"/>
          </w:tcPr>
          <w:p w:rsidR="000B6858" w:rsidRPr="00444A55" w:rsidRDefault="000B6858" w:rsidP="001F54B4">
            <w:pPr>
              <w:rPr>
                <w:rFonts w:ascii="Times New Roman" w:hAnsi="Times New Roman" w:cs="Times New Roman"/>
                <w:b/>
                <w:sz w:val="16"/>
                <w:szCs w:val="16"/>
              </w:rPr>
            </w:pPr>
          </w:p>
        </w:tc>
        <w:tc>
          <w:tcPr>
            <w:tcW w:w="4660" w:type="dxa"/>
          </w:tcPr>
          <w:p w:rsidR="000B6858" w:rsidRPr="00444A55" w:rsidRDefault="000B6858" w:rsidP="000B6858">
            <w:pPr>
              <w:pStyle w:val="BodyText8"/>
              <w:tabs>
                <w:tab w:val="left" w:pos="969"/>
              </w:tabs>
              <w:spacing w:after="0" w:line="269" w:lineRule="exact"/>
              <w:ind w:right="80"/>
              <w:jc w:val="both"/>
              <w:rPr>
                <w:sz w:val="16"/>
                <w:szCs w:val="16"/>
              </w:rPr>
            </w:pPr>
            <w:r w:rsidRPr="00444A55">
              <w:rPr>
                <w:sz w:val="16"/>
                <w:szCs w:val="16"/>
              </w:rPr>
              <w:t>Биомасата, която се използва в „Топлофикация Русе" АД е окачествена като суровина и не служи за производство на биогориво, а директно се изгаря в парогенераторите. Тази биомаса не се категоризира като биогориво.</w:t>
            </w:r>
          </w:p>
          <w:p w:rsidR="000B6858" w:rsidRPr="00444A55" w:rsidRDefault="000B6858" w:rsidP="000B6858">
            <w:pPr>
              <w:pStyle w:val="BodyText8"/>
              <w:tabs>
                <w:tab w:val="left" w:pos="969"/>
              </w:tabs>
              <w:spacing w:after="0" w:line="269" w:lineRule="exact"/>
              <w:ind w:right="80"/>
              <w:jc w:val="both"/>
              <w:rPr>
                <w:sz w:val="16"/>
                <w:szCs w:val="16"/>
              </w:rPr>
            </w:pPr>
            <w:r w:rsidRPr="00444A55">
              <w:rPr>
                <w:sz w:val="16"/>
                <w:szCs w:val="16"/>
              </w:rPr>
              <w:t xml:space="preserve">Съгласно чл. 44, ал. 1 от Закона за енергията от възобновяеми източници, Министерски съвет с Наредбата определя условията за реда за: набиране и предоставяне на информация от </w:t>
            </w:r>
            <w:r w:rsidRPr="00444A55">
              <w:rPr>
                <w:sz w:val="16"/>
                <w:szCs w:val="16"/>
              </w:rPr>
              <w:lastRenderedPageBreak/>
              <w:t>икономическите оператори, включително за мерките, взети за защита на почвите, земите, водите, въздуха и др; за извършване на одит за съответствие на биогоривата, а Топлофикация Русе АД не е нито производител, нито ползвател на биогориво; за издаване и отнемане на сертификатите за съответствие на суровините, биогоривата и течните горива от биомаса и газообразните и твърдите горива от биомаса, възобновяемите течни и газообразни транспортни горива от небиологичен произход - след като „Топлофикация Русе" АД не е производител нито на биогориво, нито на биомаса, то тези сертификати би трябвало да се издават/отнемат към доставчиците на биомаса.</w:t>
            </w:r>
          </w:p>
          <w:p w:rsidR="000B6858" w:rsidRPr="00444A55" w:rsidRDefault="000B6858" w:rsidP="000B6858">
            <w:pPr>
              <w:pStyle w:val="BodyText8"/>
              <w:tabs>
                <w:tab w:val="left" w:pos="969"/>
              </w:tabs>
              <w:spacing w:after="0" w:line="269" w:lineRule="exact"/>
              <w:ind w:right="80"/>
              <w:jc w:val="both"/>
              <w:rPr>
                <w:sz w:val="16"/>
                <w:szCs w:val="16"/>
              </w:rPr>
            </w:pPr>
            <w:r w:rsidRPr="00444A55">
              <w:rPr>
                <w:sz w:val="16"/>
                <w:szCs w:val="16"/>
              </w:rPr>
              <w:t>Изразяваме становището, че „Топлофикация Русе" АД не попада в обхвата на Наредбата, тъй като не е производител на биогорива и не използва биогориво в производствената си дейност. По тази причина използваната за изгаряне биомаса не трябва да отговаря на критериите за устойчивост, описани в Наредбата и в Директива (ЕС) 2018/2001, защото тя не е биогориво, по смисъла на Наредбата, а е суровина.</w:t>
            </w:r>
          </w:p>
          <w:p w:rsidR="000B6858" w:rsidRPr="00444A55" w:rsidRDefault="000B6858" w:rsidP="000B6858">
            <w:pPr>
              <w:pStyle w:val="BodyText8"/>
              <w:tabs>
                <w:tab w:val="left" w:pos="969"/>
              </w:tabs>
              <w:spacing w:after="0" w:line="269" w:lineRule="exact"/>
              <w:ind w:right="80"/>
              <w:jc w:val="both"/>
              <w:rPr>
                <w:sz w:val="16"/>
                <w:szCs w:val="16"/>
              </w:rPr>
            </w:pPr>
            <w:r w:rsidRPr="00444A55">
              <w:rPr>
                <w:sz w:val="16"/>
                <w:szCs w:val="16"/>
              </w:rPr>
              <w:t>От описаното до тук не става ясно дали за биомасата, която използва „Топлофикация Русе" АД ще се доказва устойчивост изобщо, тъй като пораждащият емисии поток се състои изключително от биомаса и „Топлофикация Русе" АД може да гарантира, че в него няма примеси на други материали или горива с аргумент от чл. 38 nap. 1 на Регламента за изпълнение (ЕС) 2018/2066 на Комисията от 19.12.2018 г.</w:t>
            </w:r>
          </w:p>
        </w:tc>
        <w:tc>
          <w:tcPr>
            <w:tcW w:w="2652" w:type="dxa"/>
          </w:tcPr>
          <w:p w:rsidR="000B6858" w:rsidRPr="00444A55" w:rsidRDefault="000B6858"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0B6858" w:rsidRPr="00444A55" w:rsidRDefault="000B6858" w:rsidP="00244ABB">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 xml:space="preserve">Не отговаря на </w:t>
            </w:r>
            <w:r w:rsidR="00244ABB" w:rsidRPr="00444A55">
              <w:rPr>
                <w:rFonts w:ascii="Times New Roman" w:hAnsi="Times New Roman" w:cs="Times New Roman"/>
                <w:sz w:val="16"/>
                <w:szCs w:val="16"/>
                <w:lang w:eastAsia="zh-CN"/>
              </w:rPr>
              <w:t>чл. 38 на Регламент за изпълнение (ЕС) 2018/2066 на Комисията относно мониторинга и докладването на емисиите на парникови газове Директива 2003/87/ЕО на Европейския парламент и на Съвета.</w:t>
            </w:r>
          </w:p>
        </w:tc>
      </w:tr>
      <w:tr w:rsidR="00244ABB" w:rsidRPr="00444A55" w:rsidTr="007E0DB9">
        <w:tc>
          <w:tcPr>
            <w:tcW w:w="458" w:type="dxa"/>
          </w:tcPr>
          <w:p w:rsidR="00244ABB" w:rsidRPr="00444A55" w:rsidRDefault="00244ABB" w:rsidP="001F54B4">
            <w:pPr>
              <w:rPr>
                <w:rFonts w:ascii="Times New Roman" w:hAnsi="Times New Roman" w:cs="Times New Roman"/>
                <w:sz w:val="16"/>
                <w:szCs w:val="16"/>
                <w:lang w:val="en-US"/>
              </w:rPr>
            </w:pPr>
          </w:p>
        </w:tc>
        <w:tc>
          <w:tcPr>
            <w:tcW w:w="2605" w:type="dxa"/>
          </w:tcPr>
          <w:p w:rsidR="00244ABB" w:rsidRPr="00444A55" w:rsidRDefault="00244ABB" w:rsidP="001F54B4">
            <w:pPr>
              <w:rPr>
                <w:rFonts w:ascii="Times New Roman" w:hAnsi="Times New Roman" w:cs="Times New Roman"/>
                <w:b/>
                <w:sz w:val="16"/>
                <w:szCs w:val="16"/>
              </w:rPr>
            </w:pPr>
          </w:p>
        </w:tc>
        <w:tc>
          <w:tcPr>
            <w:tcW w:w="4660" w:type="dxa"/>
          </w:tcPr>
          <w:p w:rsidR="00244ABB" w:rsidRPr="00444A55" w:rsidRDefault="00244ABB" w:rsidP="00244ABB">
            <w:pPr>
              <w:pStyle w:val="BodyText8"/>
              <w:tabs>
                <w:tab w:val="left" w:pos="969"/>
              </w:tabs>
              <w:spacing w:after="0" w:line="269" w:lineRule="exact"/>
              <w:ind w:right="80"/>
              <w:jc w:val="both"/>
              <w:rPr>
                <w:sz w:val="16"/>
                <w:szCs w:val="16"/>
              </w:rPr>
            </w:pPr>
            <w:r w:rsidRPr="00444A55">
              <w:rPr>
                <w:sz w:val="16"/>
                <w:szCs w:val="16"/>
              </w:rPr>
              <w:t xml:space="preserve">Нашето предложение е в подзаконовата нормативна уредба да се въведат подобрени и опростени правила за прилагане и доказване на съответствие с критериите за устойчивост на биогоривата, както и на самата биомаса, влагана директно за изгаряне, като в Наредбата за критериите за устойчивост на биогоривата, течните горива от биомаса и газообразните и твърдите горива от биомаса да бъде добавено Приложение, в </w:t>
            </w:r>
            <w:r w:rsidRPr="00444A55">
              <w:rPr>
                <w:sz w:val="16"/>
                <w:szCs w:val="16"/>
              </w:rPr>
              <w:lastRenderedPageBreak/>
              <w:t>което се изброяват икономическите оператори; операторите на инсталации и/или ползвателите на биогориво. за които правилата в наредбата важат, т.е. тези които са задължени да доказват критериите за устойчивост и за намаление на емисиите парникови газове.</w:t>
            </w:r>
          </w:p>
          <w:p w:rsidR="00244ABB" w:rsidRPr="00444A55" w:rsidRDefault="00244ABB" w:rsidP="00244ABB">
            <w:pPr>
              <w:pStyle w:val="BodyText8"/>
              <w:tabs>
                <w:tab w:val="left" w:pos="969"/>
              </w:tabs>
              <w:spacing w:after="0" w:line="269" w:lineRule="exact"/>
              <w:ind w:right="80"/>
              <w:jc w:val="both"/>
              <w:rPr>
                <w:sz w:val="16"/>
                <w:szCs w:val="16"/>
              </w:rPr>
            </w:pPr>
            <w:r w:rsidRPr="00444A55">
              <w:rPr>
                <w:sz w:val="16"/>
                <w:szCs w:val="16"/>
              </w:rPr>
              <w:t>По този начин икономическите оператори и операторите на инсталации в обхвата на Европейската схема за търговия с емисии ще имат възможност пълноценно да осъществяват правата си, произтичащи от надлежно доказване на съответствието с критериите за устойчивост на използваната биомаса при докладването по чл. 36 от Закона за ограничаване на изменението на климата, а именно да не предават допълнително количество квоти за емисии на парникови газове за влаганата биомаса, която отговаря на критериите за устойчивост.</w:t>
            </w:r>
          </w:p>
        </w:tc>
        <w:tc>
          <w:tcPr>
            <w:tcW w:w="2652" w:type="dxa"/>
          </w:tcPr>
          <w:p w:rsidR="00244ABB" w:rsidRPr="00444A55" w:rsidRDefault="00244ABB"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Приема се.</w:t>
            </w:r>
          </w:p>
        </w:tc>
        <w:tc>
          <w:tcPr>
            <w:tcW w:w="2917" w:type="dxa"/>
            <w:vAlign w:val="center"/>
          </w:tcPr>
          <w:p w:rsidR="00244ABB" w:rsidRPr="00444A55" w:rsidRDefault="00244ABB" w:rsidP="00244ABB">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Отразено е в проекта на Наредбата.</w:t>
            </w:r>
          </w:p>
        </w:tc>
      </w:tr>
      <w:tr w:rsidR="00001E23" w:rsidRPr="00444A55" w:rsidTr="007E0DB9">
        <w:tc>
          <w:tcPr>
            <w:tcW w:w="458" w:type="dxa"/>
          </w:tcPr>
          <w:p w:rsidR="00001E23" w:rsidRPr="00444A55" w:rsidRDefault="00001E23"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9</w:t>
            </w:r>
          </w:p>
        </w:tc>
        <w:tc>
          <w:tcPr>
            <w:tcW w:w="2605" w:type="dxa"/>
          </w:tcPr>
          <w:p w:rsidR="00001E23" w:rsidRPr="00444A55" w:rsidRDefault="00442FEC" w:rsidP="001F54B4">
            <w:pPr>
              <w:rPr>
                <w:rFonts w:ascii="Times New Roman" w:hAnsi="Times New Roman" w:cs="Times New Roman"/>
                <w:b/>
                <w:sz w:val="16"/>
                <w:szCs w:val="16"/>
              </w:rPr>
            </w:pPr>
            <w:r w:rsidRPr="00444A55">
              <w:rPr>
                <w:rFonts w:ascii="Times New Roman" w:hAnsi="Times New Roman" w:cs="Times New Roman"/>
                <w:b/>
                <w:sz w:val="16"/>
                <w:szCs w:val="16"/>
              </w:rPr>
              <w:t xml:space="preserve">Джи Ем Ай Верифай </w:t>
            </w:r>
          </w:p>
        </w:tc>
        <w:tc>
          <w:tcPr>
            <w:tcW w:w="4660" w:type="dxa"/>
          </w:tcPr>
          <w:p w:rsidR="00001E23" w:rsidRPr="00444A55" w:rsidRDefault="00442FEC" w:rsidP="00244ABB">
            <w:pPr>
              <w:pStyle w:val="BodyText8"/>
              <w:tabs>
                <w:tab w:val="left" w:pos="969"/>
              </w:tabs>
              <w:spacing w:after="0" w:line="269" w:lineRule="exact"/>
              <w:ind w:right="80"/>
              <w:jc w:val="both"/>
              <w:rPr>
                <w:sz w:val="16"/>
                <w:szCs w:val="16"/>
              </w:rPr>
            </w:pPr>
            <w:r w:rsidRPr="00444A55">
              <w:rPr>
                <w:sz w:val="16"/>
                <w:szCs w:val="16"/>
              </w:rPr>
              <w:t>Разпоредбите относно прилагане на критериите за устойчивост на биогоривата, течните горива от биомаса и газообразните и твърдите горива от биомаса се съдържат в чл. 38 от Регламент за изпълнение (ЕС) 2018/2066 на Комисията, относно мониторинга и докладването на емисиите на парникови газове съгласно Директива 2003/87/ЕО на Европейския парламент и на Съвета във връзка с което Биомасата, която се използва при голяма част от операторите, участващи в ЕСТЕ е окачествена като суровина и не служи за производство на биогориво, а директно се изгаря в инсталациите и тази суровина не се категоризира като биогориво, което поражда несъответствие по отношение приложимостта на предложения проект на Наредба за операторите от ЕСТЕ.</w:t>
            </w:r>
          </w:p>
        </w:tc>
        <w:tc>
          <w:tcPr>
            <w:tcW w:w="2652" w:type="dxa"/>
          </w:tcPr>
          <w:p w:rsidR="00001E23" w:rsidRPr="00444A55" w:rsidRDefault="00442FEC" w:rsidP="001F54B4">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001E23" w:rsidRPr="00444A55" w:rsidRDefault="00442FEC" w:rsidP="00244ABB">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Не отговаря на разпоредбите на ЗЕВИ.</w:t>
            </w:r>
          </w:p>
        </w:tc>
      </w:tr>
      <w:tr w:rsidR="00442FEC" w:rsidRPr="00444A55" w:rsidTr="007E0DB9">
        <w:tc>
          <w:tcPr>
            <w:tcW w:w="458" w:type="dxa"/>
          </w:tcPr>
          <w:p w:rsidR="00442FEC" w:rsidRPr="00444A55" w:rsidRDefault="00442FEC" w:rsidP="001F54B4">
            <w:pPr>
              <w:rPr>
                <w:rFonts w:ascii="Times New Roman" w:hAnsi="Times New Roman" w:cs="Times New Roman"/>
                <w:sz w:val="16"/>
                <w:szCs w:val="16"/>
              </w:rPr>
            </w:pPr>
          </w:p>
        </w:tc>
        <w:tc>
          <w:tcPr>
            <w:tcW w:w="2605" w:type="dxa"/>
          </w:tcPr>
          <w:p w:rsidR="00442FEC" w:rsidRPr="00444A55" w:rsidRDefault="00442FEC" w:rsidP="001F54B4">
            <w:pPr>
              <w:rPr>
                <w:rFonts w:ascii="Times New Roman" w:hAnsi="Times New Roman" w:cs="Times New Roman"/>
                <w:b/>
                <w:sz w:val="16"/>
                <w:szCs w:val="16"/>
              </w:rPr>
            </w:pPr>
          </w:p>
        </w:tc>
        <w:tc>
          <w:tcPr>
            <w:tcW w:w="4660" w:type="dxa"/>
          </w:tcPr>
          <w:p w:rsidR="00442FEC" w:rsidRPr="00444A55" w:rsidRDefault="00442FEC" w:rsidP="00244ABB">
            <w:pPr>
              <w:pStyle w:val="BodyText8"/>
              <w:tabs>
                <w:tab w:val="left" w:pos="969"/>
              </w:tabs>
              <w:spacing w:after="0" w:line="269" w:lineRule="exact"/>
              <w:ind w:right="80"/>
              <w:jc w:val="both"/>
              <w:rPr>
                <w:sz w:val="16"/>
                <w:szCs w:val="16"/>
              </w:rPr>
            </w:pPr>
            <w:r w:rsidRPr="00444A55">
              <w:rPr>
                <w:sz w:val="16"/>
                <w:szCs w:val="16"/>
              </w:rPr>
              <w:t xml:space="preserve">Съгласно чл. 44, ал. 1 от Закона за енергията от възобновяеми източници, Министерски съвет с нарочна Наредба се определят условията за реда на набиране и предоставяне на информация от икономическите оператори, включително за мерките, взети за защита на почвите, земите, водите, въздуха и др, за извършване </w:t>
            </w:r>
            <w:r w:rsidRPr="00444A55">
              <w:rPr>
                <w:sz w:val="16"/>
                <w:szCs w:val="16"/>
              </w:rPr>
              <w:lastRenderedPageBreak/>
              <w:t>на одит за съответствие на биогоривата. Важно е да отбележим, че инсталациите участници в ЕСТЕ не са нито производител, нито ползвател на биогориво; Съгласно Раздел II от предложената Наредба- Икономически оператори, операторите участници в ЕСТЕ не попадат в изброените категории за икономически оператор</w:t>
            </w:r>
          </w:p>
        </w:tc>
        <w:tc>
          <w:tcPr>
            <w:tcW w:w="2652" w:type="dxa"/>
          </w:tcPr>
          <w:p w:rsidR="00442FEC" w:rsidRPr="00444A55" w:rsidRDefault="00442FEC" w:rsidP="001F54B4">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442FEC" w:rsidRPr="00444A55" w:rsidRDefault="00442FEC"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 xml:space="preserve">От 1 януари 2023 г. критериите за устойчивост се прилагат съгласно Регламент за изпълнение (ЕС) 2018/2066 на Комисията относно мониторинга и докладването на емисиите на парникови газове Директива 2003/87/ЕО на Европейския парламент и на Съвета,, като чл. 38, пар. </w:t>
            </w:r>
            <w:r w:rsidRPr="00444A55">
              <w:rPr>
                <w:rFonts w:ascii="Times New Roman" w:hAnsi="Times New Roman" w:cs="Times New Roman"/>
                <w:sz w:val="16"/>
                <w:szCs w:val="16"/>
                <w:lang w:eastAsia="zh-CN"/>
              </w:rPr>
              <w:lastRenderedPageBreak/>
              <w:t>5 представлява валидно правно основание за прилагане на критериите за устойчивост на национално ниво.</w:t>
            </w:r>
          </w:p>
        </w:tc>
      </w:tr>
      <w:tr w:rsidR="00442FEC" w:rsidRPr="00444A55" w:rsidTr="007E0DB9">
        <w:tc>
          <w:tcPr>
            <w:tcW w:w="458" w:type="dxa"/>
          </w:tcPr>
          <w:p w:rsidR="00442FEC" w:rsidRPr="00444A55" w:rsidRDefault="00442FEC" w:rsidP="00442FEC">
            <w:pPr>
              <w:rPr>
                <w:rFonts w:ascii="Times New Roman" w:hAnsi="Times New Roman" w:cs="Times New Roman"/>
                <w:sz w:val="16"/>
                <w:szCs w:val="16"/>
              </w:rPr>
            </w:pPr>
          </w:p>
        </w:tc>
        <w:tc>
          <w:tcPr>
            <w:tcW w:w="2605" w:type="dxa"/>
          </w:tcPr>
          <w:p w:rsidR="00442FEC" w:rsidRPr="00444A55" w:rsidRDefault="00442FEC" w:rsidP="00442FEC">
            <w:pPr>
              <w:rPr>
                <w:rFonts w:ascii="Times New Roman" w:hAnsi="Times New Roman" w:cs="Times New Roman"/>
                <w:b/>
                <w:sz w:val="16"/>
                <w:szCs w:val="16"/>
              </w:rPr>
            </w:pPr>
          </w:p>
        </w:tc>
        <w:tc>
          <w:tcPr>
            <w:tcW w:w="4660" w:type="dxa"/>
          </w:tcPr>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Доказателство, че те не попадат в обхвата на наредбата е и изчерпателното изброяване направено от законодателя в чл. 3 от същата, където в десет отделни точки са изброени лицата по чл. 40, ал. 1 от ЗЕВИ, които са икономически оператори по смисъла на закона и наредбата. Всичко, което наредбата има за цел да регламентира и транспонира от европейското законодателство в нея касае тази група от лица, ползващи биомаса за нуждите си, а именно икономически оператори.</w:t>
            </w:r>
          </w:p>
        </w:tc>
        <w:tc>
          <w:tcPr>
            <w:tcW w:w="2652"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442FEC" w:rsidRPr="00444A55" w:rsidRDefault="00442FEC"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 1 януари 2023 г. критериите за устойчивост се прилагат съгласно Регламент за изпълнение (ЕС) 2018/2066 на Комисията относно мониторинга и докладването на емисиите на парникови газове Директива 2003/87/ЕО на Европейския парламент и на Съвета,, като чл. 38, пар. 5 представлява валидно правно основание за прилагане на критериите за устойчивост на национално ниво.</w:t>
            </w:r>
          </w:p>
          <w:p w:rsidR="00442FEC" w:rsidRPr="00444A55" w:rsidRDefault="00442FEC" w:rsidP="00442FEC">
            <w:pPr>
              <w:jc w:val="both"/>
              <w:rPr>
                <w:rFonts w:ascii="Times New Roman" w:hAnsi="Times New Roman" w:cs="Times New Roman"/>
                <w:sz w:val="16"/>
                <w:szCs w:val="16"/>
                <w:lang w:eastAsia="zh-CN"/>
              </w:rPr>
            </w:pPr>
          </w:p>
        </w:tc>
      </w:tr>
      <w:tr w:rsidR="00442FEC" w:rsidRPr="00444A55" w:rsidTr="007E0DB9">
        <w:tc>
          <w:tcPr>
            <w:tcW w:w="458" w:type="dxa"/>
          </w:tcPr>
          <w:p w:rsidR="00442FEC" w:rsidRPr="00444A55" w:rsidRDefault="00442FEC" w:rsidP="00442FEC">
            <w:pPr>
              <w:rPr>
                <w:rFonts w:ascii="Times New Roman" w:hAnsi="Times New Roman" w:cs="Times New Roman"/>
                <w:sz w:val="16"/>
                <w:szCs w:val="16"/>
              </w:rPr>
            </w:pPr>
          </w:p>
        </w:tc>
        <w:tc>
          <w:tcPr>
            <w:tcW w:w="2605" w:type="dxa"/>
          </w:tcPr>
          <w:p w:rsidR="00442FEC" w:rsidRPr="00444A55" w:rsidRDefault="00442FEC" w:rsidP="00442FEC">
            <w:pPr>
              <w:rPr>
                <w:rFonts w:ascii="Times New Roman" w:hAnsi="Times New Roman" w:cs="Times New Roman"/>
                <w:b/>
                <w:sz w:val="16"/>
                <w:szCs w:val="16"/>
              </w:rPr>
            </w:pPr>
          </w:p>
        </w:tc>
        <w:tc>
          <w:tcPr>
            <w:tcW w:w="4660" w:type="dxa"/>
          </w:tcPr>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За издаване и отнемане на сертификатите за съответствие на суровините, биогоривата и течните горива от биомаса и газообразните и твърдите горива от биомаса, възобновяемите течни и газообразни транспортни горива от небиологичен произход - след като същите не са производител нито на биогориво, нито на биомаса, не става ясно, съгласно Наредбата, тези сертификати отнасят ли се за инсталациите от ЕСТЕ. Тук също твърдим, че инсталациите, които ние одитирамераме не произвеждат сами биогориво, нито биомаса, съгласно регламента на наредбата. Затова според нас тези сертификати не следва да се търсят от инсталациите, производители на топлинна или електрическа енергия, както и други такива, които я използват. Следователно и ние като верифициращ орган не би следвало да ги изискваме, като документи за съответствие от дружествата, ползващи подобни суровини.</w:t>
            </w:r>
          </w:p>
        </w:tc>
        <w:tc>
          <w:tcPr>
            <w:tcW w:w="2652"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t>Не се приема.</w:t>
            </w:r>
          </w:p>
        </w:tc>
        <w:tc>
          <w:tcPr>
            <w:tcW w:w="2917" w:type="dxa"/>
            <w:vAlign w:val="center"/>
          </w:tcPr>
          <w:p w:rsidR="00442FEC" w:rsidRPr="00444A55" w:rsidRDefault="00EA7397"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Сертифицират се операторите предоставящи биомаса.</w:t>
            </w:r>
          </w:p>
        </w:tc>
      </w:tr>
      <w:tr w:rsidR="00EA7397" w:rsidRPr="00444A55" w:rsidTr="007E0DB9">
        <w:tc>
          <w:tcPr>
            <w:tcW w:w="458" w:type="dxa"/>
          </w:tcPr>
          <w:p w:rsidR="00EA7397" w:rsidRPr="00444A55" w:rsidRDefault="00EA7397" w:rsidP="00442FEC">
            <w:pPr>
              <w:rPr>
                <w:rFonts w:ascii="Times New Roman" w:hAnsi="Times New Roman" w:cs="Times New Roman"/>
                <w:sz w:val="16"/>
                <w:szCs w:val="16"/>
              </w:rPr>
            </w:pPr>
          </w:p>
        </w:tc>
        <w:tc>
          <w:tcPr>
            <w:tcW w:w="2605" w:type="dxa"/>
          </w:tcPr>
          <w:p w:rsidR="00EA7397" w:rsidRPr="00444A55" w:rsidRDefault="00EA7397" w:rsidP="00442FEC">
            <w:pPr>
              <w:rPr>
                <w:rFonts w:ascii="Times New Roman" w:hAnsi="Times New Roman" w:cs="Times New Roman"/>
                <w:b/>
                <w:sz w:val="16"/>
                <w:szCs w:val="16"/>
              </w:rPr>
            </w:pPr>
          </w:p>
        </w:tc>
        <w:tc>
          <w:tcPr>
            <w:tcW w:w="4660" w:type="dxa"/>
          </w:tcPr>
          <w:p w:rsidR="00EA7397" w:rsidRPr="00444A55" w:rsidRDefault="00EA7397" w:rsidP="00442FEC">
            <w:pPr>
              <w:pStyle w:val="BodyText8"/>
              <w:tabs>
                <w:tab w:val="left" w:pos="969"/>
              </w:tabs>
              <w:spacing w:after="0" w:line="269" w:lineRule="exact"/>
              <w:ind w:right="80"/>
              <w:jc w:val="both"/>
              <w:rPr>
                <w:sz w:val="16"/>
                <w:szCs w:val="16"/>
              </w:rPr>
            </w:pPr>
            <w:r w:rsidRPr="00444A55">
              <w:rPr>
                <w:sz w:val="16"/>
                <w:szCs w:val="16"/>
              </w:rPr>
              <w:t xml:space="preserve">Липсват определения по отношение на биомаса, икономически оператор, ползвател, производител и др., като точното им позоваване следва да е, съгласно определенията в: Директива (ЕС) 2018/2001 на европейския парламент и на Съвета от 11 </w:t>
            </w:r>
            <w:r w:rsidRPr="00444A55">
              <w:rPr>
                <w:sz w:val="16"/>
                <w:szCs w:val="16"/>
              </w:rPr>
              <w:lastRenderedPageBreak/>
              <w:t>декември 2018 година, Директива 2003/87/ЕО на Европейския парламент, Регламент за изпълнение (ЕС) 2018/2066 на Комисията, относно мониторинга и докладването на емисиите на парникови газове. Същите следва да бъдат транспонирани в предложената Наредбата</w:t>
            </w:r>
          </w:p>
        </w:tc>
        <w:tc>
          <w:tcPr>
            <w:tcW w:w="2652" w:type="dxa"/>
          </w:tcPr>
          <w:p w:rsidR="00EA7397" w:rsidRPr="00444A55" w:rsidRDefault="00EA7397"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Приема се.</w:t>
            </w:r>
          </w:p>
        </w:tc>
        <w:tc>
          <w:tcPr>
            <w:tcW w:w="2917" w:type="dxa"/>
            <w:vAlign w:val="center"/>
          </w:tcPr>
          <w:p w:rsidR="00EA7397" w:rsidRPr="00444A55" w:rsidRDefault="00EA7397"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Отразени са.</w:t>
            </w:r>
          </w:p>
        </w:tc>
      </w:tr>
      <w:tr w:rsidR="00EA7397" w:rsidRPr="00444A55" w:rsidTr="007E0DB9">
        <w:tc>
          <w:tcPr>
            <w:tcW w:w="458" w:type="dxa"/>
          </w:tcPr>
          <w:p w:rsidR="00EA7397" w:rsidRPr="00444A55" w:rsidRDefault="00EA7397" w:rsidP="00442FEC">
            <w:pPr>
              <w:rPr>
                <w:rFonts w:ascii="Times New Roman" w:hAnsi="Times New Roman" w:cs="Times New Roman"/>
                <w:sz w:val="16"/>
                <w:szCs w:val="16"/>
              </w:rPr>
            </w:pPr>
          </w:p>
        </w:tc>
        <w:tc>
          <w:tcPr>
            <w:tcW w:w="2605" w:type="dxa"/>
          </w:tcPr>
          <w:p w:rsidR="00EA7397" w:rsidRPr="00444A55" w:rsidRDefault="00EA7397" w:rsidP="00442FEC">
            <w:pPr>
              <w:rPr>
                <w:rFonts w:ascii="Times New Roman" w:hAnsi="Times New Roman" w:cs="Times New Roman"/>
                <w:b/>
                <w:sz w:val="16"/>
                <w:szCs w:val="16"/>
              </w:rPr>
            </w:pPr>
          </w:p>
        </w:tc>
        <w:tc>
          <w:tcPr>
            <w:tcW w:w="4660" w:type="dxa"/>
          </w:tcPr>
          <w:p w:rsidR="00EA7397" w:rsidRPr="00444A55" w:rsidRDefault="00EA7397" w:rsidP="00442FEC">
            <w:pPr>
              <w:pStyle w:val="BodyText8"/>
              <w:tabs>
                <w:tab w:val="left" w:pos="969"/>
              </w:tabs>
              <w:spacing w:after="0" w:line="269" w:lineRule="exact"/>
              <w:ind w:right="80"/>
              <w:jc w:val="both"/>
              <w:rPr>
                <w:sz w:val="16"/>
                <w:szCs w:val="16"/>
              </w:rPr>
            </w:pPr>
            <w:r w:rsidRPr="00444A55">
              <w:rPr>
                <w:sz w:val="16"/>
                <w:szCs w:val="16"/>
              </w:rPr>
              <w:t>Съществен проблем е и, че предложената Наредба не дава яснота по отношение на това задължените лица, какви доказателства следва да представят за доказване на критериите за устойчивост за биомаса, използваща се в инсталациите като гориво за производство на топлинна и електроенергия, керамика , целулоза, цимент? Т.е лицата, ползващи различни биомаси за горива, не са Икономически оператори и на тях определено не може да се предоставя финансова подкрепа и действието на наредбата не би следвало да се разпростира върху тях, но това не е така, защото МОСВ и ИАОС твърдят, че с доклада за ЕПГ за 2023г. следва да се следи и най - вече докаже изпълнение на критериите за устойчивост на използваната биомаса, за да бъдат приети за нулеви емисиите от изгарянето й. Важен момент е също, че съгласно чл. 37, ал. 1 на критериите за устойчивост и на критериите за намаление на емисиите на парникови газове следва да отгаварят биогоривата, течните горива от биомаса и газообразните горива от биомоса, произведени от отпадъци и остатъци от земеделски земи. Отново отворен въпрос, какви следва да са тези доказателства, въз основа на които ние следава да направим нашата проверка и трябва ли ние като верифициращ орган да търсим подобни доказателства, след като инсталациите, които проверяваме не попадат в обхвата на наредбата и не използват описаните биогорива за своите нужди.</w:t>
            </w:r>
          </w:p>
        </w:tc>
        <w:tc>
          <w:tcPr>
            <w:tcW w:w="2652" w:type="dxa"/>
          </w:tcPr>
          <w:p w:rsidR="00EA7397" w:rsidRPr="00444A55" w:rsidRDefault="00EA7397" w:rsidP="00442FEC">
            <w:pPr>
              <w:rPr>
                <w:rFonts w:ascii="Times New Roman" w:hAnsi="Times New Roman" w:cs="Times New Roman"/>
                <w:sz w:val="16"/>
                <w:szCs w:val="16"/>
              </w:rPr>
            </w:pPr>
            <w:r w:rsidRPr="00444A55">
              <w:rPr>
                <w:rFonts w:ascii="Times New Roman" w:hAnsi="Times New Roman" w:cs="Times New Roman"/>
                <w:sz w:val="16"/>
                <w:szCs w:val="16"/>
              </w:rPr>
              <w:t>Приема се.</w:t>
            </w:r>
          </w:p>
        </w:tc>
        <w:tc>
          <w:tcPr>
            <w:tcW w:w="2917" w:type="dxa"/>
            <w:vAlign w:val="center"/>
          </w:tcPr>
          <w:p w:rsidR="00EA7397" w:rsidRPr="00444A55" w:rsidRDefault="00EA7397"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Отразени са.</w:t>
            </w:r>
          </w:p>
        </w:tc>
      </w:tr>
      <w:tr w:rsidR="00EA7397" w:rsidRPr="00444A55" w:rsidTr="007E0DB9">
        <w:tc>
          <w:tcPr>
            <w:tcW w:w="458" w:type="dxa"/>
          </w:tcPr>
          <w:p w:rsidR="00EA7397" w:rsidRPr="00444A55" w:rsidRDefault="00EA7397" w:rsidP="00442FEC">
            <w:pPr>
              <w:rPr>
                <w:rFonts w:ascii="Times New Roman" w:hAnsi="Times New Roman" w:cs="Times New Roman"/>
                <w:sz w:val="16"/>
                <w:szCs w:val="16"/>
              </w:rPr>
            </w:pPr>
          </w:p>
        </w:tc>
        <w:tc>
          <w:tcPr>
            <w:tcW w:w="2605" w:type="dxa"/>
          </w:tcPr>
          <w:p w:rsidR="00EA7397" w:rsidRPr="00444A55" w:rsidRDefault="00EA7397" w:rsidP="00442FEC">
            <w:pPr>
              <w:rPr>
                <w:rFonts w:ascii="Times New Roman" w:hAnsi="Times New Roman" w:cs="Times New Roman"/>
                <w:b/>
                <w:sz w:val="16"/>
                <w:szCs w:val="16"/>
              </w:rPr>
            </w:pPr>
          </w:p>
        </w:tc>
        <w:tc>
          <w:tcPr>
            <w:tcW w:w="4660" w:type="dxa"/>
          </w:tcPr>
          <w:p w:rsidR="00EA7397" w:rsidRPr="00444A55" w:rsidRDefault="00EA7397" w:rsidP="00442FEC">
            <w:pPr>
              <w:pStyle w:val="BodyText8"/>
              <w:tabs>
                <w:tab w:val="left" w:pos="969"/>
              </w:tabs>
              <w:spacing w:after="0" w:line="269" w:lineRule="exact"/>
              <w:ind w:right="80"/>
              <w:jc w:val="both"/>
              <w:rPr>
                <w:sz w:val="16"/>
                <w:szCs w:val="16"/>
              </w:rPr>
            </w:pPr>
            <w:r w:rsidRPr="00444A55">
              <w:rPr>
                <w:sz w:val="16"/>
                <w:szCs w:val="16"/>
              </w:rPr>
              <w:t xml:space="preserve">Действащият и към момента чл. 11 от същата предвижда Икономическите оператори /земеделски стопани, събирачи на отпадъци и т.н./ да паддържат система за масов баланс по чл. 42 ЗЕВИ и да осигуряват проследимост на всяка партида суровини, биогорива и течни горива от биомаса. Освен, че системата за </w:t>
            </w:r>
            <w:r w:rsidRPr="00444A55">
              <w:rPr>
                <w:sz w:val="16"/>
                <w:szCs w:val="16"/>
              </w:rPr>
              <w:lastRenderedPageBreak/>
              <w:t>масов баланс по чл. 11 трябва да удостоверява ред обстоятелства с предложеното допълнение, тя трябва и да „гарантира, че всяка партида се отчита само веднъж при изчисляването на брутното крайно потребление на енергия от възобновяеми източници в сектор електрическа енергия, сектор топлинна енергия и енергия за охлаждане и сектор транспорт и е налице информация дали за производството за тази партида е била представена подкрепа и ако това е така - вида на схемата за подкрепа“. Абсолютно неясно е как десетките хиляди земеделски стопани в страната ще създадат подобна организация за създаване на горната система. И след като към момента очевидно няма и не работи следва ли ние като верифициращ орган да търсим подобна информация и да изискваме от нашите контрагенти да я изискват.</w:t>
            </w:r>
          </w:p>
        </w:tc>
        <w:tc>
          <w:tcPr>
            <w:tcW w:w="2652" w:type="dxa"/>
          </w:tcPr>
          <w:p w:rsidR="00EA7397" w:rsidRPr="00444A55" w:rsidRDefault="00595599"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EA7397" w:rsidRPr="00444A55" w:rsidRDefault="00EA7397"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Няма конкретни предложения.</w:t>
            </w:r>
          </w:p>
        </w:tc>
      </w:tr>
      <w:tr w:rsidR="00EA7397" w:rsidRPr="00444A55" w:rsidTr="007E0DB9">
        <w:tc>
          <w:tcPr>
            <w:tcW w:w="458" w:type="dxa"/>
          </w:tcPr>
          <w:p w:rsidR="00EA7397" w:rsidRPr="00444A55" w:rsidRDefault="00EA7397" w:rsidP="00442FEC">
            <w:pPr>
              <w:rPr>
                <w:rFonts w:ascii="Times New Roman" w:hAnsi="Times New Roman" w:cs="Times New Roman"/>
                <w:sz w:val="16"/>
                <w:szCs w:val="16"/>
              </w:rPr>
            </w:pPr>
          </w:p>
        </w:tc>
        <w:tc>
          <w:tcPr>
            <w:tcW w:w="2605" w:type="dxa"/>
          </w:tcPr>
          <w:p w:rsidR="00EA7397" w:rsidRPr="00444A55" w:rsidRDefault="00EA7397" w:rsidP="00442FEC">
            <w:pPr>
              <w:rPr>
                <w:rFonts w:ascii="Times New Roman" w:hAnsi="Times New Roman" w:cs="Times New Roman"/>
                <w:b/>
                <w:sz w:val="16"/>
                <w:szCs w:val="16"/>
              </w:rPr>
            </w:pPr>
          </w:p>
        </w:tc>
        <w:tc>
          <w:tcPr>
            <w:tcW w:w="4660" w:type="dxa"/>
          </w:tcPr>
          <w:p w:rsidR="00EA7397" w:rsidRPr="00444A55" w:rsidRDefault="00EA7397" w:rsidP="00EA7397">
            <w:pPr>
              <w:pStyle w:val="BodyText8"/>
              <w:tabs>
                <w:tab w:val="left" w:pos="969"/>
              </w:tabs>
              <w:spacing w:after="0" w:line="269" w:lineRule="exact"/>
              <w:ind w:right="80"/>
              <w:jc w:val="both"/>
              <w:rPr>
                <w:sz w:val="16"/>
                <w:szCs w:val="16"/>
              </w:rPr>
            </w:pPr>
            <w:r w:rsidRPr="00444A55">
              <w:rPr>
                <w:sz w:val="16"/>
                <w:szCs w:val="16"/>
              </w:rPr>
              <w:t>В чл. 19 ал. 3 от наредбата отново е поставено изискване, без законодателят да дава рационално решение: „Информацията относно географския произход и вида на използваните и твърдите горива от биомаса на всеки доставчик на гориво се предоставя на потребителите чрез уебсайтовете на икономическите оператори и се актуализа ежегодно.“ Ако инсталациите, които ние одитираме са потребители на такива суровини, на такива твърдите горива от биомаса, но за тях никой не поддържа такава информация и подобни сайтове, означава ли, че тази продукция няма устойчив произход?</w:t>
            </w:r>
          </w:p>
          <w:p w:rsidR="00EA7397" w:rsidRPr="00444A55" w:rsidRDefault="00EA7397" w:rsidP="00EA7397">
            <w:pPr>
              <w:pStyle w:val="BodyText8"/>
              <w:tabs>
                <w:tab w:val="left" w:pos="969"/>
              </w:tabs>
              <w:spacing w:after="0" w:line="269" w:lineRule="exact"/>
              <w:ind w:right="80"/>
              <w:jc w:val="both"/>
              <w:rPr>
                <w:sz w:val="16"/>
                <w:szCs w:val="16"/>
              </w:rPr>
            </w:pPr>
            <w:r w:rsidRPr="00444A55">
              <w:rPr>
                <w:sz w:val="16"/>
                <w:szCs w:val="16"/>
              </w:rPr>
              <w:t xml:space="preserve">Всички тези неясноти правят много трудно приложението на така предложената наредбата. Същата ще доведе до объркване и хаос. Законодателят следва да помисли за улеснения, относно всички тези изисквания, които вменява като отговорност на всички заинтересовни лица по нея. Повечето от тях не разполагат с административен капацитет, който да използват, за да я прилагат на практика. Така пък от друга страна ще се затрудни и работата на всички други лица по веригата, които също са свързани с нейното приложение на практика. Ние като </w:t>
            </w:r>
            <w:r w:rsidRPr="00444A55">
              <w:rPr>
                <w:sz w:val="16"/>
                <w:szCs w:val="16"/>
              </w:rPr>
              <w:lastRenderedPageBreak/>
              <w:t>верифициращ орган, също оставаме по-скоро затруднени от нейното разбиране, тълкуване и прилагане на практика. Оставаме с впечатление, че компетентните органи, като МОСВ и ИАОС също нямат конкретен отговор на много от въпросите, които се повдигат с транспонирането на това европейското законодателство по този начин. Ето защо според нас е добре да се помисли, за отлагане на действието й във времето, като по този начин ще се даде възможност на всички заинтересовани страни да се запознаят с нея. Ако всички тези изисквания останат, по този начин икономическите оператори и не само ще имат възможност да ги приложат на практика и внедрят в своята работа.</w:t>
            </w:r>
          </w:p>
        </w:tc>
        <w:tc>
          <w:tcPr>
            <w:tcW w:w="2652" w:type="dxa"/>
          </w:tcPr>
          <w:p w:rsidR="00EA7397" w:rsidRPr="00444A55" w:rsidRDefault="00595599"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EA7397" w:rsidRPr="00444A55" w:rsidRDefault="00EA7397"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Няма конкретни предложения.</w:t>
            </w:r>
          </w:p>
        </w:tc>
      </w:tr>
      <w:tr w:rsidR="00EA7397" w:rsidRPr="00444A55" w:rsidTr="007E0DB9">
        <w:tc>
          <w:tcPr>
            <w:tcW w:w="458" w:type="dxa"/>
          </w:tcPr>
          <w:p w:rsidR="00EA7397" w:rsidRPr="00444A55" w:rsidRDefault="00EA7397" w:rsidP="00442FEC">
            <w:pPr>
              <w:rPr>
                <w:rFonts w:ascii="Times New Roman" w:hAnsi="Times New Roman" w:cs="Times New Roman"/>
                <w:sz w:val="16"/>
                <w:szCs w:val="16"/>
              </w:rPr>
            </w:pPr>
          </w:p>
        </w:tc>
        <w:tc>
          <w:tcPr>
            <w:tcW w:w="2605" w:type="dxa"/>
          </w:tcPr>
          <w:p w:rsidR="00EA7397" w:rsidRPr="00444A55" w:rsidRDefault="00EA7397" w:rsidP="00442FEC">
            <w:pPr>
              <w:rPr>
                <w:rFonts w:ascii="Times New Roman" w:hAnsi="Times New Roman" w:cs="Times New Roman"/>
                <w:b/>
                <w:sz w:val="16"/>
                <w:szCs w:val="16"/>
              </w:rPr>
            </w:pPr>
          </w:p>
        </w:tc>
        <w:tc>
          <w:tcPr>
            <w:tcW w:w="4660" w:type="dxa"/>
          </w:tcPr>
          <w:p w:rsidR="00EA7397" w:rsidRPr="00444A55" w:rsidRDefault="00EA7397" w:rsidP="00EA7397">
            <w:pPr>
              <w:pStyle w:val="BodyText8"/>
              <w:tabs>
                <w:tab w:val="left" w:pos="969"/>
              </w:tabs>
              <w:spacing w:after="0" w:line="269" w:lineRule="exact"/>
              <w:ind w:right="80"/>
              <w:jc w:val="both"/>
              <w:rPr>
                <w:sz w:val="16"/>
                <w:szCs w:val="16"/>
              </w:rPr>
            </w:pPr>
            <w:r w:rsidRPr="00444A55">
              <w:rPr>
                <w:sz w:val="16"/>
                <w:szCs w:val="16"/>
              </w:rPr>
              <w:t>Във връзка с горното правим и друго предложение:</w:t>
            </w:r>
          </w:p>
          <w:p w:rsidR="00EA7397" w:rsidRPr="00444A55" w:rsidRDefault="00EA7397" w:rsidP="00EA7397">
            <w:pPr>
              <w:pStyle w:val="BodyText8"/>
              <w:tabs>
                <w:tab w:val="left" w:pos="969"/>
              </w:tabs>
              <w:spacing w:after="0" w:line="269" w:lineRule="exact"/>
              <w:ind w:right="80"/>
              <w:jc w:val="both"/>
              <w:rPr>
                <w:sz w:val="16"/>
                <w:szCs w:val="16"/>
              </w:rPr>
            </w:pPr>
            <w:r w:rsidRPr="00444A55">
              <w:rPr>
                <w:sz w:val="16"/>
                <w:szCs w:val="16"/>
              </w:rPr>
              <w:t>Предвид всички неточности и липса на конкретика и относно създалата се неяснота относно суровина и биомаса да се разделят „икономически оператор“ и „оператор, участник в ЕСТЕ“, като Наредбата се допълни и в нея се създаде нарочна Декларация за произход за участниците в ЕСТЕ, която да е съгласно критерии на Директива (ЕС) 2018/2001 на европейския парламент и на Съвета от 11 декември 2018 година</w:t>
            </w:r>
          </w:p>
        </w:tc>
        <w:tc>
          <w:tcPr>
            <w:tcW w:w="2652" w:type="dxa"/>
          </w:tcPr>
          <w:p w:rsidR="00EA7397" w:rsidRPr="00444A55" w:rsidRDefault="00EA7397" w:rsidP="001239FE">
            <w:pPr>
              <w:rPr>
                <w:rFonts w:ascii="Times New Roman" w:hAnsi="Times New Roman" w:cs="Times New Roman"/>
                <w:sz w:val="16"/>
                <w:szCs w:val="16"/>
              </w:rPr>
            </w:pPr>
            <w:r w:rsidRPr="00444A55">
              <w:rPr>
                <w:rFonts w:ascii="Times New Roman" w:hAnsi="Times New Roman" w:cs="Times New Roman"/>
                <w:sz w:val="16"/>
                <w:szCs w:val="16"/>
              </w:rPr>
              <w:t>Приема се.</w:t>
            </w:r>
          </w:p>
        </w:tc>
        <w:tc>
          <w:tcPr>
            <w:tcW w:w="2917" w:type="dxa"/>
            <w:vAlign w:val="center"/>
          </w:tcPr>
          <w:p w:rsidR="00EA7397" w:rsidRPr="00444A55" w:rsidRDefault="00EA7397" w:rsidP="00442FEC">
            <w:pPr>
              <w:jc w:val="both"/>
              <w:rPr>
                <w:rFonts w:ascii="Times New Roman" w:hAnsi="Times New Roman" w:cs="Times New Roman"/>
                <w:sz w:val="16"/>
                <w:szCs w:val="16"/>
                <w:lang w:eastAsia="zh-CN"/>
              </w:rPr>
            </w:pPr>
          </w:p>
        </w:tc>
      </w:tr>
      <w:tr w:rsidR="00442FEC" w:rsidRPr="00444A55" w:rsidTr="007E0DB9">
        <w:tc>
          <w:tcPr>
            <w:tcW w:w="458"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t>10</w:t>
            </w:r>
          </w:p>
        </w:tc>
        <w:tc>
          <w:tcPr>
            <w:tcW w:w="2605" w:type="dxa"/>
          </w:tcPr>
          <w:p w:rsidR="00442FEC" w:rsidRPr="00444A55" w:rsidRDefault="00442FEC" w:rsidP="00442FEC">
            <w:pPr>
              <w:rPr>
                <w:rFonts w:ascii="Times New Roman" w:hAnsi="Times New Roman" w:cs="Times New Roman"/>
                <w:b/>
                <w:sz w:val="16"/>
                <w:szCs w:val="16"/>
              </w:rPr>
            </w:pPr>
            <w:r w:rsidRPr="00444A55">
              <w:rPr>
                <w:rFonts w:ascii="Times New Roman" w:hAnsi="Times New Roman" w:cs="Times New Roman"/>
                <w:b/>
                <w:sz w:val="16"/>
                <w:szCs w:val="16"/>
              </w:rPr>
              <w:t>Солвей Соди АД</w:t>
            </w:r>
          </w:p>
        </w:tc>
        <w:tc>
          <w:tcPr>
            <w:tcW w:w="4660" w:type="dxa"/>
          </w:tcPr>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След като се запознахме с предлаганите изменения и допълнения на Наредбата за критериите за устойчивост на биогоривата и течните горива от биомаса (Наредбата), в законоустановения срок представяме пред Министерство на околната среда и водите становището си заедно с мотивирани предложения за допълването й.</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На първо място и като фактическа обстановка за направените от "Солвей Соди" АД предложения, бихме желали да отбележим, че на територията на Европейския съюз се увеличава промишленото използване на усъвършенствани суровини от биомаса от ново поколение за енергийни и неенергийни  цели, които не отговарят на определението за горива, посочено в </w:t>
            </w:r>
            <w:r w:rsidRPr="00444A55">
              <w:rPr>
                <w:sz w:val="16"/>
                <w:szCs w:val="16"/>
              </w:rPr>
              <w:lastRenderedPageBreak/>
              <w:t>Директива 2003/96/ЕО относно преструктурирането на правната рамката на Общността за данъчно облагане на енергийните продукти и електроенергията. Например продуктите с кодове по КН 4401, 4402 и 2703, могат да се използват като твърди или газообразни „горива" и могат да се влагат като изходни суровини в промишлен процес, но не са горива за производство на енергия. Те не подлежат на наблюдение и докладване за целите на Директива 2003/87/ЕО. Същевременно, обаче, тези суровини са с нулева стойност на емисионните си фактори и употребата им води до заместване на изкопаеми горива в промишлените процеси, съответно и до редукция на емитираните парникови газове. Тази употреба създава нова добавена стойност на процесите и води до намаляване на въглеродния отпечатък на произвежданите продукти, като запазва конкурентоспособността на операторите на инсталациите.</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В допълнение, промишлената не-енергийна употреба на тези суровини намалява зависимостта на държавата от използването на изкопаеми горива.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Освен това, с Директива (ЕС) 2023/2413 на Европейския парламент и на Съвета от 18.10.2023 г. за изменение на Директива (ЕС)2018/2001, Регламент (ЕС) 2018/1999 и Директива 98/70/ЕО по отношение на насърчаването на енергията от възобновяеми източници и за отмяна на Директива (ЕС) 2015/652 на Съвета, на държавите-членки, включително и на България, се налага задължение за увеличаване на дела на възобновяемите източници в количеството енергийни източници, използвани за крайни енергийни и неенергийни цели в промишления сектор. Преджиданото индикативно увеличение е от поне 1,6 процентни пункта средно за година, изчислен за периодите 2021—2025 г. и 2026—2030 г. Задълженията ще следва да бъдат определени с преработения интегриран национален план за енергетика и климат, като следва да се </w:t>
            </w:r>
            <w:r w:rsidRPr="00444A55">
              <w:rPr>
                <w:sz w:val="16"/>
                <w:szCs w:val="16"/>
              </w:rPr>
              <w:lastRenderedPageBreak/>
              <w:t>докладва за напредъка на изпълнението им.</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Предвижда се и че при разработването на схеми за подпомагане за биоенергията, държавите членки следва да вземат предвид наличните доставки на устойчива биомаса за енергийна и неенергийна употреба и поддържането на националните горски въглеродни поглътители и екосистеми.</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Предвид че гореописаните суровини не представляват горива, те не следва да подлежат на последваща сертификация, мониторинг и контрол по реда на Наредбата. Това ще означава, че употребата им ще продължава да се отчита от операторите по реда на Наредба за реда и начина за издаване и преразглеждане на разрешителни за емисии на парникови газове от инсталации и за осъществяване на мониторинг от операторите на инсталации и авиационните оператори, участващи в Европейската схема за търговия с емисии, доколкото в Регламент за изпълнение (ЕС) 2018/2066 относно мониторинга и докладването на емисиите на парникови газове съгласно Директива 2003/87/ЕО на Европейския парламент и на Съвета съществуват правила за това. Предвид че операторите вече изпълняват задълженията си за отчитане и докладване, не следва да им се налагат дублиращи задължения, които създават ненужни административни и финансови тежести.</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Предлагаме да отпадне предложената разпоредба за чл. 5, ал. 5 от проекта за изменение на Наредбата, поради противоречие с актове от висш нормативен порядък. Съображенията ни за това са, че редът, по който дадена инсталация се счита за въведена в експлоатация, е изчерпателно уреден със 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Закона за устройство на територията и подзаконовите актове по прилагането му, а функционалните проби, изпитвания и изпитания - със Закона за енергетиката и подзаконовите актове по прилагането му.</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Представяме предложенията за допълнение в приложение и </w:t>
            </w:r>
            <w:r w:rsidRPr="00444A55">
              <w:rPr>
                <w:sz w:val="16"/>
                <w:szCs w:val="16"/>
              </w:rPr>
              <w:lastRenderedPageBreak/>
              <w:t>оставаме на разположение за дискусия и предоставяне на допълнителни мотиви при необходимост.</w:t>
            </w:r>
          </w:p>
        </w:tc>
        <w:tc>
          <w:tcPr>
            <w:tcW w:w="2652"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442FEC" w:rsidRPr="00444A55" w:rsidRDefault="00442FEC" w:rsidP="00442FEC">
            <w:pPr>
              <w:jc w:val="both"/>
              <w:rPr>
                <w:rFonts w:ascii="Times New Roman" w:hAnsi="Times New Roman" w:cs="Times New Roman"/>
                <w:sz w:val="16"/>
                <w:szCs w:val="16"/>
                <w:lang w:eastAsia="zh-CN"/>
              </w:rPr>
            </w:pPr>
            <w:r w:rsidRPr="00444A55">
              <w:rPr>
                <w:rFonts w:ascii="Times New Roman" w:eastAsia="Times New Roman" w:hAnsi="Times New Roman" w:cs="Times New Roman"/>
                <w:color w:val="000000"/>
                <w:sz w:val="16"/>
                <w:szCs w:val="16"/>
                <w:lang w:eastAsia="bg-BG"/>
              </w:rPr>
              <w:t>Критерии за устойчивост по Наредбата се доказват само за биомасата (в т. ч. и дървесина), използвана като гориво, а не като суровина за производство на краен продукт.</w:t>
            </w:r>
            <w:r w:rsidRPr="00444A55">
              <w:rPr>
                <w:sz w:val="16"/>
                <w:szCs w:val="16"/>
              </w:rPr>
              <w:t xml:space="preserve"> </w:t>
            </w:r>
            <w:r w:rsidRPr="00444A55">
              <w:rPr>
                <w:rFonts w:ascii="Times New Roman" w:eastAsia="Times New Roman" w:hAnsi="Times New Roman" w:cs="Times New Roman"/>
                <w:color w:val="000000"/>
                <w:sz w:val="16"/>
                <w:szCs w:val="16"/>
                <w:lang w:eastAsia="bg-BG"/>
              </w:rPr>
              <w:t>В този смисъл, изложените в становището хипотези не попадат в обхвата и съответно не се уреждат от Наредбата</w:t>
            </w:r>
          </w:p>
        </w:tc>
      </w:tr>
      <w:tr w:rsidR="00442FEC" w:rsidRPr="00444A55" w:rsidTr="007E0DB9">
        <w:tc>
          <w:tcPr>
            <w:tcW w:w="458"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11</w:t>
            </w:r>
          </w:p>
        </w:tc>
        <w:tc>
          <w:tcPr>
            <w:tcW w:w="2605" w:type="dxa"/>
          </w:tcPr>
          <w:p w:rsidR="00442FEC" w:rsidRPr="00444A55" w:rsidRDefault="00442FEC" w:rsidP="00442FEC">
            <w:pPr>
              <w:rPr>
                <w:rFonts w:ascii="Times New Roman" w:hAnsi="Times New Roman" w:cs="Times New Roman"/>
                <w:b/>
                <w:sz w:val="16"/>
                <w:szCs w:val="16"/>
              </w:rPr>
            </w:pPr>
            <w:r w:rsidRPr="00444A55">
              <w:rPr>
                <w:rFonts w:ascii="Times New Roman" w:hAnsi="Times New Roman" w:cs="Times New Roman"/>
                <w:b/>
                <w:sz w:val="16"/>
                <w:szCs w:val="16"/>
              </w:rPr>
              <w:t>Агрополихим АД</w:t>
            </w:r>
          </w:p>
        </w:tc>
        <w:tc>
          <w:tcPr>
            <w:tcW w:w="4660" w:type="dxa"/>
          </w:tcPr>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Съгласно чл. 288 от ДФЕС, директивата обвързва по отношение на постигането на даден резултат държавите-членки, до които е адресирана, като оставя на националните власти свобода при избора на формата и средствата за постигане на този резултат.</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Понастоящем Република България не е изпълнила задължението си да хармонизира вътрешното си законодателство с изискванията на Директива (ЕС) 2018/2001 за насърчаване използването на енергия от възобновяеми източници (т. н. RED II), доколкото е налице само частично транспониране в Закона за енергията от възобновяеми източници (ЗЕВИ).</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Биогоривата, течните горива от биомаса и газообразните и твърдите горива от биомаса, които се използват за постигане на съответствие с целта на Съюза, установена в Директива RED II („Директива/та“), както и тези, които ползват схеми за подпомагане, следва задължително да отговарят на критериите за устойчивост и за намаление на емисиите на парникови газове.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Директивата, като законодателен акт, предвиден в ДФЕС, е задължителна в своята цялост. За целите на проверката за съответствие с критериите за устойчивост и за намаляване на емисиите на парникови газове, в нея се предвижда, че когато биогорива, течни горива от биомаса и газообразни и твърди горива от биомаса или други горива се отчитат за целите, посочени в член 29, параграф 1, първа алинея, букви а), б) и в), държавите членки изискват от икономическите оператори да покажат, че са изпълнени установените в член 29, параграфи 2 — 7 и параграф 10 критерии за устойчивост и за намаление на емисиите на парникови газове.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В този смисъл въпреки свободата, дадена на държавите-членки за постигане резултата на Директивата, в сега действащата </w:t>
            </w:r>
            <w:r w:rsidRPr="00444A55">
              <w:rPr>
                <w:sz w:val="16"/>
                <w:szCs w:val="16"/>
              </w:rPr>
              <w:lastRenderedPageBreak/>
              <w:t xml:space="preserve">национална нормативна уредба, както в ЗЕВИ, така и в Наредбата за критериите за устойчивост на биогоривата и течните биогорива от биомаса („Наредба/та“), не е предвидена възможност операторите на инсталации за производство на енергия с изгаряне на биогорива, течни горива от биомаса и газообразни и твърди горива от биомаса, участващи в Европейската схема за търговия с емисии (ЕСТЕ) в хипотезите, в които не могат да се идентифицират като икономически оператор по смисъла на чл. 40, ал. 1 ЗЕВИ, да контролират, респ. да управляват дейността си по отношение на съответствието й с изискванията на Глава четвърта на Закона за ограничаване изменението на климата (ЗОИК), поставяйки ги в значителна степен в положение на зависимост от икономическите оператори, изброени изчерпателно в чл. 3 от Наредбата.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В светлината на изложеното, практически мислимо е икономическите интереси на оператор на инсталация за производство на енергия с изгаряне на биогорива, течни горива от биомаса и газообразни и твърди горива от биомаса - участник в ЕСТЕ за привеждане на собствената му стопанска дейност в хармония с критериите за устойчивост на използваните от него биогорива, течни горива от биомаса и газообразни и твърди горива от биомаса да вземат превес над стимула за постигане на същото съответствие на лицата, които произвеждат, внасят и/или въвеждат суровини за производство на такива биогорива, течни горива от биомаса и газообразни и твърди горива от биомаса, и на лицата, които пускат на пазара такива биогорива, течни горива от биомаса и газообразни и твърди горива от биомаса за крайна употреба, дефинирани като икономически оператори съгласно Наредбата.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В този смисъл и доколкото за постигане на целта на ЕС, установена с Директива RED II, биогоривата, течните горива от биомаса и газообразните и твърдите горива от биомаса, следва задължително да отговарят на критериите за устойчивост и за </w:t>
            </w:r>
            <w:r w:rsidRPr="00444A55">
              <w:rPr>
                <w:sz w:val="16"/>
                <w:szCs w:val="16"/>
              </w:rPr>
              <w:lastRenderedPageBreak/>
              <w:t xml:space="preserve">намаление на емисиите на парникови газове, то в Наредбата следва да се предвиди възможност за операторите на инсталации за производство на енергия с изгаряне на биогорива, течни горива от биомаса и газообразни и твърди горива от биомаса - участници в ЕСТЕ (непопадащи в дефинираните категории икономически оператори по чл. 3 от Наредбата) самостоятелно да доказват съответствието на използваните от тях биогорива, течни горива от биомаса и газообразни и твърди горива от биомаса с дефинираните критерии за устойчивост и за намаление на емисиите на парникови газове за целите на задълженията си за мониторинг, докладване и верификация на емисиите на парникови газове от дейността на инсталацията.  Подобно разширяване на кръга на задължените субекти по Наредбата ще позволи на операторите на инсталации за производство на енергия с изгаряне на биогорива, течни горива от биомаса и газообразни и твърди горива от биомаса - участници в ЕСТЕ да управляват и контролират стопанската си дейност в съответствие с изискванията на RED II Директивата автономно и независимо от волята и материалния интерес на икономическите оператори по чл. 3 от Наредбата.A fortiori подобно законодателно решение може да намери своето основание в мотивите за приемане на Директивата от Европейския парламент и Съвета на ЕС, почиващи на опита и практическата полза от доброволните схеми за проверка спазването на критериите за устойчивост от една страна и успешното му приложение в редица държави членки – от друга.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В унисон с горното, в предоставените от Европейската Комисия насоки в Guidance Document</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Biomass issues in the EU ETS, MRR Guidance document No. 3, актуализирана версия от 17 октомври 2022 (т. 3.4.) са предвидени три възможни подхода на икономическите оператори за доказване съответствието на биогоривата, течните горива от биомаса и газообразните и твърди горива от биомаса </w:t>
            </w:r>
            <w:r w:rsidRPr="00444A55">
              <w:rPr>
                <w:sz w:val="16"/>
                <w:szCs w:val="16"/>
              </w:rPr>
              <w:lastRenderedPageBreak/>
              <w:t>с критериите за устойчивост и за намаляване на емисиите на парникови газове. В българското законодателство първите два подхода са обективирани в разпоредбите на чл. 39 ЗЕВИ и чл. 7 от Наредбата и предвиждат прилагане на признати от ЕК доброволни национални или международни схеми за въвеждане на стандарти за производство на биогорива, течни горива от биомаса и газообразни и твърди горива от биомаса (схеми за сертифициране). Третият подход, който по настоящем не е обективиран в Наредбата, нито в проекта на ПМС за нейното изменение и допълнение, дава възможност операторът самостоятелно да събере и предостави цялата необходима доказателствена информация за съответствието на употребяваните от него биогорива, течни горива от биомаса и газообразни и твърди горива от биомаса с критериите за устойчивост и за намаляване на емисиите на парникови газове, като тази информация подлежи на задължително одитиране (съгласно изискванията на чл. 30, параграф 3 от Директива RED II).</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За да бъде прилаган такъв подход на самостоятелно извършване на оценка за съответствие с критериите за устойчивост и за намаляване на емисиите на парникови газове, той трябва да бъде възприет от компетентната държавна администрация на страната-членка и законодателно регламентиран в съответен нормативен акт, включително да бъдат установени правила за прилагането му. За операторите на инсталации за производство на енергия с изгаряне на биогорива, течни горива от биомаса и газообразни и твърди горива от биомаса - участници в ЕСТЕ (непопадащи в дефинираните категории икономически оператори по чл. 3 от Наредбата) подходът на самостоятелно извършване на оценката за съответствие с критериите за устойчивост и за намаляване на емисиите на парникови газове е единствената възможност за изпълнение на задълженията на оператора, кумулативно вменени с изискванията на ЗЕВИ (чл. 37) и ЗОИК (чл. 35), когато не може да бъде установено </w:t>
            </w:r>
            <w:r w:rsidRPr="00444A55">
              <w:rPr>
                <w:sz w:val="16"/>
                <w:szCs w:val="16"/>
              </w:rPr>
              <w:lastRenderedPageBreak/>
              <w:t xml:space="preserve">съответствие с критериите за устойчивост посредством сертификационни схеми поради нежелание и/или невъзможност на икономическите оператори да прилагат такива.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Този подход е възприет от редица държави-членки и регламентиран в съответни нормативни актове и ръководни насоки (напр. Кралство Нидерландия, Verification Protocol for Sustainable Biomass | Demonstrating compliance with the RED II sustainability criteria for the SDE++ Scheme and EU-ETS, Commissioned by the Ministry of Economic Affairs and Climate Policy, January 2023 version 3.0) и представлява добра практика за проверка спазването на критериите за устойчивост, насочена към бизнес операторите, които попадат в обхвата на ЕСТЕ и изгаряйки специфични видове биомаса, трябва да удостоверят спазването на критериите за устойчивост, за да отчетат конкретния горивен поток с нулеви емисии на парникови газове.</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 оглед на изложените мотивирани аргументи, отправяме следните предложения за допълване на текстовете в проекта на ПМС за изменение и допълнение на Наредбата за критериите за устойчивост на биогоривата и течните биогорива от биомаса: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Чл. 4 се изменя така: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нова ал. 4:</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„(4) Операторите на инсталации за производство на енергия с изгаряне на биогорива, течни горива от биомаса и газообразни и твърди горива от биомаса - участници в Европейската схема за търговия с емисии, които не са икономически оператори по чл. 3, осигуряват доказателства за спазването на критериите за устойчивост по чл. 5 и 6 за използваните биогорива, течни горива от биомаса и газообразни и твърди горива от биомаса.“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нова ал. 5:</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„(5) Доказателствата по ал. 4 могат да бъдат осигурени по реда на чл. 7, ал. 1 или чрез самостоятелно извършване на оценка за </w:t>
            </w:r>
            <w:r w:rsidRPr="00444A55">
              <w:rPr>
                <w:sz w:val="16"/>
                <w:szCs w:val="16"/>
              </w:rPr>
              <w:lastRenderedPageBreak/>
              <w:t>съответствие на използваните биогорива, течни горива от биомаса и газообразни и твърди горива от биомаса с критериите за устойчивост и за намаляване на емисиите на парникови газове, като резултатите от извършената оценка подлежат на задължително одитиране/верифициране от акредитиран орган.“</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Чл. 7 се изменя така: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Досегашният текст става ал. 1.</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нова ал. 2:</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„(2) Критериите за устойчивост на биогорива, течни горива от биомаса и газообразни и твърди горива от биомаса, използвани в инсталации за производство на енергия с изгаряне на биогорива, течни горива от биомаса и газообразни и твърди горива от биомаса - участници в Европейската схема за търговия с емисии, които не са икономически оператори по чл. 3, се считат за изпълнени и когато операторът на инсталацията предостави потвърждение за съответствие на използваните биогорива, течни горива от биомаса и газообразни и твърди горива от биомаса с критериите, определени в чл. 5, ал. 1 – 3, верифицирано от акредитиран орган.“</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нова ал. 3:</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„(3) Потвърждението за съответствие по ал. 2 се издава от оператора на инсталацията всяка календарна година въз основа на събраните от него доказателства за съответствие на използваните през годината биогорива, течни горива от биомаса и газообразни и твърди горива от биомаса с критериите за устойчивост, определени в чл. 5, ал. 1 – 3.“</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 чл. 14а: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„(1) Операторите на инсталации за производство на енергия с изгаряне на биогорива, течни горива от биомаса и газообразни и твърди горива от биомаса - участници в Европейската схема за търговия с емисии, които не са икономически оператори по </w:t>
            </w:r>
            <w:r w:rsidRPr="00444A55">
              <w:rPr>
                <w:sz w:val="16"/>
                <w:szCs w:val="16"/>
              </w:rPr>
              <w:lastRenderedPageBreak/>
              <w:t>чл. 3, издават потвърждение за съответствие за партидите биогорива, течни горива от биомаса и газообразни и твърди горива от биомаса, с което декларират, че използваните в инсталацията биогорива, течни горива от биомаса и газообразни и твърди горива от биомаса са добити при спазване на критериите за устойчивост по чл. 5 и 6.</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(2) В потвърждението операторите вписват още:</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1. вида и количеството на съответната партида и идентификационен номер, ако има такъв;</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2. информация за идентифициране на мястото на произход/площта, от която е добита биомасата и/или суровините за производство на биогоривата, течните горива от биомаса и газообразните и твърдите горива от биомаса в състава на съответната партида;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3. вид на използвания транспорт и разстояние от мястото на товарене на партидата до мястото на доставката й;</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4. действителна или приета стойност съгласно методиката по чл. 2, ал. 2 на изчислените емисии на парникови газове в грама еквивалент на СО2 на 1 мегаджаул (g CO2eq/MJ), отделяни при добива и доставката на суровини за производството на биогорива, течни горива от биомаса и газообразни и твърди горива от биомаса;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5. вида и долната топлина на изгаряне на използваното гориво при транспорта;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6. данни за икономическия оператор, от който е доставена съответната партида - име, ЕГН или личен номер на гражданин на държава - членка на ЕС, или на държава - страна по Споразумението за Европейското икономическо пространство (ЕИП), и Конфедерация Швейцария и постоянен адрес - за физическите лица; наименование, седалище, адрес на управление и единен идентификационен код (ЕИК) - за </w:t>
            </w:r>
            <w:r w:rsidRPr="00444A55">
              <w:rPr>
                <w:sz w:val="16"/>
                <w:szCs w:val="16"/>
              </w:rPr>
              <w:lastRenderedPageBreak/>
              <w:t>търговците и за другите юридически лица;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7. име и адрес на получателя на партидата.“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Чл. 15 се изменя така: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нова ал. 3:</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„(3) Потвържденията за съответствие по чл. 14а се издават за всяка отделна партида биогорива, течни горива от биомаса и газообразни и твърди горива от биомаса, постъпила за изгаряне в инсталацията през съответната календарна година. Потвържденията за съответствие, верифицирани от акредитиран орган, се предоставят с докладите по чл. 36, ал. 1 ЗОИК за съответната година.“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нова ал. 4:</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„(4) За самостоятелно извършване на оценка за съответствие на използваните биогорива, течни горива от биомаса и газообразни и твърди горива от биомаса с критериите за устойчивост и за намаляване на емисиите на парникови газове операторите на инсталации за производство на енергия с изгаряне на биогорива, течни горива от биомаса и газообразни и твърди горива от биомаса - участници в Европейската схема за търговия с емисии, които не са икономически оператори по чл. 3, разработват процедури, които осигуряват:</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а) прилагането на система за масов баланс, която гарантира, че всяка партида се отчита само веднъж при изчисляването на брутното крайно потребление на енергия от възобновяеми източници в сектор електрическа енергия, сектор топлинна енергия и енергия за охлаждане и сектор транспорт;</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б) установяване на правила за проследимост на всяка партида биогорива, течни горива от биомаса и газообразни и твърди горива от биомаса на всички етапи на производство, преработка, дистрибуция и потребление, включително по време на транспорт;</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lastRenderedPageBreak/>
              <w:t>в) прилагането на методиката по чл. 2, ал. 2;</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г) разработени мерки за осъществяване на контрол върху дейността на икономическите оператори и методи за вземане на проби от получените партиди;</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д) прилагане на система за документиране на веригата на доставки на всяка партида с цел проследимост и доказуемост на произхода и доставчика;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е) оценка на риска като част от процеса на закупуване и доставка на всяка партида;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ж) надеждност, прозрачност и безпристрастност на извършената оценка и резултатите от нея;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з) независимо одитиране, което удостоверява, че внедрените процедури са точни, надеждни и защитени срещу злоупотреба и осигуряват адекватни методи за измерване и анализ, както и еднозначност на получените резултати.“</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Създава се нова ал. 5:</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„(5) Процедурите по ал. 4 са част от плана за мониторинг по чл. 6, ал. 4 от Наредбата за реда и начина за издаване и преразглеждане на разрешителни за емисии на парникови газове от инсталации и за осъществяване на мониторинг от операторите на инсталации и авиационните оператори, участващи в Европейската схема за търговия с емисии и се одобряват в процедурата по Раздел III от същата наредба.“</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В заключение бихме искали да подчертаем факта, че допълването на нормативната уредба в Република България, регулираща производството и потреблението на енергия от възобновяеми източници, с предложените текстове е от изключителна важност за осигуряване на благоприятен климат за ускоряване процесите на индустриална декарбонизация и за създаване на по-добри пазарни условия за внедряване на чисти </w:t>
            </w:r>
            <w:r w:rsidRPr="00444A55">
              <w:rPr>
                <w:sz w:val="16"/>
                <w:szCs w:val="16"/>
              </w:rPr>
              <w:lastRenderedPageBreak/>
              <w:t xml:space="preserve">технологии, които да увеличат конкурентоспособността на net-zero индустрията и да ускорят прехода на Европа към климатична неутралност. </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В контекста на заявените от Вас в качеството Ви на Министър на околната среда ангажименти към климатичните цели и политики разчитаме на Вашето съдействие за съобразяване на направените предложения и адаптиране на националното законодателство с възможностите за постигане на стабилен преход от изкопаеми горива към зелени решения.</w:t>
            </w:r>
          </w:p>
        </w:tc>
        <w:tc>
          <w:tcPr>
            <w:tcW w:w="2652"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Приема се.</w:t>
            </w:r>
          </w:p>
        </w:tc>
        <w:tc>
          <w:tcPr>
            <w:tcW w:w="2917" w:type="dxa"/>
            <w:vAlign w:val="center"/>
          </w:tcPr>
          <w:p w:rsidR="00442FEC" w:rsidRPr="00444A55" w:rsidRDefault="00442FEC"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 xml:space="preserve">Разработен е механизъм по чл.4а в проекта на Наредбата за самостоятелна оценка.   </w:t>
            </w: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tc>
      </w:tr>
      <w:tr w:rsidR="00442FEC" w:rsidRPr="00444A55" w:rsidTr="007E0DB9">
        <w:tc>
          <w:tcPr>
            <w:tcW w:w="458"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12</w:t>
            </w:r>
          </w:p>
        </w:tc>
        <w:tc>
          <w:tcPr>
            <w:tcW w:w="2605" w:type="dxa"/>
          </w:tcPr>
          <w:p w:rsidR="00442FEC" w:rsidRPr="00444A55" w:rsidRDefault="00442FEC" w:rsidP="00442FEC">
            <w:pPr>
              <w:rPr>
                <w:rFonts w:ascii="Times New Roman" w:hAnsi="Times New Roman" w:cs="Times New Roman"/>
                <w:b/>
                <w:sz w:val="16"/>
                <w:szCs w:val="16"/>
              </w:rPr>
            </w:pPr>
            <w:r w:rsidRPr="00444A55">
              <w:rPr>
                <w:rFonts w:ascii="Times New Roman" w:hAnsi="Times New Roman" w:cs="Times New Roman"/>
                <w:b/>
                <w:sz w:val="16"/>
                <w:szCs w:val="16"/>
              </w:rPr>
              <w:t>Агрополихим АД</w:t>
            </w:r>
          </w:p>
          <w:p w:rsidR="00442FEC" w:rsidRPr="00444A55" w:rsidRDefault="00442FEC" w:rsidP="00442FEC">
            <w:pPr>
              <w:rPr>
                <w:rFonts w:ascii="Times New Roman" w:hAnsi="Times New Roman" w:cs="Times New Roman"/>
                <w:b/>
                <w:sz w:val="16"/>
                <w:szCs w:val="16"/>
                <w:lang w:val="en-US"/>
              </w:rPr>
            </w:pPr>
            <w:r w:rsidRPr="00444A55">
              <w:rPr>
                <w:rFonts w:ascii="Times New Roman" w:hAnsi="Times New Roman" w:cs="Times New Roman"/>
                <w:b/>
                <w:sz w:val="16"/>
                <w:szCs w:val="16"/>
                <w:lang w:val="en-US"/>
              </w:rPr>
              <w:t>Strategy bg</w:t>
            </w:r>
          </w:p>
        </w:tc>
        <w:tc>
          <w:tcPr>
            <w:tcW w:w="4660" w:type="dxa"/>
          </w:tcPr>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Последните две години „Агрополихим“ АД намали драстично консумацията на природен газ като гориво за производство на топлинна енергия за технологични нужди, заменяйки го с твърдо гориво от биомаса със селскостопански произход (слама от пшеница / ечемик).</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В отглеждането на двете култури са утвърдени различни стандарти, в това число и такива спрямо почвите и вида на площите, върху които те се произвеждат. Биологичното развитие на растенията и извършваните агротехнически мероприятия позволяват отглеждане и рекултивиране на пшеница и ечемик единствено от полета, трайно предназначени за земеделски нужди. Обективната невъзможност за култивирането им от площи, разположени върху горски и други залесени райони или попадащи в затревени площи, мочурища или торфища прави неприложими спрямо зърнопроизводителите (доставчиците на слама), въведените критерии за устойчивост съгласно обсъжданите промени в Наредбата за устойчивост на биогоривата и течните горива от биомаса и свързаните с нея актове.</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 xml:space="preserve">Тези и редица други аргументи показват нуждата от отпадане на необходимостта за сертифициране на земеделските производители като икономически оператори по смисъла на чл. 40, ал. 1 от ЗЕВИ. Същото би създало както редица </w:t>
            </w:r>
            <w:r w:rsidRPr="00444A55">
              <w:rPr>
                <w:sz w:val="16"/>
                <w:szCs w:val="16"/>
              </w:rPr>
              <w:lastRenderedPageBreak/>
              <w:t>административни тежести, непосилни за земеделците, така и би лишило от икономическа целесъобразност осъществяването на дейност по събиране и продажба на остатъчни продукти – слама от пшеница и ечемик.</w:t>
            </w:r>
          </w:p>
          <w:p w:rsidR="00442FEC" w:rsidRPr="00444A55" w:rsidRDefault="00442FEC" w:rsidP="00442FEC">
            <w:pPr>
              <w:pStyle w:val="BodyText8"/>
              <w:tabs>
                <w:tab w:val="left" w:pos="969"/>
              </w:tabs>
              <w:spacing w:after="0" w:line="269" w:lineRule="exact"/>
              <w:ind w:right="80"/>
              <w:jc w:val="both"/>
              <w:rPr>
                <w:sz w:val="16"/>
                <w:szCs w:val="16"/>
              </w:rPr>
            </w:pPr>
            <w:r w:rsidRPr="00444A55">
              <w:rPr>
                <w:sz w:val="16"/>
                <w:szCs w:val="16"/>
              </w:rPr>
              <w:t>Становището на Агрополихим, като участник в Европейската схема за търговия с емисии е, че твърдото гориво от биомаса (слама от земеделска продукция) следва да бъде изключено от изискването за сертифицирано доказване на устойчив произход.</w:t>
            </w:r>
          </w:p>
        </w:tc>
        <w:tc>
          <w:tcPr>
            <w:tcW w:w="2652" w:type="dxa"/>
          </w:tcPr>
          <w:p w:rsidR="00442FEC" w:rsidRPr="00444A55" w:rsidRDefault="00442FEC" w:rsidP="00442FEC">
            <w:pPr>
              <w:rPr>
                <w:rFonts w:ascii="Times New Roman" w:hAnsi="Times New Roman" w:cs="Times New Roman"/>
                <w:sz w:val="16"/>
                <w:szCs w:val="16"/>
              </w:rPr>
            </w:pPr>
            <w:r w:rsidRPr="00444A55">
              <w:rPr>
                <w:rFonts w:ascii="Times New Roman" w:hAnsi="Times New Roman" w:cs="Times New Roman"/>
                <w:sz w:val="16"/>
                <w:szCs w:val="16"/>
              </w:rPr>
              <w:lastRenderedPageBreak/>
              <w:t>Не се приема.</w:t>
            </w:r>
          </w:p>
        </w:tc>
        <w:tc>
          <w:tcPr>
            <w:tcW w:w="2917" w:type="dxa"/>
            <w:vAlign w:val="center"/>
          </w:tcPr>
          <w:p w:rsidR="00442FEC" w:rsidRPr="00444A55" w:rsidRDefault="00442FEC" w:rsidP="00442FEC">
            <w:pPr>
              <w:jc w:val="both"/>
              <w:rPr>
                <w:rFonts w:ascii="Times New Roman" w:hAnsi="Times New Roman" w:cs="Times New Roman"/>
                <w:sz w:val="16"/>
                <w:szCs w:val="16"/>
                <w:lang w:eastAsia="zh-CN"/>
              </w:rPr>
            </w:pPr>
            <w:r w:rsidRPr="00444A55">
              <w:rPr>
                <w:rFonts w:ascii="Times New Roman" w:hAnsi="Times New Roman" w:cs="Times New Roman"/>
                <w:sz w:val="16"/>
                <w:szCs w:val="16"/>
                <w:lang w:eastAsia="zh-CN"/>
              </w:rPr>
              <w:t xml:space="preserve">Не отговаря на разпоредбите в ЗЕВИ. </w:t>
            </w: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p w:rsidR="00442FEC" w:rsidRPr="00444A55" w:rsidRDefault="00442FEC" w:rsidP="00442FEC">
            <w:pPr>
              <w:jc w:val="both"/>
              <w:rPr>
                <w:rFonts w:ascii="Times New Roman" w:hAnsi="Times New Roman" w:cs="Times New Roman"/>
                <w:sz w:val="16"/>
                <w:szCs w:val="16"/>
                <w:lang w:eastAsia="zh-CN"/>
              </w:rPr>
            </w:pPr>
          </w:p>
        </w:tc>
      </w:tr>
    </w:tbl>
    <w:p w:rsidR="00BF7717" w:rsidRPr="00F6124D" w:rsidRDefault="00BF7717">
      <w:pPr>
        <w:rPr>
          <w:rFonts w:ascii="Times New Roman" w:hAnsi="Times New Roman" w:cs="Times New Roman"/>
          <w:sz w:val="24"/>
          <w:szCs w:val="24"/>
          <w:lang w:val="en-US"/>
        </w:rPr>
      </w:pPr>
      <w:bookmarkStart w:id="0" w:name="_GoBack"/>
      <w:bookmarkEnd w:id="0"/>
    </w:p>
    <w:sectPr w:rsidR="00BF7717" w:rsidRPr="00F6124D" w:rsidSect="002767E6">
      <w:footerReference w:type="default" r:id="rId8"/>
      <w:pgSz w:w="15840" w:h="12240" w:orient="landscape"/>
      <w:pgMar w:top="1440" w:right="109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63" w:rsidRDefault="00120E63" w:rsidP="00C41FEB">
      <w:pPr>
        <w:spacing w:after="0" w:line="240" w:lineRule="auto"/>
      </w:pPr>
      <w:r>
        <w:separator/>
      </w:r>
    </w:p>
  </w:endnote>
  <w:endnote w:type="continuationSeparator" w:id="0">
    <w:p w:rsidR="00120E63" w:rsidRDefault="00120E63" w:rsidP="00C4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759296"/>
      <w:docPartObj>
        <w:docPartGallery w:val="Page Numbers (Bottom of Page)"/>
        <w:docPartUnique/>
      </w:docPartObj>
    </w:sdtPr>
    <w:sdtEndPr>
      <w:rPr>
        <w:noProof/>
      </w:rPr>
    </w:sdtEndPr>
    <w:sdtContent>
      <w:p w:rsidR="00A16EE4" w:rsidRDefault="00A16EE4">
        <w:pPr>
          <w:pStyle w:val="Footer"/>
          <w:jc w:val="right"/>
        </w:pPr>
        <w:r>
          <w:fldChar w:fldCharType="begin"/>
        </w:r>
        <w:r>
          <w:instrText xml:space="preserve"> PAGE   \* MERGEFORMAT </w:instrText>
        </w:r>
        <w:r>
          <w:fldChar w:fldCharType="separate"/>
        </w:r>
        <w:r w:rsidR="00444A55">
          <w:rPr>
            <w:noProof/>
          </w:rPr>
          <w:t>39</w:t>
        </w:r>
        <w:r>
          <w:rPr>
            <w:noProof/>
          </w:rPr>
          <w:fldChar w:fldCharType="end"/>
        </w:r>
      </w:p>
    </w:sdtContent>
  </w:sdt>
  <w:p w:rsidR="00A16EE4" w:rsidRDefault="00A16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63" w:rsidRDefault="00120E63" w:rsidP="00C41FEB">
      <w:pPr>
        <w:spacing w:after="0" w:line="240" w:lineRule="auto"/>
      </w:pPr>
      <w:r>
        <w:separator/>
      </w:r>
    </w:p>
  </w:footnote>
  <w:footnote w:type="continuationSeparator" w:id="0">
    <w:p w:rsidR="00120E63" w:rsidRDefault="00120E63" w:rsidP="00C41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625"/>
    <w:multiLevelType w:val="multilevel"/>
    <w:tmpl w:val="D22C9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55E3E"/>
    <w:multiLevelType w:val="hybridMultilevel"/>
    <w:tmpl w:val="FD2642B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CDD292B"/>
    <w:multiLevelType w:val="multilevel"/>
    <w:tmpl w:val="03341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F3047"/>
    <w:multiLevelType w:val="multilevel"/>
    <w:tmpl w:val="CD920A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37A7B"/>
    <w:multiLevelType w:val="multilevel"/>
    <w:tmpl w:val="112C3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50D6F"/>
    <w:multiLevelType w:val="multilevel"/>
    <w:tmpl w:val="3E7A5E64"/>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F5657"/>
    <w:multiLevelType w:val="multilevel"/>
    <w:tmpl w:val="3D949FA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41424"/>
    <w:multiLevelType w:val="multilevel"/>
    <w:tmpl w:val="CD920A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331E2"/>
    <w:multiLevelType w:val="multilevel"/>
    <w:tmpl w:val="2E4A4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F14CE"/>
    <w:multiLevelType w:val="hybridMultilevel"/>
    <w:tmpl w:val="1F44CA24"/>
    <w:lvl w:ilvl="0" w:tplc="646847D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9D8046D"/>
    <w:multiLevelType w:val="multilevel"/>
    <w:tmpl w:val="D250DB3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26398C"/>
    <w:multiLevelType w:val="multilevel"/>
    <w:tmpl w:val="F4261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8C7474"/>
    <w:multiLevelType w:val="multilevel"/>
    <w:tmpl w:val="9F68E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DA3AD9"/>
    <w:multiLevelType w:val="multilevel"/>
    <w:tmpl w:val="9E106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F05BB1"/>
    <w:multiLevelType w:val="multilevel"/>
    <w:tmpl w:val="B254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72561F"/>
    <w:multiLevelType w:val="multilevel"/>
    <w:tmpl w:val="55E6B7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21A85"/>
    <w:multiLevelType w:val="multilevel"/>
    <w:tmpl w:val="3E70C9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A87782"/>
    <w:multiLevelType w:val="multilevel"/>
    <w:tmpl w:val="16A2B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201AE4"/>
    <w:multiLevelType w:val="multilevel"/>
    <w:tmpl w:val="83A274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462030"/>
    <w:multiLevelType w:val="multilevel"/>
    <w:tmpl w:val="25128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F03894"/>
    <w:multiLevelType w:val="multilevel"/>
    <w:tmpl w:val="857671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D67669"/>
    <w:multiLevelType w:val="hybridMultilevel"/>
    <w:tmpl w:val="5C4C580A"/>
    <w:lvl w:ilvl="0" w:tplc="56DED8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15F245E"/>
    <w:multiLevelType w:val="multilevel"/>
    <w:tmpl w:val="CAE09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615629"/>
    <w:multiLevelType w:val="multilevel"/>
    <w:tmpl w:val="2E4A4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756AFC"/>
    <w:multiLevelType w:val="multilevel"/>
    <w:tmpl w:val="2E4A4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4C6A12"/>
    <w:multiLevelType w:val="multilevel"/>
    <w:tmpl w:val="E96A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22"/>
  </w:num>
  <w:num w:numId="4">
    <w:abstractNumId w:val="10"/>
  </w:num>
  <w:num w:numId="5">
    <w:abstractNumId w:val="14"/>
  </w:num>
  <w:num w:numId="6">
    <w:abstractNumId w:val="18"/>
  </w:num>
  <w:num w:numId="7">
    <w:abstractNumId w:val="20"/>
  </w:num>
  <w:num w:numId="8">
    <w:abstractNumId w:val="24"/>
  </w:num>
  <w:num w:numId="9">
    <w:abstractNumId w:val="17"/>
  </w:num>
  <w:num w:numId="10">
    <w:abstractNumId w:val="23"/>
  </w:num>
  <w:num w:numId="11">
    <w:abstractNumId w:val="8"/>
  </w:num>
  <w:num w:numId="12">
    <w:abstractNumId w:val="6"/>
  </w:num>
  <w:num w:numId="13">
    <w:abstractNumId w:val="7"/>
  </w:num>
  <w:num w:numId="14">
    <w:abstractNumId w:val="0"/>
  </w:num>
  <w:num w:numId="15">
    <w:abstractNumId w:val="3"/>
  </w:num>
  <w:num w:numId="16">
    <w:abstractNumId w:val="19"/>
  </w:num>
  <w:num w:numId="17">
    <w:abstractNumId w:val="5"/>
  </w:num>
  <w:num w:numId="18">
    <w:abstractNumId w:val="12"/>
  </w:num>
  <w:num w:numId="19">
    <w:abstractNumId w:val="25"/>
  </w:num>
  <w:num w:numId="20">
    <w:abstractNumId w:val="1"/>
  </w:num>
  <w:num w:numId="21">
    <w:abstractNumId w:val="13"/>
  </w:num>
  <w:num w:numId="22">
    <w:abstractNumId w:val="15"/>
  </w:num>
  <w:num w:numId="23">
    <w:abstractNumId w:val="2"/>
  </w:num>
  <w:num w:numId="24">
    <w:abstractNumId w:val="9"/>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5E"/>
    <w:rsid w:val="00001549"/>
    <w:rsid w:val="00001E23"/>
    <w:rsid w:val="00002414"/>
    <w:rsid w:val="000039E2"/>
    <w:rsid w:val="00012D4B"/>
    <w:rsid w:val="000133AA"/>
    <w:rsid w:val="0001703F"/>
    <w:rsid w:val="0001739E"/>
    <w:rsid w:val="00024CB2"/>
    <w:rsid w:val="000310AA"/>
    <w:rsid w:val="000310DE"/>
    <w:rsid w:val="000330C0"/>
    <w:rsid w:val="000352DB"/>
    <w:rsid w:val="00035B57"/>
    <w:rsid w:val="0003675F"/>
    <w:rsid w:val="0003731F"/>
    <w:rsid w:val="00037714"/>
    <w:rsid w:val="00041C08"/>
    <w:rsid w:val="000421E7"/>
    <w:rsid w:val="00044E87"/>
    <w:rsid w:val="00047E38"/>
    <w:rsid w:val="000545C0"/>
    <w:rsid w:val="0005474E"/>
    <w:rsid w:val="00055811"/>
    <w:rsid w:val="00056077"/>
    <w:rsid w:val="00056E88"/>
    <w:rsid w:val="000608F3"/>
    <w:rsid w:val="00072CBB"/>
    <w:rsid w:val="00074A74"/>
    <w:rsid w:val="000809D3"/>
    <w:rsid w:val="0008103E"/>
    <w:rsid w:val="00082465"/>
    <w:rsid w:val="00082A81"/>
    <w:rsid w:val="000865DC"/>
    <w:rsid w:val="0009268C"/>
    <w:rsid w:val="00096DDF"/>
    <w:rsid w:val="00097311"/>
    <w:rsid w:val="000974B6"/>
    <w:rsid w:val="000A0385"/>
    <w:rsid w:val="000A5437"/>
    <w:rsid w:val="000A5F68"/>
    <w:rsid w:val="000A78DE"/>
    <w:rsid w:val="000B188E"/>
    <w:rsid w:val="000B366E"/>
    <w:rsid w:val="000B59D6"/>
    <w:rsid w:val="000B6858"/>
    <w:rsid w:val="000C1650"/>
    <w:rsid w:val="000C24DE"/>
    <w:rsid w:val="000C61FD"/>
    <w:rsid w:val="000C74FC"/>
    <w:rsid w:val="000D06E5"/>
    <w:rsid w:val="000D1816"/>
    <w:rsid w:val="000D5F62"/>
    <w:rsid w:val="000D792D"/>
    <w:rsid w:val="000E33C9"/>
    <w:rsid w:val="000F0236"/>
    <w:rsid w:val="000F2BE2"/>
    <w:rsid w:val="000F6B00"/>
    <w:rsid w:val="00101772"/>
    <w:rsid w:val="00102E76"/>
    <w:rsid w:val="0010621B"/>
    <w:rsid w:val="00110349"/>
    <w:rsid w:val="001121A2"/>
    <w:rsid w:val="00112290"/>
    <w:rsid w:val="00114D20"/>
    <w:rsid w:val="0011701E"/>
    <w:rsid w:val="001177E4"/>
    <w:rsid w:val="00120411"/>
    <w:rsid w:val="00120E63"/>
    <w:rsid w:val="00121875"/>
    <w:rsid w:val="001239FE"/>
    <w:rsid w:val="001248C1"/>
    <w:rsid w:val="00126D8A"/>
    <w:rsid w:val="001273D1"/>
    <w:rsid w:val="001274B0"/>
    <w:rsid w:val="00133649"/>
    <w:rsid w:val="00134984"/>
    <w:rsid w:val="0013774C"/>
    <w:rsid w:val="001408DA"/>
    <w:rsid w:val="00154504"/>
    <w:rsid w:val="00155670"/>
    <w:rsid w:val="001571B1"/>
    <w:rsid w:val="001576F6"/>
    <w:rsid w:val="00157FF3"/>
    <w:rsid w:val="00160402"/>
    <w:rsid w:val="00161433"/>
    <w:rsid w:val="001649A6"/>
    <w:rsid w:val="00164A0B"/>
    <w:rsid w:val="00172765"/>
    <w:rsid w:val="00172A8D"/>
    <w:rsid w:val="00172DC2"/>
    <w:rsid w:val="00176657"/>
    <w:rsid w:val="00177364"/>
    <w:rsid w:val="00184312"/>
    <w:rsid w:val="00197F23"/>
    <w:rsid w:val="001A61D7"/>
    <w:rsid w:val="001A6832"/>
    <w:rsid w:val="001A6A06"/>
    <w:rsid w:val="001B326C"/>
    <w:rsid w:val="001B4F43"/>
    <w:rsid w:val="001B6693"/>
    <w:rsid w:val="001B7EF7"/>
    <w:rsid w:val="001C1B0F"/>
    <w:rsid w:val="001C45AB"/>
    <w:rsid w:val="001C51C9"/>
    <w:rsid w:val="001C58D8"/>
    <w:rsid w:val="001C5F79"/>
    <w:rsid w:val="001C6706"/>
    <w:rsid w:val="001D4943"/>
    <w:rsid w:val="001D74FF"/>
    <w:rsid w:val="001D77AB"/>
    <w:rsid w:val="001E12F6"/>
    <w:rsid w:val="001E2D9E"/>
    <w:rsid w:val="001E6ED2"/>
    <w:rsid w:val="001E7305"/>
    <w:rsid w:val="001F2352"/>
    <w:rsid w:val="001F2579"/>
    <w:rsid w:val="001F32D7"/>
    <w:rsid w:val="001F54B4"/>
    <w:rsid w:val="001F7AF2"/>
    <w:rsid w:val="00206ED7"/>
    <w:rsid w:val="002156B7"/>
    <w:rsid w:val="00216708"/>
    <w:rsid w:val="00216B8D"/>
    <w:rsid w:val="00217A85"/>
    <w:rsid w:val="00220082"/>
    <w:rsid w:val="0022253D"/>
    <w:rsid w:val="00224175"/>
    <w:rsid w:val="002245E1"/>
    <w:rsid w:val="00226AC3"/>
    <w:rsid w:val="00227960"/>
    <w:rsid w:val="0023052D"/>
    <w:rsid w:val="00235148"/>
    <w:rsid w:val="00244ABB"/>
    <w:rsid w:val="00245D50"/>
    <w:rsid w:val="00246D43"/>
    <w:rsid w:val="002478E1"/>
    <w:rsid w:val="002545EB"/>
    <w:rsid w:val="00257036"/>
    <w:rsid w:val="00257CBC"/>
    <w:rsid w:val="00262C0F"/>
    <w:rsid w:val="0026395B"/>
    <w:rsid w:val="002649F2"/>
    <w:rsid w:val="00273FD3"/>
    <w:rsid w:val="002767E6"/>
    <w:rsid w:val="00276EA0"/>
    <w:rsid w:val="00281531"/>
    <w:rsid w:val="002832E4"/>
    <w:rsid w:val="00290FAD"/>
    <w:rsid w:val="00294077"/>
    <w:rsid w:val="00296B3A"/>
    <w:rsid w:val="002A23EC"/>
    <w:rsid w:val="002A4A5C"/>
    <w:rsid w:val="002A58CC"/>
    <w:rsid w:val="002C02A4"/>
    <w:rsid w:val="002C2A20"/>
    <w:rsid w:val="002C3423"/>
    <w:rsid w:val="002D030F"/>
    <w:rsid w:val="002D04FF"/>
    <w:rsid w:val="002D1004"/>
    <w:rsid w:val="002D2100"/>
    <w:rsid w:val="002D3502"/>
    <w:rsid w:val="002E2785"/>
    <w:rsid w:val="002E49D9"/>
    <w:rsid w:val="002E60EF"/>
    <w:rsid w:val="002E77D1"/>
    <w:rsid w:val="002F0DC2"/>
    <w:rsid w:val="002F4168"/>
    <w:rsid w:val="002F67B4"/>
    <w:rsid w:val="002F7751"/>
    <w:rsid w:val="00306060"/>
    <w:rsid w:val="00307213"/>
    <w:rsid w:val="0031084D"/>
    <w:rsid w:val="00313ED2"/>
    <w:rsid w:val="00315CDD"/>
    <w:rsid w:val="00320622"/>
    <w:rsid w:val="0032411C"/>
    <w:rsid w:val="00325B06"/>
    <w:rsid w:val="00330E85"/>
    <w:rsid w:val="003313BF"/>
    <w:rsid w:val="00333AF5"/>
    <w:rsid w:val="003448F3"/>
    <w:rsid w:val="00345795"/>
    <w:rsid w:val="00345AF3"/>
    <w:rsid w:val="00347B49"/>
    <w:rsid w:val="00347D11"/>
    <w:rsid w:val="0035542C"/>
    <w:rsid w:val="00360B1D"/>
    <w:rsid w:val="00360CA5"/>
    <w:rsid w:val="00362133"/>
    <w:rsid w:val="003677D5"/>
    <w:rsid w:val="00367CEE"/>
    <w:rsid w:val="00371ACC"/>
    <w:rsid w:val="0037261A"/>
    <w:rsid w:val="00376AA3"/>
    <w:rsid w:val="00382680"/>
    <w:rsid w:val="00385126"/>
    <w:rsid w:val="0039133A"/>
    <w:rsid w:val="00396289"/>
    <w:rsid w:val="00396477"/>
    <w:rsid w:val="00396FC7"/>
    <w:rsid w:val="003A0D85"/>
    <w:rsid w:val="003A1035"/>
    <w:rsid w:val="003A19F9"/>
    <w:rsid w:val="003A1ACC"/>
    <w:rsid w:val="003A71EA"/>
    <w:rsid w:val="003C03E6"/>
    <w:rsid w:val="003C1E3A"/>
    <w:rsid w:val="003C3D98"/>
    <w:rsid w:val="003C4696"/>
    <w:rsid w:val="003C62BC"/>
    <w:rsid w:val="003C7C1E"/>
    <w:rsid w:val="003D3613"/>
    <w:rsid w:val="003D464D"/>
    <w:rsid w:val="003E21A8"/>
    <w:rsid w:val="003E25A4"/>
    <w:rsid w:val="003E4920"/>
    <w:rsid w:val="004023D8"/>
    <w:rsid w:val="00405D26"/>
    <w:rsid w:val="0041445D"/>
    <w:rsid w:val="004164A9"/>
    <w:rsid w:val="004244A9"/>
    <w:rsid w:val="00426074"/>
    <w:rsid w:val="0042789D"/>
    <w:rsid w:val="00427C2E"/>
    <w:rsid w:val="0043638F"/>
    <w:rsid w:val="00437CAC"/>
    <w:rsid w:val="00440C47"/>
    <w:rsid w:val="00442385"/>
    <w:rsid w:val="00442FEC"/>
    <w:rsid w:val="00444A55"/>
    <w:rsid w:val="00444D5B"/>
    <w:rsid w:val="00444DFF"/>
    <w:rsid w:val="004453B3"/>
    <w:rsid w:val="004478DC"/>
    <w:rsid w:val="00451119"/>
    <w:rsid w:val="0045255E"/>
    <w:rsid w:val="004533D3"/>
    <w:rsid w:val="00454CE0"/>
    <w:rsid w:val="00457EF6"/>
    <w:rsid w:val="004602E4"/>
    <w:rsid w:val="00460449"/>
    <w:rsid w:val="004618A0"/>
    <w:rsid w:val="00463A42"/>
    <w:rsid w:val="00463C13"/>
    <w:rsid w:val="00463C14"/>
    <w:rsid w:val="004700F2"/>
    <w:rsid w:val="00471CB7"/>
    <w:rsid w:val="00472786"/>
    <w:rsid w:val="00474E2F"/>
    <w:rsid w:val="00475E06"/>
    <w:rsid w:val="0047766F"/>
    <w:rsid w:val="004939EF"/>
    <w:rsid w:val="00497091"/>
    <w:rsid w:val="004A094D"/>
    <w:rsid w:val="004A317A"/>
    <w:rsid w:val="004A3C61"/>
    <w:rsid w:val="004B73AB"/>
    <w:rsid w:val="004C6DC1"/>
    <w:rsid w:val="004D10F1"/>
    <w:rsid w:val="004E086A"/>
    <w:rsid w:val="004E0F92"/>
    <w:rsid w:val="004E155F"/>
    <w:rsid w:val="004E3262"/>
    <w:rsid w:val="004E5C1F"/>
    <w:rsid w:val="004E6280"/>
    <w:rsid w:val="004E7088"/>
    <w:rsid w:val="004F6490"/>
    <w:rsid w:val="004F7990"/>
    <w:rsid w:val="00500772"/>
    <w:rsid w:val="005062FC"/>
    <w:rsid w:val="005063DE"/>
    <w:rsid w:val="00506A08"/>
    <w:rsid w:val="00513E50"/>
    <w:rsid w:val="00515600"/>
    <w:rsid w:val="00516788"/>
    <w:rsid w:val="00517937"/>
    <w:rsid w:val="00520FCB"/>
    <w:rsid w:val="0052157C"/>
    <w:rsid w:val="0052264B"/>
    <w:rsid w:val="00530BD1"/>
    <w:rsid w:val="00531DF3"/>
    <w:rsid w:val="00542522"/>
    <w:rsid w:val="00542EE8"/>
    <w:rsid w:val="00557DE3"/>
    <w:rsid w:val="00560025"/>
    <w:rsid w:val="00560F62"/>
    <w:rsid w:val="0056101A"/>
    <w:rsid w:val="005639F5"/>
    <w:rsid w:val="00566889"/>
    <w:rsid w:val="00570E9D"/>
    <w:rsid w:val="00570EC8"/>
    <w:rsid w:val="005751FA"/>
    <w:rsid w:val="005776AC"/>
    <w:rsid w:val="0058377A"/>
    <w:rsid w:val="00583B57"/>
    <w:rsid w:val="0058518E"/>
    <w:rsid w:val="00586EB0"/>
    <w:rsid w:val="00590AEC"/>
    <w:rsid w:val="0059165B"/>
    <w:rsid w:val="00595599"/>
    <w:rsid w:val="0059661E"/>
    <w:rsid w:val="005A04AE"/>
    <w:rsid w:val="005A45E5"/>
    <w:rsid w:val="005A4D58"/>
    <w:rsid w:val="005B3306"/>
    <w:rsid w:val="005B3D8F"/>
    <w:rsid w:val="005B3E75"/>
    <w:rsid w:val="005B4F86"/>
    <w:rsid w:val="005C1C0A"/>
    <w:rsid w:val="005C3007"/>
    <w:rsid w:val="005C7501"/>
    <w:rsid w:val="005D24F4"/>
    <w:rsid w:val="005D3DF3"/>
    <w:rsid w:val="005D4964"/>
    <w:rsid w:val="005D6D40"/>
    <w:rsid w:val="005E06FD"/>
    <w:rsid w:val="005E6F85"/>
    <w:rsid w:val="005E770E"/>
    <w:rsid w:val="005F3CF7"/>
    <w:rsid w:val="005F44FD"/>
    <w:rsid w:val="005F499C"/>
    <w:rsid w:val="005F4AAF"/>
    <w:rsid w:val="005F52D9"/>
    <w:rsid w:val="005F74BF"/>
    <w:rsid w:val="006103FB"/>
    <w:rsid w:val="00611A35"/>
    <w:rsid w:val="0061459D"/>
    <w:rsid w:val="006147E9"/>
    <w:rsid w:val="0061491C"/>
    <w:rsid w:val="0062101A"/>
    <w:rsid w:val="00622285"/>
    <w:rsid w:val="00626D9F"/>
    <w:rsid w:val="006359EB"/>
    <w:rsid w:val="00640E5A"/>
    <w:rsid w:val="00644A43"/>
    <w:rsid w:val="006457EF"/>
    <w:rsid w:val="00647681"/>
    <w:rsid w:val="00653F05"/>
    <w:rsid w:val="00656B72"/>
    <w:rsid w:val="006622CA"/>
    <w:rsid w:val="006664B7"/>
    <w:rsid w:val="00681D72"/>
    <w:rsid w:val="00682F4F"/>
    <w:rsid w:val="0068307A"/>
    <w:rsid w:val="006833A3"/>
    <w:rsid w:val="0069152B"/>
    <w:rsid w:val="00696CCC"/>
    <w:rsid w:val="0069736B"/>
    <w:rsid w:val="006A1EFC"/>
    <w:rsid w:val="006A411B"/>
    <w:rsid w:val="006B5355"/>
    <w:rsid w:val="006C0648"/>
    <w:rsid w:val="006C5C33"/>
    <w:rsid w:val="006D1AC6"/>
    <w:rsid w:val="006D1EFF"/>
    <w:rsid w:val="006D2D36"/>
    <w:rsid w:val="006D47DF"/>
    <w:rsid w:val="006D4A98"/>
    <w:rsid w:val="006E09E3"/>
    <w:rsid w:val="006F06A3"/>
    <w:rsid w:val="006F13F5"/>
    <w:rsid w:val="006F23C6"/>
    <w:rsid w:val="006F3649"/>
    <w:rsid w:val="006F5E61"/>
    <w:rsid w:val="006F7431"/>
    <w:rsid w:val="00701380"/>
    <w:rsid w:val="00704718"/>
    <w:rsid w:val="0070620C"/>
    <w:rsid w:val="0070795E"/>
    <w:rsid w:val="007110CE"/>
    <w:rsid w:val="00715C32"/>
    <w:rsid w:val="0071775A"/>
    <w:rsid w:val="00717807"/>
    <w:rsid w:val="00722129"/>
    <w:rsid w:val="00723F0F"/>
    <w:rsid w:val="0072522F"/>
    <w:rsid w:val="00731E5D"/>
    <w:rsid w:val="007439A2"/>
    <w:rsid w:val="0075049A"/>
    <w:rsid w:val="00751385"/>
    <w:rsid w:val="00756CCE"/>
    <w:rsid w:val="007626E2"/>
    <w:rsid w:val="00764659"/>
    <w:rsid w:val="00767A3D"/>
    <w:rsid w:val="00774020"/>
    <w:rsid w:val="00782740"/>
    <w:rsid w:val="007913F3"/>
    <w:rsid w:val="00792245"/>
    <w:rsid w:val="0079348B"/>
    <w:rsid w:val="00793664"/>
    <w:rsid w:val="007A680F"/>
    <w:rsid w:val="007A70EC"/>
    <w:rsid w:val="007B0B42"/>
    <w:rsid w:val="007C0C2F"/>
    <w:rsid w:val="007C0DA0"/>
    <w:rsid w:val="007C0E74"/>
    <w:rsid w:val="007C14A4"/>
    <w:rsid w:val="007C2191"/>
    <w:rsid w:val="007C3EE2"/>
    <w:rsid w:val="007C46E6"/>
    <w:rsid w:val="007D1284"/>
    <w:rsid w:val="007D1E42"/>
    <w:rsid w:val="007D2AFC"/>
    <w:rsid w:val="007D2F1B"/>
    <w:rsid w:val="007D4FD8"/>
    <w:rsid w:val="007D6B7D"/>
    <w:rsid w:val="007D76C9"/>
    <w:rsid w:val="007D7A53"/>
    <w:rsid w:val="007E0857"/>
    <w:rsid w:val="007E0DB9"/>
    <w:rsid w:val="007E4729"/>
    <w:rsid w:val="007F1B94"/>
    <w:rsid w:val="007F240E"/>
    <w:rsid w:val="007F2E93"/>
    <w:rsid w:val="007F3665"/>
    <w:rsid w:val="007F4C05"/>
    <w:rsid w:val="007F6818"/>
    <w:rsid w:val="008032F2"/>
    <w:rsid w:val="0080364A"/>
    <w:rsid w:val="008076FB"/>
    <w:rsid w:val="00811CA8"/>
    <w:rsid w:val="00812222"/>
    <w:rsid w:val="0082175D"/>
    <w:rsid w:val="00824D9A"/>
    <w:rsid w:val="00826189"/>
    <w:rsid w:val="00827E0D"/>
    <w:rsid w:val="00832E9C"/>
    <w:rsid w:val="00834EB6"/>
    <w:rsid w:val="00836817"/>
    <w:rsid w:val="00844CCC"/>
    <w:rsid w:val="00850E10"/>
    <w:rsid w:val="00852688"/>
    <w:rsid w:val="00853310"/>
    <w:rsid w:val="00853CC0"/>
    <w:rsid w:val="008544F2"/>
    <w:rsid w:val="00855BED"/>
    <w:rsid w:val="0085681B"/>
    <w:rsid w:val="0086050C"/>
    <w:rsid w:val="00860D8E"/>
    <w:rsid w:val="008632E9"/>
    <w:rsid w:val="00865352"/>
    <w:rsid w:val="00874274"/>
    <w:rsid w:val="0087662F"/>
    <w:rsid w:val="0088301D"/>
    <w:rsid w:val="00891C61"/>
    <w:rsid w:val="00895D36"/>
    <w:rsid w:val="008A209C"/>
    <w:rsid w:val="008A2499"/>
    <w:rsid w:val="008A3A78"/>
    <w:rsid w:val="008A3AE3"/>
    <w:rsid w:val="008A5DEB"/>
    <w:rsid w:val="008B2782"/>
    <w:rsid w:val="008C0B6D"/>
    <w:rsid w:val="008C2538"/>
    <w:rsid w:val="008C27B6"/>
    <w:rsid w:val="008C2860"/>
    <w:rsid w:val="008C47ED"/>
    <w:rsid w:val="008E0351"/>
    <w:rsid w:val="008E4417"/>
    <w:rsid w:val="008E561D"/>
    <w:rsid w:val="008F12E5"/>
    <w:rsid w:val="008F6CE7"/>
    <w:rsid w:val="00901950"/>
    <w:rsid w:val="00907212"/>
    <w:rsid w:val="00922B0D"/>
    <w:rsid w:val="00924EF3"/>
    <w:rsid w:val="0092525B"/>
    <w:rsid w:val="00925B03"/>
    <w:rsid w:val="00927821"/>
    <w:rsid w:val="00931891"/>
    <w:rsid w:val="00936792"/>
    <w:rsid w:val="0093709F"/>
    <w:rsid w:val="00937D57"/>
    <w:rsid w:val="00942101"/>
    <w:rsid w:val="00942FB3"/>
    <w:rsid w:val="009449E5"/>
    <w:rsid w:val="00944D5B"/>
    <w:rsid w:val="009471BE"/>
    <w:rsid w:val="00947F50"/>
    <w:rsid w:val="009561A2"/>
    <w:rsid w:val="009562F5"/>
    <w:rsid w:val="009645EF"/>
    <w:rsid w:val="00967462"/>
    <w:rsid w:val="00973107"/>
    <w:rsid w:val="00976693"/>
    <w:rsid w:val="00976697"/>
    <w:rsid w:val="009827E8"/>
    <w:rsid w:val="00982A61"/>
    <w:rsid w:val="00982E89"/>
    <w:rsid w:val="0098356D"/>
    <w:rsid w:val="00983D55"/>
    <w:rsid w:val="00985131"/>
    <w:rsid w:val="00985953"/>
    <w:rsid w:val="009A21B4"/>
    <w:rsid w:val="009A31CD"/>
    <w:rsid w:val="009A37E8"/>
    <w:rsid w:val="009A3BC4"/>
    <w:rsid w:val="009A69CA"/>
    <w:rsid w:val="009A7E1F"/>
    <w:rsid w:val="009B15A4"/>
    <w:rsid w:val="009C0616"/>
    <w:rsid w:val="009C2041"/>
    <w:rsid w:val="009C277E"/>
    <w:rsid w:val="009C2BD3"/>
    <w:rsid w:val="009C63AE"/>
    <w:rsid w:val="009C682C"/>
    <w:rsid w:val="009D248E"/>
    <w:rsid w:val="009D34ED"/>
    <w:rsid w:val="009D6580"/>
    <w:rsid w:val="009D6D9E"/>
    <w:rsid w:val="009D7DA9"/>
    <w:rsid w:val="009E133D"/>
    <w:rsid w:val="009E1689"/>
    <w:rsid w:val="009F272B"/>
    <w:rsid w:val="009F4586"/>
    <w:rsid w:val="009F5719"/>
    <w:rsid w:val="009F5D3D"/>
    <w:rsid w:val="009F611D"/>
    <w:rsid w:val="009F7F00"/>
    <w:rsid w:val="00A01B78"/>
    <w:rsid w:val="00A02470"/>
    <w:rsid w:val="00A02796"/>
    <w:rsid w:val="00A042FF"/>
    <w:rsid w:val="00A0490A"/>
    <w:rsid w:val="00A13C9A"/>
    <w:rsid w:val="00A14B5A"/>
    <w:rsid w:val="00A16EE4"/>
    <w:rsid w:val="00A2340B"/>
    <w:rsid w:val="00A2589D"/>
    <w:rsid w:val="00A27306"/>
    <w:rsid w:val="00A339AE"/>
    <w:rsid w:val="00A362C1"/>
    <w:rsid w:val="00A411DA"/>
    <w:rsid w:val="00A41803"/>
    <w:rsid w:val="00A41CCC"/>
    <w:rsid w:val="00A46138"/>
    <w:rsid w:val="00A463D0"/>
    <w:rsid w:val="00A46D05"/>
    <w:rsid w:val="00A47017"/>
    <w:rsid w:val="00A47595"/>
    <w:rsid w:val="00A513DE"/>
    <w:rsid w:val="00A521F1"/>
    <w:rsid w:val="00A55B90"/>
    <w:rsid w:val="00A61B8B"/>
    <w:rsid w:val="00A65113"/>
    <w:rsid w:val="00A66C07"/>
    <w:rsid w:val="00A75325"/>
    <w:rsid w:val="00A76D34"/>
    <w:rsid w:val="00A82216"/>
    <w:rsid w:val="00A856F6"/>
    <w:rsid w:val="00A85BD6"/>
    <w:rsid w:val="00A90393"/>
    <w:rsid w:val="00AA693B"/>
    <w:rsid w:val="00AA7A0B"/>
    <w:rsid w:val="00AB55A4"/>
    <w:rsid w:val="00AB5651"/>
    <w:rsid w:val="00AB5FC3"/>
    <w:rsid w:val="00AC13F1"/>
    <w:rsid w:val="00AC4997"/>
    <w:rsid w:val="00AC533A"/>
    <w:rsid w:val="00AC55C1"/>
    <w:rsid w:val="00AC643B"/>
    <w:rsid w:val="00AD262E"/>
    <w:rsid w:val="00AD65E3"/>
    <w:rsid w:val="00AD76F8"/>
    <w:rsid w:val="00AE19FF"/>
    <w:rsid w:val="00AE3AEA"/>
    <w:rsid w:val="00AE4830"/>
    <w:rsid w:val="00AE6607"/>
    <w:rsid w:val="00AE71CD"/>
    <w:rsid w:val="00AF2568"/>
    <w:rsid w:val="00AF469B"/>
    <w:rsid w:val="00AF581C"/>
    <w:rsid w:val="00AF5A4A"/>
    <w:rsid w:val="00B001FA"/>
    <w:rsid w:val="00B01CAA"/>
    <w:rsid w:val="00B02D87"/>
    <w:rsid w:val="00B030BB"/>
    <w:rsid w:val="00B030D6"/>
    <w:rsid w:val="00B048BF"/>
    <w:rsid w:val="00B0681E"/>
    <w:rsid w:val="00B06842"/>
    <w:rsid w:val="00B12533"/>
    <w:rsid w:val="00B14A27"/>
    <w:rsid w:val="00B1645A"/>
    <w:rsid w:val="00B17B18"/>
    <w:rsid w:val="00B22F52"/>
    <w:rsid w:val="00B2328F"/>
    <w:rsid w:val="00B24779"/>
    <w:rsid w:val="00B269C0"/>
    <w:rsid w:val="00B27244"/>
    <w:rsid w:val="00B31FEB"/>
    <w:rsid w:val="00B33FD3"/>
    <w:rsid w:val="00B3541E"/>
    <w:rsid w:val="00B360A2"/>
    <w:rsid w:val="00B400A7"/>
    <w:rsid w:val="00B44960"/>
    <w:rsid w:val="00B44FCA"/>
    <w:rsid w:val="00B5564C"/>
    <w:rsid w:val="00B57E06"/>
    <w:rsid w:val="00B6024A"/>
    <w:rsid w:val="00B61E00"/>
    <w:rsid w:val="00B705F8"/>
    <w:rsid w:val="00B72786"/>
    <w:rsid w:val="00B80BDF"/>
    <w:rsid w:val="00B85D8D"/>
    <w:rsid w:val="00B9032A"/>
    <w:rsid w:val="00B949A8"/>
    <w:rsid w:val="00B94CF9"/>
    <w:rsid w:val="00BA0AE6"/>
    <w:rsid w:val="00BA1435"/>
    <w:rsid w:val="00BA6208"/>
    <w:rsid w:val="00BB0AA3"/>
    <w:rsid w:val="00BC058C"/>
    <w:rsid w:val="00BC0B0F"/>
    <w:rsid w:val="00BC2F34"/>
    <w:rsid w:val="00BC34C3"/>
    <w:rsid w:val="00BC4BB1"/>
    <w:rsid w:val="00BC6811"/>
    <w:rsid w:val="00BC74B7"/>
    <w:rsid w:val="00BD3404"/>
    <w:rsid w:val="00BD3CE1"/>
    <w:rsid w:val="00BD5BE5"/>
    <w:rsid w:val="00BD68AF"/>
    <w:rsid w:val="00BD72D2"/>
    <w:rsid w:val="00BE0BE1"/>
    <w:rsid w:val="00BE1069"/>
    <w:rsid w:val="00BE20FA"/>
    <w:rsid w:val="00BE269A"/>
    <w:rsid w:val="00BE6A05"/>
    <w:rsid w:val="00BF0B9D"/>
    <w:rsid w:val="00BF4859"/>
    <w:rsid w:val="00BF612D"/>
    <w:rsid w:val="00BF7717"/>
    <w:rsid w:val="00C0176D"/>
    <w:rsid w:val="00C02372"/>
    <w:rsid w:val="00C0369F"/>
    <w:rsid w:val="00C057F6"/>
    <w:rsid w:val="00C07698"/>
    <w:rsid w:val="00C07947"/>
    <w:rsid w:val="00C126DF"/>
    <w:rsid w:val="00C128B6"/>
    <w:rsid w:val="00C14A66"/>
    <w:rsid w:val="00C21991"/>
    <w:rsid w:val="00C23ADD"/>
    <w:rsid w:val="00C23E5A"/>
    <w:rsid w:val="00C25761"/>
    <w:rsid w:val="00C25F31"/>
    <w:rsid w:val="00C336BA"/>
    <w:rsid w:val="00C375B3"/>
    <w:rsid w:val="00C41FEB"/>
    <w:rsid w:val="00C472DF"/>
    <w:rsid w:val="00C47693"/>
    <w:rsid w:val="00C47AA1"/>
    <w:rsid w:val="00C50F51"/>
    <w:rsid w:val="00C514DA"/>
    <w:rsid w:val="00C52F24"/>
    <w:rsid w:val="00C602C3"/>
    <w:rsid w:val="00C60817"/>
    <w:rsid w:val="00C60F66"/>
    <w:rsid w:val="00C62478"/>
    <w:rsid w:val="00C63083"/>
    <w:rsid w:val="00C662D7"/>
    <w:rsid w:val="00C70BAF"/>
    <w:rsid w:val="00C743DB"/>
    <w:rsid w:val="00C77443"/>
    <w:rsid w:val="00C83DAD"/>
    <w:rsid w:val="00C87032"/>
    <w:rsid w:val="00C943ED"/>
    <w:rsid w:val="00C95CEF"/>
    <w:rsid w:val="00C966FB"/>
    <w:rsid w:val="00CA236B"/>
    <w:rsid w:val="00CC0D16"/>
    <w:rsid w:val="00CC3F24"/>
    <w:rsid w:val="00CC6E13"/>
    <w:rsid w:val="00CC7993"/>
    <w:rsid w:val="00CE6187"/>
    <w:rsid w:val="00CF011A"/>
    <w:rsid w:val="00CF2C59"/>
    <w:rsid w:val="00CF5E4B"/>
    <w:rsid w:val="00CF7167"/>
    <w:rsid w:val="00D0236D"/>
    <w:rsid w:val="00D02B50"/>
    <w:rsid w:val="00D02EEF"/>
    <w:rsid w:val="00D03D85"/>
    <w:rsid w:val="00D06758"/>
    <w:rsid w:val="00D077E0"/>
    <w:rsid w:val="00D10BEB"/>
    <w:rsid w:val="00D13E60"/>
    <w:rsid w:val="00D1506C"/>
    <w:rsid w:val="00D1547B"/>
    <w:rsid w:val="00D174F9"/>
    <w:rsid w:val="00D200CB"/>
    <w:rsid w:val="00D22CC1"/>
    <w:rsid w:val="00D22DEE"/>
    <w:rsid w:val="00D24D9D"/>
    <w:rsid w:val="00D30038"/>
    <w:rsid w:val="00D312CD"/>
    <w:rsid w:val="00D317B8"/>
    <w:rsid w:val="00D33505"/>
    <w:rsid w:val="00D35E27"/>
    <w:rsid w:val="00D36E8A"/>
    <w:rsid w:val="00D404EE"/>
    <w:rsid w:val="00D410CB"/>
    <w:rsid w:val="00D4125E"/>
    <w:rsid w:val="00D413BC"/>
    <w:rsid w:val="00D46FD1"/>
    <w:rsid w:val="00D477EC"/>
    <w:rsid w:val="00D51F76"/>
    <w:rsid w:val="00D53736"/>
    <w:rsid w:val="00D55665"/>
    <w:rsid w:val="00D63E1F"/>
    <w:rsid w:val="00D64CE9"/>
    <w:rsid w:val="00D70D60"/>
    <w:rsid w:val="00D717FA"/>
    <w:rsid w:val="00D769D9"/>
    <w:rsid w:val="00D82302"/>
    <w:rsid w:val="00D85494"/>
    <w:rsid w:val="00D860A8"/>
    <w:rsid w:val="00D91CBF"/>
    <w:rsid w:val="00D93446"/>
    <w:rsid w:val="00D95F7B"/>
    <w:rsid w:val="00DA0A34"/>
    <w:rsid w:val="00DA0E2D"/>
    <w:rsid w:val="00DA23C6"/>
    <w:rsid w:val="00DA3B01"/>
    <w:rsid w:val="00DA6115"/>
    <w:rsid w:val="00DB5843"/>
    <w:rsid w:val="00DC007B"/>
    <w:rsid w:val="00DC1A44"/>
    <w:rsid w:val="00DC7E98"/>
    <w:rsid w:val="00DD08CA"/>
    <w:rsid w:val="00DD18A3"/>
    <w:rsid w:val="00DD445C"/>
    <w:rsid w:val="00DE18BB"/>
    <w:rsid w:val="00DE52CA"/>
    <w:rsid w:val="00DE6AD3"/>
    <w:rsid w:val="00DE6BD0"/>
    <w:rsid w:val="00DF2FA8"/>
    <w:rsid w:val="00DF4414"/>
    <w:rsid w:val="00E11634"/>
    <w:rsid w:val="00E12230"/>
    <w:rsid w:val="00E144F9"/>
    <w:rsid w:val="00E14C00"/>
    <w:rsid w:val="00E16EBD"/>
    <w:rsid w:val="00E21E03"/>
    <w:rsid w:val="00E246AA"/>
    <w:rsid w:val="00E27F47"/>
    <w:rsid w:val="00E31029"/>
    <w:rsid w:val="00E4242E"/>
    <w:rsid w:val="00E42938"/>
    <w:rsid w:val="00E43B4B"/>
    <w:rsid w:val="00E45386"/>
    <w:rsid w:val="00E5136E"/>
    <w:rsid w:val="00E56092"/>
    <w:rsid w:val="00E60679"/>
    <w:rsid w:val="00E6171B"/>
    <w:rsid w:val="00E6192A"/>
    <w:rsid w:val="00E64B75"/>
    <w:rsid w:val="00E66640"/>
    <w:rsid w:val="00E74285"/>
    <w:rsid w:val="00E747C8"/>
    <w:rsid w:val="00E8116E"/>
    <w:rsid w:val="00E815E9"/>
    <w:rsid w:val="00E82409"/>
    <w:rsid w:val="00E82BD0"/>
    <w:rsid w:val="00E910DC"/>
    <w:rsid w:val="00E94C91"/>
    <w:rsid w:val="00E95DA5"/>
    <w:rsid w:val="00EA136E"/>
    <w:rsid w:val="00EA4575"/>
    <w:rsid w:val="00EA597D"/>
    <w:rsid w:val="00EA7397"/>
    <w:rsid w:val="00EB17D9"/>
    <w:rsid w:val="00EB19C1"/>
    <w:rsid w:val="00EB37F1"/>
    <w:rsid w:val="00EB58C7"/>
    <w:rsid w:val="00EB628C"/>
    <w:rsid w:val="00EC39A3"/>
    <w:rsid w:val="00ED09D8"/>
    <w:rsid w:val="00ED682A"/>
    <w:rsid w:val="00EE0AA7"/>
    <w:rsid w:val="00EE1F72"/>
    <w:rsid w:val="00EE20B7"/>
    <w:rsid w:val="00EE28D3"/>
    <w:rsid w:val="00EE4688"/>
    <w:rsid w:val="00EE74E1"/>
    <w:rsid w:val="00EF6ABC"/>
    <w:rsid w:val="00F03D3B"/>
    <w:rsid w:val="00F04243"/>
    <w:rsid w:val="00F05DF6"/>
    <w:rsid w:val="00F06C53"/>
    <w:rsid w:val="00F10AAB"/>
    <w:rsid w:val="00F12F57"/>
    <w:rsid w:val="00F14D43"/>
    <w:rsid w:val="00F14FD3"/>
    <w:rsid w:val="00F16FD4"/>
    <w:rsid w:val="00F21DBC"/>
    <w:rsid w:val="00F24389"/>
    <w:rsid w:val="00F24A8B"/>
    <w:rsid w:val="00F24F9D"/>
    <w:rsid w:val="00F26D2C"/>
    <w:rsid w:val="00F27A19"/>
    <w:rsid w:val="00F30445"/>
    <w:rsid w:val="00F30A40"/>
    <w:rsid w:val="00F31156"/>
    <w:rsid w:val="00F37849"/>
    <w:rsid w:val="00F41B54"/>
    <w:rsid w:val="00F423A4"/>
    <w:rsid w:val="00F4259C"/>
    <w:rsid w:val="00F438B1"/>
    <w:rsid w:val="00F479A0"/>
    <w:rsid w:val="00F52364"/>
    <w:rsid w:val="00F52A7A"/>
    <w:rsid w:val="00F53223"/>
    <w:rsid w:val="00F575C9"/>
    <w:rsid w:val="00F6124D"/>
    <w:rsid w:val="00F61333"/>
    <w:rsid w:val="00F637B4"/>
    <w:rsid w:val="00F66964"/>
    <w:rsid w:val="00F719A8"/>
    <w:rsid w:val="00F71DA6"/>
    <w:rsid w:val="00F841D6"/>
    <w:rsid w:val="00F85062"/>
    <w:rsid w:val="00F857DC"/>
    <w:rsid w:val="00F877DE"/>
    <w:rsid w:val="00F93F26"/>
    <w:rsid w:val="00F942E4"/>
    <w:rsid w:val="00F94BCB"/>
    <w:rsid w:val="00F95E37"/>
    <w:rsid w:val="00F9701B"/>
    <w:rsid w:val="00FA581A"/>
    <w:rsid w:val="00FB062A"/>
    <w:rsid w:val="00FB0FCF"/>
    <w:rsid w:val="00FB7863"/>
    <w:rsid w:val="00FD09F8"/>
    <w:rsid w:val="00FD2085"/>
    <w:rsid w:val="00FD4C47"/>
    <w:rsid w:val="00FD70B2"/>
    <w:rsid w:val="00FD7391"/>
    <w:rsid w:val="00FE6E55"/>
    <w:rsid w:val="00FE6F29"/>
    <w:rsid w:val="00FF5B70"/>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62465-7EF6-40A9-9DDB-8C4137D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paragraph" w:styleId="Heading1">
    <w:name w:val="heading 1"/>
    <w:basedOn w:val="Normal"/>
    <w:next w:val="Normal"/>
    <w:link w:val="Heading1Char"/>
    <w:qFormat/>
    <w:rsid w:val="0070795E"/>
    <w:pPr>
      <w:keepNext/>
      <w:spacing w:after="0" w:line="240" w:lineRule="auto"/>
      <w:jc w:val="center"/>
      <w:outlineLvl w:val="0"/>
    </w:pPr>
    <w:rPr>
      <w:rFonts w:ascii="Times New Roman" w:eastAsia="Times New Roman" w:hAnsi="Times New Roman" w:cs="Times New Roman"/>
      <w:b/>
      <w:sz w:val="24"/>
      <w:szCs w:val="20"/>
      <w:lang w:eastAsia="zh-CN"/>
    </w:rPr>
  </w:style>
  <w:style w:type="paragraph" w:styleId="Heading4">
    <w:name w:val="heading 4"/>
    <w:basedOn w:val="Normal"/>
    <w:next w:val="Normal"/>
    <w:link w:val="Heading4Char"/>
    <w:uiPriority w:val="9"/>
    <w:semiHidden/>
    <w:unhideWhenUsed/>
    <w:qFormat/>
    <w:rsid w:val="00EE0A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795E"/>
    <w:rPr>
      <w:rFonts w:ascii="Times New Roman" w:eastAsia="Times New Roman" w:hAnsi="Times New Roman" w:cs="Times New Roman"/>
      <w:b/>
      <w:sz w:val="24"/>
      <w:szCs w:val="20"/>
      <w:lang w:val="bg-BG" w:eastAsia="zh-CN"/>
    </w:rPr>
  </w:style>
  <w:style w:type="paragraph" w:customStyle="1" w:styleId="Style">
    <w:name w:val="Style"/>
    <w:rsid w:val="0070795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table" w:styleId="TableGrid">
    <w:name w:val="Table Grid"/>
    <w:basedOn w:val="TableNormal"/>
    <w:uiPriority w:val="59"/>
    <w:rsid w:val="0070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
    <w:name w:val="Char Char1 Char Char Char Char Char Char Char Char1 Char"/>
    <w:basedOn w:val="Normal"/>
    <w:rsid w:val="00D33505"/>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basedOn w:val="DefaultParagraphFont"/>
    <w:link w:val="Bodytext50"/>
    <w:rsid w:val="00F10AAB"/>
    <w:rPr>
      <w:rFonts w:ascii="Times New Roman" w:eastAsia="Times New Roman" w:hAnsi="Times New Roman" w:cs="Times New Roman"/>
      <w:b/>
      <w:bCs/>
      <w:sz w:val="21"/>
      <w:szCs w:val="21"/>
      <w:shd w:val="clear" w:color="auto" w:fill="FFFFFF"/>
    </w:rPr>
  </w:style>
  <w:style w:type="character" w:customStyle="1" w:styleId="Bodytext">
    <w:name w:val="Body text_"/>
    <w:basedOn w:val="DefaultParagraphFont"/>
    <w:link w:val="BodyText1"/>
    <w:rsid w:val="00F10AAB"/>
    <w:rPr>
      <w:rFonts w:ascii="Times New Roman" w:eastAsia="Times New Roman" w:hAnsi="Times New Roman" w:cs="Times New Roman"/>
      <w:sz w:val="21"/>
      <w:szCs w:val="21"/>
      <w:shd w:val="clear" w:color="auto" w:fill="FFFFFF"/>
    </w:rPr>
  </w:style>
  <w:style w:type="character" w:customStyle="1" w:styleId="Bodytext6">
    <w:name w:val="Body text (6)_"/>
    <w:basedOn w:val="DefaultParagraphFont"/>
    <w:link w:val="Bodytext60"/>
    <w:rsid w:val="00F10AAB"/>
    <w:rPr>
      <w:rFonts w:ascii="Times New Roman" w:eastAsia="Times New Roman" w:hAnsi="Times New Roman" w:cs="Times New Roman"/>
      <w:b/>
      <w:bCs/>
      <w:sz w:val="23"/>
      <w:szCs w:val="23"/>
      <w:shd w:val="clear" w:color="auto" w:fill="FFFFFF"/>
    </w:rPr>
  </w:style>
  <w:style w:type="paragraph" w:customStyle="1" w:styleId="BodyText1">
    <w:name w:val="Body Text1"/>
    <w:basedOn w:val="Normal"/>
    <w:link w:val="Bodytext"/>
    <w:rsid w:val="00F10AAB"/>
    <w:pPr>
      <w:widowControl w:val="0"/>
      <w:shd w:val="clear" w:color="auto" w:fill="FFFFFF"/>
      <w:spacing w:before="660" w:after="780" w:line="245" w:lineRule="exact"/>
      <w:ind w:hanging="1000"/>
    </w:pPr>
    <w:rPr>
      <w:rFonts w:ascii="Times New Roman" w:eastAsia="Times New Roman" w:hAnsi="Times New Roman" w:cs="Times New Roman"/>
      <w:sz w:val="21"/>
      <w:szCs w:val="21"/>
    </w:rPr>
  </w:style>
  <w:style w:type="paragraph" w:customStyle="1" w:styleId="Bodytext50">
    <w:name w:val="Body text (5)"/>
    <w:basedOn w:val="Normal"/>
    <w:link w:val="Bodytext5"/>
    <w:rsid w:val="00F10AAB"/>
    <w:pPr>
      <w:widowControl w:val="0"/>
      <w:shd w:val="clear" w:color="auto" w:fill="FFFFFF"/>
      <w:spacing w:before="480" w:after="480" w:line="0" w:lineRule="atLeast"/>
      <w:ind w:hanging="1000"/>
    </w:pPr>
    <w:rPr>
      <w:rFonts w:ascii="Times New Roman" w:eastAsia="Times New Roman" w:hAnsi="Times New Roman" w:cs="Times New Roman"/>
      <w:b/>
      <w:bCs/>
      <w:sz w:val="21"/>
      <w:szCs w:val="21"/>
    </w:rPr>
  </w:style>
  <w:style w:type="paragraph" w:customStyle="1" w:styleId="Bodytext60">
    <w:name w:val="Body text (6)"/>
    <w:basedOn w:val="Normal"/>
    <w:link w:val="Bodytext6"/>
    <w:rsid w:val="00F10AAB"/>
    <w:pPr>
      <w:widowControl w:val="0"/>
      <w:shd w:val="clear" w:color="auto" w:fill="FFFFFF"/>
      <w:spacing w:before="480" w:after="480" w:line="317" w:lineRule="exact"/>
      <w:ind w:hanging="720"/>
      <w:jc w:val="both"/>
    </w:pPr>
    <w:rPr>
      <w:rFonts w:ascii="Times New Roman" w:eastAsia="Times New Roman" w:hAnsi="Times New Roman" w:cs="Times New Roman"/>
      <w:b/>
      <w:bCs/>
      <w:sz w:val="23"/>
      <w:szCs w:val="23"/>
    </w:rPr>
  </w:style>
  <w:style w:type="character" w:customStyle="1" w:styleId="Heading10">
    <w:name w:val="Heading #1_"/>
    <w:basedOn w:val="DefaultParagraphFont"/>
    <w:rsid w:val="009C0616"/>
    <w:rPr>
      <w:rFonts w:ascii="Trebuchet MS" w:eastAsia="Trebuchet MS" w:hAnsi="Trebuchet MS" w:cs="Trebuchet MS"/>
      <w:b w:val="0"/>
      <w:bCs w:val="0"/>
      <w:i w:val="0"/>
      <w:iCs w:val="0"/>
      <w:smallCaps w:val="0"/>
      <w:strike w:val="0"/>
      <w:sz w:val="19"/>
      <w:szCs w:val="19"/>
      <w:u w:val="none"/>
    </w:rPr>
  </w:style>
  <w:style w:type="character" w:customStyle="1" w:styleId="Heading11">
    <w:name w:val="Heading #1"/>
    <w:basedOn w:val="Heading10"/>
    <w:rsid w:val="009C0616"/>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BodytextBold">
    <w:name w:val="Body text + Bold"/>
    <w:basedOn w:val="Bodytext"/>
    <w:rsid w:val="004A094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rPr>
  </w:style>
  <w:style w:type="paragraph" w:styleId="ListParagraph">
    <w:name w:val="List Paragraph"/>
    <w:basedOn w:val="Normal"/>
    <w:uiPriority w:val="34"/>
    <w:qFormat/>
    <w:rsid w:val="00160402"/>
    <w:pPr>
      <w:ind w:left="720"/>
      <w:contextualSpacing/>
    </w:pPr>
  </w:style>
  <w:style w:type="character" w:customStyle="1" w:styleId="Bodytext4">
    <w:name w:val="Body text (4)_"/>
    <w:basedOn w:val="DefaultParagraphFont"/>
    <w:link w:val="Bodytext40"/>
    <w:rsid w:val="003677D5"/>
    <w:rPr>
      <w:rFonts w:ascii="Times New Roman" w:eastAsia="Times New Roman" w:hAnsi="Times New Roman" w:cs="Times New Roman"/>
      <w:b/>
      <w:bCs/>
      <w:sz w:val="21"/>
      <w:szCs w:val="21"/>
      <w:shd w:val="clear" w:color="auto" w:fill="FFFFFF"/>
    </w:rPr>
  </w:style>
  <w:style w:type="paragraph" w:customStyle="1" w:styleId="Bodytext40">
    <w:name w:val="Body text (4)"/>
    <w:basedOn w:val="Normal"/>
    <w:link w:val="Bodytext4"/>
    <w:rsid w:val="003677D5"/>
    <w:pPr>
      <w:widowControl w:val="0"/>
      <w:shd w:val="clear" w:color="auto" w:fill="FFFFFF"/>
      <w:spacing w:before="180" w:after="480" w:line="0" w:lineRule="atLeast"/>
      <w:ind w:hanging="1000"/>
    </w:pPr>
    <w:rPr>
      <w:rFonts w:ascii="Times New Roman" w:eastAsia="Times New Roman" w:hAnsi="Times New Roman" w:cs="Times New Roman"/>
      <w:b/>
      <w:bCs/>
      <w:sz w:val="21"/>
      <w:szCs w:val="21"/>
    </w:rPr>
  </w:style>
  <w:style w:type="paragraph" w:customStyle="1" w:styleId="BodyText2">
    <w:name w:val="Body Text2"/>
    <w:basedOn w:val="Normal"/>
    <w:rsid w:val="003677D5"/>
    <w:pPr>
      <w:widowControl w:val="0"/>
      <w:shd w:val="clear" w:color="auto" w:fill="FFFFFF"/>
      <w:spacing w:before="480" w:after="480" w:line="240" w:lineRule="exact"/>
      <w:ind w:hanging="1000"/>
    </w:pPr>
    <w:rPr>
      <w:rFonts w:ascii="Times New Roman" w:eastAsia="Times New Roman" w:hAnsi="Times New Roman" w:cs="Times New Roman"/>
      <w:color w:val="000000"/>
      <w:sz w:val="21"/>
      <w:szCs w:val="21"/>
    </w:rPr>
  </w:style>
  <w:style w:type="character" w:customStyle="1" w:styleId="Bodytext5NotBold">
    <w:name w:val="Body text (5) + Not Bold"/>
    <w:basedOn w:val="Bodytext5"/>
    <w:rsid w:val="00AE660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rPr>
  </w:style>
  <w:style w:type="character" w:styleId="Strong">
    <w:name w:val="Strong"/>
    <w:basedOn w:val="DefaultParagraphFont"/>
    <w:uiPriority w:val="22"/>
    <w:qFormat/>
    <w:rsid w:val="006C0648"/>
    <w:rPr>
      <w:b/>
      <w:bCs/>
    </w:rPr>
  </w:style>
  <w:style w:type="paragraph" w:styleId="BalloonText">
    <w:name w:val="Balloon Text"/>
    <w:basedOn w:val="Normal"/>
    <w:link w:val="BalloonTextChar"/>
    <w:uiPriority w:val="99"/>
    <w:semiHidden/>
    <w:unhideWhenUsed/>
    <w:rsid w:val="004B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AB"/>
    <w:rPr>
      <w:rFonts w:ascii="Tahoma" w:hAnsi="Tahoma" w:cs="Tahoma"/>
      <w:sz w:val="16"/>
      <w:szCs w:val="16"/>
    </w:rPr>
  </w:style>
  <w:style w:type="paragraph" w:customStyle="1" w:styleId="BodyText3">
    <w:name w:val="Body Text3"/>
    <w:basedOn w:val="Normal"/>
    <w:rsid w:val="00E747C8"/>
    <w:pPr>
      <w:widowControl w:val="0"/>
      <w:shd w:val="clear" w:color="auto" w:fill="FFFFFF"/>
      <w:spacing w:after="180" w:line="0" w:lineRule="atLeast"/>
      <w:ind w:hanging="460"/>
      <w:jc w:val="center"/>
    </w:pPr>
    <w:rPr>
      <w:rFonts w:ascii="Tahoma" w:eastAsia="Tahoma" w:hAnsi="Tahoma" w:cs="Tahoma"/>
      <w:color w:val="000000"/>
      <w:sz w:val="20"/>
      <w:szCs w:val="20"/>
      <w:lang w:eastAsia="bg-BG"/>
    </w:rPr>
  </w:style>
  <w:style w:type="character" w:customStyle="1" w:styleId="Bodytext4ptItalic">
    <w:name w:val="Body text + 4 pt;Italic"/>
    <w:basedOn w:val="Bodytext"/>
    <w:rsid w:val="00E815E9"/>
    <w:rPr>
      <w:rFonts w:ascii="Tahoma" w:eastAsia="Tahoma" w:hAnsi="Tahoma" w:cs="Tahoma"/>
      <w:b w:val="0"/>
      <w:bCs w:val="0"/>
      <w:i/>
      <w:iCs/>
      <w:smallCaps w:val="0"/>
      <w:strike w:val="0"/>
      <w:color w:val="000000"/>
      <w:spacing w:val="0"/>
      <w:w w:val="100"/>
      <w:position w:val="0"/>
      <w:sz w:val="8"/>
      <w:szCs w:val="8"/>
      <w:u w:val="none"/>
      <w:shd w:val="clear" w:color="auto" w:fill="FFFFFF"/>
      <w:lang w:val="bg-BG"/>
    </w:rPr>
  </w:style>
  <w:style w:type="paragraph" w:customStyle="1" w:styleId="Default">
    <w:name w:val="Default"/>
    <w:rsid w:val="009449E5"/>
    <w:pPr>
      <w:autoSpaceDE w:val="0"/>
      <w:autoSpaceDN w:val="0"/>
      <w:adjustRightInd w:val="0"/>
      <w:spacing w:after="0" w:line="240" w:lineRule="auto"/>
    </w:pPr>
    <w:rPr>
      <w:rFonts w:ascii="Times New Roman" w:hAnsi="Times New Roman" w:cs="Times New Roman"/>
      <w:color w:val="000000"/>
      <w:sz w:val="24"/>
      <w:szCs w:val="24"/>
      <w:lang w:val="bg-BG"/>
    </w:rPr>
  </w:style>
  <w:style w:type="paragraph" w:styleId="Header">
    <w:name w:val="header"/>
    <w:basedOn w:val="Normal"/>
    <w:link w:val="HeaderChar"/>
    <w:uiPriority w:val="99"/>
    <w:unhideWhenUsed/>
    <w:rsid w:val="00C41F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1FEB"/>
  </w:style>
  <w:style w:type="paragraph" w:styleId="Footer">
    <w:name w:val="footer"/>
    <w:basedOn w:val="Normal"/>
    <w:link w:val="FooterChar"/>
    <w:uiPriority w:val="99"/>
    <w:unhideWhenUsed/>
    <w:rsid w:val="00C41F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1FEB"/>
  </w:style>
  <w:style w:type="paragraph" w:styleId="CommentText">
    <w:name w:val="annotation text"/>
    <w:basedOn w:val="Normal"/>
    <w:link w:val="CommentTextChar"/>
    <w:uiPriority w:val="99"/>
    <w:unhideWhenUsed/>
    <w:rsid w:val="009A7E1F"/>
    <w:pPr>
      <w:spacing w:line="240" w:lineRule="auto"/>
    </w:pPr>
    <w:rPr>
      <w:sz w:val="20"/>
      <w:szCs w:val="20"/>
    </w:rPr>
  </w:style>
  <w:style w:type="character" w:customStyle="1" w:styleId="CommentTextChar">
    <w:name w:val="Comment Text Char"/>
    <w:basedOn w:val="DefaultParagraphFont"/>
    <w:link w:val="CommentText"/>
    <w:uiPriority w:val="99"/>
    <w:rsid w:val="009A7E1F"/>
    <w:rPr>
      <w:sz w:val="20"/>
      <w:szCs w:val="20"/>
    </w:rPr>
  </w:style>
  <w:style w:type="character" w:styleId="CommentReference">
    <w:name w:val="annotation reference"/>
    <w:basedOn w:val="DefaultParagraphFont"/>
    <w:uiPriority w:val="99"/>
    <w:semiHidden/>
    <w:unhideWhenUsed/>
    <w:rsid w:val="008F6CE7"/>
    <w:rPr>
      <w:sz w:val="16"/>
      <w:szCs w:val="16"/>
    </w:rPr>
  </w:style>
  <w:style w:type="paragraph" w:styleId="CommentSubject">
    <w:name w:val="annotation subject"/>
    <w:basedOn w:val="CommentText"/>
    <w:next w:val="CommentText"/>
    <w:link w:val="CommentSubjectChar"/>
    <w:uiPriority w:val="99"/>
    <w:semiHidden/>
    <w:unhideWhenUsed/>
    <w:rsid w:val="008F6CE7"/>
    <w:rPr>
      <w:b/>
      <w:bCs/>
    </w:rPr>
  </w:style>
  <w:style w:type="character" w:customStyle="1" w:styleId="CommentSubjectChar">
    <w:name w:val="Comment Subject Char"/>
    <w:basedOn w:val="CommentTextChar"/>
    <w:link w:val="CommentSubject"/>
    <w:uiPriority w:val="99"/>
    <w:semiHidden/>
    <w:rsid w:val="008F6CE7"/>
    <w:rPr>
      <w:b/>
      <w:bCs/>
      <w:sz w:val="20"/>
      <w:szCs w:val="20"/>
      <w:lang w:val="bg-BG"/>
    </w:rPr>
  </w:style>
  <w:style w:type="paragraph" w:customStyle="1" w:styleId="CharChar1Char">
    <w:name w:val="Char Char1 Char"/>
    <w:basedOn w:val="Normal"/>
    <w:semiHidden/>
    <w:rsid w:val="00BC2F34"/>
    <w:pPr>
      <w:tabs>
        <w:tab w:val="left" w:pos="709"/>
      </w:tabs>
      <w:spacing w:after="0" w:line="240" w:lineRule="auto"/>
    </w:pPr>
    <w:rPr>
      <w:rFonts w:ascii="Futura Bk" w:eastAsia="Times New Roman" w:hAnsi="Futura Bk" w:cs="Times New Roman"/>
      <w:sz w:val="20"/>
      <w:szCs w:val="24"/>
      <w:lang w:val="pl-PL" w:eastAsia="pl-PL"/>
    </w:rPr>
  </w:style>
  <w:style w:type="character" w:styleId="Emphasis">
    <w:name w:val="Emphasis"/>
    <w:basedOn w:val="DefaultParagraphFont"/>
    <w:uiPriority w:val="20"/>
    <w:qFormat/>
    <w:rsid w:val="004F6490"/>
    <w:rPr>
      <w:i/>
      <w:iCs/>
    </w:rPr>
  </w:style>
  <w:style w:type="character" w:styleId="Hyperlink">
    <w:name w:val="Hyperlink"/>
    <w:basedOn w:val="DefaultParagraphFont"/>
    <w:rsid w:val="00454CE0"/>
    <w:rPr>
      <w:color w:val="0066CC"/>
      <w:u w:val="single"/>
    </w:rPr>
  </w:style>
  <w:style w:type="character" w:customStyle="1" w:styleId="Heading4Char">
    <w:name w:val="Heading 4 Char"/>
    <w:basedOn w:val="DefaultParagraphFont"/>
    <w:link w:val="Heading4"/>
    <w:uiPriority w:val="9"/>
    <w:semiHidden/>
    <w:rsid w:val="00EE0AA7"/>
    <w:rPr>
      <w:rFonts w:asciiTheme="majorHAnsi" w:eastAsiaTheme="majorEastAsia" w:hAnsiTheme="majorHAnsi" w:cstheme="majorBidi"/>
      <w:i/>
      <w:iCs/>
      <w:color w:val="365F91" w:themeColor="accent1" w:themeShade="BF"/>
      <w:lang w:val="bg-BG"/>
    </w:rPr>
  </w:style>
  <w:style w:type="paragraph" w:customStyle="1" w:styleId="BodyText8">
    <w:name w:val="Body Text8"/>
    <w:basedOn w:val="Normal"/>
    <w:rsid w:val="0008103E"/>
    <w:pPr>
      <w:widowControl w:val="0"/>
      <w:shd w:val="clear" w:color="auto" w:fill="FFFFFF"/>
      <w:spacing w:before="120" w:after="1020" w:line="254" w:lineRule="exact"/>
    </w:pPr>
    <w:rPr>
      <w:rFonts w:ascii="Times New Roman" w:eastAsia="Times New Roman" w:hAnsi="Times New Roman" w:cs="Times New Roman"/>
      <w:color w:val="000000"/>
      <w:sz w:val="23"/>
      <w:szCs w:val="23"/>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15895">
      <w:bodyDiv w:val="1"/>
      <w:marLeft w:val="0"/>
      <w:marRight w:val="0"/>
      <w:marTop w:val="0"/>
      <w:marBottom w:val="0"/>
      <w:divBdr>
        <w:top w:val="none" w:sz="0" w:space="0" w:color="auto"/>
        <w:left w:val="none" w:sz="0" w:space="0" w:color="auto"/>
        <w:bottom w:val="none" w:sz="0" w:space="0" w:color="auto"/>
        <w:right w:val="none" w:sz="0" w:space="0" w:color="auto"/>
      </w:divBdr>
      <w:divsChild>
        <w:div w:id="883908353">
          <w:marLeft w:val="0"/>
          <w:marRight w:val="0"/>
          <w:marTop w:val="0"/>
          <w:marBottom w:val="0"/>
          <w:divBdr>
            <w:top w:val="none" w:sz="0" w:space="0" w:color="auto"/>
            <w:left w:val="none" w:sz="0" w:space="0" w:color="auto"/>
            <w:bottom w:val="none" w:sz="0" w:space="0" w:color="auto"/>
            <w:right w:val="none" w:sz="0" w:space="0" w:color="auto"/>
          </w:divBdr>
        </w:div>
      </w:divsChild>
    </w:div>
    <w:div w:id="1247762123">
      <w:bodyDiv w:val="1"/>
      <w:marLeft w:val="0"/>
      <w:marRight w:val="0"/>
      <w:marTop w:val="0"/>
      <w:marBottom w:val="0"/>
      <w:divBdr>
        <w:top w:val="none" w:sz="0" w:space="0" w:color="auto"/>
        <w:left w:val="none" w:sz="0" w:space="0" w:color="auto"/>
        <w:bottom w:val="none" w:sz="0" w:space="0" w:color="auto"/>
        <w:right w:val="none" w:sz="0" w:space="0" w:color="auto"/>
      </w:divBdr>
    </w:div>
    <w:div w:id="1983539463">
      <w:bodyDiv w:val="1"/>
      <w:marLeft w:val="0"/>
      <w:marRight w:val="0"/>
      <w:marTop w:val="0"/>
      <w:marBottom w:val="0"/>
      <w:divBdr>
        <w:top w:val="none" w:sz="0" w:space="0" w:color="auto"/>
        <w:left w:val="none" w:sz="0" w:space="0" w:color="auto"/>
        <w:bottom w:val="none" w:sz="0" w:space="0" w:color="auto"/>
        <w:right w:val="none" w:sz="0" w:space="0" w:color="auto"/>
      </w:divBdr>
      <w:divsChild>
        <w:div w:id="1025138209">
          <w:marLeft w:val="0"/>
          <w:marRight w:val="0"/>
          <w:marTop w:val="0"/>
          <w:marBottom w:val="0"/>
          <w:divBdr>
            <w:top w:val="none" w:sz="0" w:space="0" w:color="auto"/>
            <w:left w:val="none" w:sz="0" w:space="0" w:color="auto"/>
            <w:bottom w:val="none" w:sz="0" w:space="0" w:color="auto"/>
            <w:right w:val="none" w:sz="0" w:space="0" w:color="auto"/>
          </w:divBdr>
        </w:div>
        <w:div w:id="8118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F9C3-98CB-48E9-B1C2-AF8A62C3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11663</Words>
  <Characters>66485</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KGeorgieva</dc:creator>
  <cp:lastModifiedBy>Detelina Petrova</cp:lastModifiedBy>
  <cp:revision>6</cp:revision>
  <cp:lastPrinted>2024-03-05T10:06:00Z</cp:lastPrinted>
  <dcterms:created xsi:type="dcterms:W3CDTF">2024-03-05T09:10:00Z</dcterms:created>
  <dcterms:modified xsi:type="dcterms:W3CDTF">2024-03-05T10:06:00Z</dcterms:modified>
</cp:coreProperties>
</file>