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57" w:type="dxa"/>
        </w:tblCellMar>
        <w:tblLook w:val="0000" w:firstRow="0" w:lastRow="0" w:firstColumn="0" w:lastColumn="0" w:noHBand="0" w:noVBand="0"/>
      </w:tblPr>
      <w:tblGrid>
        <w:gridCol w:w="709"/>
        <w:gridCol w:w="9497"/>
      </w:tblGrid>
      <w:tr w:rsidR="00076E63" w:rsidRPr="0049543C" w14:paraId="7D355BD5" w14:textId="77777777" w:rsidTr="00076E63">
        <w:trPr>
          <w:trHeight w:val="60"/>
        </w:trPr>
        <w:tc>
          <w:tcPr>
            <w:tcW w:w="10206" w:type="dxa"/>
            <w:gridSpan w:val="2"/>
            <w:shd w:val="clear" w:color="auto" w:fill="D9D9D9"/>
            <w:tcMar>
              <w:top w:w="60" w:type="dxa"/>
              <w:bottom w:w="0" w:type="dxa"/>
            </w:tcMar>
            <w:vAlign w:val="center"/>
          </w:tcPr>
          <w:p w14:paraId="069C1E14" w14:textId="702A2A13" w:rsidR="0049543C" w:rsidRPr="0049543C" w:rsidRDefault="00076E63" w:rsidP="0049543C">
            <w:pPr>
              <w:spacing w:after="0" w:line="360" w:lineRule="auto"/>
              <w:jc w:val="center"/>
              <w:rPr>
                <w:rFonts w:ascii="Times New Roman" w:eastAsia="Times New Roman" w:hAnsi="Times New Roman" w:cs="Times New Roman"/>
                <w:b/>
                <w:sz w:val="24"/>
                <w:szCs w:val="24"/>
                <w:lang w:val="bg-BG"/>
              </w:rPr>
            </w:pPr>
            <w:r w:rsidRPr="0049543C">
              <w:rPr>
                <w:rFonts w:ascii="Times New Roman" w:eastAsia="Times New Roman" w:hAnsi="Times New Roman" w:cs="Times New Roman"/>
                <w:b/>
                <w:sz w:val="24"/>
                <w:szCs w:val="24"/>
                <w:lang w:val="bg-BG"/>
              </w:rPr>
              <w:t>КОНСУЛТАЦИОНЕН ДОКУМЕНТ</w:t>
            </w:r>
          </w:p>
          <w:p w14:paraId="1C9D0E98" w14:textId="4315E1D2" w:rsidR="0049543C" w:rsidRPr="0049543C" w:rsidRDefault="0049543C" w:rsidP="0049543C">
            <w:pPr>
              <w:spacing w:after="0" w:line="360" w:lineRule="auto"/>
              <w:jc w:val="center"/>
              <w:rPr>
                <w:rFonts w:ascii="Times New Roman" w:eastAsia="Times New Roman" w:hAnsi="Times New Roman" w:cs="Times New Roman"/>
                <w:b/>
                <w:sz w:val="24"/>
                <w:szCs w:val="24"/>
                <w:lang w:val="bg-BG"/>
              </w:rPr>
            </w:pPr>
            <w:r w:rsidRPr="0049543C">
              <w:rPr>
                <w:rFonts w:ascii="Times New Roman" w:eastAsia="Times New Roman" w:hAnsi="Times New Roman" w:cs="Times New Roman"/>
                <w:b/>
                <w:sz w:val="24"/>
                <w:szCs w:val="24"/>
                <w:lang w:val="bg-BG"/>
              </w:rPr>
              <w:t>ПО</w:t>
            </w:r>
          </w:p>
          <w:p w14:paraId="2762326E" w14:textId="6D1C1DC1" w:rsidR="00076E63" w:rsidRPr="0049543C" w:rsidRDefault="0049543C" w:rsidP="00C825B2">
            <w:pPr>
              <w:spacing w:after="0" w:line="360" w:lineRule="auto"/>
              <w:jc w:val="center"/>
              <w:rPr>
                <w:rFonts w:ascii="Times New Roman" w:eastAsia="Times New Roman" w:hAnsi="Times New Roman" w:cs="Times New Roman"/>
                <w:b/>
                <w:sz w:val="24"/>
                <w:szCs w:val="24"/>
                <w:lang w:val="bg-BG"/>
              </w:rPr>
            </w:pPr>
            <w:r w:rsidRPr="0049543C">
              <w:rPr>
                <w:rFonts w:ascii="Times New Roman" w:eastAsia="Times New Roman" w:hAnsi="Times New Roman" w:cs="Times New Roman"/>
                <w:b/>
                <w:sz w:val="24"/>
                <w:szCs w:val="24"/>
                <w:lang w:val="bg-BG"/>
              </w:rPr>
              <w:t>ПРОЕКТ НА ЗАКОН ЗА ВЕРИГАТА НА ДОСТАВКИ НА ЗЕМЕДЕЛСКИ ПРОДУКТИ И ХРАНИ</w:t>
            </w:r>
          </w:p>
        </w:tc>
      </w:tr>
      <w:tr w:rsidR="00076E63" w:rsidRPr="0049543C" w14:paraId="3B1CB277" w14:textId="77777777" w:rsidTr="00076E63">
        <w:trPr>
          <w:trHeight w:val="60"/>
        </w:trPr>
        <w:tc>
          <w:tcPr>
            <w:tcW w:w="10206" w:type="dxa"/>
            <w:gridSpan w:val="2"/>
            <w:shd w:val="clear" w:color="auto" w:fill="FFFFFF"/>
            <w:tcMar>
              <w:top w:w="60" w:type="dxa"/>
              <w:bottom w:w="0" w:type="dxa"/>
            </w:tcMar>
            <w:vAlign w:val="center"/>
          </w:tcPr>
          <w:p w14:paraId="0310EB3A" w14:textId="77777777" w:rsidR="00076E63" w:rsidRPr="0049543C" w:rsidRDefault="00076E63" w:rsidP="00076E63">
            <w:pPr>
              <w:widowControl w:val="0"/>
              <w:autoSpaceDE w:val="0"/>
              <w:autoSpaceDN w:val="0"/>
              <w:adjustRightInd w:val="0"/>
              <w:spacing w:after="0" w:line="360" w:lineRule="auto"/>
              <w:ind w:firstLine="283"/>
              <w:jc w:val="both"/>
              <w:rPr>
                <w:rFonts w:ascii="Times New Roman" w:eastAsia="Times New Roman" w:hAnsi="Times New Roman" w:cs="Times New Roman"/>
                <w:sz w:val="24"/>
                <w:szCs w:val="24"/>
                <w:highlight w:val="white"/>
                <w:shd w:val="clear" w:color="auto" w:fill="FEFEFE"/>
                <w:lang w:val="bg-BG" w:eastAsia="bg-BG"/>
              </w:rPr>
            </w:pPr>
            <w:r w:rsidRPr="0049543C">
              <w:rPr>
                <w:rFonts w:ascii="Times New Roman" w:eastAsia="Times New Roman" w:hAnsi="Times New Roman" w:cs="Times New Roman"/>
                <w:b/>
                <w:bCs/>
                <w:sz w:val="24"/>
                <w:szCs w:val="24"/>
                <w:highlight w:val="white"/>
                <w:shd w:val="clear" w:color="auto" w:fill="FEFEFE"/>
                <w:lang w:val="bg-BG" w:eastAsia="bg-BG"/>
              </w:rPr>
              <w:t>1. ОСНОВНА ИНФОРМАЦИЯ ЗА КОНСУЛТАЦИЯТА</w:t>
            </w:r>
          </w:p>
        </w:tc>
      </w:tr>
      <w:tr w:rsidR="00076E63" w:rsidRPr="0049543C" w14:paraId="25306532" w14:textId="77777777" w:rsidTr="00076E63">
        <w:trPr>
          <w:trHeight w:val="60"/>
        </w:trPr>
        <w:tc>
          <w:tcPr>
            <w:tcW w:w="709" w:type="dxa"/>
            <w:shd w:val="clear" w:color="auto" w:fill="FFFFFF"/>
            <w:tcMar>
              <w:top w:w="60" w:type="dxa"/>
              <w:bottom w:w="0" w:type="dxa"/>
            </w:tcMar>
            <w:vAlign w:val="center"/>
          </w:tcPr>
          <w:p w14:paraId="56F74105" w14:textId="77777777" w:rsidR="00076E63" w:rsidRPr="0049543C" w:rsidRDefault="00076E63" w:rsidP="00076E63">
            <w:pPr>
              <w:widowControl w:val="0"/>
              <w:autoSpaceDE w:val="0"/>
              <w:autoSpaceDN w:val="0"/>
              <w:adjustRightInd w:val="0"/>
              <w:spacing w:after="0" w:line="360" w:lineRule="auto"/>
              <w:jc w:val="center"/>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1.1.</w:t>
            </w:r>
          </w:p>
        </w:tc>
        <w:tc>
          <w:tcPr>
            <w:tcW w:w="9497" w:type="dxa"/>
            <w:shd w:val="clear" w:color="auto" w:fill="FFFFFF"/>
            <w:tcMar>
              <w:top w:w="60" w:type="dxa"/>
              <w:bottom w:w="0" w:type="dxa"/>
            </w:tcMar>
            <w:vAlign w:val="center"/>
          </w:tcPr>
          <w:p w14:paraId="668639BA" w14:textId="77777777" w:rsidR="00076E63" w:rsidRPr="0049543C" w:rsidRDefault="00076E63" w:rsidP="00076E63">
            <w:pPr>
              <w:widowControl w:val="0"/>
              <w:autoSpaceDE w:val="0"/>
              <w:autoSpaceDN w:val="0"/>
              <w:adjustRightInd w:val="0"/>
              <w:spacing w:after="0" w:line="360" w:lineRule="auto"/>
              <w:jc w:val="both"/>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Въведение:</w:t>
            </w:r>
          </w:p>
          <w:p w14:paraId="242E744D" w14:textId="22622B74" w:rsidR="00076E63" w:rsidRPr="0049543C" w:rsidRDefault="003E3E9D" w:rsidP="00F32B27">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 xml:space="preserve">Министерство на земеделието и храните организира обществена консултация по реда на Раздел V от Наредбата за обхвата и методологията за извършване на оценка на въздействието по концепция на Закон </w:t>
            </w:r>
            <w:r w:rsidR="00F32B27" w:rsidRPr="0049543C">
              <w:rPr>
                <w:rFonts w:ascii="Times New Roman" w:eastAsia="Times New Roman" w:hAnsi="Times New Roman" w:cs="Times New Roman"/>
                <w:sz w:val="24"/>
                <w:szCs w:val="24"/>
                <w:lang w:val="bg-BG"/>
              </w:rPr>
              <w:t>за веригата на доставки на земеделски продукти и храни</w:t>
            </w:r>
            <w:r w:rsidRPr="0049543C">
              <w:rPr>
                <w:rFonts w:ascii="Times New Roman" w:eastAsia="Times New Roman" w:hAnsi="Times New Roman" w:cs="Times New Roman"/>
                <w:sz w:val="24"/>
                <w:szCs w:val="24"/>
                <w:lang w:val="bg-BG"/>
              </w:rPr>
              <w:t>.</w:t>
            </w:r>
          </w:p>
        </w:tc>
      </w:tr>
      <w:tr w:rsidR="00076E63" w:rsidRPr="0049543C" w14:paraId="65D9B1CA" w14:textId="77777777" w:rsidTr="00076E63">
        <w:trPr>
          <w:trHeight w:val="60"/>
        </w:trPr>
        <w:tc>
          <w:tcPr>
            <w:tcW w:w="709" w:type="dxa"/>
            <w:shd w:val="clear" w:color="auto" w:fill="FFFFFF"/>
            <w:tcMar>
              <w:top w:w="60" w:type="dxa"/>
              <w:bottom w:w="0" w:type="dxa"/>
            </w:tcMar>
            <w:vAlign w:val="center"/>
          </w:tcPr>
          <w:p w14:paraId="4CA703FC" w14:textId="77777777" w:rsidR="00076E63" w:rsidRPr="0049543C" w:rsidRDefault="00076E63" w:rsidP="00076E63">
            <w:pPr>
              <w:widowControl w:val="0"/>
              <w:autoSpaceDE w:val="0"/>
              <w:autoSpaceDN w:val="0"/>
              <w:adjustRightInd w:val="0"/>
              <w:spacing w:after="0" w:line="360" w:lineRule="auto"/>
              <w:jc w:val="center"/>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1.2.</w:t>
            </w:r>
          </w:p>
        </w:tc>
        <w:tc>
          <w:tcPr>
            <w:tcW w:w="9497" w:type="dxa"/>
            <w:shd w:val="clear" w:color="auto" w:fill="FFFFFF"/>
            <w:tcMar>
              <w:top w:w="60" w:type="dxa"/>
              <w:bottom w:w="0" w:type="dxa"/>
            </w:tcMar>
            <w:vAlign w:val="center"/>
          </w:tcPr>
          <w:p w14:paraId="3E50A5B3" w14:textId="77777777" w:rsidR="00076E63" w:rsidRPr="0049543C" w:rsidRDefault="00076E63" w:rsidP="00076E63">
            <w:pPr>
              <w:widowControl w:val="0"/>
              <w:autoSpaceDE w:val="0"/>
              <w:autoSpaceDN w:val="0"/>
              <w:adjustRightInd w:val="0"/>
              <w:spacing w:after="0" w:line="360" w:lineRule="auto"/>
              <w:jc w:val="both"/>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Цели на консултацията:</w:t>
            </w:r>
          </w:p>
          <w:p w14:paraId="6F533308" w14:textId="21D67658" w:rsidR="00076E63" w:rsidRPr="0049543C" w:rsidRDefault="00F32B27" w:rsidP="00BE03A6">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 xml:space="preserve">Чрез обществената консултация се канят всички заинтересовани страни да дадат предложения и коментари по концепцията на Закон за веригата на доставки на земеделски продукти и храни, която има за цел да представи основните направления на бъдещите нормативни предложения за </w:t>
            </w:r>
            <w:r w:rsidR="00BE03A6" w:rsidRPr="0049543C">
              <w:rPr>
                <w:rFonts w:ascii="Times New Roman" w:eastAsia="Times New Roman" w:hAnsi="Times New Roman" w:cs="Times New Roman"/>
                <w:sz w:val="24"/>
                <w:szCs w:val="24"/>
                <w:lang w:val="bg-BG"/>
              </w:rPr>
              <w:t>уреждане на обществените отношения във веригата на доставки на първични земеделски продукти и храни.</w:t>
            </w:r>
          </w:p>
        </w:tc>
      </w:tr>
      <w:tr w:rsidR="00076E63" w:rsidRPr="0049543C" w14:paraId="1FD7A218" w14:textId="77777777" w:rsidTr="00076E63">
        <w:trPr>
          <w:trHeight w:val="60"/>
        </w:trPr>
        <w:tc>
          <w:tcPr>
            <w:tcW w:w="709" w:type="dxa"/>
            <w:shd w:val="clear" w:color="auto" w:fill="FFFFFF"/>
            <w:tcMar>
              <w:top w:w="60" w:type="dxa"/>
              <w:bottom w:w="0" w:type="dxa"/>
            </w:tcMar>
            <w:vAlign w:val="center"/>
          </w:tcPr>
          <w:p w14:paraId="6B868432" w14:textId="77777777" w:rsidR="00076E63" w:rsidRPr="0049543C" w:rsidRDefault="00076E63" w:rsidP="00076E63">
            <w:pPr>
              <w:widowControl w:val="0"/>
              <w:autoSpaceDE w:val="0"/>
              <w:autoSpaceDN w:val="0"/>
              <w:adjustRightInd w:val="0"/>
              <w:spacing w:after="0" w:line="360" w:lineRule="auto"/>
              <w:jc w:val="center"/>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1.3.</w:t>
            </w:r>
          </w:p>
        </w:tc>
        <w:tc>
          <w:tcPr>
            <w:tcW w:w="9497" w:type="dxa"/>
            <w:shd w:val="clear" w:color="auto" w:fill="FFFFFF"/>
            <w:tcMar>
              <w:top w:w="60" w:type="dxa"/>
              <w:bottom w:w="0" w:type="dxa"/>
            </w:tcMar>
            <w:vAlign w:val="center"/>
          </w:tcPr>
          <w:p w14:paraId="228A6EFF" w14:textId="77777777" w:rsidR="00076E63" w:rsidRPr="0049543C" w:rsidRDefault="00076E63" w:rsidP="00076E63">
            <w:pPr>
              <w:widowControl w:val="0"/>
              <w:autoSpaceDE w:val="0"/>
              <w:autoSpaceDN w:val="0"/>
              <w:adjustRightInd w:val="0"/>
              <w:spacing w:after="0" w:line="360" w:lineRule="auto"/>
              <w:jc w:val="both"/>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Консултационен процес:</w:t>
            </w:r>
          </w:p>
          <w:p w14:paraId="361201B1" w14:textId="77777777" w:rsidR="00BE03A6" w:rsidRPr="0049543C" w:rsidRDefault="00BE03A6" w:rsidP="00BE03A6">
            <w:pPr>
              <w:widowControl w:val="0"/>
              <w:autoSpaceDE w:val="0"/>
              <w:autoSpaceDN w:val="0"/>
              <w:adjustRightInd w:val="0"/>
              <w:spacing w:after="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 xml:space="preserve">Настоящите консултации са част от работата по изготвяне на цялостна предварителна оценка на въздействието и ще приключат най-късно на етапа на оценка и сравнение на вариантите по количествено и качествено измерение на всички значителни икономически и/или социални, и/или екологични въздействия. </w:t>
            </w:r>
          </w:p>
          <w:p w14:paraId="4ABA0B34" w14:textId="77777777" w:rsidR="00BE03A6" w:rsidRPr="0049543C" w:rsidRDefault="00BE03A6" w:rsidP="00BE03A6">
            <w:pPr>
              <w:widowControl w:val="0"/>
              <w:autoSpaceDE w:val="0"/>
              <w:autoSpaceDN w:val="0"/>
              <w:adjustRightInd w:val="0"/>
              <w:spacing w:after="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Консултациите не заместват обществените консултации по реда на чл. 26 от Закона за нормативни актове, съгласно който в процеса по изработване на проект на нормативен акт се провеждат обществени консултации с гражданите и юридическите лица.</w:t>
            </w:r>
          </w:p>
          <w:p w14:paraId="5537D987" w14:textId="5E4CA706" w:rsidR="00BE03A6" w:rsidRPr="0049543C" w:rsidRDefault="00BE03A6" w:rsidP="00BE03A6">
            <w:pPr>
              <w:widowControl w:val="0"/>
              <w:autoSpaceDE w:val="0"/>
              <w:autoSpaceDN w:val="0"/>
              <w:adjustRightInd w:val="0"/>
              <w:spacing w:after="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Обществената консултация се открива за 14 дни.</w:t>
            </w:r>
          </w:p>
          <w:p w14:paraId="72BEE156" w14:textId="548EEACD" w:rsidR="00076E63" w:rsidRPr="0049543C" w:rsidRDefault="00BE03A6" w:rsidP="00BE03A6">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Консултационният документ ще бъде публикуван на Портала за обществени консултации и на страницата на Министерството на земеделието и храните.</w:t>
            </w:r>
          </w:p>
        </w:tc>
      </w:tr>
      <w:tr w:rsidR="00076E63" w:rsidRPr="0049543C" w14:paraId="70B8ADB9" w14:textId="77777777" w:rsidTr="00076E63">
        <w:trPr>
          <w:trHeight w:val="60"/>
        </w:trPr>
        <w:tc>
          <w:tcPr>
            <w:tcW w:w="709" w:type="dxa"/>
            <w:shd w:val="clear" w:color="auto" w:fill="FFFFFF"/>
            <w:tcMar>
              <w:top w:w="60" w:type="dxa"/>
              <w:bottom w:w="0" w:type="dxa"/>
            </w:tcMar>
            <w:vAlign w:val="center"/>
          </w:tcPr>
          <w:p w14:paraId="2E724451" w14:textId="77777777" w:rsidR="00076E63" w:rsidRPr="0049543C" w:rsidRDefault="00076E63" w:rsidP="00076E63">
            <w:pPr>
              <w:widowControl w:val="0"/>
              <w:autoSpaceDE w:val="0"/>
              <w:autoSpaceDN w:val="0"/>
              <w:adjustRightInd w:val="0"/>
              <w:spacing w:after="0" w:line="360" w:lineRule="auto"/>
              <w:jc w:val="center"/>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1.4.</w:t>
            </w:r>
          </w:p>
        </w:tc>
        <w:tc>
          <w:tcPr>
            <w:tcW w:w="9497" w:type="dxa"/>
            <w:shd w:val="clear" w:color="auto" w:fill="FFFFFF"/>
            <w:tcMar>
              <w:top w:w="60" w:type="dxa"/>
              <w:bottom w:w="0" w:type="dxa"/>
            </w:tcMar>
            <w:vAlign w:val="center"/>
          </w:tcPr>
          <w:p w14:paraId="70B3A9D8" w14:textId="77777777" w:rsidR="00076E63" w:rsidRPr="0049543C" w:rsidRDefault="00076E63" w:rsidP="00076E63">
            <w:pPr>
              <w:widowControl w:val="0"/>
              <w:autoSpaceDE w:val="0"/>
              <w:autoSpaceDN w:val="0"/>
              <w:adjustRightInd w:val="0"/>
              <w:spacing w:after="0" w:line="360" w:lineRule="auto"/>
              <w:jc w:val="both"/>
              <w:rPr>
                <w:rFonts w:ascii="Times New Roman" w:eastAsia="Times New Roman" w:hAnsi="Times New Roman" w:cs="Times New Roman"/>
                <w:b/>
                <w:sz w:val="24"/>
                <w:szCs w:val="24"/>
                <w:highlight w:val="white"/>
                <w:shd w:val="clear" w:color="auto" w:fill="FEFEFE"/>
                <w:lang w:val="bg-BG" w:eastAsia="bg-BG"/>
              </w:rPr>
            </w:pPr>
            <w:r w:rsidRPr="0049543C">
              <w:rPr>
                <w:rFonts w:ascii="Times New Roman" w:eastAsia="Times New Roman" w:hAnsi="Times New Roman" w:cs="Times New Roman"/>
                <w:b/>
                <w:sz w:val="24"/>
                <w:szCs w:val="24"/>
                <w:highlight w:val="white"/>
                <w:shd w:val="clear" w:color="auto" w:fill="FEFEFE"/>
                <w:lang w:val="bg-BG" w:eastAsia="bg-BG"/>
              </w:rPr>
              <w:t>Относими документи и нормативни актове:</w:t>
            </w:r>
          </w:p>
          <w:p w14:paraId="7AFFBCE0" w14:textId="77777777" w:rsidR="001144B0" w:rsidRPr="0049543C" w:rsidRDefault="001144B0" w:rsidP="00076E63">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 (OB L 347, 20.12.2013 г.)</w:t>
            </w:r>
          </w:p>
          <w:p w14:paraId="3938075B" w14:textId="77777777" w:rsidR="00076E63" w:rsidRDefault="001144B0" w:rsidP="001144B0">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Закон за храните</w:t>
            </w:r>
          </w:p>
          <w:p w14:paraId="4FB89785" w14:textId="77777777" w:rsidR="008929C3" w:rsidRPr="00551308" w:rsidRDefault="008929C3" w:rsidP="008929C3">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551308">
              <w:rPr>
                <w:rFonts w:ascii="Times New Roman" w:eastAsia="Times New Roman" w:hAnsi="Times New Roman" w:cs="Times New Roman"/>
                <w:sz w:val="24"/>
                <w:szCs w:val="24"/>
                <w:lang w:val="bg-BG"/>
              </w:rPr>
              <w:t>Закон за защита на конкуренцията</w:t>
            </w:r>
          </w:p>
          <w:p w14:paraId="6D4AFC29" w14:textId="7799A34D" w:rsidR="008929C3" w:rsidRPr="0049543C" w:rsidRDefault="008929C3" w:rsidP="008929C3">
            <w:pPr>
              <w:widowControl w:val="0"/>
              <w:autoSpaceDE w:val="0"/>
              <w:autoSpaceDN w:val="0"/>
              <w:adjustRightInd w:val="0"/>
              <w:spacing w:after="120" w:line="240" w:lineRule="auto"/>
              <w:rPr>
                <w:rFonts w:ascii="Times New Roman" w:eastAsia="Times New Roman" w:hAnsi="Times New Roman" w:cs="Times New Roman"/>
                <w:sz w:val="24"/>
                <w:szCs w:val="24"/>
                <w:lang w:val="bg-BG"/>
              </w:rPr>
            </w:pPr>
            <w:r w:rsidRPr="00551308">
              <w:rPr>
                <w:rFonts w:ascii="Times New Roman" w:eastAsia="Times New Roman" w:hAnsi="Times New Roman" w:cs="Times New Roman"/>
                <w:sz w:val="24"/>
                <w:szCs w:val="24"/>
                <w:lang w:val="bg-BG"/>
              </w:rPr>
              <w:t>Закон за стоковите борси и тържищата</w:t>
            </w:r>
          </w:p>
        </w:tc>
      </w:tr>
      <w:tr w:rsidR="00076E63" w:rsidRPr="0049543C" w14:paraId="489A01BF" w14:textId="77777777" w:rsidTr="00076E63">
        <w:trPr>
          <w:trHeight w:val="60"/>
        </w:trPr>
        <w:tc>
          <w:tcPr>
            <w:tcW w:w="10206" w:type="dxa"/>
            <w:gridSpan w:val="2"/>
            <w:shd w:val="clear" w:color="auto" w:fill="FFFFFF"/>
            <w:tcMar>
              <w:top w:w="60" w:type="dxa"/>
              <w:bottom w:w="0" w:type="dxa"/>
            </w:tcMar>
            <w:vAlign w:val="center"/>
          </w:tcPr>
          <w:p w14:paraId="77ED83B8" w14:textId="77777777" w:rsidR="00076E63" w:rsidRPr="0049543C" w:rsidRDefault="00076E63" w:rsidP="00076E63">
            <w:pPr>
              <w:widowControl w:val="0"/>
              <w:autoSpaceDE w:val="0"/>
              <w:autoSpaceDN w:val="0"/>
              <w:adjustRightInd w:val="0"/>
              <w:spacing w:after="0" w:line="360" w:lineRule="auto"/>
              <w:ind w:firstLine="283"/>
              <w:jc w:val="both"/>
              <w:rPr>
                <w:rFonts w:ascii="Times New Roman" w:eastAsia="Times New Roman" w:hAnsi="Times New Roman" w:cs="Times New Roman"/>
                <w:b/>
                <w:bCs/>
                <w:sz w:val="24"/>
                <w:szCs w:val="24"/>
                <w:highlight w:val="white"/>
                <w:shd w:val="clear" w:color="auto" w:fill="FEFEFE"/>
                <w:lang w:val="bg-BG" w:eastAsia="bg-BG"/>
              </w:rPr>
            </w:pPr>
            <w:r w:rsidRPr="0049543C">
              <w:rPr>
                <w:rFonts w:ascii="Times New Roman" w:eastAsia="Times New Roman" w:hAnsi="Times New Roman" w:cs="Times New Roman"/>
                <w:b/>
                <w:bCs/>
                <w:sz w:val="24"/>
                <w:szCs w:val="24"/>
                <w:highlight w:val="white"/>
                <w:shd w:val="clear" w:color="auto" w:fill="FEFEFE"/>
                <w:lang w:val="bg-BG" w:eastAsia="bg-BG"/>
              </w:rPr>
              <w:t>2. ОПИСАНИЕ НА ПРЕДЛОЖЕНИЕТО</w:t>
            </w:r>
          </w:p>
          <w:p w14:paraId="46B7CB9C" w14:textId="6AAE61C2" w:rsidR="001144B0" w:rsidRPr="0049543C" w:rsidRDefault="001144B0" w:rsidP="008929C3">
            <w:pPr>
              <w:widowControl w:val="0"/>
              <w:autoSpaceDE w:val="0"/>
              <w:autoSpaceDN w:val="0"/>
              <w:adjustRightInd w:val="0"/>
              <w:spacing w:after="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 xml:space="preserve">Веригата на доставки на първични земеделски продукти и храни свързва три важни сектора на икономиката: земеделието, хранителната промишленост и търговията. Нейната основна задача е да задоволи </w:t>
            </w:r>
            <w:r w:rsidR="008929C3" w:rsidRPr="00551308">
              <w:rPr>
                <w:rFonts w:ascii="Times New Roman" w:eastAsia="Times New Roman" w:hAnsi="Times New Roman" w:cs="Times New Roman"/>
                <w:sz w:val="24"/>
                <w:szCs w:val="24"/>
                <w:lang w:val="bg-BG"/>
              </w:rPr>
              <w:t>потребностите</w:t>
            </w:r>
            <w:r w:rsidR="008929C3">
              <w:rPr>
                <w:rFonts w:ascii="Times New Roman" w:eastAsia="Times New Roman" w:hAnsi="Times New Roman" w:cs="Times New Roman"/>
                <w:sz w:val="24"/>
                <w:szCs w:val="24"/>
                <w:lang w:val="bg-BG"/>
              </w:rPr>
              <w:t xml:space="preserve"> </w:t>
            </w:r>
            <w:r w:rsidRPr="0049543C">
              <w:rPr>
                <w:rFonts w:ascii="Times New Roman" w:eastAsia="Times New Roman" w:hAnsi="Times New Roman" w:cs="Times New Roman"/>
                <w:sz w:val="24"/>
                <w:szCs w:val="24"/>
                <w:lang w:val="bg-BG"/>
              </w:rPr>
              <w:t xml:space="preserve">на населението, като осигури достатъчно висококачествени и безопасни храни, не само като количеството, но и по отношение на техния асортимент и качество. Нейното стабилно функциониране и дългосрочна </w:t>
            </w:r>
            <w:r w:rsidRPr="0049543C">
              <w:rPr>
                <w:rFonts w:ascii="Times New Roman" w:eastAsia="Times New Roman" w:hAnsi="Times New Roman" w:cs="Times New Roman"/>
                <w:sz w:val="24"/>
                <w:szCs w:val="24"/>
                <w:lang w:val="bg-BG"/>
              </w:rPr>
              <w:lastRenderedPageBreak/>
              <w:t>устойчивост са предпоставки за осигуряването на безопасност на храните и гарантиране на продоволствената сигурност на страната. През последните няколко години глобалните процеси, обхванали световните и европейския пазари, доведоха до значими структурни изменения във веригата на доставки, които се изразяват във висока концентрация и трансгранична интеграция на компаниите, в сектора на преработката на храни, но най-вече в сферата на продажбите на дребно.</w:t>
            </w:r>
          </w:p>
          <w:p w14:paraId="140B0D38" w14:textId="77777777" w:rsidR="001144B0" w:rsidRPr="0049543C" w:rsidRDefault="001144B0" w:rsidP="008929C3">
            <w:pPr>
              <w:widowControl w:val="0"/>
              <w:autoSpaceDE w:val="0"/>
              <w:autoSpaceDN w:val="0"/>
              <w:adjustRightInd w:val="0"/>
              <w:spacing w:after="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 xml:space="preserve">Правилното функциониране на веригата на доставки е от съществено значение, за да се гарантира устойчива добавена стойност за всички участващи в нея оператори, организации и групи на производители, което допринася за повишаване на тяхната конкурентоспособност и е в полза на потребителите. Поради това, от съществено значение е тя да бъде обект на цялостна правна уредба, която да обхване всички участници, които взаимодействат по веригата на доставки, по начин, който гарантира единство на пазара, така че производството на първични земеделски продукти и храни да може да се развие и да реализира пълния си потенциал. </w:t>
            </w:r>
          </w:p>
          <w:p w14:paraId="2EBBF4FA" w14:textId="68DE189D" w:rsidR="001144B0" w:rsidRPr="0049543C" w:rsidRDefault="001144B0" w:rsidP="008929C3">
            <w:pPr>
              <w:widowControl w:val="0"/>
              <w:autoSpaceDE w:val="0"/>
              <w:autoSpaceDN w:val="0"/>
              <w:adjustRightInd w:val="0"/>
              <w:spacing w:after="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Запазването на функционираща, прозрачна, справедлива и ефикасна система за търговия е от съществено значение, за да се отговори на евентуалните негативни ефекти от изменението на климата и да се гарантира сигурността на снабдяването на населението с храни.</w:t>
            </w:r>
          </w:p>
          <w:p w14:paraId="7BB1D87C" w14:textId="77777777" w:rsidR="001144B0" w:rsidRPr="0049543C" w:rsidRDefault="001144B0" w:rsidP="008929C3">
            <w:pPr>
              <w:widowControl w:val="0"/>
              <w:autoSpaceDE w:val="0"/>
              <w:autoSpaceDN w:val="0"/>
              <w:adjustRightInd w:val="0"/>
              <w:spacing w:after="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 xml:space="preserve">Ето защо е необходима обща нормативна уредба, която да обхваща, чрез прилагането на инструментите на хоризонталния законов подход, уреждането на обществените отношения, свързани със стабилизирането на веригата на доставки, на отделните звена от нея, и по-специално, най-уязвимото звено в лицето на земеделските производители. </w:t>
            </w:r>
          </w:p>
          <w:p w14:paraId="6F13BC4D" w14:textId="77777777" w:rsidR="00350490" w:rsidRPr="0049543C" w:rsidRDefault="00EB3636" w:rsidP="008929C3">
            <w:pPr>
              <w:widowControl w:val="0"/>
              <w:autoSpaceDE w:val="0"/>
              <w:autoSpaceDN w:val="0"/>
              <w:adjustRightInd w:val="0"/>
              <w:spacing w:after="12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Настоящата концепция з</w:t>
            </w:r>
            <w:r w:rsidR="001144B0" w:rsidRPr="0049543C">
              <w:rPr>
                <w:rFonts w:ascii="Times New Roman" w:eastAsia="Times New Roman" w:hAnsi="Times New Roman" w:cs="Times New Roman"/>
                <w:sz w:val="24"/>
                <w:szCs w:val="24"/>
                <w:lang w:val="bg-BG"/>
              </w:rPr>
              <w:t>а закон има за цел да подобри функционирането и структурирането на веригата на доставки по начин, който повишава ефективността и конкурентоспособността на секторите на производство на земеделски продукти и храни и намалява дисбаланса в търговските отношения между различните оператори по веригата за създаване на стойност, в рамките на лоялната конкуренция, която е от полза не само за тези сектор, но и за цялото общество.</w:t>
            </w:r>
          </w:p>
          <w:p w14:paraId="49EE4CD0" w14:textId="77777777" w:rsidR="00350490" w:rsidRPr="0049543C" w:rsidRDefault="00350490" w:rsidP="008929C3">
            <w:pPr>
              <w:widowControl w:val="0"/>
              <w:autoSpaceDE w:val="0"/>
              <w:autoSpaceDN w:val="0"/>
              <w:adjustRightInd w:val="0"/>
              <w:spacing w:after="12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Предвижда се създаването на специална правна уредба на договорите за изкупуване на земеделски продукти. Основната част от добавената стойност по веригата за доставки на храни отива при търговците и преработвателите и много малка част остава за земеделските производители. Земеделските производители, като звеното с най-слаби преговорни позиции във веригата на доставки, се нуждаят от специална защита при сключването и изпълнението на договорите за изкупуване. За нейното постигане се предвижда въвеждане на минимални срокове на действие на договорите за изкупуване на първични земеделски продукти, които отчитат продължителността на производствения цикъл в земеделието, забрана на определени договорни клаузи в договорите за изкупуване, както и срокове за плащане на цената, които са насочени към осигуряване на по-справедливо разпределение на добавената стойност за първичните производители във веригата на доставки. Уредените правила за изпълнение на договорите за изкупуване, свързани с мястото на изпълнение, измерването и окачествяването и заготовката на продукцията, отразяват особеностите на производството на нетрайни продукти, което има сезонен характер.</w:t>
            </w:r>
          </w:p>
          <w:p w14:paraId="25E95037" w14:textId="77777777" w:rsidR="00350490" w:rsidRPr="0049543C" w:rsidRDefault="00350490" w:rsidP="008929C3">
            <w:pPr>
              <w:widowControl w:val="0"/>
              <w:autoSpaceDE w:val="0"/>
              <w:autoSpaceDN w:val="0"/>
              <w:adjustRightInd w:val="0"/>
              <w:spacing w:after="12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Въвежда се задължителна писмена форма на договорите за изкупуване на първични земеделски продукти и се дефинират начините, в които може да бъде обективирана. В съответствие с нормата на Регламент (ЕС) № 1308/2013 е определено задължителното съдържание на договорите за изкупуване, посочени са и възможности за неговото допълване с доброволно избрани от договарящите страни условия или клаузи.</w:t>
            </w:r>
          </w:p>
          <w:p w14:paraId="3FE4D3B1" w14:textId="6B8A0366" w:rsidR="00C22CE0" w:rsidRPr="0049543C" w:rsidRDefault="00350490" w:rsidP="008929C3">
            <w:pPr>
              <w:widowControl w:val="0"/>
              <w:autoSpaceDE w:val="0"/>
              <w:autoSpaceDN w:val="0"/>
              <w:adjustRightInd w:val="0"/>
              <w:spacing w:after="120" w:line="240" w:lineRule="auto"/>
              <w:ind w:left="516"/>
              <w:jc w:val="both"/>
              <w:rPr>
                <w:rFonts w:ascii="Times New Roman" w:eastAsia="Times New Roman" w:hAnsi="Times New Roman" w:cs="Times New Roman"/>
                <w:sz w:val="24"/>
                <w:szCs w:val="24"/>
                <w:lang w:val="bg-BG"/>
              </w:rPr>
            </w:pPr>
            <w:r w:rsidRPr="0049543C">
              <w:rPr>
                <w:rFonts w:ascii="Times New Roman" w:eastAsia="Times New Roman" w:hAnsi="Times New Roman" w:cs="Times New Roman"/>
                <w:sz w:val="24"/>
                <w:szCs w:val="24"/>
                <w:lang w:val="bg-BG"/>
              </w:rPr>
              <w:t>Предвижда се създаване и поддържане в Министерството на земеделието и храните на публичен електронен регистър на търговците на едро на земеделски продукти и храни.</w:t>
            </w:r>
          </w:p>
        </w:tc>
      </w:tr>
      <w:tr w:rsidR="00076E63" w:rsidRPr="0049543C" w14:paraId="58370C85" w14:textId="77777777" w:rsidTr="00076E63">
        <w:trPr>
          <w:trHeight w:val="60"/>
        </w:trPr>
        <w:tc>
          <w:tcPr>
            <w:tcW w:w="10206" w:type="dxa"/>
            <w:gridSpan w:val="2"/>
            <w:shd w:val="clear" w:color="auto" w:fill="FFFFFF"/>
            <w:tcMar>
              <w:top w:w="60" w:type="dxa"/>
              <w:bottom w:w="0" w:type="dxa"/>
            </w:tcMar>
            <w:vAlign w:val="center"/>
          </w:tcPr>
          <w:p w14:paraId="5741CB0F" w14:textId="66FF425A" w:rsidR="00076E63" w:rsidRDefault="00076E63" w:rsidP="00076E63">
            <w:pPr>
              <w:widowControl w:val="0"/>
              <w:autoSpaceDE w:val="0"/>
              <w:autoSpaceDN w:val="0"/>
              <w:adjustRightInd w:val="0"/>
              <w:spacing w:after="0" w:line="360" w:lineRule="auto"/>
              <w:ind w:firstLine="283"/>
              <w:jc w:val="both"/>
              <w:rPr>
                <w:rFonts w:ascii="Times New Roman" w:eastAsia="Times New Roman" w:hAnsi="Times New Roman" w:cs="Times New Roman"/>
                <w:b/>
                <w:sz w:val="24"/>
                <w:szCs w:val="24"/>
                <w:lang w:val="bg-BG"/>
              </w:rPr>
            </w:pPr>
            <w:r w:rsidRPr="0049543C">
              <w:rPr>
                <w:rFonts w:ascii="Times New Roman" w:eastAsia="Times New Roman" w:hAnsi="Times New Roman" w:cs="Times New Roman"/>
                <w:b/>
                <w:sz w:val="24"/>
                <w:szCs w:val="24"/>
                <w:lang w:val="bg-BG"/>
              </w:rPr>
              <w:lastRenderedPageBreak/>
              <w:t xml:space="preserve">3. </w:t>
            </w:r>
            <w:r w:rsidRPr="0049543C">
              <w:rPr>
                <w:rFonts w:ascii="Times New Roman" w:eastAsia="Times New Roman" w:hAnsi="Times New Roman" w:cs="Times New Roman"/>
                <w:b/>
                <w:bCs/>
                <w:sz w:val="24"/>
                <w:szCs w:val="24"/>
                <w:highlight w:val="white"/>
                <w:shd w:val="clear" w:color="auto" w:fill="FEFEFE"/>
                <w:lang w:val="bg-BG" w:eastAsia="bg-BG"/>
              </w:rPr>
              <w:t>ВЪПРОСИ</w:t>
            </w:r>
            <w:r w:rsidRPr="0049543C">
              <w:rPr>
                <w:rFonts w:ascii="Times New Roman" w:eastAsia="Times New Roman" w:hAnsi="Times New Roman" w:cs="Times New Roman"/>
                <w:b/>
                <w:sz w:val="24"/>
                <w:szCs w:val="24"/>
                <w:lang w:val="bg-BG"/>
              </w:rPr>
              <w:t xml:space="preserve"> ЗА ОБСЪЖДАНЕ</w:t>
            </w:r>
          </w:p>
          <w:p w14:paraId="3BF8F0B4" w14:textId="5BEDBCD1" w:rsidR="00530BC0" w:rsidRPr="00551308" w:rsidRDefault="00551308" w:rsidP="00551308">
            <w:pPr>
              <w:widowControl w:val="0"/>
              <w:autoSpaceDE w:val="0"/>
              <w:autoSpaceDN w:val="0"/>
              <w:adjustRightInd w:val="0"/>
              <w:spacing w:after="0" w:line="240" w:lineRule="auto"/>
              <w:ind w:left="516"/>
              <w:rPr>
                <w:rFonts w:ascii="Times New Roman" w:eastAsia="Times New Roman" w:hAnsi="Times New Roman" w:cs="Times New Roman"/>
                <w:sz w:val="20"/>
                <w:szCs w:val="20"/>
                <w:lang w:val="bg-BG"/>
              </w:rPr>
            </w:pPr>
            <w:r w:rsidRPr="00551308">
              <w:rPr>
                <w:rFonts w:ascii="Times New Roman" w:eastAsia="Times New Roman" w:hAnsi="Times New Roman" w:cs="Times New Roman"/>
                <w:sz w:val="24"/>
                <w:szCs w:val="24"/>
                <w:lang w:val="bg-BG"/>
              </w:rPr>
              <w:t>Предложения и коментари по основните направления, посочени в концепцията.</w:t>
            </w:r>
          </w:p>
        </w:tc>
      </w:tr>
      <w:tr w:rsidR="00076E63" w:rsidRPr="0049543C" w14:paraId="0A5300A0" w14:textId="77777777" w:rsidTr="00076E63">
        <w:trPr>
          <w:trHeight w:val="60"/>
        </w:trPr>
        <w:tc>
          <w:tcPr>
            <w:tcW w:w="10206" w:type="dxa"/>
            <w:gridSpan w:val="2"/>
            <w:shd w:val="clear" w:color="auto" w:fill="FFFFFF"/>
            <w:tcMar>
              <w:top w:w="60" w:type="dxa"/>
              <w:bottom w:w="0" w:type="dxa"/>
            </w:tcMar>
            <w:vAlign w:val="center"/>
          </w:tcPr>
          <w:p w14:paraId="52E83011" w14:textId="77777777" w:rsidR="00076E63" w:rsidRPr="0049543C" w:rsidRDefault="00076E63" w:rsidP="00076E63">
            <w:pPr>
              <w:widowControl w:val="0"/>
              <w:autoSpaceDE w:val="0"/>
              <w:autoSpaceDN w:val="0"/>
              <w:adjustRightInd w:val="0"/>
              <w:spacing w:after="0" w:line="360" w:lineRule="auto"/>
              <w:ind w:firstLine="283"/>
              <w:jc w:val="both"/>
              <w:rPr>
                <w:rFonts w:ascii="Times New Roman" w:eastAsia="Times New Roman" w:hAnsi="Times New Roman" w:cs="Times New Roman"/>
                <w:b/>
                <w:bCs/>
                <w:sz w:val="24"/>
                <w:szCs w:val="24"/>
                <w:highlight w:val="white"/>
                <w:shd w:val="clear" w:color="auto" w:fill="FEFEFE"/>
                <w:lang w:val="bg-BG" w:eastAsia="bg-BG"/>
              </w:rPr>
            </w:pPr>
            <w:r w:rsidRPr="0049543C">
              <w:rPr>
                <w:rFonts w:ascii="Times New Roman" w:eastAsia="Times New Roman" w:hAnsi="Times New Roman" w:cs="Times New Roman"/>
                <w:b/>
                <w:bCs/>
                <w:sz w:val="24"/>
                <w:szCs w:val="24"/>
                <w:highlight w:val="white"/>
                <w:shd w:val="clear" w:color="auto" w:fill="FEFEFE"/>
                <w:lang w:val="bg-BG" w:eastAsia="bg-BG"/>
              </w:rPr>
              <w:t>4. ДОКУМЕНТИ, СЪПЪТСТВАЩИ КОНСУЛТАЦИЯТА</w:t>
            </w:r>
          </w:p>
          <w:p w14:paraId="105E3CE6" w14:textId="3B6374AD" w:rsidR="00076E63" w:rsidRPr="0049543C" w:rsidRDefault="00551308" w:rsidP="00551308">
            <w:pPr>
              <w:widowControl w:val="0"/>
              <w:autoSpaceDE w:val="0"/>
              <w:autoSpaceDN w:val="0"/>
              <w:adjustRightInd w:val="0"/>
              <w:spacing w:after="0" w:line="240" w:lineRule="auto"/>
              <w:ind w:left="516"/>
              <w:rPr>
                <w:rFonts w:ascii="Times New Roman" w:eastAsia="Times New Roman" w:hAnsi="Times New Roman" w:cs="Times New Roman"/>
                <w:sz w:val="24"/>
                <w:szCs w:val="24"/>
                <w:highlight w:val="white"/>
                <w:shd w:val="clear" w:color="auto" w:fill="FEFEFE"/>
                <w:lang w:val="bg-BG" w:eastAsia="bg-BG"/>
              </w:rPr>
            </w:pPr>
            <w:r w:rsidRPr="00551308">
              <w:rPr>
                <w:rFonts w:ascii="Times New Roman" w:eastAsia="Times New Roman" w:hAnsi="Times New Roman" w:cs="Times New Roman"/>
                <w:sz w:val="24"/>
                <w:szCs w:val="24"/>
                <w:lang w:val="bg-BG"/>
              </w:rPr>
              <w:t xml:space="preserve">Въпросник относно оценка на въздействието на проект на </w:t>
            </w:r>
            <w:r>
              <w:rPr>
                <w:rFonts w:ascii="Times New Roman" w:eastAsia="Times New Roman" w:hAnsi="Times New Roman" w:cs="Times New Roman"/>
                <w:sz w:val="24"/>
                <w:szCs w:val="24"/>
                <w:lang w:val="bg-BG"/>
              </w:rPr>
              <w:t xml:space="preserve">Закон </w:t>
            </w:r>
            <w:r w:rsidRPr="00551308">
              <w:rPr>
                <w:rFonts w:ascii="Times New Roman" w:eastAsia="Times New Roman" w:hAnsi="Times New Roman" w:cs="Times New Roman"/>
                <w:sz w:val="24"/>
                <w:szCs w:val="24"/>
                <w:lang w:val="bg-BG"/>
              </w:rPr>
              <w:t>за веригата на доставки на земеделски продукти и храни.</w:t>
            </w:r>
          </w:p>
        </w:tc>
      </w:tr>
    </w:tbl>
    <w:p w14:paraId="21C9C9CE" w14:textId="7D3DB940" w:rsidR="00551308" w:rsidRDefault="00551308" w:rsidP="005058D2">
      <w:pPr>
        <w:spacing w:after="0" w:line="360" w:lineRule="auto"/>
        <w:jc w:val="both"/>
        <w:rPr>
          <w:rFonts w:ascii="Times New Roman" w:hAnsi="Times New Roman"/>
          <w:b/>
          <w:bCs/>
          <w:caps/>
          <w:sz w:val="24"/>
          <w:szCs w:val="24"/>
          <w:shd w:val="clear" w:color="auto" w:fill="FEFEFE"/>
          <w:lang w:val="bg-BG" w:eastAsia="bg-BG"/>
        </w:rPr>
      </w:pPr>
      <w:bookmarkStart w:id="0" w:name="_GoBack"/>
      <w:bookmarkEnd w:id="0"/>
    </w:p>
    <w:sectPr w:rsidR="00551308" w:rsidSect="0049543C">
      <w:headerReference w:type="even" r:id="rId8"/>
      <w:footerReference w:type="default" r:id="rId9"/>
      <w:pgSz w:w="11906" w:h="16838" w:code="9"/>
      <w:pgMar w:top="1134" w:right="1134" w:bottom="1134"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6C705" w14:textId="77777777" w:rsidR="00990223" w:rsidRDefault="00990223">
      <w:pPr>
        <w:spacing w:after="0" w:line="240" w:lineRule="auto"/>
      </w:pPr>
      <w:r>
        <w:separator/>
      </w:r>
    </w:p>
  </w:endnote>
  <w:endnote w:type="continuationSeparator" w:id="0">
    <w:p w14:paraId="266C979F" w14:textId="77777777" w:rsidR="00990223" w:rsidRDefault="0099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C7CD" w14:textId="261E3530" w:rsidR="009D4DA5" w:rsidRPr="003E3642" w:rsidRDefault="009D4DA5">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5058D2">
      <w:rPr>
        <w:rFonts w:ascii="Times New Roman" w:hAnsi="Times New Roman"/>
        <w:noProof/>
      </w:rPr>
      <w:t>3</w:t>
    </w:r>
    <w:r w:rsidRPr="003E3642">
      <w:rPr>
        <w:rFonts w:ascii="Times New Roman" w:hAnsi="Times New Roman"/>
        <w:noProof/>
      </w:rPr>
      <w:fldChar w:fldCharType="end"/>
    </w:r>
  </w:p>
  <w:p w14:paraId="6FACEA6C" w14:textId="77777777" w:rsidR="009D4DA5" w:rsidRDefault="009D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F175" w14:textId="77777777" w:rsidR="00990223" w:rsidRDefault="00990223">
      <w:pPr>
        <w:spacing w:after="0" w:line="240" w:lineRule="auto"/>
      </w:pPr>
      <w:r>
        <w:separator/>
      </w:r>
    </w:p>
  </w:footnote>
  <w:footnote w:type="continuationSeparator" w:id="0">
    <w:p w14:paraId="4A693E86" w14:textId="77777777" w:rsidR="00990223" w:rsidRDefault="00990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8289" w14:textId="77777777" w:rsidR="009D4DA5" w:rsidRDefault="009D4DA5"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99BF7F" w14:textId="77777777" w:rsidR="009D4DA5" w:rsidRDefault="009D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7"/>
  </w:num>
  <w:num w:numId="2">
    <w:abstractNumId w:val="8"/>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C2B"/>
    <w:rsid w:val="00004B97"/>
    <w:rsid w:val="00015CD1"/>
    <w:rsid w:val="00042D08"/>
    <w:rsid w:val="00064387"/>
    <w:rsid w:val="00064CC7"/>
    <w:rsid w:val="00076E63"/>
    <w:rsid w:val="000A1BC7"/>
    <w:rsid w:val="000A2E06"/>
    <w:rsid w:val="000F5DB5"/>
    <w:rsid w:val="001138D1"/>
    <w:rsid w:val="001144B0"/>
    <w:rsid w:val="00153946"/>
    <w:rsid w:val="001E44FB"/>
    <w:rsid w:val="00291E82"/>
    <w:rsid w:val="002959B3"/>
    <w:rsid w:val="0034619C"/>
    <w:rsid w:val="00347FA3"/>
    <w:rsid w:val="00350490"/>
    <w:rsid w:val="003669F8"/>
    <w:rsid w:val="003C124D"/>
    <w:rsid w:val="003C5FAD"/>
    <w:rsid w:val="003E3E9D"/>
    <w:rsid w:val="0049543C"/>
    <w:rsid w:val="004A5578"/>
    <w:rsid w:val="004D53B5"/>
    <w:rsid w:val="004E47A8"/>
    <w:rsid w:val="004E4FD6"/>
    <w:rsid w:val="004F1C8E"/>
    <w:rsid w:val="00503482"/>
    <w:rsid w:val="005058D2"/>
    <w:rsid w:val="00512211"/>
    <w:rsid w:val="005305F7"/>
    <w:rsid w:val="00530BC0"/>
    <w:rsid w:val="00543C52"/>
    <w:rsid w:val="00551308"/>
    <w:rsid w:val="005C68B4"/>
    <w:rsid w:val="0060089B"/>
    <w:rsid w:val="00683204"/>
    <w:rsid w:val="006C5776"/>
    <w:rsid w:val="006D7984"/>
    <w:rsid w:val="007108A0"/>
    <w:rsid w:val="0078311F"/>
    <w:rsid w:val="008929C3"/>
    <w:rsid w:val="008F6D7D"/>
    <w:rsid w:val="009546F1"/>
    <w:rsid w:val="00990223"/>
    <w:rsid w:val="009B13A5"/>
    <w:rsid w:val="009D4DA5"/>
    <w:rsid w:val="00AF0B8E"/>
    <w:rsid w:val="00B132C1"/>
    <w:rsid w:val="00B14B49"/>
    <w:rsid w:val="00B27B14"/>
    <w:rsid w:val="00B722F7"/>
    <w:rsid w:val="00BE03A6"/>
    <w:rsid w:val="00C02F30"/>
    <w:rsid w:val="00C22CE0"/>
    <w:rsid w:val="00C35073"/>
    <w:rsid w:val="00C40BCF"/>
    <w:rsid w:val="00C825B2"/>
    <w:rsid w:val="00C93DF1"/>
    <w:rsid w:val="00CF3C42"/>
    <w:rsid w:val="00D52B91"/>
    <w:rsid w:val="00D82CFD"/>
    <w:rsid w:val="00D95BD6"/>
    <w:rsid w:val="00DB5149"/>
    <w:rsid w:val="00E44DE0"/>
    <w:rsid w:val="00E653D3"/>
    <w:rsid w:val="00E65509"/>
    <w:rsid w:val="00EB3636"/>
    <w:rsid w:val="00EB5464"/>
    <w:rsid w:val="00EB7DBD"/>
    <w:rsid w:val="00F04B4E"/>
    <w:rsid w:val="00F16E3F"/>
    <w:rsid w:val="00F32B27"/>
    <w:rsid w:val="00F51681"/>
    <w:rsid w:val="00F8508C"/>
    <w:rsid w:val="00F87F7B"/>
    <w:rsid w:val="00F97AFA"/>
    <w:rsid w:val="00FC4097"/>
    <w:rsid w:val="00FE519B"/>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2F02"/>
  <w15:docId w15:val="{CDFC27CD-858E-4149-B812-FE45DEC3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29C3"/>
    <w:pPr>
      <w:spacing w:before="100" w:beforeAutospacing="1" w:after="100" w:afterAutospacing="1" w:line="240" w:lineRule="auto"/>
      <w:jc w:val="both"/>
    </w:pPr>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BD557-7C3B-43BD-8F4D-5E5A927F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Evstatiy Evstatiev</cp:lastModifiedBy>
  <cp:revision>4</cp:revision>
  <dcterms:created xsi:type="dcterms:W3CDTF">2024-03-05T14:45:00Z</dcterms:created>
  <dcterms:modified xsi:type="dcterms:W3CDTF">2024-03-06T07:45:00Z</dcterms:modified>
</cp:coreProperties>
</file>