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8E" w:rsidRPr="00FC4404" w:rsidRDefault="0006058E" w:rsidP="0006058E">
      <w:pPr>
        <w:pStyle w:val="Title"/>
        <w:spacing w:line="360" w:lineRule="auto"/>
      </w:pPr>
      <w:r w:rsidRPr="00FC4404">
        <w:t>МОТИВИ</w:t>
      </w:r>
    </w:p>
    <w:p w:rsidR="0006058E" w:rsidRPr="00FC4404" w:rsidRDefault="0006058E" w:rsidP="0006058E">
      <w:pPr>
        <w:spacing w:line="360" w:lineRule="auto"/>
        <w:jc w:val="center"/>
      </w:pPr>
      <w:r w:rsidRPr="00FC4404">
        <w:rPr>
          <w:b/>
        </w:rPr>
        <w:t>към Закон</w:t>
      </w:r>
      <w:r w:rsidR="00F5382C" w:rsidRPr="00FC4404">
        <w:rPr>
          <w:b/>
        </w:rPr>
        <w:t>а</w:t>
      </w:r>
      <w:r w:rsidRPr="00FC4404">
        <w:rPr>
          <w:b/>
        </w:rPr>
        <w:t xml:space="preserve"> за изменение и допълнение на Закона за </w:t>
      </w:r>
      <w:r w:rsidR="00F5791D" w:rsidRPr="00FC4404">
        <w:rPr>
          <w:b/>
        </w:rPr>
        <w:t>храните</w:t>
      </w:r>
    </w:p>
    <w:p w:rsidR="00A55EE2" w:rsidRPr="00FC4404" w:rsidRDefault="00A55EE2" w:rsidP="0067187D">
      <w:pPr>
        <w:spacing w:line="360" w:lineRule="auto"/>
        <w:jc w:val="both"/>
      </w:pPr>
    </w:p>
    <w:p w:rsidR="00A55EE2" w:rsidRPr="00FC4404" w:rsidRDefault="00A55EE2" w:rsidP="00A55EE2">
      <w:pPr>
        <w:spacing w:line="360" w:lineRule="auto"/>
        <w:ind w:firstLine="708"/>
        <w:jc w:val="both"/>
      </w:pPr>
      <w:r w:rsidRPr="00FC4404">
        <w:t xml:space="preserve">В Програмата за управление на Република България за периода юни 2023 г. – декември 2024 г. и </w:t>
      </w:r>
      <w:r w:rsidR="00FC4404" w:rsidRPr="00FC4404">
        <w:t xml:space="preserve">в </w:t>
      </w:r>
      <w:r w:rsidRPr="00FC4404">
        <w:t xml:space="preserve">Законодателната програма на Министерски съвет </w:t>
      </w:r>
      <w:r w:rsidR="00FC4404" w:rsidRPr="00FF45CA">
        <w:t>януари</w:t>
      </w:r>
      <w:r w:rsidRPr="00FF45CA">
        <w:t xml:space="preserve"> – </w:t>
      </w:r>
      <w:r w:rsidR="00FC4404" w:rsidRPr="00FF45CA">
        <w:t>юни</w:t>
      </w:r>
      <w:r w:rsidRPr="00FF45CA">
        <w:t xml:space="preserve"> </w:t>
      </w:r>
      <w:r w:rsidR="00FC4404" w:rsidRPr="00FF45CA">
        <w:br/>
      </w:r>
      <w:r w:rsidRPr="00FF45CA">
        <w:t>202</w:t>
      </w:r>
      <w:r w:rsidR="00FC4404" w:rsidRPr="00FF45CA">
        <w:t>4</w:t>
      </w:r>
      <w:r w:rsidRPr="00FF45CA">
        <w:t xml:space="preserve"> г. </w:t>
      </w:r>
      <w:r w:rsidRPr="00FC4404">
        <w:t xml:space="preserve">е включен проект на Закон за изменение и допълнение на Закона за храните. </w:t>
      </w:r>
    </w:p>
    <w:p w:rsidR="00A55EE2" w:rsidRDefault="00A55EE2" w:rsidP="00A55EE2">
      <w:pPr>
        <w:spacing w:line="360" w:lineRule="auto"/>
        <w:ind w:firstLine="708"/>
        <w:jc w:val="both"/>
      </w:pPr>
      <w:r w:rsidRPr="00FC4404">
        <w:t>Проектът на Закон за изменение и допълнение на Закона за храните (ЗИД на Закона за храните) има за цел усъвършенстване нормативната уредба в областта на храните и постигане на пълно съответствие със законодателството на Европейския съюз в тази област. Измененията в закона се налагат поради следните причини:</w:t>
      </w:r>
    </w:p>
    <w:p w:rsidR="00FA6488" w:rsidRPr="00FA6488" w:rsidRDefault="00FA6488" w:rsidP="00FA6488">
      <w:pPr>
        <w:spacing w:line="360" w:lineRule="auto"/>
        <w:ind w:firstLine="708"/>
        <w:jc w:val="both"/>
      </w:pPr>
      <w:r w:rsidRPr="00FA6488">
        <w:t>Със законопроекта се предвижда министърът на земеделието и храните, с наредби да определя национални мерки в съответствие с чл. 1, параграф 3 и чл. 13, параграф 3 от Регламент (ЕО) № 852/2004 на Европейския парламент и на Съвета от 29 април 2004 г. относно хигиената на храните (</w:t>
      </w:r>
      <w:r w:rsidRPr="00FA6488">
        <w:rPr>
          <w:lang w:val="en-US"/>
        </w:rPr>
        <w:t xml:space="preserve">OB, </w:t>
      </w:r>
      <w:r w:rsidRPr="00FA6488">
        <w:t>специално българско издание: глава 13</w:t>
      </w:r>
      <w:r w:rsidRPr="00FA6488">
        <w:rPr>
          <w:lang w:val="en-US"/>
        </w:rPr>
        <w:t>,</w:t>
      </w:r>
      <w:r w:rsidRPr="00FA6488">
        <w:t xml:space="preserve"> том 044</w:t>
      </w:r>
      <w:r w:rsidRPr="00FA6488">
        <w:rPr>
          <w:lang w:val="en-US"/>
        </w:rPr>
        <w:t>)</w:t>
      </w:r>
      <w:r w:rsidRPr="00FA6488">
        <w:t xml:space="preserve"> (Регламент (ЕО) № 852/2004). Съгласно действащия чл. 6 от Закона за храните тези наредби следва да се издават от министъра на земеделието и храните или министъра на здравеопазването. Съгласно чл. 3 от Закона за управление на </w:t>
      </w:r>
      <w:proofErr w:type="spellStart"/>
      <w:r w:rsidRPr="00FA6488">
        <w:t>агрохранителната</w:t>
      </w:r>
      <w:proofErr w:type="spellEnd"/>
      <w:r w:rsidRPr="00FA6488">
        <w:t xml:space="preserve"> верига министърът на земеделието и храните провежда държавната политика по отношение на безопасността, защитата на здравето и интересите на потребителите при производството, дистрибуцията и пускането на пазара на храни, с изключение на бутилираните натурални минерални, изворни и трапезни води, етиловия алкохол, дестилатите от земеделски произход и спиртните напитки , поради което разпоредбата на чл. 6 от Закона за храните следва да бъде изменена.</w:t>
      </w:r>
    </w:p>
    <w:p w:rsidR="00FA6488" w:rsidRPr="00FA6488" w:rsidRDefault="00FA6488" w:rsidP="00FA6488">
      <w:pPr>
        <w:spacing w:line="360" w:lineRule="auto"/>
        <w:ind w:firstLine="708"/>
        <w:jc w:val="both"/>
      </w:pPr>
      <w:r w:rsidRPr="00FA6488">
        <w:t xml:space="preserve">Законопроектът предвижда отпадането на разпоредбата на чл. 7, ал. 5, т. 1 и т. 2, министърът на земеделието и храните и министърът на здравеопазването с наредба да определят хигиенните изисквания към бизнес операторите, които произвеждат, преработват и/или дистрибутират храна, включително към бизнес операторите, които осъществяват първично производство и свързани с него дейности, както и хигиенните изисквания при първичното производство. Хигиенните изисквания към бизнес операторите, които произвеждат, преработват и/или дистрибутират храна, включително към бизнес операторите, които осъществяват първично производство и свързани с него дейности, както и хигиенните изисквания при първичното производство са уредени в Регламент (ЕО) № 852/2004 и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w:t>
      </w:r>
      <w:r w:rsidRPr="00FA6488">
        <w:lastRenderedPageBreak/>
        <w:t>(</w:t>
      </w:r>
      <w:r w:rsidRPr="00FA6488">
        <w:rPr>
          <w:lang w:val="en-US"/>
        </w:rPr>
        <w:t xml:space="preserve">OB, </w:t>
      </w:r>
      <w:r w:rsidRPr="00FA6488">
        <w:t>специално българско издание: глава 15, том 008</w:t>
      </w:r>
      <w:r w:rsidRPr="00FA6488">
        <w:rPr>
          <w:lang w:val="en-US"/>
        </w:rPr>
        <w:t>)</w:t>
      </w:r>
      <w:r w:rsidRPr="00FA6488">
        <w:t xml:space="preserve"> и не е необходимо допълнително регламентиране в националната нормативна уредба.</w:t>
      </w:r>
    </w:p>
    <w:p w:rsidR="00FA6488" w:rsidRPr="00FA6488" w:rsidRDefault="00FA6488" w:rsidP="00FA6488">
      <w:pPr>
        <w:spacing w:line="360" w:lineRule="auto"/>
        <w:ind w:firstLine="708"/>
        <w:jc w:val="both"/>
      </w:pPr>
      <w:r w:rsidRPr="00FA6488">
        <w:t>Със ЗИД на Закона за храните се определя национален компетентен орган за целите на чл. 7, параграфи 2 и 3 от Регламент (ЕО) № 2074/2005 на Комисията от 5 декември 2005 година за установяване на мерки за прилагане по отношение на някои продукти съгласно Регламент (ЕО) № 853/2004 на Европейския парламент и на Съвета и по отношение на организацията на официалния контрол съгласно Регламент (ЕО) № 854/2004 на Европейския парламент и на Съвета и Регламент (ЕО) № 882/2004 на Европейския парламент и на Съвета, за дерогиране от Регламент (ЕО) № 852/2004 на Европейския парламент и на Съвета и за изменение на Регламенти (ЕО) № 853/2004 и (ЕО) № 854/2004 (OB, L 338 от 22 декември 2005 г.) за храни с традиционни характеристики.</w:t>
      </w:r>
    </w:p>
    <w:p w:rsidR="00FA6488" w:rsidRPr="00FA6488" w:rsidRDefault="00FA6488" w:rsidP="00FA6488">
      <w:pPr>
        <w:spacing w:line="360" w:lineRule="auto"/>
        <w:ind w:firstLine="708"/>
        <w:jc w:val="both"/>
      </w:pPr>
      <w:r w:rsidRPr="00FA6488">
        <w:t>Разпоредбата на чл. 15 от Закона за храните предвижда министърът на здравеопазването съгласувано с министъра на земеделието и храните да издава наредби, които:</w:t>
      </w:r>
    </w:p>
    <w:p w:rsidR="00FA6488" w:rsidRPr="00FA6488" w:rsidRDefault="00FA6488" w:rsidP="00FA6488">
      <w:pPr>
        <w:spacing w:line="360" w:lineRule="auto"/>
        <w:ind w:firstLine="708"/>
        <w:jc w:val="both"/>
      </w:pPr>
      <w:r w:rsidRPr="00FA6488">
        <w:t>1. въвеждат директиви на Европейския съюз относно материалите и предметите, предназначени за контакт с храни;</w:t>
      </w:r>
    </w:p>
    <w:p w:rsidR="00FA6488" w:rsidRPr="00FA6488" w:rsidRDefault="00FA6488" w:rsidP="00FA6488">
      <w:pPr>
        <w:spacing w:line="360" w:lineRule="auto"/>
        <w:ind w:firstLine="708"/>
        <w:jc w:val="both"/>
      </w:pPr>
      <w:r w:rsidRPr="00FA6488">
        <w:t>2. определят национални мерки по отношение на материали и предмети, за които няма приети на ниво Европейски съюз специфични мерки, съгласно чл. 5 от Регламент (ЕО) № 1935/2004</w:t>
      </w:r>
      <w:r w:rsidRPr="00FA6488">
        <w:rPr>
          <w:bCs/>
        </w:rPr>
        <w:t xml:space="preserve"> на Европейския парламент и на Съвета от 27 октомври 2004 година относно материалите и предметите, предназначени за контакт с храни, и за отмяна на Директиви 80/590/ЕИО и 89/109/ЕИО</w:t>
      </w:r>
      <w:r w:rsidRPr="00FA6488">
        <w:rPr>
          <w:lang w:val="en-US"/>
        </w:rPr>
        <w:t xml:space="preserve"> </w:t>
      </w:r>
      <w:r w:rsidRPr="00FA6488">
        <w:t xml:space="preserve"> (OB, специално българско издание: глава 13, том 045). До настоящия момент, няма издадени нови нормативни актове на основание чл. 15 от Закона за храните. Съществуващите Наредба № 2 от 2008 г. за материалите и предметите от пластмаси, предназначени за контакт с храни (</w:t>
      </w:r>
      <w:proofErr w:type="spellStart"/>
      <w:r w:rsidRPr="00FA6488">
        <w:t>обн</w:t>
      </w:r>
      <w:proofErr w:type="spellEnd"/>
      <w:r w:rsidRPr="00FA6488">
        <w:t>., ДВ, бр. 13 от 2008 г.) и Наредба № 3 от 2007 г. за специфичните изисквания към материалите и предметите, различни от пластмаси, предназначени за контакт с храни (</w:t>
      </w:r>
      <w:proofErr w:type="spellStart"/>
      <w:r w:rsidRPr="00FA6488">
        <w:t>обн</w:t>
      </w:r>
      <w:proofErr w:type="spellEnd"/>
      <w:r w:rsidRPr="00FA6488">
        <w:t>., ДВ, бр. 51 от 2007 г.), са издадени от министъра на здравеопазването и министъра на околната среда и водите, на основание чл. 8 от отменения Закон за храните. Към момента двата нормативни акта продължават да се прилагат на основание § 8, ал. 3 от преходни и заключителни разпоредби на Закона за храните, но не са съобразени, както с настъпилите промени в правото на Европейския съюз в областта на материалите и предметите, предназначени за контакт с храни, така и в националната нормативна уредба от по-висок ранг.</w:t>
      </w:r>
    </w:p>
    <w:p w:rsidR="00FA6488" w:rsidRPr="00FA6488" w:rsidRDefault="00FA6488" w:rsidP="00FA6488">
      <w:pPr>
        <w:spacing w:line="360" w:lineRule="auto"/>
        <w:ind w:firstLine="708"/>
        <w:jc w:val="both"/>
      </w:pPr>
      <w:r w:rsidRPr="00FA6488">
        <w:t xml:space="preserve">Поради обстоятелството, че регулаторните изисквания относно материалите и предметите, предназначени за контакт с храни, засягат редица аспекти и заинтересовани страни, които са свързани с безопасността и качеството на храните, околната среда, </w:t>
      </w:r>
      <w:r w:rsidRPr="00FA6488">
        <w:lastRenderedPageBreak/>
        <w:t>кръговата икономика и други области, ЗИД на Закона за храните предвижда подзаконовите нормативните актове по чл. 15 от Закона за храните да бъдат приемани от Министерския съвет.</w:t>
      </w:r>
    </w:p>
    <w:p w:rsidR="00FA6488" w:rsidRPr="00FA6488" w:rsidRDefault="00FA6488" w:rsidP="00FA6488">
      <w:pPr>
        <w:spacing w:line="360" w:lineRule="auto"/>
        <w:ind w:firstLine="708"/>
        <w:jc w:val="both"/>
      </w:pPr>
      <w:r w:rsidRPr="00FA6488">
        <w:t>Със ЗИД на Закона за храните се уеднаквява процедурата по регистрация на обект за комбинирано производство на бутилирани натурални минерални, изворни или трапезни води и безалкохолни напитки с процедурата по регистрация на обекти по чл. 26 и процедурата по одобрение на обекти по чл. 31. Съгласно чл. 26, ал. 11 и чл. 31, ал. 12 от Закона за храните, комисията, която извършва проверка издава предписание, съответно протокол за степента на съответствие на обекта с нормативните изисквания.</w:t>
      </w:r>
    </w:p>
    <w:p w:rsidR="00FA6488" w:rsidRPr="00FA6488" w:rsidRDefault="00FA6488" w:rsidP="00FA6488">
      <w:pPr>
        <w:spacing w:line="360" w:lineRule="auto"/>
        <w:ind w:firstLine="708"/>
        <w:jc w:val="both"/>
      </w:pPr>
      <w:r w:rsidRPr="00FA6488">
        <w:t>Със ЗИД на Закона за храните се прецизират изискванията към аптеки и дрогерии, извършващи търговия на дребно с хранителни добавки, храни за специални медицински цели, храни - заместители на целодневния хранителен прием за регулиране на телесното тегло, храни за кърмачета и преходни храни, преработени храни на зърнена основа и детски храни, включително при извършване на търговия от разстояние. Средствата за търговия от разстояние с лекарствени продукти, аналогично на аптеките и дрогериите подлежат на одобрение и се вписват в публичен списък от Изпълнителната агенция по лекарствата. Към момента средствата за търговия от разстояние с лекарствени продукти, които предлагат и хранителни добавки се регистрират и по реда на чл. 61 от закона, което води до двойна регистрация и увеличава административната тежест за бизнес операторите.</w:t>
      </w:r>
    </w:p>
    <w:p w:rsidR="00FA6488" w:rsidRPr="00FA6488" w:rsidRDefault="00FA6488" w:rsidP="00FA6488">
      <w:pPr>
        <w:spacing w:line="360" w:lineRule="auto"/>
        <w:ind w:firstLine="708"/>
        <w:jc w:val="both"/>
      </w:pPr>
      <w:r w:rsidRPr="00FA6488">
        <w:t>Съглас</w:t>
      </w:r>
      <w:r w:rsidR="00820086">
        <w:t>но чл.</w:t>
      </w:r>
      <w:r w:rsidRPr="00FA6488">
        <w:t xml:space="preserve"> 37, ал. 1 от Закона за храните, директна доставка на малки количества първични продукти по чл. 1, параграф 2, буква "в" от Регламент (ЕО) № 852/2004 се извършва от бизнес оператор, който е ползвател, наемател или собственик на регистриран обект за първично производство на храни. С предложеното допълнение на ал. 1, такива доставки да се извършват от бизнес оператор, който е производител, се п</w:t>
      </w:r>
      <w:r w:rsidR="00820086">
        <w:t>остига пълно съответствие с чл.</w:t>
      </w:r>
      <w:r w:rsidRPr="00FA6488">
        <w:t xml:space="preserve"> 1, параграф 2, буква в</w:t>
      </w:r>
      <w:r w:rsidR="00820086">
        <w:t>) от Регламент № 852/2004 и чл.</w:t>
      </w:r>
      <w:r w:rsidRPr="00FA6488">
        <w:t xml:space="preserve"> 1, параграф 3, буква в) от Регламент № 853/2004 на Европейския парламент и на Съвета от 29 април 2004 г. </w:t>
      </w:r>
      <w:hyperlink r:id="rId5" w:tooltip="32004R0853" w:history="1">
        <w:r w:rsidRPr="00FA6488">
          <w:rPr>
            <w:rStyle w:val="Hyperlink"/>
          </w:rPr>
          <w:t>относно определяне на специфични хигиенни правила за храните от животински произход</w:t>
        </w:r>
      </w:hyperlink>
      <w:r w:rsidRPr="00FA6488">
        <w:t xml:space="preserve"> (OB, специално българско издание: глава 03, том 056) (Регламент № 853/2004). Предложена е и отмяна на препратката в чл. 37, ал. 1 към чл. 1, параграф 3, букви г) и д) от Регламент (ЕО) № 853/2004, която се отнася за доставките на определени видове месо, които не са първични продукти.</w:t>
      </w:r>
    </w:p>
    <w:p w:rsidR="00FA6488" w:rsidRPr="00FA6488" w:rsidRDefault="00FA6488" w:rsidP="00FA6488">
      <w:pPr>
        <w:spacing w:line="360" w:lineRule="auto"/>
        <w:ind w:firstLine="708"/>
        <w:jc w:val="both"/>
      </w:pPr>
      <w:r w:rsidRPr="00FA6488">
        <w:t xml:space="preserve">Със ЗИД на Закона за храните отпада изискването производителите на първични продукти да извършват директни доставки до краен потребител или до местни обекти за търговия на дребно само в рамките на административната област по вписване и във всички съседни на нея административни области, при условие че са спазени правилата </w:t>
      </w:r>
      <w:r w:rsidRPr="00FA6488">
        <w:lastRenderedPageBreak/>
        <w:t>за защита на здравето на хората, както е предвидено в съображение (11) от Регламент (ЕО) № 853/2004.</w:t>
      </w:r>
    </w:p>
    <w:p w:rsidR="00FA6488" w:rsidRPr="00FA6488" w:rsidRDefault="00FA6488" w:rsidP="00FA6488">
      <w:pPr>
        <w:spacing w:line="360" w:lineRule="auto"/>
        <w:ind w:firstLine="708"/>
        <w:jc w:val="both"/>
      </w:pPr>
      <w:r w:rsidRPr="00FA6488">
        <w:t>Съгласно Закона за храните изискването за териториално ограничение се прилага за производители на първични продукти и за бизнес оператори, които извършват доставка от обект за обработка и/или преработка на храни от животински произход по чл. 37, ал. 2 от местен обект за търговия на дребно до друг обект за търговия на дребно като странична, локална и ограничена дейност по чл. 1, параграф 5, буква "б" (ii) от Регламент (ЕО) № 853/2004. Във връзка с предложението за отпадане на ал. 2 на чл. 38 се изменя и чл. 40 от Закона за храните, с цел ограничението за териториален обхват да се прилага само за обектите по чл. 37, ал. 2.</w:t>
      </w:r>
    </w:p>
    <w:p w:rsidR="00FA6488" w:rsidRPr="00FA6488" w:rsidRDefault="00FA6488" w:rsidP="00FA6488">
      <w:pPr>
        <w:spacing w:line="360" w:lineRule="auto"/>
        <w:ind w:firstLine="708"/>
        <w:jc w:val="both"/>
      </w:pPr>
      <w:r w:rsidRPr="00FA6488">
        <w:t>Със законопроекта се въвежда изискване за регистрация за централите на средствата за комуникация от разстояние, които се намират извън територията на страната, за които към момента не е регламентирано къде следва да заявят искане за регистрация, като за централи на средства за комуникация, които се намират извън територията на страната, компетентен орган за регистрация е директорът на областна дирекция по безопасност на храните София град.</w:t>
      </w:r>
    </w:p>
    <w:p w:rsidR="00FA6488" w:rsidRPr="00FA6488" w:rsidRDefault="00FA6488" w:rsidP="00FA6488">
      <w:pPr>
        <w:spacing w:line="360" w:lineRule="auto"/>
        <w:ind w:firstLine="708"/>
        <w:jc w:val="both"/>
      </w:pPr>
      <w:r w:rsidRPr="00FA6488">
        <w:t>Със ЗИД на Закона за храните се създа</w:t>
      </w:r>
      <w:r w:rsidR="00820086">
        <w:t>ват условия за прилагане на чл.</w:t>
      </w:r>
      <w:r w:rsidRPr="00FA6488">
        <w:t xml:space="preserve"> 7 от Делегиран регламент (ЕС) 2017/1798</w:t>
      </w:r>
      <w:r w:rsidRPr="00FA6488">
        <w:rPr>
          <w:b/>
        </w:rPr>
        <w:t xml:space="preserve"> </w:t>
      </w:r>
      <w:r w:rsidRPr="00FA6488">
        <w:t xml:space="preserve">на Комисията от 2 юни 2017 година за допълване на Регламент (ЕС) № 609/2013 на Европейския парламент и на Съвета по отношение на специфичните изисквания за състава на заместителите на целодневния хранителен прием за регулиране на телесното тегло и предоставянето на информация за тях (OB, L 259 от 07 октомври 2017 г.), който се прилага от 27 октомври 2022 г. Разпоредбата на чл. 7 от посочения регламент предоставя възможност при пускане на пазара на продукти - заместители на целодневния хранителен прием за регулиране на телесното тегло, бизнес операторът с храни да уведомява компетентния орган на всяка държава членка, в която съответният продукт се пуска на пазара, относно посочената върху етикета информация, като му предоставя образец на етикета, използван за продукта, и всяка друга информация, която компетентният орган може основателно да поиска с цел проверка на съответствието с изискванията на този регламент. За да се улесни ефективният официален контрол на храните - заместители на целодневния хранителен прием за регулиране на телесното тегло, законопроектът предвижда бизнес операторите, които пускат на пазара такива продукти да предоставят на националния компетентен орган – министъра на здравеопазването, образец на използвания етикет и съответната информация, която компетентният орган счита за необходима за проверка на съответствието с този регламент. </w:t>
      </w:r>
    </w:p>
    <w:p w:rsidR="00FA6488" w:rsidRPr="00FA6488" w:rsidRDefault="00FA6488" w:rsidP="00FA6488">
      <w:pPr>
        <w:spacing w:line="360" w:lineRule="auto"/>
        <w:ind w:firstLine="708"/>
        <w:jc w:val="both"/>
      </w:pPr>
      <w:r w:rsidRPr="00FA6488">
        <w:lastRenderedPageBreak/>
        <w:t xml:space="preserve">Във връзка с промяната на компетентния орган относно пускането за първи път на пазара на територията на Република България на храни, в които са вложени витамини, минерали и някои други вещества, са предвидени разпоредби по отношение на започналите и </w:t>
      </w:r>
      <w:proofErr w:type="spellStart"/>
      <w:r w:rsidRPr="00FA6488">
        <w:t>неприключили</w:t>
      </w:r>
      <w:proofErr w:type="spellEnd"/>
      <w:r w:rsidRPr="00FA6488">
        <w:t xml:space="preserve"> до влизането в сила на този закон процедури по чл. 76, ал. 2, т. 4 от Закона за храните и служебното вписване в регистъра по чл. 24, ал. 1 на информацията относно пуснатите на пазара храни, в които са вложени витамини, минерали и някои други вещества.</w:t>
      </w:r>
    </w:p>
    <w:p w:rsidR="00FA6488" w:rsidRPr="00FA6488" w:rsidRDefault="00FA6488" w:rsidP="00FA6488">
      <w:pPr>
        <w:spacing w:line="360" w:lineRule="auto"/>
        <w:ind w:firstLine="708"/>
        <w:jc w:val="both"/>
      </w:pPr>
      <w:r w:rsidRPr="00FA6488">
        <w:t>Законопроектът предвижда изменение на чл. 79, ал. 1 от Закона за храните, с което изпълнителният директор на БАБХ се определя като компетентен орган за регистрация на храните, в които са вложени витамини, минерали и някои други вещества, съгласно Регламент (ЕО) № 1925/2006 на Европейския парламент и на Съвета от 20 декември 2006 година относно влагането на витамини, минерали и някои други вещества в храните (специално българско издание: глава 13, том 059).</w:t>
      </w:r>
    </w:p>
    <w:p w:rsidR="00FA6488" w:rsidRPr="00FA6488" w:rsidRDefault="00FA6488" w:rsidP="00FA6488">
      <w:pPr>
        <w:spacing w:line="360" w:lineRule="auto"/>
        <w:ind w:firstLine="708"/>
        <w:jc w:val="both"/>
      </w:pPr>
    </w:p>
    <w:p w:rsidR="00FA6488" w:rsidRPr="00FA6488" w:rsidRDefault="0062642F" w:rsidP="00FA6488">
      <w:pPr>
        <w:spacing w:line="360" w:lineRule="auto"/>
        <w:ind w:firstLine="708"/>
        <w:jc w:val="both"/>
      </w:pPr>
      <w:r>
        <w:t>Разпоредбата на чл.</w:t>
      </w:r>
      <w:r w:rsidR="00FA6488" w:rsidRPr="00FA6488">
        <w:t xml:space="preserve"> 81, ал. 2 от Закона за храните предвижда министърът на здравеопазването съвместно с министъра на земеделието и храните и след съгласуване с министъра на младежта и спорта да издаде наредба за изискванията към храни, предназначени за употреба при интензивно мускулно натоварване. До настоящия момент, няма издаден подзаконов нормативен акт, на основание чл. 81, ал. 2 от Закона за храните. Понастоящем основният нормативен акт на ниво ЕС, който има отношение по въпроса</w:t>
      </w:r>
      <w:r w:rsidR="00FA6488" w:rsidRPr="00FA6488" w:rsidDel="005B5D3A">
        <w:t xml:space="preserve"> </w:t>
      </w:r>
      <w:r w:rsidR="00FA6488" w:rsidRPr="00FA6488">
        <w:t xml:space="preserve">е Регламент (ЕС) № 609/2013 на Европейския парламент и на Съвета от 12 юни 2013 година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и за отмяна на Директива 92/52/ЕИО на Съвета, директиви 96/8/ЕО, 1999/21/ЕО, 2006/125/ЕО и 2006/141/ЕО на Комисията, Директива 2009/39/ЕО на Европейския парламент и на Съвета и регламенти (ЕО) № 41/2009 и (ЕО) № 953/2009 на Комисията (OB, L 181 от 29 юни 2013 г.) (Регламент (ЕС) № 609/2013). В изпълнение на чл. 13 от Регламент (ЕС) № 609/2013, Европейската комисия е изготвила Доклад на Комисията до Европейския парламент и Съвета относно храните, предназначени за спортисти COM(2016) 402 </w:t>
      </w:r>
      <w:proofErr w:type="spellStart"/>
      <w:r w:rsidR="00FA6488" w:rsidRPr="00FA6488">
        <w:t>final</w:t>
      </w:r>
      <w:proofErr w:type="spellEnd"/>
      <w:r w:rsidR="00FA6488" w:rsidRPr="00FA6488">
        <w:t xml:space="preserve"> от 15.06.2016 г., в който изрично е посочено, че в резултат на извършения анализ е направен изводът, че не съществува необходимост от специални разпоредби относно храните за спортисти. </w:t>
      </w:r>
    </w:p>
    <w:p w:rsidR="00FA6488" w:rsidRPr="00FA6488" w:rsidRDefault="00FA6488" w:rsidP="00FA6488">
      <w:pPr>
        <w:spacing w:line="360" w:lineRule="auto"/>
        <w:ind w:firstLine="708"/>
        <w:jc w:val="both"/>
      </w:pPr>
      <w:r w:rsidRPr="00FA6488">
        <w:t>В тази връзка със ЗИД на Закона за храните се отменя ал. 2 на чл. 81, както и останалите разпоредби в Закона за храните, които се отнасят за „храни, предназначени за употреба при интензивно мускулно натоварване“.</w:t>
      </w:r>
    </w:p>
    <w:p w:rsidR="00FA6488" w:rsidRPr="00FA6488" w:rsidRDefault="00FA6488" w:rsidP="00FA6488">
      <w:pPr>
        <w:spacing w:line="360" w:lineRule="auto"/>
        <w:ind w:firstLine="708"/>
        <w:jc w:val="both"/>
      </w:pPr>
      <w:r w:rsidRPr="00FA6488">
        <w:lastRenderedPageBreak/>
        <w:t>С цел прецизиране, в допълнителната разпоредба се изменят определенията за някои групи храни и се създава нова група: храни за специални медицински цели и храни - заместители на целодневния хранителен прием за регулиране на телесното тегло.</w:t>
      </w:r>
    </w:p>
    <w:p w:rsidR="00FA6488" w:rsidRPr="00FA6488" w:rsidRDefault="00FA6488" w:rsidP="00FA6488">
      <w:pPr>
        <w:spacing w:line="360" w:lineRule="auto"/>
        <w:ind w:firstLine="708"/>
        <w:jc w:val="both"/>
        <w:rPr>
          <w:b/>
        </w:rPr>
      </w:pPr>
      <w:r w:rsidRPr="00FA6488">
        <w:t>Със ЗИД на Закона за храните се актуализират препратки към регламенти в областта на храните и се правят технически редакции.</w:t>
      </w:r>
    </w:p>
    <w:p w:rsidR="00C775C1" w:rsidRPr="00FC4404" w:rsidRDefault="00C775C1" w:rsidP="00C775C1">
      <w:pPr>
        <w:spacing w:line="360" w:lineRule="auto"/>
        <w:ind w:firstLine="708"/>
        <w:jc w:val="both"/>
      </w:pPr>
      <w:r w:rsidRPr="00FC4404">
        <w:t xml:space="preserve">В преходни и заключителни разпоредби проекта на ЗИД на Закона за храните се изменя и допълва Закона за управление на агрохранителната верига (ЗУАХВ). С направените промени се постига пълно съответствие с терминологията на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(ЕС) 2017/625) (OB, L 095 от 07 април 2017 г.) и се създават условия за прилагане на Делегиран регламент (ЕС) 2019/2123 на Комисията от 10 октомври 2019 година за допълнение на Регламент (ЕС) 2017/625 на Европейския парламент и на Съвета по отношение на случаите и условията, при които проверките за идентичност и физическите проверки на някои стоки може да се извършват на контролни пунктове, а проверките на документи може да се извършват на разстояние от граничните контролни пунктове (ОВ, L 321/64 от 12 декември 2019 г.) (Делегиран регламент (ЕС) 2019/2123). Също така се урежда изпълнителният директор на БАБХ със заповед да определя списък на контролните пунктове, съгласно Делегиран регламент (ЕС) 2019/2123. </w:t>
      </w:r>
    </w:p>
    <w:p w:rsidR="00C775C1" w:rsidRPr="00FC4404" w:rsidRDefault="00C775C1" w:rsidP="00C775C1">
      <w:pPr>
        <w:spacing w:line="360" w:lineRule="auto"/>
        <w:ind w:firstLine="708"/>
        <w:jc w:val="both"/>
      </w:pPr>
      <w:r w:rsidRPr="00FC4404">
        <w:t xml:space="preserve">Със ЗИД на ЗУАХВ се създава възможност с наредбата по чл. 50, ал. 3 от закона, с която се определят условия и ред за вземане на проби и извършване на анализи, изпитвания и диагностика на елементи на агрохранителната верига, да се транспонират изискванията на директиви на ЕС относно методи за вземане на проби и анализ на храни, тъй като голяма част от правото на Европейския съюз в областта на безопасността и качеството на храните, и по-специално, относно методите за вземане на проби и методите за анализ на храни, е под формата на директиви. Законопроектът предвижда и отпадане </w:t>
      </w:r>
      <w:r w:rsidRPr="00FC4404">
        <w:lastRenderedPageBreak/>
        <w:t>на правното основание за издаване на наредбата по чл. 39, с която се определят изискванията при изпълнение на пилотни проекти с ограничен срок и обхват за оценяване на алтернативни практически условия за извършването на официален контрол върху производството на месо съгласно чл. 18, параграф 9 от Регламент (ЕС) 2017/625, тъй като разпоредбата на чл. 18, параграф 9 от Регламент (ЕС) 2017/625 няма императивен характер.</w:t>
      </w:r>
    </w:p>
    <w:p w:rsidR="00C775C1" w:rsidRPr="00FC4404" w:rsidRDefault="00C775C1" w:rsidP="00C775C1">
      <w:pPr>
        <w:spacing w:line="360" w:lineRule="auto"/>
        <w:ind w:firstLine="708"/>
        <w:jc w:val="both"/>
      </w:pPr>
      <w:r w:rsidRPr="00FC4404">
        <w:t xml:space="preserve">Законопроектът осигурява пълно съответствие с терминологията на Регламент за изпълнение на Комисията (ЕС) 2019/1715 от 30 септември 2019 година за определяне на правила за функционирането на системата за управление на информацията относно официалния контрол и нейните компоненти (Регламент за IМSOC) (ОВ, L 261/64 от 14 октомври 2019 г.). С действащата разпоредба на чл. 61 от ЗУАХВ относно одобряване на списък на звената за контакт на територията на страната, чрез които се осъществява координирането на комуникациите между компетентните органи на Република България и останалите държави членки, включително предаването и получаването на искания за административна помощ се налага често изменение на Решението на Министерския съвет, с което се определя състава на Единно звено за контакт по системите на Европейската комисия за координация и списъка на звената за контакт , поради фактът, че съставът на администрациите, членове на звеното за контакт непрекъснато се променя. Поради това се налага чл.61 да бъде съответно изменен. </w:t>
      </w:r>
    </w:p>
    <w:p w:rsidR="00C775C1" w:rsidRPr="00FC4404" w:rsidRDefault="00C775C1" w:rsidP="00C775C1">
      <w:pPr>
        <w:spacing w:line="360" w:lineRule="auto"/>
        <w:ind w:firstLine="708"/>
        <w:jc w:val="both"/>
      </w:pPr>
      <w:r w:rsidRPr="00FC4404">
        <w:t>Със законопроекта са прецизирани разпоредби на Глава трета, Раздел ІI от ЗУАХВ  с която се определят специфични изисквания при осъществяване на официален контрол и други официални дейности върху храни, зародишни продукти и странични животински продукти, като се допълват изискванията по отношение на връщането на храни от обекти за търговия на едро и дребно в обекти за производство, тъй като действащата разпоредба има императивен характер и на практика не отчита ситуации, при които безопасността на дадена суровина и/или храна не е компрометирана, но са установени пропуски/грешки при етикетирането им, или е нарушена целостта само на вторичната опаковка. Прецизират се правомощията на официалните ветеринарни лекари за унищожаване храни от животински произход, с цел пълно съответствие с разпоредбите на Регламент (EС) 2017/625.</w:t>
      </w:r>
    </w:p>
    <w:p w:rsidR="00C775C1" w:rsidRPr="00FC4404" w:rsidRDefault="00C775C1" w:rsidP="00C775C1">
      <w:pPr>
        <w:spacing w:line="360" w:lineRule="auto"/>
        <w:ind w:firstLine="708"/>
        <w:jc w:val="both"/>
      </w:pPr>
      <w:r w:rsidRPr="00FC4404">
        <w:t xml:space="preserve">С предложените изменения и допълнения в ЗУАХВ се дава възможност на официалния ветеринарен лекар или официалният </w:t>
      </w:r>
      <w:proofErr w:type="spellStart"/>
      <w:r w:rsidRPr="00FC4404">
        <w:t>фитосанитарен</w:t>
      </w:r>
      <w:proofErr w:type="spellEnd"/>
      <w:r w:rsidRPr="00FC4404">
        <w:t xml:space="preserve"> инспектор при въвеждането на животни или стоки от трети държави на територията на ЕС да предприемат мерките по чл. 67 от Регламент (EС) 2017/625, тъй като тези пратки са с висок риск и изискват предприемането на незабавни мерки.</w:t>
      </w:r>
    </w:p>
    <w:p w:rsidR="00C775C1" w:rsidRPr="00FC4404" w:rsidRDefault="00C775C1" w:rsidP="00C775C1">
      <w:pPr>
        <w:spacing w:line="360" w:lineRule="auto"/>
        <w:ind w:firstLine="708"/>
        <w:jc w:val="both"/>
      </w:pPr>
      <w:r w:rsidRPr="00FC4404">
        <w:lastRenderedPageBreak/>
        <w:t>Със законопроекта са прецизирани разпоредбите относно изготвянето на Многогодишен национален план за контрол (МНПК) съгласно чл. 109 - 113 от Регламент (ЕС) 2017/625 и Годишния доклад за изпълнението му във връзка с публикуването на Регламент за изпълнение (ЕС) 2019/723 на Комисията от 2 май 2019 г. за определяне на правила за прилагането на Регламент 2017/625 на Европейския парламент и на Съвета по отношение на стандартния образец на формуляр, който следва да бъде използван в годишните доклади, представяни от държавите членки (ОВ, L 124/1 от 13 май 2019 г.) и отмяната на Решение на Комисията № 2007/363/ЕО от 21 май 2007 г. относно насоките за подпомагане на държавите членки при изготвянето на единния интегриран многогодишен национален план за контрол, предвиден в Регламент (ЕО) № 882/2004 на Европейския парламент и на Съвета.</w:t>
      </w:r>
    </w:p>
    <w:p w:rsidR="00C775C1" w:rsidRPr="00FC4404" w:rsidRDefault="00C775C1" w:rsidP="00C775C1">
      <w:pPr>
        <w:spacing w:line="360" w:lineRule="auto"/>
        <w:ind w:firstLine="708"/>
        <w:jc w:val="both"/>
      </w:pPr>
      <w:r w:rsidRPr="00FC4404">
        <w:t>Със законопроекта са прецизирани възможностите за взаимодействие между органите, които осъществяват официален контрол и други официални дейности по агрохранителната верига. Предвидено е разделение на административнонаказателните разпоредби по отношение размера на санкцията, предвидена за нарушение на параграф 3 на чл. 15 от Регламент 2017/625, която да бъде пропорционална на тежестта на извършеното нарушение.</w:t>
      </w:r>
    </w:p>
    <w:p w:rsidR="00C775C1" w:rsidRPr="00FC4404" w:rsidRDefault="00C775C1" w:rsidP="00C775C1">
      <w:pPr>
        <w:spacing w:line="360" w:lineRule="auto"/>
        <w:ind w:firstLine="708"/>
        <w:jc w:val="both"/>
      </w:pPr>
      <w:r w:rsidRPr="00FC4404">
        <w:t>С проекта на ЗИД на Закона за храните се изменя Закона за лекарствените продукти в хуманната медицина (ЗЛПХМ), като се уеднаквява терминологията в Закона за лекарствените продукти в хуманната медицина със Закона за храните и Регламент (ЕС) 609/2013, по отношение на специфичните видове храни, които могат да се предлагат в аптеките и дрогериите. Урежда се задължение Изпълнителната агенция по лекарствата, респ. регионалната здравна инспекция да уведомява областната дирекция по безопасност на храните по местонахождението на съответната аптека с издадено разрешение по чл. 229, ал. 2, респ. с издадено удостоверение за регистрация по чл. 240, ал. 1 от ЗЛПХМ, включващо извършване на търговия на дребно с хранителни добавки, храни за специални медицински цели, храни - заместители на целодневния хранителен прием за регулиране на телесното тегло, храни за кърмачета и преходни храни, преработени храни на зърнена основа и детски храни, съгласно чл. 30, ал. 2 от Закона за храните.</w:t>
      </w:r>
    </w:p>
    <w:p w:rsidR="00C775C1" w:rsidRPr="00FC4404" w:rsidRDefault="00C775C1" w:rsidP="00C775C1">
      <w:pPr>
        <w:spacing w:line="360" w:lineRule="auto"/>
        <w:ind w:firstLine="708"/>
        <w:jc w:val="both"/>
      </w:pPr>
      <w:r w:rsidRPr="00FC4404">
        <w:t xml:space="preserve">С проекта на ЗИД на Закона за храните се изменя Закона за здравното осигуряване, като се уеднаквява терминологията в закона с Регламент (ЕС) № 609/2013 и Делегиран регламент (ЕС) 2016/128 на Комисията от 25 септември 2015 година за допълване на Регламент (ЕС) № 609/2013 на Европейския парламент и на Съвета по отношение на специфичните изисквания за състава и предоставянето на информация за храните за специални медицински цели (OB L 25 от 2.2.2016 г.), по отношение на термините „диетични храни за специални медицински цели“. </w:t>
      </w:r>
    </w:p>
    <w:p w:rsidR="00A55EE2" w:rsidRPr="00FC4404" w:rsidRDefault="00A55EE2" w:rsidP="0006058E">
      <w:pPr>
        <w:spacing w:line="360" w:lineRule="auto"/>
        <w:ind w:firstLine="708"/>
        <w:jc w:val="both"/>
      </w:pPr>
    </w:p>
    <w:p w:rsidR="0006058E" w:rsidRPr="00FC4404" w:rsidRDefault="0006058E" w:rsidP="0006058E">
      <w:pPr>
        <w:spacing w:line="360" w:lineRule="auto"/>
        <w:ind w:firstLine="708"/>
        <w:jc w:val="both"/>
      </w:pPr>
      <w:r w:rsidRPr="00FC4404">
        <w:t xml:space="preserve">Изменението и допълнението на Закона за </w:t>
      </w:r>
      <w:r w:rsidR="00D961AF" w:rsidRPr="00FC4404">
        <w:t xml:space="preserve">храните </w:t>
      </w:r>
      <w:r w:rsidRPr="00FC4404">
        <w:t xml:space="preserve">е насочено към постигане на следните </w:t>
      </w:r>
      <w:r w:rsidRPr="00FC4404">
        <w:rPr>
          <w:b/>
        </w:rPr>
        <w:t>цели</w:t>
      </w:r>
      <w:r w:rsidRPr="00FC4404">
        <w:t>:</w:t>
      </w:r>
      <w:r w:rsidR="00D961AF" w:rsidRPr="00FC4404">
        <w:t xml:space="preserve"> </w:t>
      </w:r>
    </w:p>
    <w:p w:rsidR="007D452E" w:rsidRPr="00FC4404" w:rsidRDefault="007D452E" w:rsidP="007D452E">
      <w:pPr>
        <w:numPr>
          <w:ilvl w:val="0"/>
          <w:numId w:val="10"/>
        </w:numPr>
        <w:spacing w:line="360" w:lineRule="auto"/>
        <w:jc w:val="both"/>
      </w:pPr>
      <w:r w:rsidRPr="00FC4404">
        <w:t>гарантиране висока степен на защита на здравето и правата на потребителите по отношение на храните, които се предлагат на пазара.</w:t>
      </w:r>
    </w:p>
    <w:p w:rsidR="007D452E" w:rsidRPr="00FC4404" w:rsidRDefault="007D452E" w:rsidP="00927A95">
      <w:pPr>
        <w:numPr>
          <w:ilvl w:val="0"/>
          <w:numId w:val="9"/>
        </w:numPr>
        <w:spacing w:line="360" w:lineRule="auto"/>
        <w:jc w:val="both"/>
      </w:pPr>
      <w:r w:rsidRPr="00FC4404">
        <w:t xml:space="preserve"> повишаване на ефективността на официалния контрол по агрохранителната верига и повишаване сигурността за потребителите.</w:t>
      </w:r>
    </w:p>
    <w:p w:rsidR="00FE7A2A" w:rsidRPr="00FC4404" w:rsidRDefault="00BA65C2" w:rsidP="00FE7A2A">
      <w:pPr>
        <w:spacing w:line="360" w:lineRule="auto"/>
        <w:ind w:firstLine="708"/>
        <w:jc w:val="both"/>
      </w:pPr>
      <w:r w:rsidRPr="00FC4404">
        <w:t>И</w:t>
      </w:r>
      <w:r w:rsidR="00445A26" w:rsidRPr="00FC4404">
        <w:t>змененията имат за цел създаване на подходящи условия за прилагане на европейско законодателство в</w:t>
      </w:r>
      <w:r w:rsidRPr="00FC4404">
        <w:t xml:space="preserve"> областта на храните, </w:t>
      </w:r>
      <w:r w:rsidR="00FE7A2A" w:rsidRPr="00FC4404">
        <w:t xml:space="preserve">гарантиране на висока степен на защита на здравето и правата на потребителите на територията на Република България. </w:t>
      </w:r>
    </w:p>
    <w:p w:rsidR="007D452E" w:rsidRPr="00FC4404" w:rsidRDefault="007D452E" w:rsidP="007D452E">
      <w:pPr>
        <w:spacing w:line="360" w:lineRule="auto"/>
        <w:ind w:firstLine="708"/>
        <w:jc w:val="both"/>
      </w:pPr>
      <w:r w:rsidRPr="00FC4404">
        <w:t>Подобряване качеството на продуктите, информираността на потребителите и доверието в пазара на храни.</w:t>
      </w:r>
    </w:p>
    <w:p w:rsidR="007D452E" w:rsidRPr="00FC4404" w:rsidRDefault="007D452E" w:rsidP="00FE7A2A">
      <w:pPr>
        <w:spacing w:line="360" w:lineRule="auto"/>
        <w:ind w:firstLine="708"/>
        <w:jc w:val="both"/>
      </w:pPr>
    </w:p>
    <w:p w:rsidR="00D961AF" w:rsidRPr="00FC4404" w:rsidRDefault="00D961AF" w:rsidP="0008628B">
      <w:pPr>
        <w:spacing w:line="360" w:lineRule="auto"/>
        <w:ind w:firstLine="708"/>
        <w:jc w:val="both"/>
      </w:pPr>
    </w:p>
    <w:p w:rsidR="0006058E" w:rsidRPr="00FC4404" w:rsidRDefault="0006058E" w:rsidP="0006058E"/>
    <w:p w:rsidR="0006058E" w:rsidRPr="00FC4404" w:rsidRDefault="0006058E" w:rsidP="0006058E"/>
    <w:p w:rsidR="0006058E" w:rsidRPr="00FC4404" w:rsidRDefault="0006058E" w:rsidP="0006058E">
      <w:pPr>
        <w:widowControl w:val="0"/>
        <w:shd w:val="clear" w:color="auto" w:fill="FFFFFF"/>
        <w:tabs>
          <w:tab w:val="left" w:leader="dot" w:pos="3802"/>
        </w:tabs>
        <w:autoSpaceDE w:val="0"/>
        <w:autoSpaceDN w:val="0"/>
        <w:adjustRightInd w:val="0"/>
        <w:spacing w:line="360" w:lineRule="auto"/>
        <w:rPr>
          <w:b/>
          <w:bCs/>
          <w:caps/>
        </w:rPr>
      </w:pPr>
      <w:r w:rsidRPr="00FC4404">
        <w:rPr>
          <w:b/>
          <w:bCs/>
          <w:caps/>
        </w:rPr>
        <w:t>МИНИСТЪР-ПРЕДСЕДАТЕЛ:</w:t>
      </w:r>
    </w:p>
    <w:p w:rsidR="0006058E" w:rsidRPr="00FC4404" w:rsidRDefault="0006058E" w:rsidP="00F5382C">
      <w:pPr>
        <w:widowControl w:val="0"/>
        <w:shd w:val="clear" w:color="auto" w:fill="FFFFFF"/>
        <w:tabs>
          <w:tab w:val="left" w:leader="dot" w:pos="3802"/>
        </w:tabs>
        <w:autoSpaceDE w:val="0"/>
        <w:autoSpaceDN w:val="0"/>
        <w:adjustRightInd w:val="0"/>
        <w:spacing w:line="360" w:lineRule="auto"/>
        <w:ind w:left="3540"/>
        <w:rPr>
          <w:b/>
          <w:bCs/>
          <w:caps/>
        </w:rPr>
      </w:pPr>
      <w:r w:rsidRPr="00FC4404">
        <w:rPr>
          <w:b/>
          <w:bCs/>
          <w:caps/>
        </w:rPr>
        <w:t>(николай Денков)</w:t>
      </w:r>
    </w:p>
    <w:p w:rsidR="0006058E" w:rsidRPr="00FC4404" w:rsidRDefault="0006058E" w:rsidP="0006058E">
      <w:pPr>
        <w:spacing w:line="360" w:lineRule="auto"/>
      </w:pPr>
    </w:p>
    <w:p w:rsidR="006D50E8" w:rsidRPr="00FC4404" w:rsidRDefault="006D50E8" w:rsidP="0006058E">
      <w:pPr>
        <w:spacing w:line="360" w:lineRule="auto"/>
      </w:pPr>
    </w:p>
    <w:p w:rsidR="00F83970" w:rsidRPr="00FC4404" w:rsidRDefault="00F83970">
      <w:bookmarkStart w:id="0" w:name="_GoBack"/>
      <w:bookmarkEnd w:id="0"/>
    </w:p>
    <w:sectPr w:rsidR="00F83970" w:rsidRPr="00FC4404" w:rsidSect="00FC4404">
      <w:pgSz w:w="11907" w:h="16840" w:code="9"/>
      <w:pgMar w:top="1134" w:right="1134" w:bottom="567" w:left="1701" w:header="709" w:footer="709"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487"/>
    <w:multiLevelType w:val="hybridMultilevel"/>
    <w:tmpl w:val="83FE2392"/>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360274"/>
    <w:multiLevelType w:val="hybridMultilevel"/>
    <w:tmpl w:val="92F8A01A"/>
    <w:lvl w:ilvl="0" w:tplc="B3400E0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15:restartNumberingAfterBreak="0">
    <w:nsid w:val="13F4352C"/>
    <w:multiLevelType w:val="hybridMultilevel"/>
    <w:tmpl w:val="0D78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20B08"/>
    <w:multiLevelType w:val="hybridMultilevel"/>
    <w:tmpl w:val="52DA0DEE"/>
    <w:lvl w:ilvl="0" w:tplc="3A6C9A2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31271"/>
    <w:multiLevelType w:val="hybridMultilevel"/>
    <w:tmpl w:val="A45AAD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0604B2B"/>
    <w:multiLevelType w:val="hybridMultilevel"/>
    <w:tmpl w:val="EBC8F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4553BC"/>
    <w:multiLevelType w:val="hybridMultilevel"/>
    <w:tmpl w:val="4E6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559C0"/>
    <w:multiLevelType w:val="multilevel"/>
    <w:tmpl w:val="AE6AA7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B4D4A"/>
    <w:multiLevelType w:val="hybridMultilevel"/>
    <w:tmpl w:val="5B926F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E4B44"/>
    <w:multiLevelType w:val="hybridMultilevel"/>
    <w:tmpl w:val="BBDE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4"/>
  </w:num>
  <w:num w:numId="7">
    <w:abstractNumId w:val="5"/>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1F"/>
    <w:rsid w:val="00015340"/>
    <w:rsid w:val="0006058E"/>
    <w:rsid w:val="0008628B"/>
    <w:rsid w:val="000963C1"/>
    <w:rsid w:val="000F2739"/>
    <w:rsid w:val="00106C5D"/>
    <w:rsid w:val="00122D8E"/>
    <w:rsid w:val="00135D2B"/>
    <w:rsid w:val="00166B73"/>
    <w:rsid w:val="0016724A"/>
    <w:rsid w:val="001C6B1F"/>
    <w:rsid w:val="00230DF6"/>
    <w:rsid w:val="00291BD6"/>
    <w:rsid w:val="00291BDA"/>
    <w:rsid w:val="00293517"/>
    <w:rsid w:val="00354B6E"/>
    <w:rsid w:val="00354DAD"/>
    <w:rsid w:val="004314CB"/>
    <w:rsid w:val="00440B2F"/>
    <w:rsid w:val="00445A26"/>
    <w:rsid w:val="00474103"/>
    <w:rsid w:val="00555132"/>
    <w:rsid w:val="005675D2"/>
    <w:rsid w:val="00594922"/>
    <w:rsid w:val="005F0FF9"/>
    <w:rsid w:val="00605C11"/>
    <w:rsid w:val="00615EAD"/>
    <w:rsid w:val="0062642F"/>
    <w:rsid w:val="0066359A"/>
    <w:rsid w:val="0067187D"/>
    <w:rsid w:val="00677FD5"/>
    <w:rsid w:val="00683C25"/>
    <w:rsid w:val="00690B13"/>
    <w:rsid w:val="006D50E8"/>
    <w:rsid w:val="00756635"/>
    <w:rsid w:val="00761595"/>
    <w:rsid w:val="0077400C"/>
    <w:rsid w:val="007758EC"/>
    <w:rsid w:val="00776B19"/>
    <w:rsid w:val="007B64D1"/>
    <w:rsid w:val="007D452E"/>
    <w:rsid w:val="00820086"/>
    <w:rsid w:val="0082341B"/>
    <w:rsid w:val="0082603C"/>
    <w:rsid w:val="008D4748"/>
    <w:rsid w:val="009176E0"/>
    <w:rsid w:val="00927A95"/>
    <w:rsid w:val="00930140"/>
    <w:rsid w:val="00954B4C"/>
    <w:rsid w:val="009D0A59"/>
    <w:rsid w:val="00A026AA"/>
    <w:rsid w:val="00A15C94"/>
    <w:rsid w:val="00A52F48"/>
    <w:rsid w:val="00A55EE2"/>
    <w:rsid w:val="00AA4A11"/>
    <w:rsid w:val="00AD395B"/>
    <w:rsid w:val="00AE30D0"/>
    <w:rsid w:val="00AE480D"/>
    <w:rsid w:val="00B93453"/>
    <w:rsid w:val="00BA65C2"/>
    <w:rsid w:val="00BC506F"/>
    <w:rsid w:val="00BF5CFE"/>
    <w:rsid w:val="00C07825"/>
    <w:rsid w:val="00C50307"/>
    <w:rsid w:val="00C775C1"/>
    <w:rsid w:val="00CA566C"/>
    <w:rsid w:val="00CC6F81"/>
    <w:rsid w:val="00D053CB"/>
    <w:rsid w:val="00D33B1F"/>
    <w:rsid w:val="00D57DE4"/>
    <w:rsid w:val="00D961AF"/>
    <w:rsid w:val="00DC6756"/>
    <w:rsid w:val="00DD5496"/>
    <w:rsid w:val="00DE1197"/>
    <w:rsid w:val="00DF75D9"/>
    <w:rsid w:val="00E840ED"/>
    <w:rsid w:val="00EC07C1"/>
    <w:rsid w:val="00ED1F83"/>
    <w:rsid w:val="00ED3C78"/>
    <w:rsid w:val="00EF2B76"/>
    <w:rsid w:val="00F000DF"/>
    <w:rsid w:val="00F132CD"/>
    <w:rsid w:val="00F31254"/>
    <w:rsid w:val="00F5382C"/>
    <w:rsid w:val="00F5791D"/>
    <w:rsid w:val="00F83970"/>
    <w:rsid w:val="00FA6488"/>
    <w:rsid w:val="00FC4404"/>
    <w:rsid w:val="00FE7A2A"/>
    <w:rsid w:val="00FF45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B1A49-90E0-4E03-B2B5-93C567BF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58E"/>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058E"/>
    <w:pPr>
      <w:jc w:val="center"/>
    </w:pPr>
    <w:rPr>
      <w:b/>
      <w:bCs/>
      <w:sz w:val="28"/>
      <w:lang w:eastAsia="en-US"/>
    </w:rPr>
  </w:style>
  <w:style w:type="character" w:customStyle="1" w:styleId="TitleChar">
    <w:name w:val="Title Char"/>
    <w:basedOn w:val="DefaultParagraphFont"/>
    <w:link w:val="Title"/>
    <w:rsid w:val="0006058E"/>
    <w:rPr>
      <w:rFonts w:ascii="Times New Roman" w:eastAsia="Times New Roman" w:hAnsi="Times New Roman" w:cs="Times New Roman"/>
      <w:b/>
      <w:bCs/>
      <w:sz w:val="28"/>
      <w:szCs w:val="24"/>
    </w:rPr>
  </w:style>
  <w:style w:type="character" w:customStyle="1" w:styleId="q4iawc">
    <w:name w:val="q4iawc"/>
    <w:basedOn w:val="DefaultParagraphFont"/>
    <w:rsid w:val="0006058E"/>
  </w:style>
  <w:style w:type="character" w:customStyle="1" w:styleId="historyitemselected1">
    <w:name w:val="historyitemselected1"/>
    <w:basedOn w:val="DefaultParagraphFont"/>
    <w:rsid w:val="0006058E"/>
    <w:rPr>
      <w:b/>
      <w:bCs/>
      <w:color w:val="0086C6"/>
    </w:rPr>
  </w:style>
  <w:style w:type="paragraph" w:styleId="ListParagraph">
    <w:name w:val="List Paragraph"/>
    <w:basedOn w:val="Normal"/>
    <w:uiPriority w:val="34"/>
    <w:qFormat/>
    <w:rsid w:val="00930140"/>
    <w:pPr>
      <w:ind w:left="720"/>
      <w:contextualSpacing/>
    </w:pPr>
  </w:style>
  <w:style w:type="character" w:styleId="Strong">
    <w:name w:val="Strong"/>
    <w:basedOn w:val="DefaultParagraphFont"/>
    <w:uiPriority w:val="22"/>
    <w:qFormat/>
    <w:rsid w:val="00615EAD"/>
    <w:rPr>
      <w:b/>
      <w:bCs/>
    </w:rPr>
  </w:style>
  <w:style w:type="character" w:styleId="Hyperlink">
    <w:name w:val="Hyperlink"/>
    <w:basedOn w:val="DefaultParagraphFont"/>
    <w:uiPriority w:val="99"/>
    <w:unhideWhenUsed/>
    <w:rsid w:val="00A55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396">
      <w:bodyDiv w:val="1"/>
      <w:marLeft w:val="0"/>
      <w:marRight w:val="0"/>
      <w:marTop w:val="0"/>
      <w:marBottom w:val="0"/>
      <w:divBdr>
        <w:top w:val="none" w:sz="0" w:space="0" w:color="auto"/>
        <w:left w:val="none" w:sz="0" w:space="0" w:color="auto"/>
        <w:bottom w:val="none" w:sz="0" w:space="0" w:color="auto"/>
        <w:right w:val="none" w:sz="0" w:space="0" w:color="auto"/>
      </w:divBdr>
    </w:div>
    <w:div w:id="289015952">
      <w:bodyDiv w:val="1"/>
      <w:marLeft w:val="0"/>
      <w:marRight w:val="0"/>
      <w:marTop w:val="0"/>
      <w:marBottom w:val="0"/>
      <w:divBdr>
        <w:top w:val="none" w:sz="0" w:space="0" w:color="auto"/>
        <w:left w:val="none" w:sz="0" w:space="0" w:color="auto"/>
        <w:bottom w:val="none" w:sz="0" w:space="0" w:color="auto"/>
        <w:right w:val="none" w:sz="0" w:space="0" w:color="auto"/>
      </w:divBdr>
    </w:div>
    <w:div w:id="832989509">
      <w:bodyDiv w:val="1"/>
      <w:marLeft w:val="390"/>
      <w:marRight w:val="390"/>
      <w:marTop w:val="0"/>
      <w:marBottom w:val="0"/>
      <w:divBdr>
        <w:top w:val="none" w:sz="0" w:space="0" w:color="auto"/>
        <w:left w:val="none" w:sz="0" w:space="0" w:color="auto"/>
        <w:bottom w:val="none" w:sz="0" w:space="0" w:color="auto"/>
        <w:right w:val="none" w:sz="0" w:space="0" w:color="auto"/>
      </w:divBdr>
      <w:divsChild>
        <w:div w:id="2041202911">
          <w:marLeft w:val="0"/>
          <w:marRight w:val="0"/>
          <w:marTop w:val="0"/>
          <w:marBottom w:val="120"/>
          <w:divBdr>
            <w:top w:val="none" w:sz="0" w:space="0" w:color="auto"/>
            <w:left w:val="none" w:sz="0" w:space="0" w:color="auto"/>
            <w:bottom w:val="none" w:sz="0" w:space="0" w:color="auto"/>
            <w:right w:val="none" w:sz="0" w:space="0" w:color="auto"/>
          </w:divBdr>
          <w:divsChild>
            <w:div w:id="17145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lex.europa.eu/legal-content/BG/AUTO/?uri=celex:32004R08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 Kralev</dc:creator>
  <cp:keywords/>
  <dc:description/>
  <cp:lastModifiedBy>Nataliya Slavova</cp:lastModifiedBy>
  <cp:revision>7</cp:revision>
  <dcterms:created xsi:type="dcterms:W3CDTF">2024-02-02T06:39:00Z</dcterms:created>
  <dcterms:modified xsi:type="dcterms:W3CDTF">2024-02-09T07:48:00Z</dcterms:modified>
</cp:coreProperties>
</file>