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36" w:rsidRPr="0057346B" w:rsidRDefault="001F7E36" w:rsidP="00FB7172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lang w:val="bg-BG"/>
        </w:rPr>
      </w:pPr>
      <w:r w:rsidRPr="0057346B">
        <w:rPr>
          <w:rFonts w:ascii="Times New Roman" w:hAnsi="Times New Roman" w:cs="Times New Roman"/>
          <w:b/>
          <w:szCs w:val="24"/>
          <w:lang w:val="bg-BG"/>
        </w:rPr>
        <w:t>Приложение № 3</w:t>
      </w:r>
    </w:p>
    <w:p w:rsidR="001F7E36" w:rsidRPr="0057346B" w:rsidRDefault="001F7E36" w:rsidP="00FB7172">
      <w:pPr>
        <w:spacing w:after="0" w:line="360" w:lineRule="auto"/>
        <w:jc w:val="both"/>
        <w:rPr>
          <w:rFonts w:ascii="Times New Roman" w:hAnsi="Times New Roman" w:cs="Times New Roman"/>
          <w:szCs w:val="24"/>
          <w:lang w:val="bg-BG"/>
        </w:rPr>
      </w:pPr>
      <w:r w:rsidRPr="0057346B">
        <w:rPr>
          <w:rFonts w:ascii="Times New Roman" w:hAnsi="Times New Roman" w:cs="Times New Roman"/>
          <w:szCs w:val="24"/>
          <w:lang w:val="bg-BG"/>
        </w:rPr>
        <w:t>към чл. 26 от Наредбата за обхвата и методологията за извършване на оценка на въздействието</w:t>
      </w:r>
    </w:p>
    <w:p w:rsidR="006B7140" w:rsidRPr="0057346B" w:rsidRDefault="006B7140" w:rsidP="00E261DE">
      <w:pPr>
        <w:spacing w:after="0" w:line="240" w:lineRule="auto"/>
        <w:ind w:right="3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9900" w:type="dxa"/>
        <w:tblInd w:w="-2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9"/>
        <w:gridCol w:w="8841"/>
      </w:tblGrid>
      <w:tr w:rsidR="00F6668F" w:rsidRPr="0057346B" w:rsidTr="006B7140">
        <w:tc>
          <w:tcPr>
            <w:tcW w:w="9900" w:type="dxa"/>
            <w:gridSpan w:val="2"/>
            <w:shd w:val="clear" w:color="auto" w:fill="D9D9D9"/>
            <w:tcMar>
              <w:top w:w="60" w:type="dxa"/>
              <w:bottom w:w="0" w:type="dxa"/>
            </w:tcMar>
            <w:vAlign w:val="center"/>
          </w:tcPr>
          <w:p w:rsidR="00076E63" w:rsidRPr="0057346B" w:rsidRDefault="00076E63" w:rsidP="00E261DE">
            <w:pPr>
              <w:spacing w:before="240" w:after="240" w:line="240" w:lineRule="auto"/>
              <w:ind w:right="3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КОНСУЛТАЦИОНЕН ДОКУМЕНТ</w:t>
            </w:r>
          </w:p>
        </w:tc>
      </w:tr>
      <w:tr w:rsidR="00F6668F" w:rsidRPr="0057346B" w:rsidTr="006B7140">
        <w:tc>
          <w:tcPr>
            <w:tcW w:w="9900" w:type="dxa"/>
            <w:gridSpan w:val="2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076E63" w:rsidRPr="0057346B" w:rsidRDefault="00076E63" w:rsidP="00E261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1. ОСНОВНА ИНФОРМАЦИЯ ЗА КОНСУЛТАЦИЯТА</w:t>
            </w:r>
          </w:p>
        </w:tc>
      </w:tr>
      <w:tr w:rsidR="00F6668F" w:rsidRPr="0057346B" w:rsidTr="006B7140">
        <w:tc>
          <w:tcPr>
            <w:tcW w:w="1059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076E63" w:rsidRPr="0057346B" w:rsidRDefault="00076E63" w:rsidP="005771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1.1.</w:t>
            </w:r>
          </w:p>
        </w:tc>
        <w:tc>
          <w:tcPr>
            <w:tcW w:w="8841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076E63" w:rsidRPr="0057346B" w:rsidRDefault="00076E63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Въведение:</w:t>
            </w:r>
          </w:p>
          <w:p w:rsidR="004F2451" w:rsidRPr="0057346B" w:rsidRDefault="005F1A7B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Приемане</w:t>
            </w:r>
            <w:r w:rsidR="00DC6771"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то</w:t>
            </w: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 на нов Закон за виното и спиртните напитки </w:t>
            </w:r>
            <w:r w:rsidR="00877151"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(ЗВСН) </w:t>
            </w: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се налага, за да бъдат изпълнени задължения на Република България по въвеждане и прилагане в националното ни законодателство на </w:t>
            </w:r>
            <w:r w:rsidR="005B269E"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актуализираните </w:t>
            </w: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правила за регулиране на секторите на виното и спиртните напитки съгласно новите </w:t>
            </w:r>
            <w:r w:rsidR="00DC6771"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и променени </w:t>
            </w: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европейски регламенти</w:t>
            </w:r>
            <w:r w:rsidR="00877151"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. </w:t>
            </w:r>
          </w:p>
          <w:p w:rsidR="005F1A7B" w:rsidRPr="0057346B" w:rsidRDefault="005F1A7B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Предвижданите в законопроекта промени целят още </w:t>
            </w:r>
            <w:r w:rsidR="00B9178B"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и </w:t>
            </w: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да разрешат възникнали проблеми по </w:t>
            </w:r>
            <w:r w:rsidR="007A0349"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националното </w:t>
            </w: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прилагане на сега действащия закон</w:t>
            </w:r>
            <w:r w:rsidR="004314C9"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, включително и по отношение на </w:t>
            </w:r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осъществявания контрол в двата сектора, намаляване на административната тежест и начинът на водене на някои регистри</w:t>
            </w:r>
            <w:r w:rsidR="007A0349"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.</w:t>
            </w: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 </w:t>
            </w:r>
          </w:p>
          <w:p w:rsidR="005F1A7B" w:rsidRPr="0057346B" w:rsidRDefault="005F1A7B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</w:p>
          <w:p w:rsidR="007A0349" w:rsidRPr="0057346B" w:rsidRDefault="007A0349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Настоящата консултация е етап от процеса по извършване на Цялостна предварителна оценка на въздействието за изработването на нов ЗВСН.</w:t>
            </w:r>
            <w:r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  <w:lang w:val="bg-BG" w:eastAsia="bg-BG"/>
              </w:rPr>
              <w:t xml:space="preserve"> </w:t>
            </w:r>
          </w:p>
          <w:p w:rsidR="00A30C26" w:rsidRPr="0057346B" w:rsidRDefault="00A30C26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EFEFE"/>
                <w:lang w:val="bg-BG" w:eastAsia="bg-BG"/>
              </w:rPr>
            </w:pPr>
          </w:p>
          <w:p w:rsidR="001F7E36" w:rsidRPr="0057346B" w:rsidRDefault="00F215AF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  <w:lang w:val="bg-BG" w:eastAsia="bg-BG"/>
              </w:rPr>
              <w:t xml:space="preserve">Министерството на </w:t>
            </w:r>
            <w:r w:rsidR="00A01CC7"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  <w:lang w:val="bg-BG" w:eastAsia="bg-BG"/>
              </w:rPr>
              <w:t>земеделието и храните</w:t>
            </w:r>
            <w:r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  <w:lang w:val="bg-BG" w:eastAsia="bg-BG"/>
              </w:rPr>
              <w:t xml:space="preserve"> организира </w:t>
            </w:r>
            <w:r w:rsidR="00A81FCB"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  <w:lang w:val="bg-BG" w:eastAsia="bg-BG"/>
              </w:rPr>
              <w:t xml:space="preserve">настоящата консултация </w:t>
            </w:r>
            <w:r w:rsidR="00F131C1"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  <w:lang w:val="bg-BG" w:eastAsia="bg-BG"/>
              </w:rPr>
              <w:t xml:space="preserve">в частта за производството и търговията с </w:t>
            </w:r>
            <w:proofErr w:type="spellStart"/>
            <w:r w:rsidR="00A01CC7"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  <w:lang w:val="bg-BG" w:eastAsia="bg-BG"/>
              </w:rPr>
              <w:t>лозаро</w:t>
            </w:r>
            <w:proofErr w:type="spellEnd"/>
            <w:r w:rsidR="00A01CC7"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  <w:lang w:val="bg-BG" w:eastAsia="bg-BG"/>
              </w:rPr>
              <w:t>-винарски продукти</w:t>
            </w:r>
            <w:r w:rsidR="00F131C1"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  <w:lang w:val="bg-BG" w:eastAsia="bg-BG"/>
              </w:rPr>
              <w:t xml:space="preserve">, държавната политика по отношение на които се осъществява от министъра </w:t>
            </w:r>
            <w:r w:rsidR="00A01CC7"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  <w:lang w:val="bg-BG" w:eastAsia="bg-BG"/>
              </w:rPr>
              <w:t>на земеделието и храните</w:t>
            </w:r>
            <w:r w:rsidR="00F131C1"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  <w:lang w:val="bg-BG" w:eastAsia="bg-BG"/>
              </w:rPr>
              <w:t>.</w:t>
            </w:r>
          </w:p>
          <w:p w:rsidR="00D05F85" w:rsidRPr="0057346B" w:rsidRDefault="00D05F85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  <w:lang w:val="bg-BG" w:eastAsia="bg-BG"/>
              </w:rPr>
            </w:pPr>
          </w:p>
          <w:p w:rsidR="00A01CC7" w:rsidRPr="0057346B" w:rsidRDefault="00A01CC7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Обществените отношения, попадащи в приложното поле на проектозакона, в  по-голямата си част са обект на уредба в законодателство на Европейския съюз (ЕС) и в значителна част от тематичните му области действат пряко приложими регламенти. Европейското, респективно българското, законодателство, регулиращо виното е в процес на постоянни промени, като успоредно с това се отчита досегашния опит от регулирането в </w:t>
            </w:r>
            <w:proofErr w:type="spellStart"/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лозаро</w:t>
            </w:r>
            <w:proofErr w:type="spellEnd"/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-винарския сектор</w:t>
            </w:r>
            <w:r w:rsidR="006B7140"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.</w:t>
            </w:r>
          </w:p>
          <w:p w:rsidR="00AB42EC" w:rsidRPr="0057346B" w:rsidRDefault="00A01CC7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Приложното поле на проекта на нов ЗВСН в частта за виното ще обхваща:</w:t>
            </w:r>
          </w:p>
          <w:p w:rsidR="00A01CC7" w:rsidRPr="0057346B" w:rsidRDefault="006B7140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Търговията с вино и винено грозде, вкл. контрола;</w:t>
            </w:r>
          </w:p>
          <w:p w:rsidR="00A01CC7" w:rsidRPr="0057346B" w:rsidRDefault="006B7140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Класификацията на винените сортове и издаване на разрешения;</w:t>
            </w:r>
          </w:p>
          <w:p w:rsidR="00A01CC7" w:rsidRPr="0057346B" w:rsidRDefault="006B7140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Начинът на администриране на Лозарския регистър;</w:t>
            </w:r>
          </w:p>
          <w:p w:rsidR="00A01CC7" w:rsidRPr="0057346B" w:rsidRDefault="006B7140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Категориите </w:t>
            </w:r>
            <w:proofErr w:type="spellStart"/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лозаро</w:t>
            </w:r>
            <w:proofErr w:type="spellEnd"/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-винарски продукти и производство;</w:t>
            </w:r>
          </w:p>
          <w:p w:rsidR="00A01CC7" w:rsidRPr="0057346B" w:rsidRDefault="006B7140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- </w:t>
            </w:r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Правилата за подаване на декларации за реколта и произведени количества вино;</w:t>
            </w:r>
          </w:p>
          <w:p w:rsidR="00A01CC7" w:rsidRPr="0057346B" w:rsidRDefault="006B7140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BF6C96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Начинът на водене и контролът по отношение на д</w:t>
            </w:r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невници за продуктите, суровините и </w:t>
            </w:r>
            <w:proofErr w:type="spellStart"/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енологичните</w:t>
            </w:r>
            <w:proofErr w:type="spellEnd"/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манипулации в предприятията за производство на вино;</w:t>
            </w:r>
          </w:p>
          <w:p w:rsidR="00A01CC7" w:rsidRPr="0057346B" w:rsidRDefault="006B7140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proofErr w:type="spellStart"/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Енологични</w:t>
            </w:r>
            <w:r w:rsidR="00BF6C96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proofErr w:type="spellEnd"/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практики;</w:t>
            </w:r>
          </w:p>
          <w:p w:rsidR="00A01CC7" w:rsidRPr="0057346B" w:rsidRDefault="006B7140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Преработка</w:t>
            </w:r>
            <w:r w:rsidR="00BF6C96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унищожаване</w:t>
            </w:r>
            <w:r w:rsidR="00BF6C96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proofErr w:type="spellStart"/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лозаро</w:t>
            </w:r>
            <w:proofErr w:type="spellEnd"/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-винарски продукти;</w:t>
            </w:r>
          </w:p>
          <w:p w:rsidR="00A01CC7" w:rsidRPr="0057346B" w:rsidRDefault="006B7140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Етикетиране</w:t>
            </w:r>
            <w:r w:rsidR="00BF6C96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то на </w:t>
            </w:r>
            <w:proofErr w:type="spellStart"/>
            <w:r w:rsidR="00BF6C96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лозаро</w:t>
            </w:r>
            <w:proofErr w:type="spellEnd"/>
            <w:r w:rsidR="00BF6C96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-винарския продукти</w:t>
            </w:r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A01CC7" w:rsidRPr="0057346B" w:rsidRDefault="006B7140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Превоз</w:t>
            </w:r>
            <w:r w:rsidR="00BF6C96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 </w:t>
            </w:r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proofErr w:type="spellStart"/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лозаро</w:t>
            </w:r>
            <w:proofErr w:type="spellEnd"/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-винарски продукти;</w:t>
            </w:r>
          </w:p>
          <w:p w:rsidR="00A01CC7" w:rsidRPr="0057346B" w:rsidRDefault="006B7140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A01CC7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Специално об</w:t>
            </w:r>
            <w:r w:rsidR="00BF6C96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езпечение (митнически контроли).</w:t>
            </w:r>
          </w:p>
        </w:tc>
      </w:tr>
      <w:tr w:rsidR="00F6668F" w:rsidRPr="0057346B" w:rsidTr="006B7140">
        <w:tc>
          <w:tcPr>
            <w:tcW w:w="1059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076E63" w:rsidRPr="0057346B" w:rsidRDefault="00076E63" w:rsidP="005771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lastRenderedPageBreak/>
              <w:t>1.2.</w:t>
            </w:r>
          </w:p>
        </w:tc>
        <w:tc>
          <w:tcPr>
            <w:tcW w:w="8841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076E63" w:rsidRPr="0057346B" w:rsidRDefault="00076E63" w:rsidP="00E261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Цели на консултацията:</w:t>
            </w:r>
          </w:p>
          <w:p w:rsidR="00BF6C96" w:rsidRPr="0057346B" w:rsidRDefault="00BF6C96" w:rsidP="00E16D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Основната цел на е да се проучат нагласите сред заинтересованите страни в </w:t>
            </w:r>
            <w:proofErr w:type="spellStart"/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лозаро</w:t>
            </w:r>
            <w:proofErr w:type="spellEnd"/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-винарския сектор относно необходимостта от усъвършенстване на водената политика в сектора, промени по отношение на заложените изисквания за водене на отчетната дейност в предприятията (дневници, входящ и изходящ регистър), представителността на браншовите организации в </w:t>
            </w:r>
            <w:proofErr w:type="spellStart"/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лозаро</w:t>
            </w:r>
            <w:proofErr w:type="spellEnd"/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-винарския сектор, въвеждането на някои нови изисквания към продажбата на грозде и вино.</w:t>
            </w:r>
          </w:p>
          <w:p w:rsidR="00BF6C96" w:rsidRPr="0057346B" w:rsidRDefault="00BF6C96" w:rsidP="00E16D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Заинтересовани страни за земеделските стопани, произвеждащи винено грозде (</w:t>
            </w:r>
            <w:proofErr w:type="spellStart"/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гроздопроизводители</w:t>
            </w:r>
            <w:proofErr w:type="spellEnd"/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) и производителите на вино и </w:t>
            </w:r>
            <w:proofErr w:type="spellStart"/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лозаро</w:t>
            </w:r>
            <w:proofErr w:type="spellEnd"/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-винарския продукти (винопроизводители), вкл. Националната </w:t>
            </w:r>
            <w:proofErr w:type="spellStart"/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лозаро</w:t>
            </w:r>
            <w:proofErr w:type="spellEnd"/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-винарска камара, Регионалните </w:t>
            </w:r>
            <w:proofErr w:type="spellStart"/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лозаро</w:t>
            </w:r>
            <w:proofErr w:type="spellEnd"/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-винарски камари и други сдружения и организации с дейност в сектора.</w:t>
            </w:r>
          </w:p>
          <w:p w:rsidR="00175B7A" w:rsidRPr="0057346B" w:rsidRDefault="00BF6C96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Заинтересованите държавни органи са Изпълнителната агенция по лозата и виното, Агенция „Митници“, Национална агенция по приходите, както и научните среди с действа в лозарството и винарството. </w:t>
            </w:r>
          </w:p>
        </w:tc>
      </w:tr>
      <w:tr w:rsidR="00F6668F" w:rsidRPr="0057346B" w:rsidTr="006B7140">
        <w:tc>
          <w:tcPr>
            <w:tcW w:w="1059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076E63" w:rsidRPr="0057346B" w:rsidRDefault="00076E63" w:rsidP="005771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1.3.</w:t>
            </w:r>
          </w:p>
        </w:tc>
        <w:tc>
          <w:tcPr>
            <w:tcW w:w="8841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076E63" w:rsidRPr="0057346B" w:rsidRDefault="00076E63" w:rsidP="00E261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Консултационен процес:</w:t>
            </w:r>
          </w:p>
          <w:p w:rsidR="00E16DDD" w:rsidRPr="0057346B" w:rsidRDefault="00E16DDD" w:rsidP="00E16D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Настоящите консултации са част от работата по изготвяне на цялостна предварителна оценка на въздействието и ще приключат най-късно на етапа на оценка и сравнение на вариантите по количествено и качествено измерение на всички значителни икономически и/или социални, и/или екологични въздействия. </w:t>
            </w:r>
          </w:p>
          <w:p w:rsidR="00E16DDD" w:rsidRPr="0057346B" w:rsidRDefault="00E16DDD" w:rsidP="00E16D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Консултациите не заместват обществените консултации по реда на чл. 26 от Закона за нормативни актове, съгласно който в процеса по изработване на проект на нормативен акт се провеждат обществени консултации с гражданите и юридическите лица.</w:t>
            </w:r>
          </w:p>
          <w:p w:rsidR="00A81FCB" w:rsidRPr="0057346B" w:rsidRDefault="00A81FCB" w:rsidP="00E16D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Срокът за провеждане на консултацията е </w:t>
            </w:r>
            <w:r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14 (четиринадесет)</w:t>
            </w: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дни</w:t>
            </w:r>
            <w:r w:rsidR="003F4B48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след публикуването на настоящия консултационен документ</w:t>
            </w:r>
            <w:r w:rsidR="00AB42EC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Портала за обществени консултации</w:t>
            </w:r>
            <w:r w:rsidR="00AB42EC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на интернет страницата на Министерството на </w:t>
            </w:r>
            <w:r w:rsidR="007F5E11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земеделието и </w:t>
            </w:r>
            <w:r w:rsidR="007F5E11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храните</w:t>
            </w: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Всички заинтересовани страни могат да дадат </w:t>
            </w:r>
            <w:r w:rsidR="006B7140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предложения по следните начини:</w:t>
            </w:r>
          </w:p>
          <w:p w:rsidR="00A81FCB" w:rsidRPr="0057346B" w:rsidRDefault="00A81FCB" w:rsidP="00E16D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на Портала за обществени консултации (изисква се регистрация чрез имейл); </w:t>
            </w:r>
          </w:p>
          <w:p w:rsidR="00A81FCB" w:rsidRPr="0057346B" w:rsidRDefault="00A81FCB" w:rsidP="00E16D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по електронна поща на </w:t>
            </w:r>
            <w:r w:rsidR="00AB42EC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имейла на експерт от специализирана дирекция, отгов</w:t>
            </w:r>
            <w:r w:rsidR="00E0669B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AB42EC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ряща за прилагането на разпоредбите </w:t>
            </w:r>
            <w:r w:rsidR="007F5E11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proofErr w:type="spellStart"/>
            <w:r w:rsidR="007F5E11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лозаро</w:t>
            </w:r>
            <w:proofErr w:type="spellEnd"/>
            <w:r w:rsidR="007F5E11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-винарския сектор</w:t>
            </w:r>
            <w:r w:rsidR="00E0669B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B42EC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ЗВСН</w:t>
            </w:r>
            <w:r w:rsidR="00F3401F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  <w:r w:rsidR="006B7140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hyperlink r:id="rId8" w:history="1">
              <w:r w:rsidR="007F5E11" w:rsidRPr="005734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KTuteva@mzh.government.bg</w:t>
              </w:r>
            </w:hyperlink>
            <w:r w:rsidR="007F5E11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7F5E11" w:rsidRPr="0057346B" w:rsidRDefault="007F5E11" w:rsidP="00E16D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по официален ред през деловодството на Министерството на земеделието и храните.</w:t>
            </w:r>
          </w:p>
          <w:p w:rsidR="00E24BDC" w:rsidRPr="0057346B" w:rsidRDefault="00A81FCB" w:rsidP="00E16D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Изпратените предложения ще бъдат разгледани и обсъдени при изготвянето на </w:t>
            </w:r>
            <w:r w:rsidR="00E24BDC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законопроекта</w:t>
            </w: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Анализът и обобщението на становищата, изразени по време на консултаци</w:t>
            </w:r>
            <w:r w:rsidR="00E24BDC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ите</w:t>
            </w: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ще позволят да бъде извършена по-всеобхватна и пълна оценка на въздействието на </w:t>
            </w:r>
            <w:r w:rsidR="00E24BDC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проекта на закон.</w:t>
            </w: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24BDC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След приключването на предварителната консултация всички предложения, които не са постъпили чрез Портала за обществени консултации също ще бъдат публикувани на Портала за обществени консултации с обобщен</w:t>
            </w:r>
            <w:r w:rsidR="007F5E11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 справка </w:t>
            </w:r>
            <w:r w:rsidR="00E24BDC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резултатите от проведените консултации. </w:t>
            </w:r>
          </w:p>
          <w:p w:rsidR="00175B7A" w:rsidRPr="0057346B" w:rsidRDefault="00E24BDC" w:rsidP="00E16D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предложенията следва да бъде посочено коя заинтересована страна представлявате. Тази информация е необходима, за да може след получаване на предложенията да се анализира правилно въздействието върху съответната група заинтересовани страни.</w:t>
            </w:r>
          </w:p>
        </w:tc>
      </w:tr>
      <w:tr w:rsidR="00F6668F" w:rsidRPr="0057346B" w:rsidTr="006B7140">
        <w:tc>
          <w:tcPr>
            <w:tcW w:w="1059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076E63" w:rsidRPr="0057346B" w:rsidRDefault="00076E63" w:rsidP="005771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lastRenderedPageBreak/>
              <w:t>1.4.</w:t>
            </w:r>
          </w:p>
        </w:tc>
        <w:tc>
          <w:tcPr>
            <w:tcW w:w="8841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076E63" w:rsidRPr="0057346B" w:rsidRDefault="00076E63" w:rsidP="00E261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proofErr w:type="spellStart"/>
            <w:r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Относими</w:t>
            </w:r>
            <w:proofErr w:type="spellEnd"/>
            <w:r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 xml:space="preserve"> документи и нормативни актове:</w:t>
            </w:r>
          </w:p>
          <w:p w:rsidR="00C43352" w:rsidRPr="0057346B" w:rsidRDefault="00C43352" w:rsidP="00E16DDD">
            <w:pPr>
              <w:spacing w:line="360" w:lineRule="auto"/>
              <w:ind w:right="309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Закон за </w:t>
            </w:r>
            <w:r w:rsidR="00D92556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виното и спиртните напитки </w:t>
            </w:r>
          </w:p>
          <w:p w:rsidR="007F5E11" w:rsidRPr="0057346B" w:rsidRDefault="007F5E11" w:rsidP="00E16D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 № 1037/2001 и (ЕО) № 1234/2007</w:t>
            </w:r>
            <w:r w:rsidR="00E16DDD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r w:rsidR="00B62766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OB L 347, 20.12.2013 г.)</w:t>
            </w:r>
          </w:p>
          <w:p w:rsidR="00D92556" w:rsidRPr="0057346B" w:rsidRDefault="00D92556" w:rsidP="00E16D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F5E11" w:rsidRPr="0057346B" w:rsidRDefault="007F5E11" w:rsidP="00E16D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Делегиран регламент (ЕС) 2018/273 на Комисията от 11 декември 2017 година за допълнение на Регламент (ЕС) № 1308/2013 на Европейския парламент и на Съвета по отношение на схемата за разрешаване на лозови насаждения, лозарския регистър, придружаващите документи и сертифицирането, входящия и изходящ регистър, задължителните декларации, уведомленията и публикуването на подадената в тях информация, както и за допълнение на Регламент (ЕС) № 1306/2013 на Европейския парламент и на Съвета по отношение на съответните проверки и санкции, за изменение на регламенти (ЕО) № 555/2008, (ЕО) № </w:t>
            </w: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606/2009 и (ЕО) № 607/2009 на Комисията и за отмяна на Регламент (ЕО) № 436/2009 на Комисията и на Делегиран регламент (ЕС) 2015/560 на Комисията</w:t>
            </w:r>
            <w:r w:rsidR="00E16DDD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F77C1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="00B62766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OB L 58, 28.2.2018</w:t>
            </w:r>
            <w:r w:rsidR="004F77C1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62766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  <w:r w:rsidR="004F77C1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:rsidR="007F5E11" w:rsidRPr="0057346B" w:rsidRDefault="007F5E11" w:rsidP="00E16D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F5E11" w:rsidRPr="0057346B" w:rsidRDefault="007F5E11" w:rsidP="005771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за изпълнение (ЕС) 2018/274 на Комисията от 11 декември 2017 година за определяне на правила за прилагането на Регламент (ЕС) № 1308/2013 на Европейския парламент и на Съвета по отношение на схемата за разрешаване на лозови насаждения, сертифицирането, входящия и изходящ регистър, задължителните декларации и уведомления и за прилагането на Регламент (ЕС) № 1306/2013 на Европейския парламент и на Съвета по отношение на съответните проверки и за отмяна на Регламент за изпълнение (ЕС) 2015/561 на Комисията</w:t>
            </w:r>
            <w:r w:rsidR="00E16DDD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F77C1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(OB L 58, 28.2.2018 г.)</w:t>
            </w:r>
          </w:p>
        </w:tc>
      </w:tr>
      <w:tr w:rsidR="00F6668F" w:rsidRPr="0057346B" w:rsidTr="006B7140">
        <w:tc>
          <w:tcPr>
            <w:tcW w:w="9900" w:type="dxa"/>
            <w:gridSpan w:val="2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076E63" w:rsidRPr="0057346B" w:rsidRDefault="00076E63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lastRenderedPageBreak/>
              <w:t>2. ОПИСАНИЕ НА ПРЕДЛОЖЕНИЕТО</w:t>
            </w:r>
          </w:p>
          <w:p w:rsidR="006B7140" w:rsidRPr="0057346B" w:rsidRDefault="00DF1093" w:rsidP="006B714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Целта на новият  Закон за </w:t>
            </w:r>
            <w:r w:rsidR="004F77C1" w:rsidRPr="005734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>виното и спиртните  напитки</w:t>
            </w:r>
            <w:r w:rsidRPr="005734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 да се изготви рационална и приложима правна рамка, с която да се създаде нова национална нормативна уредба, уреждаща </w:t>
            </w:r>
            <w:r w:rsidR="004F77C1" w:rsidRPr="005734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обществени отношения в </w:t>
            </w:r>
            <w:proofErr w:type="spellStart"/>
            <w:r w:rsidR="004F77C1" w:rsidRPr="005734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>лозаро</w:t>
            </w:r>
            <w:proofErr w:type="spellEnd"/>
            <w:r w:rsidR="004F77C1" w:rsidRPr="005734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 xml:space="preserve">-винарския сектор и сектора на спиртните напитки, съобразно приложимото европейско законодателство. Новият ЗВСН ще осигури прилагането на националната политика в двата сектора, осъществяването на необходимия контрол и гарантиране на правата и задълженията на операторите в производството на грозде, </w:t>
            </w:r>
            <w:proofErr w:type="spellStart"/>
            <w:r w:rsidR="004F77C1" w:rsidRPr="005734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>лозаро</w:t>
            </w:r>
            <w:proofErr w:type="spellEnd"/>
            <w:r w:rsidR="004F77C1" w:rsidRPr="005734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>-винар</w:t>
            </w:r>
            <w:r w:rsidR="006B7140" w:rsidRPr="0057346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>ски продукти и спиртни напитки.</w:t>
            </w:r>
          </w:p>
        </w:tc>
      </w:tr>
      <w:tr w:rsidR="00F6668F" w:rsidRPr="0057346B" w:rsidTr="006B7140">
        <w:tc>
          <w:tcPr>
            <w:tcW w:w="9900" w:type="dxa"/>
            <w:gridSpan w:val="2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076E63" w:rsidRPr="0057346B" w:rsidRDefault="00076E63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Pr="00573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ВЪПРОСИ</w:t>
            </w:r>
            <w:r w:rsidRPr="00573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ЗА ОБСЪЖДАНЕ</w:t>
            </w:r>
          </w:p>
          <w:p w:rsidR="00DF1093" w:rsidRPr="0057346B" w:rsidRDefault="00DF1093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Моля, структурирайте отговори на въпросите по следния начин:   </w:t>
            </w:r>
          </w:p>
          <w:p w:rsidR="00DF1093" w:rsidRPr="0057346B" w:rsidRDefault="00DF1093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Посочете коя заинтересована страна представлявате.</w:t>
            </w:r>
          </w:p>
          <w:p w:rsidR="00DF1093" w:rsidRPr="0057346B" w:rsidRDefault="00DF1093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2. Отбележете дали подкрепяте или не дадения въпрос/предложение.  </w:t>
            </w:r>
          </w:p>
          <w:p w:rsidR="00DF1093" w:rsidRPr="0057346B" w:rsidRDefault="00DF1093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3. В случай на </w:t>
            </w:r>
            <w:proofErr w:type="spellStart"/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неподкрепяне</w:t>
            </w:r>
            <w:proofErr w:type="spellEnd"/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обяснете защо не подкрепяте предложението.   </w:t>
            </w:r>
          </w:p>
          <w:p w:rsidR="00E261DE" w:rsidRPr="0057346B" w:rsidRDefault="00DF1093" w:rsidP="006B714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4. Предложение/я за намаляване на административната тежест, за промени в контрола или друго по отношение на политиката в </w:t>
            </w:r>
            <w:proofErr w:type="spellStart"/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лозаро</w:t>
            </w:r>
            <w:proofErr w:type="spellEnd"/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-винарския сектор.</w:t>
            </w:r>
          </w:p>
        </w:tc>
      </w:tr>
      <w:tr w:rsidR="00F6668F" w:rsidRPr="0057346B" w:rsidTr="006B7140">
        <w:tc>
          <w:tcPr>
            <w:tcW w:w="9900" w:type="dxa"/>
            <w:gridSpan w:val="2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076E63" w:rsidRPr="0057346B" w:rsidRDefault="00076E63" w:rsidP="006B71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 xml:space="preserve">4. ДОКУМЕНТИ, СЪПЪТСТВАЩИ </w:t>
            </w:r>
            <w:r w:rsidR="001849A2" w:rsidRPr="00573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 xml:space="preserve">НАСТОЯЩАТА </w:t>
            </w:r>
            <w:r w:rsidRPr="00573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КОНСУЛТАЦИ</w:t>
            </w:r>
            <w:r w:rsidR="001849A2" w:rsidRPr="00573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Я</w:t>
            </w:r>
          </w:p>
          <w:p w:rsidR="00076E63" w:rsidRPr="0057346B" w:rsidRDefault="00DF1093" w:rsidP="006B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Въпросник относно оценка на въздействието на проект на нов Закон за</w:t>
            </w:r>
            <w:r w:rsidR="004F77C1" w:rsidRPr="005734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виното и спиртните напитки.</w:t>
            </w:r>
            <w:r w:rsidRPr="0057346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DF1093" w:rsidRPr="0057346B" w:rsidRDefault="00DF1093" w:rsidP="00066F33">
      <w:pPr>
        <w:widowControl w:val="0"/>
        <w:autoSpaceDE w:val="0"/>
        <w:autoSpaceDN w:val="0"/>
        <w:adjustRightInd w:val="0"/>
        <w:spacing w:after="0" w:line="360" w:lineRule="auto"/>
        <w:ind w:right="3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63414" w:rsidRPr="0057346B" w:rsidRDefault="00E63414" w:rsidP="00066F33">
      <w:pPr>
        <w:spacing w:after="0" w:line="360" w:lineRule="auto"/>
        <w:rPr>
          <w:rFonts w:ascii="Times New Roman" w:hAnsi="Times New Roman"/>
          <w:smallCaps/>
          <w:sz w:val="24"/>
          <w:szCs w:val="24"/>
          <w:lang w:val="bg-BG"/>
        </w:rPr>
      </w:pPr>
      <w:bookmarkStart w:id="0" w:name="_GoBack"/>
      <w:bookmarkEnd w:id="0"/>
    </w:p>
    <w:sectPr w:rsidR="00E63414" w:rsidRPr="0057346B" w:rsidSect="00683763">
      <w:headerReference w:type="even" r:id="rId9"/>
      <w:footerReference w:type="default" r:id="rId10"/>
      <w:pgSz w:w="11906" w:h="16838" w:code="9"/>
      <w:pgMar w:top="1134" w:right="1134" w:bottom="340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3C" w:rsidRDefault="00FC3D3C">
      <w:pPr>
        <w:spacing w:after="0" w:line="240" w:lineRule="auto"/>
      </w:pPr>
      <w:r>
        <w:separator/>
      </w:r>
    </w:p>
  </w:endnote>
  <w:endnote w:type="continuationSeparator" w:id="0">
    <w:p w:rsidR="00FC3D3C" w:rsidRDefault="00FC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A2D" w:rsidRPr="006B7140" w:rsidRDefault="00897A2D">
    <w:pPr>
      <w:pStyle w:val="Footer"/>
      <w:jc w:val="right"/>
      <w:rPr>
        <w:rFonts w:ascii="Times New Roman" w:hAnsi="Times New Roman"/>
        <w:sz w:val="20"/>
      </w:rPr>
    </w:pPr>
    <w:r w:rsidRPr="006B7140">
      <w:rPr>
        <w:rFonts w:ascii="Times New Roman" w:hAnsi="Times New Roman"/>
        <w:sz w:val="20"/>
      </w:rPr>
      <w:fldChar w:fldCharType="begin"/>
    </w:r>
    <w:r w:rsidRPr="006B7140">
      <w:rPr>
        <w:rFonts w:ascii="Times New Roman" w:hAnsi="Times New Roman"/>
        <w:sz w:val="20"/>
      </w:rPr>
      <w:instrText xml:space="preserve"> PAGE   \* MERGEFORMAT </w:instrText>
    </w:r>
    <w:r w:rsidRPr="006B7140">
      <w:rPr>
        <w:rFonts w:ascii="Times New Roman" w:hAnsi="Times New Roman"/>
        <w:sz w:val="20"/>
      </w:rPr>
      <w:fldChar w:fldCharType="separate"/>
    </w:r>
    <w:r w:rsidR="008F6D1C">
      <w:rPr>
        <w:rFonts w:ascii="Times New Roman" w:hAnsi="Times New Roman"/>
        <w:noProof/>
        <w:sz w:val="20"/>
      </w:rPr>
      <w:t>3</w:t>
    </w:r>
    <w:r w:rsidRPr="006B7140">
      <w:rPr>
        <w:rFonts w:ascii="Times New Roman" w:hAnsi="Times New Roman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3C" w:rsidRDefault="00FC3D3C">
      <w:pPr>
        <w:spacing w:after="0" w:line="240" w:lineRule="auto"/>
      </w:pPr>
      <w:r>
        <w:separator/>
      </w:r>
    </w:p>
  </w:footnote>
  <w:footnote w:type="continuationSeparator" w:id="0">
    <w:p w:rsidR="00FC3D3C" w:rsidRDefault="00FC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A2D" w:rsidRDefault="00897A2D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897A2D" w:rsidRDefault="00897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4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5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6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54679"/>
    <w:multiLevelType w:val="multilevel"/>
    <w:tmpl w:val="AA58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416858"/>
    <w:multiLevelType w:val="multilevel"/>
    <w:tmpl w:val="5A0A8828"/>
    <w:lvl w:ilvl="0">
      <w:start w:val="1"/>
      <w:numFmt w:val="decimal"/>
      <w:suff w:val="space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hint="default"/>
      </w:rPr>
    </w:lvl>
  </w:abstractNum>
  <w:abstractNum w:abstractNumId="9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0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06BE5"/>
    <w:rsid w:val="00015CD1"/>
    <w:rsid w:val="00042D08"/>
    <w:rsid w:val="000473A9"/>
    <w:rsid w:val="000548E4"/>
    <w:rsid w:val="00064387"/>
    <w:rsid w:val="00064CC7"/>
    <w:rsid w:val="00066F33"/>
    <w:rsid w:val="00072B2C"/>
    <w:rsid w:val="0007485D"/>
    <w:rsid w:val="00076E63"/>
    <w:rsid w:val="00097777"/>
    <w:rsid w:val="000979D8"/>
    <w:rsid w:val="000A1BC7"/>
    <w:rsid w:val="000A2E06"/>
    <w:rsid w:val="000D4535"/>
    <w:rsid w:val="000F5DB5"/>
    <w:rsid w:val="00107188"/>
    <w:rsid w:val="00113254"/>
    <w:rsid w:val="001138D1"/>
    <w:rsid w:val="001222B7"/>
    <w:rsid w:val="00141320"/>
    <w:rsid w:val="00141E4B"/>
    <w:rsid w:val="00142467"/>
    <w:rsid w:val="00152D23"/>
    <w:rsid w:val="00153946"/>
    <w:rsid w:val="0017136D"/>
    <w:rsid w:val="00175B7A"/>
    <w:rsid w:val="001849A2"/>
    <w:rsid w:val="001D0E31"/>
    <w:rsid w:val="001D221E"/>
    <w:rsid w:val="001E44FB"/>
    <w:rsid w:val="001F4C40"/>
    <w:rsid w:val="001F7E36"/>
    <w:rsid w:val="00212828"/>
    <w:rsid w:val="00212F12"/>
    <w:rsid w:val="00241F85"/>
    <w:rsid w:val="002477BD"/>
    <w:rsid w:val="00256BB5"/>
    <w:rsid w:val="00266650"/>
    <w:rsid w:val="00281F4D"/>
    <w:rsid w:val="00291E82"/>
    <w:rsid w:val="002B17D3"/>
    <w:rsid w:val="002D7FB7"/>
    <w:rsid w:val="00306A9D"/>
    <w:rsid w:val="00322C24"/>
    <w:rsid w:val="0032400C"/>
    <w:rsid w:val="0034619C"/>
    <w:rsid w:val="00347FA3"/>
    <w:rsid w:val="0036190D"/>
    <w:rsid w:val="003669F8"/>
    <w:rsid w:val="00372717"/>
    <w:rsid w:val="00380F69"/>
    <w:rsid w:val="003817A1"/>
    <w:rsid w:val="00386434"/>
    <w:rsid w:val="00387290"/>
    <w:rsid w:val="003C124D"/>
    <w:rsid w:val="003C196D"/>
    <w:rsid w:val="003C5FAD"/>
    <w:rsid w:val="003D048D"/>
    <w:rsid w:val="003D061A"/>
    <w:rsid w:val="003F4B48"/>
    <w:rsid w:val="00400662"/>
    <w:rsid w:val="00403F46"/>
    <w:rsid w:val="004314C9"/>
    <w:rsid w:val="00451F16"/>
    <w:rsid w:val="00461C42"/>
    <w:rsid w:val="00476F40"/>
    <w:rsid w:val="00492527"/>
    <w:rsid w:val="004A1A52"/>
    <w:rsid w:val="004A2FA4"/>
    <w:rsid w:val="004A5578"/>
    <w:rsid w:val="004B4A7B"/>
    <w:rsid w:val="004C06BF"/>
    <w:rsid w:val="004C7242"/>
    <w:rsid w:val="004D53B5"/>
    <w:rsid w:val="004D560F"/>
    <w:rsid w:val="004E3C28"/>
    <w:rsid w:val="004E4FD6"/>
    <w:rsid w:val="004F0D15"/>
    <w:rsid w:val="004F1C8E"/>
    <w:rsid w:val="004F2451"/>
    <w:rsid w:val="004F662B"/>
    <w:rsid w:val="004F77C1"/>
    <w:rsid w:val="00503482"/>
    <w:rsid w:val="00512211"/>
    <w:rsid w:val="00517298"/>
    <w:rsid w:val="005227C3"/>
    <w:rsid w:val="005259CE"/>
    <w:rsid w:val="005305F7"/>
    <w:rsid w:val="00537033"/>
    <w:rsid w:val="00543C52"/>
    <w:rsid w:val="0055256E"/>
    <w:rsid w:val="00564192"/>
    <w:rsid w:val="0057180C"/>
    <w:rsid w:val="00571B40"/>
    <w:rsid w:val="0057346B"/>
    <w:rsid w:val="00577153"/>
    <w:rsid w:val="00584231"/>
    <w:rsid w:val="005A67EC"/>
    <w:rsid w:val="005A7F1C"/>
    <w:rsid w:val="005B269E"/>
    <w:rsid w:val="005C0198"/>
    <w:rsid w:val="005C68B4"/>
    <w:rsid w:val="005F1A7B"/>
    <w:rsid w:val="0060089B"/>
    <w:rsid w:val="00603A4F"/>
    <w:rsid w:val="0061373F"/>
    <w:rsid w:val="00661567"/>
    <w:rsid w:val="00670A71"/>
    <w:rsid w:val="00683763"/>
    <w:rsid w:val="00686372"/>
    <w:rsid w:val="00692264"/>
    <w:rsid w:val="006A7B63"/>
    <w:rsid w:val="006B1751"/>
    <w:rsid w:val="006B7140"/>
    <w:rsid w:val="006C1DDD"/>
    <w:rsid w:val="006C3AB6"/>
    <w:rsid w:val="006C5776"/>
    <w:rsid w:val="006D1CA6"/>
    <w:rsid w:val="006D7984"/>
    <w:rsid w:val="006F19E6"/>
    <w:rsid w:val="007108A0"/>
    <w:rsid w:val="00710D85"/>
    <w:rsid w:val="007121AA"/>
    <w:rsid w:val="007123F1"/>
    <w:rsid w:val="0072306D"/>
    <w:rsid w:val="00726A4B"/>
    <w:rsid w:val="00754AC5"/>
    <w:rsid w:val="007641F0"/>
    <w:rsid w:val="0078311F"/>
    <w:rsid w:val="0078325C"/>
    <w:rsid w:val="007A0349"/>
    <w:rsid w:val="007A5CBF"/>
    <w:rsid w:val="007B1418"/>
    <w:rsid w:val="007C6F02"/>
    <w:rsid w:val="007D0804"/>
    <w:rsid w:val="007D6797"/>
    <w:rsid w:val="007D7433"/>
    <w:rsid w:val="007F16E1"/>
    <w:rsid w:val="007F5E11"/>
    <w:rsid w:val="007F6789"/>
    <w:rsid w:val="00812AEF"/>
    <w:rsid w:val="00815B81"/>
    <w:rsid w:val="00833A2B"/>
    <w:rsid w:val="00834ABF"/>
    <w:rsid w:val="0085148C"/>
    <w:rsid w:val="00851B92"/>
    <w:rsid w:val="008754A3"/>
    <w:rsid w:val="00877151"/>
    <w:rsid w:val="00897A2D"/>
    <w:rsid w:val="008D2EA5"/>
    <w:rsid w:val="008F6D1C"/>
    <w:rsid w:val="00900B6F"/>
    <w:rsid w:val="00901537"/>
    <w:rsid w:val="009309C8"/>
    <w:rsid w:val="009546F1"/>
    <w:rsid w:val="00955621"/>
    <w:rsid w:val="00956E3E"/>
    <w:rsid w:val="0099252D"/>
    <w:rsid w:val="009A09A0"/>
    <w:rsid w:val="009A479C"/>
    <w:rsid w:val="009A4F9F"/>
    <w:rsid w:val="009A67DA"/>
    <w:rsid w:val="009B13A5"/>
    <w:rsid w:val="009B1FA9"/>
    <w:rsid w:val="009C0F0A"/>
    <w:rsid w:val="009C111F"/>
    <w:rsid w:val="009C4B9D"/>
    <w:rsid w:val="009D4DA5"/>
    <w:rsid w:val="009D51BC"/>
    <w:rsid w:val="009F1703"/>
    <w:rsid w:val="00A01CC7"/>
    <w:rsid w:val="00A102A7"/>
    <w:rsid w:val="00A10F8A"/>
    <w:rsid w:val="00A26C14"/>
    <w:rsid w:val="00A30C26"/>
    <w:rsid w:val="00A31F74"/>
    <w:rsid w:val="00A32FCE"/>
    <w:rsid w:val="00A43258"/>
    <w:rsid w:val="00A47341"/>
    <w:rsid w:val="00A81FCB"/>
    <w:rsid w:val="00A87622"/>
    <w:rsid w:val="00A9047D"/>
    <w:rsid w:val="00AB0336"/>
    <w:rsid w:val="00AB42EC"/>
    <w:rsid w:val="00AC41BB"/>
    <w:rsid w:val="00AE0583"/>
    <w:rsid w:val="00B132C1"/>
    <w:rsid w:val="00B27B14"/>
    <w:rsid w:val="00B62766"/>
    <w:rsid w:val="00B700AB"/>
    <w:rsid w:val="00B722F7"/>
    <w:rsid w:val="00B860C8"/>
    <w:rsid w:val="00B9178B"/>
    <w:rsid w:val="00B94D32"/>
    <w:rsid w:val="00BA0A75"/>
    <w:rsid w:val="00BA393A"/>
    <w:rsid w:val="00BD58CA"/>
    <w:rsid w:val="00BD6170"/>
    <w:rsid w:val="00BE0E86"/>
    <w:rsid w:val="00BF0AF0"/>
    <w:rsid w:val="00BF6C96"/>
    <w:rsid w:val="00C02F30"/>
    <w:rsid w:val="00C3635E"/>
    <w:rsid w:val="00C368D3"/>
    <w:rsid w:val="00C40BCF"/>
    <w:rsid w:val="00C43352"/>
    <w:rsid w:val="00C476E7"/>
    <w:rsid w:val="00C51FFD"/>
    <w:rsid w:val="00C93DF1"/>
    <w:rsid w:val="00CA367D"/>
    <w:rsid w:val="00CB71F5"/>
    <w:rsid w:val="00CC54C7"/>
    <w:rsid w:val="00CD1511"/>
    <w:rsid w:val="00CF179E"/>
    <w:rsid w:val="00CF1A9B"/>
    <w:rsid w:val="00CF6F72"/>
    <w:rsid w:val="00D05F85"/>
    <w:rsid w:val="00D15156"/>
    <w:rsid w:val="00D40763"/>
    <w:rsid w:val="00D5298E"/>
    <w:rsid w:val="00D52B91"/>
    <w:rsid w:val="00D551E0"/>
    <w:rsid w:val="00D631BD"/>
    <w:rsid w:val="00D82065"/>
    <w:rsid w:val="00D82CFD"/>
    <w:rsid w:val="00D907DE"/>
    <w:rsid w:val="00D91A6C"/>
    <w:rsid w:val="00D92556"/>
    <w:rsid w:val="00D96246"/>
    <w:rsid w:val="00DB0C06"/>
    <w:rsid w:val="00DB0F5D"/>
    <w:rsid w:val="00DB5149"/>
    <w:rsid w:val="00DB5F9E"/>
    <w:rsid w:val="00DB771E"/>
    <w:rsid w:val="00DC1D0D"/>
    <w:rsid w:val="00DC6771"/>
    <w:rsid w:val="00DD0C45"/>
    <w:rsid w:val="00DD48D9"/>
    <w:rsid w:val="00DF107C"/>
    <w:rsid w:val="00DF1093"/>
    <w:rsid w:val="00DF1E6E"/>
    <w:rsid w:val="00DF3EEC"/>
    <w:rsid w:val="00E007AC"/>
    <w:rsid w:val="00E02C80"/>
    <w:rsid w:val="00E0669B"/>
    <w:rsid w:val="00E078BA"/>
    <w:rsid w:val="00E16DDD"/>
    <w:rsid w:val="00E24BDC"/>
    <w:rsid w:val="00E261DE"/>
    <w:rsid w:val="00E44DE0"/>
    <w:rsid w:val="00E46EC0"/>
    <w:rsid w:val="00E63414"/>
    <w:rsid w:val="00E653D3"/>
    <w:rsid w:val="00E65509"/>
    <w:rsid w:val="00E65EA1"/>
    <w:rsid w:val="00E75C65"/>
    <w:rsid w:val="00E92943"/>
    <w:rsid w:val="00EB37FF"/>
    <w:rsid w:val="00EB5464"/>
    <w:rsid w:val="00EB7DBD"/>
    <w:rsid w:val="00ED1DFA"/>
    <w:rsid w:val="00EE7110"/>
    <w:rsid w:val="00EF1399"/>
    <w:rsid w:val="00F0016D"/>
    <w:rsid w:val="00F04B4E"/>
    <w:rsid w:val="00F0651E"/>
    <w:rsid w:val="00F131C1"/>
    <w:rsid w:val="00F16E3F"/>
    <w:rsid w:val="00F212DB"/>
    <w:rsid w:val="00F215AF"/>
    <w:rsid w:val="00F24AEB"/>
    <w:rsid w:val="00F315E6"/>
    <w:rsid w:val="00F3401F"/>
    <w:rsid w:val="00F51681"/>
    <w:rsid w:val="00F6668F"/>
    <w:rsid w:val="00F75F6E"/>
    <w:rsid w:val="00F8508C"/>
    <w:rsid w:val="00F85250"/>
    <w:rsid w:val="00F87F7B"/>
    <w:rsid w:val="00F97AFA"/>
    <w:rsid w:val="00FB1FA5"/>
    <w:rsid w:val="00FB22C0"/>
    <w:rsid w:val="00FB7172"/>
    <w:rsid w:val="00FC2F72"/>
    <w:rsid w:val="00FC3D3C"/>
    <w:rsid w:val="00FC4097"/>
    <w:rsid w:val="00FD09CF"/>
    <w:rsid w:val="00FD7349"/>
    <w:rsid w:val="00FE60A0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B210E-95B0-4783-B033-37A480F4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1,List Paragraph11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DF1E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4A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doc-ti">
    <w:name w:val="doc-ti"/>
    <w:basedOn w:val="Normal"/>
    <w:rsid w:val="00D1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D15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uteva@mzh.government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2302-2302-4331-80DB-A687BF83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Petya Ivanova</cp:lastModifiedBy>
  <cp:revision>13</cp:revision>
  <cp:lastPrinted>2022-08-30T10:35:00Z</cp:lastPrinted>
  <dcterms:created xsi:type="dcterms:W3CDTF">2024-01-31T09:56:00Z</dcterms:created>
  <dcterms:modified xsi:type="dcterms:W3CDTF">2024-02-01T12:59:00Z</dcterms:modified>
</cp:coreProperties>
</file>