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CA41E" w14:textId="72F5431D" w:rsidR="006D59BD" w:rsidRDefault="006D59BD" w:rsidP="006D59BD">
      <w:pPr>
        <w:rPr>
          <w:b/>
        </w:rPr>
      </w:pPr>
    </w:p>
    <w:p w14:paraId="461CB5F5" w14:textId="1509DCDC" w:rsidR="00BE1A86" w:rsidRDefault="00BE1A86" w:rsidP="006D59BD">
      <w:pPr>
        <w:rPr>
          <w:b/>
        </w:rPr>
      </w:pPr>
    </w:p>
    <w:p w14:paraId="366AA6E9" w14:textId="77777777" w:rsidR="00BE1A86" w:rsidRDefault="00BE1A86" w:rsidP="006D59BD">
      <w:pPr>
        <w:rPr>
          <w:b/>
        </w:rPr>
      </w:pPr>
      <w:bookmarkStart w:id="0" w:name="_GoBack"/>
      <w:bookmarkEnd w:id="0"/>
    </w:p>
    <w:p w14:paraId="48FFEB45" w14:textId="70B6DDC8" w:rsidR="006D59BD" w:rsidRDefault="006D59BD" w:rsidP="00387AE4">
      <w:pPr>
        <w:rPr>
          <w:b/>
        </w:rPr>
      </w:pPr>
    </w:p>
    <w:p w14:paraId="18D99728" w14:textId="2D8456BA" w:rsidR="003B0BF1" w:rsidRPr="00724021" w:rsidRDefault="003B0BF1" w:rsidP="000F68B3">
      <w:pPr>
        <w:jc w:val="center"/>
        <w:rPr>
          <w:b/>
        </w:rPr>
      </w:pPr>
      <w:r w:rsidRPr="00724021">
        <w:rPr>
          <w:b/>
        </w:rPr>
        <w:t>СХЕМА ЗА ДЪРЖАВНА ПОМОЩ</w:t>
      </w:r>
    </w:p>
    <w:p w14:paraId="6E8887E9" w14:textId="77777777" w:rsidR="00523670" w:rsidRPr="00724021" w:rsidRDefault="00523670" w:rsidP="00523670">
      <w:pPr>
        <w:pStyle w:val="Default"/>
        <w:rPr>
          <w:color w:val="auto"/>
        </w:rPr>
      </w:pPr>
    </w:p>
    <w:p w14:paraId="06D2E032" w14:textId="051CDE0B" w:rsidR="003B0BF1" w:rsidRPr="00724021" w:rsidRDefault="000B54EA" w:rsidP="00183C96">
      <w:pPr>
        <w:jc w:val="center"/>
        <w:rPr>
          <w:b/>
          <w:bCs/>
        </w:rPr>
      </w:pPr>
      <w:r w:rsidRPr="00724021">
        <w:rPr>
          <w:b/>
        </w:rPr>
        <w:t xml:space="preserve"> </w:t>
      </w:r>
      <w:r w:rsidR="003B0BF1" w:rsidRPr="00724021">
        <w:rPr>
          <w:b/>
        </w:rPr>
        <w:t>„</w:t>
      </w:r>
      <w:r w:rsidR="00EA0EB1" w:rsidRPr="00724021">
        <w:rPr>
          <w:b/>
        </w:rPr>
        <w:t>ПОМОЩ ЗА ИНВЕ</w:t>
      </w:r>
      <w:r w:rsidR="00DA6770">
        <w:rPr>
          <w:b/>
        </w:rPr>
        <w:t xml:space="preserve">СТИЦИИ В ЗЕМЕДЕЛСКИ СТОПАНСТВА </w:t>
      </w:r>
      <w:r w:rsidR="00EA0EB1" w:rsidRPr="00724021">
        <w:rPr>
          <w:b/>
        </w:rPr>
        <w:t>ЧРЕЗ ПРЕОТСТЪПВАНЕ НА КОРПОРАТИВЕН ДАНЪК</w:t>
      </w:r>
      <w:r w:rsidR="003B0BF1" w:rsidRPr="00724021">
        <w:rPr>
          <w:rFonts w:cs="Times"/>
          <w:b/>
          <w:bCs/>
        </w:rPr>
        <w:t>”</w:t>
      </w:r>
    </w:p>
    <w:p w14:paraId="1D67FE98" w14:textId="36911869" w:rsidR="00F401FA" w:rsidRPr="00724021" w:rsidRDefault="00F401FA" w:rsidP="003B0BF1">
      <w:pPr>
        <w:tabs>
          <w:tab w:val="center" w:pos="142"/>
        </w:tabs>
        <w:ind w:right="-28"/>
        <w:jc w:val="both"/>
        <w:rPr>
          <w:b/>
        </w:rPr>
      </w:pPr>
    </w:p>
    <w:p w14:paraId="399EDA05" w14:textId="77777777" w:rsidR="003B0BF1" w:rsidRPr="00534B09" w:rsidRDefault="00F81A1F" w:rsidP="003B0BF1">
      <w:pPr>
        <w:tabs>
          <w:tab w:val="center" w:pos="142"/>
        </w:tabs>
        <w:ind w:right="-28"/>
        <w:jc w:val="both"/>
        <w:rPr>
          <w:b/>
        </w:rPr>
      </w:pPr>
      <w:r w:rsidRPr="00724021">
        <w:rPr>
          <w:b/>
        </w:rPr>
        <w:tab/>
      </w:r>
      <w:r w:rsidRPr="00724021">
        <w:rPr>
          <w:b/>
        </w:rPr>
        <w:tab/>
      </w:r>
      <w:r w:rsidR="003B0BF1" w:rsidRPr="00724021">
        <w:rPr>
          <w:b/>
        </w:rPr>
        <w:t>1. Правно основание</w:t>
      </w:r>
    </w:p>
    <w:p w14:paraId="1E1ED2A0" w14:textId="77777777" w:rsidR="00B91227" w:rsidRPr="00724021" w:rsidRDefault="004D5588" w:rsidP="00056E83">
      <w:pPr>
        <w:ind w:firstLine="708"/>
        <w:jc w:val="both"/>
      </w:pPr>
      <w:r w:rsidRPr="00724021">
        <w:t>1.1.</w:t>
      </w:r>
      <w:r w:rsidR="00994A35" w:rsidRPr="00724021">
        <w:t xml:space="preserve"> Чл. 14 от </w:t>
      </w:r>
      <w:r w:rsidR="000C3FC2" w:rsidRPr="000C3FC2">
        <w:t>Регламент (ЕС) 2022/2472 на Комисията от 14 декември 2022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(ОВ, L 327/1 от 21 декември 2022 г.)</w:t>
      </w:r>
      <w:r w:rsidR="000C3FC2" w:rsidRPr="000C3FC2" w:rsidDel="000C3FC2">
        <w:t xml:space="preserve"> </w:t>
      </w:r>
      <w:r w:rsidR="002174E0" w:rsidRPr="00724021">
        <w:t>(Регламент (ЕС) 2022/2472)</w:t>
      </w:r>
      <w:r w:rsidR="00B91227" w:rsidRPr="00724021">
        <w:t>;</w:t>
      </w:r>
    </w:p>
    <w:p w14:paraId="1F8311AE" w14:textId="77777777" w:rsidR="00D34947" w:rsidRPr="00724021" w:rsidRDefault="004D5588" w:rsidP="000C6447">
      <w:pPr>
        <w:ind w:firstLine="708"/>
        <w:jc w:val="both"/>
      </w:pPr>
      <w:r w:rsidRPr="00724021">
        <w:t>1.2.</w:t>
      </w:r>
      <w:r w:rsidR="00183C96" w:rsidRPr="00724021">
        <w:t xml:space="preserve"> Чл</w:t>
      </w:r>
      <w:r w:rsidR="00183C96" w:rsidRPr="00724021">
        <w:rPr>
          <w:noProof/>
        </w:rPr>
        <w:t xml:space="preserve">. </w:t>
      </w:r>
      <w:r w:rsidR="00EF502D" w:rsidRPr="00724021">
        <w:t xml:space="preserve">189б, </w:t>
      </w:r>
      <w:r w:rsidR="006856F2" w:rsidRPr="00724021">
        <w:t xml:space="preserve">ал. </w:t>
      </w:r>
      <w:r w:rsidR="00C52B94">
        <w:t>1-2</w:t>
      </w:r>
      <w:r w:rsidR="00C52B94" w:rsidRPr="00724021">
        <w:t xml:space="preserve"> </w:t>
      </w:r>
      <w:r w:rsidR="00183C96" w:rsidRPr="00724021">
        <w:t>от Закона за</w:t>
      </w:r>
      <w:r w:rsidR="00183C96" w:rsidRPr="00724021">
        <w:rPr>
          <w:noProof/>
        </w:rPr>
        <w:t xml:space="preserve"> </w:t>
      </w:r>
      <w:r w:rsidR="00183C96" w:rsidRPr="00724021">
        <w:t>корпоративно подоходно облагане</w:t>
      </w:r>
      <w:r w:rsidR="00F755A8" w:rsidRPr="00724021">
        <w:t xml:space="preserve"> (</w:t>
      </w:r>
      <w:r w:rsidR="00183C96" w:rsidRPr="00724021">
        <w:t>ЗКПО</w:t>
      </w:r>
      <w:r w:rsidR="00283ACA" w:rsidRPr="00724021">
        <w:t>);</w:t>
      </w:r>
    </w:p>
    <w:p w14:paraId="0249F39E" w14:textId="77777777" w:rsidR="006856F2" w:rsidRPr="00724021" w:rsidRDefault="004D5588" w:rsidP="008B4960">
      <w:pPr>
        <w:ind w:firstLine="709"/>
        <w:jc w:val="both"/>
        <w:rPr>
          <w:bCs/>
        </w:rPr>
      </w:pPr>
      <w:r w:rsidRPr="00534B09">
        <w:t>1.3.</w:t>
      </w:r>
      <w:r w:rsidR="00183C96" w:rsidRPr="00534B09">
        <w:t xml:space="preserve"> </w:t>
      </w:r>
      <w:r w:rsidR="0082763B" w:rsidRPr="00534B09">
        <w:t xml:space="preserve">Чл. 48, </w:t>
      </w:r>
      <w:r w:rsidR="00C52B94" w:rsidRPr="00534B09">
        <w:t xml:space="preserve">ал. 6-7 </w:t>
      </w:r>
      <w:r w:rsidR="0082763B" w:rsidRPr="00534B09">
        <w:t>от Закон за данъците върху доходите на физическите лица</w:t>
      </w:r>
      <w:r w:rsidR="00BE4020" w:rsidRPr="00534B09">
        <w:t xml:space="preserve"> </w:t>
      </w:r>
      <w:r w:rsidR="00F755A8" w:rsidRPr="00534B09">
        <w:t>(ЗДДФЛ)</w:t>
      </w:r>
      <w:r w:rsidR="00452D6F" w:rsidRPr="00534B09">
        <w:t>.</w:t>
      </w:r>
      <w:r w:rsidR="00D34947" w:rsidRPr="00724021">
        <w:t xml:space="preserve"> </w:t>
      </w:r>
    </w:p>
    <w:p w14:paraId="6A1398BD" w14:textId="77777777" w:rsidR="00A92AD8" w:rsidRPr="00724021" w:rsidRDefault="00A92AD8" w:rsidP="00220DDD">
      <w:pPr>
        <w:tabs>
          <w:tab w:val="center" w:pos="0"/>
        </w:tabs>
        <w:ind w:right="-28"/>
        <w:jc w:val="both"/>
      </w:pPr>
    </w:p>
    <w:p w14:paraId="0CD7682D" w14:textId="77777777" w:rsidR="00080226" w:rsidRPr="00724021" w:rsidRDefault="009F58C8" w:rsidP="00F401FA">
      <w:pPr>
        <w:tabs>
          <w:tab w:val="center" w:pos="0"/>
        </w:tabs>
        <w:ind w:right="-28"/>
        <w:jc w:val="both"/>
        <w:rPr>
          <w:b/>
        </w:rPr>
      </w:pPr>
      <w:r w:rsidRPr="00724021">
        <w:rPr>
          <w:b/>
        </w:rPr>
        <w:tab/>
      </w:r>
      <w:r w:rsidR="003B0BF1" w:rsidRPr="00724021">
        <w:rPr>
          <w:b/>
        </w:rPr>
        <w:t>2. Цел на помощта</w:t>
      </w:r>
    </w:p>
    <w:p w14:paraId="0A91B251" w14:textId="2B87ECD4" w:rsidR="009F58C8" w:rsidRPr="00724021" w:rsidRDefault="00080226" w:rsidP="005A3A4F">
      <w:pPr>
        <w:tabs>
          <w:tab w:val="center" w:pos="142"/>
        </w:tabs>
        <w:ind w:right="-28"/>
        <w:jc w:val="both"/>
      </w:pPr>
      <w:r w:rsidRPr="00724021">
        <w:rPr>
          <w:b/>
        </w:rPr>
        <w:tab/>
      </w:r>
      <w:r w:rsidRPr="00724021">
        <w:rPr>
          <w:b/>
        </w:rPr>
        <w:tab/>
      </w:r>
      <w:r w:rsidR="00A23A69" w:rsidRPr="00724021">
        <w:t>2.1.</w:t>
      </w:r>
      <w:r w:rsidR="00A23A69" w:rsidRPr="00724021">
        <w:rPr>
          <w:b/>
        </w:rPr>
        <w:t xml:space="preserve"> </w:t>
      </w:r>
      <w:r w:rsidR="007F1358" w:rsidRPr="00724021">
        <w:t xml:space="preserve">Мярката представлява схема за данъчни облекчения, чиято цел е да насърчи инвестициите </w:t>
      </w:r>
      <w:r w:rsidR="00183C96" w:rsidRPr="00724021">
        <w:t xml:space="preserve">на земеделските </w:t>
      </w:r>
      <w:r w:rsidR="00C47EAD" w:rsidRPr="00724021">
        <w:t xml:space="preserve">стопани </w:t>
      </w:r>
      <w:r w:rsidR="00931AFD" w:rsidRPr="00724021">
        <w:t>в нови сгради и нова земеделска техник</w:t>
      </w:r>
      <w:r w:rsidR="00320D54" w:rsidRPr="00724021">
        <w:t>а</w:t>
      </w:r>
      <w:r w:rsidR="00320D54" w:rsidRPr="00724021">
        <w:rPr>
          <w:rStyle w:val="FootnoteReference"/>
        </w:rPr>
        <w:footnoteReference w:id="1"/>
      </w:r>
      <w:r w:rsidR="00320D54" w:rsidRPr="00724021">
        <w:t xml:space="preserve"> </w:t>
      </w:r>
      <w:r w:rsidR="00827140" w:rsidRPr="00724021">
        <w:t xml:space="preserve">при производството на </w:t>
      </w:r>
      <w:r w:rsidR="00931AFD" w:rsidRPr="00724021">
        <w:t xml:space="preserve">непреработена </w:t>
      </w:r>
      <w:r w:rsidR="00827140" w:rsidRPr="00724021">
        <w:t>растителна и животинска продукция</w:t>
      </w:r>
      <w:r w:rsidR="00BE4280" w:rsidRPr="00724021">
        <w:rPr>
          <w:rStyle w:val="FootnoteReference"/>
        </w:rPr>
        <w:footnoteReference w:id="2"/>
      </w:r>
      <w:r w:rsidR="00B02DB6">
        <w:t xml:space="preserve"> </w:t>
      </w:r>
      <w:r w:rsidR="00BE4280" w:rsidRPr="00724021">
        <w:t>(първично селскостопанско производство</w:t>
      </w:r>
      <w:r w:rsidR="00BE4280" w:rsidRPr="00724021">
        <w:rPr>
          <w:rStyle w:val="FootnoteReference"/>
        </w:rPr>
        <w:footnoteReference w:id="3"/>
      </w:r>
      <w:r w:rsidR="00BE4280" w:rsidRPr="00724021">
        <w:t>)</w:t>
      </w:r>
      <w:r w:rsidR="00827140" w:rsidRPr="00724021">
        <w:t>.</w:t>
      </w:r>
      <w:r w:rsidR="006232C6" w:rsidRPr="00724021">
        <w:t xml:space="preserve"> </w:t>
      </w:r>
    </w:p>
    <w:p w14:paraId="12728879" w14:textId="5A016B93" w:rsidR="005C33D5" w:rsidRPr="00724021" w:rsidRDefault="00A23A69" w:rsidP="00FD52E4">
      <w:pPr>
        <w:ind w:firstLine="708"/>
        <w:jc w:val="both"/>
      </w:pPr>
      <w:r w:rsidRPr="00724021">
        <w:t xml:space="preserve">2.2. Чрез </w:t>
      </w:r>
      <w:r w:rsidR="000530CF" w:rsidRPr="00724021">
        <w:t>извършване</w:t>
      </w:r>
      <w:r w:rsidR="00B02DB6">
        <w:t>то</w:t>
      </w:r>
      <w:r w:rsidR="000530CF" w:rsidRPr="00724021">
        <w:t xml:space="preserve"> на </w:t>
      </w:r>
      <w:r w:rsidRPr="006D6402">
        <w:t xml:space="preserve">инвестициите се </w:t>
      </w:r>
      <w:r w:rsidR="00FD52E4" w:rsidRPr="006D6402">
        <w:t xml:space="preserve">цели </w:t>
      </w:r>
      <w:r w:rsidR="002174E0" w:rsidRPr="006D6402">
        <w:rPr>
          <w:color w:val="000000"/>
        </w:rPr>
        <w:t xml:space="preserve">подобряване на общата производителност и устойчивост на земеделското стопанство, по-специално чрез намаляване на производствените разходи или подобряване </w:t>
      </w:r>
      <w:r w:rsidR="002174E0" w:rsidRPr="00394EF2">
        <w:rPr>
          <w:color w:val="000000"/>
        </w:rPr>
        <w:t>на производството</w:t>
      </w:r>
      <w:r w:rsidR="002B1A80" w:rsidRPr="006D6402">
        <w:rPr>
          <w:color w:val="000000"/>
        </w:rPr>
        <w:t>.</w:t>
      </w:r>
    </w:p>
    <w:p w14:paraId="4EEA4287" w14:textId="77777777" w:rsidR="00084562" w:rsidRPr="00724021" w:rsidRDefault="00084562" w:rsidP="00183C96">
      <w:pPr>
        <w:jc w:val="both"/>
      </w:pPr>
    </w:p>
    <w:p w14:paraId="0C071435" w14:textId="77777777" w:rsidR="00F260A5" w:rsidRPr="00724021" w:rsidRDefault="00EC1DC4" w:rsidP="00534B09">
      <w:pPr>
        <w:tabs>
          <w:tab w:val="center" w:pos="0"/>
        </w:tabs>
        <w:ind w:right="-28"/>
        <w:jc w:val="both"/>
        <w:rPr>
          <w:b/>
        </w:rPr>
      </w:pPr>
      <w:r w:rsidRPr="00724021">
        <w:rPr>
          <w:b/>
        </w:rPr>
        <w:tab/>
      </w:r>
      <w:r w:rsidR="003B0BF1" w:rsidRPr="00724021">
        <w:rPr>
          <w:b/>
        </w:rPr>
        <w:t xml:space="preserve">3. </w:t>
      </w:r>
      <w:r w:rsidR="00F260A5" w:rsidRPr="00724021">
        <w:rPr>
          <w:b/>
        </w:rPr>
        <w:t>Вид и форма на помощта</w:t>
      </w:r>
    </w:p>
    <w:p w14:paraId="069EDC98" w14:textId="77777777" w:rsidR="005C565B" w:rsidRPr="00724021" w:rsidRDefault="002D6BAF" w:rsidP="00192112">
      <w:pPr>
        <w:ind w:firstLine="708"/>
        <w:jc w:val="both"/>
      </w:pPr>
      <w:r w:rsidRPr="001278DD">
        <w:t xml:space="preserve">3.1. </w:t>
      </w:r>
      <w:r w:rsidR="003B0BF1" w:rsidRPr="001278DD">
        <w:t xml:space="preserve">Помощта се предоставя под формата </w:t>
      </w:r>
      <w:r w:rsidR="004D5588" w:rsidRPr="001278DD">
        <w:t xml:space="preserve">на </w:t>
      </w:r>
      <w:r w:rsidR="005D4E88" w:rsidRPr="001278DD">
        <w:t>данъчно облекчение</w:t>
      </w:r>
      <w:r w:rsidR="001278DD" w:rsidRPr="00534B09">
        <w:t>.</w:t>
      </w:r>
    </w:p>
    <w:p w14:paraId="1781748F" w14:textId="386F2729" w:rsidR="005F00FB" w:rsidRPr="00534B09" w:rsidRDefault="005C565B" w:rsidP="003B0BF1">
      <w:pPr>
        <w:tabs>
          <w:tab w:val="center" w:pos="142"/>
        </w:tabs>
        <w:ind w:right="-28"/>
        <w:jc w:val="both"/>
      </w:pPr>
      <w:r w:rsidRPr="00724021">
        <w:tab/>
      </w:r>
      <w:r w:rsidRPr="00724021">
        <w:tab/>
      </w:r>
      <w:r w:rsidR="002D6BAF" w:rsidRPr="00724021">
        <w:t xml:space="preserve">3.2. </w:t>
      </w:r>
      <w:r w:rsidR="00931AFD" w:rsidRPr="00724021">
        <w:t xml:space="preserve">Схемата предвижда </w:t>
      </w:r>
      <w:r w:rsidR="00F260A5" w:rsidRPr="00724021">
        <w:t xml:space="preserve">на всеки данъчно задължен субект </w:t>
      </w:r>
      <w:r w:rsidR="00931AFD" w:rsidRPr="00724021">
        <w:t>да бъдат преотстъпени</w:t>
      </w:r>
      <w:r w:rsidR="006232C6" w:rsidRPr="00724021">
        <w:t xml:space="preserve"> </w:t>
      </w:r>
      <w:r w:rsidR="00F260A5" w:rsidRPr="00724021">
        <w:t>до 6</w:t>
      </w:r>
      <w:r w:rsidR="004113F3">
        <w:t>0</w:t>
      </w:r>
      <w:r w:rsidR="00F260A5" w:rsidRPr="00724021">
        <w:t xml:space="preserve"> процента от корпоративния данък върху данъчната печалба, получена от дейност по производство на непреработена растителна и животинска продукция</w:t>
      </w:r>
      <w:r w:rsidR="00F260A5" w:rsidRPr="00534B09">
        <w:t>.</w:t>
      </w:r>
    </w:p>
    <w:p w14:paraId="5C615469" w14:textId="467428D3" w:rsidR="00967BDE" w:rsidRPr="00534B09" w:rsidRDefault="006F6810" w:rsidP="006F6810">
      <w:pPr>
        <w:autoSpaceDE w:val="0"/>
        <w:autoSpaceDN w:val="0"/>
        <w:adjustRightInd w:val="0"/>
        <w:jc w:val="both"/>
      </w:pPr>
      <w:r w:rsidRPr="00534B09">
        <w:tab/>
      </w:r>
      <w:r w:rsidR="00267BBD" w:rsidRPr="00534B09">
        <w:t>3.3</w:t>
      </w:r>
      <w:r w:rsidR="002D6BAF" w:rsidRPr="00534B09">
        <w:t xml:space="preserve">. </w:t>
      </w:r>
      <w:r w:rsidR="00D408EE" w:rsidRPr="00534B09">
        <w:rPr>
          <w:color w:val="000000"/>
        </w:rPr>
        <w:t>П</w:t>
      </w:r>
      <w:r w:rsidRPr="00534B09">
        <w:rPr>
          <w:color w:val="000000"/>
        </w:rPr>
        <w:t>реотстъпеният данък се инвестира в нови сгради и нова земеделска техника, необходими за извършване на дейност</w:t>
      </w:r>
      <w:r w:rsidR="00693832" w:rsidRPr="00534B09">
        <w:rPr>
          <w:color w:val="000000"/>
        </w:rPr>
        <w:t>та</w:t>
      </w:r>
      <w:r w:rsidR="005E7DFC" w:rsidRPr="00534B09">
        <w:rPr>
          <w:color w:val="000000"/>
        </w:rPr>
        <w:t xml:space="preserve"> по производство на непреработена растителна и животинска продукция</w:t>
      </w:r>
      <w:r w:rsidRPr="00534B09">
        <w:rPr>
          <w:color w:val="000000"/>
        </w:rPr>
        <w:t xml:space="preserve"> и придобити в срок до края на годината, следваща годината, за която се ползва преотстъпването</w:t>
      </w:r>
      <w:r w:rsidR="00D408EE" w:rsidRPr="00534B09">
        <w:t>.</w:t>
      </w:r>
    </w:p>
    <w:p w14:paraId="1CF01E68" w14:textId="77777777" w:rsidR="00900A22" w:rsidRPr="00534B09" w:rsidRDefault="00967BDE" w:rsidP="00534B09">
      <w:pPr>
        <w:autoSpaceDE w:val="0"/>
        <w:autoSpaceDN w:val="0"/>
        <w:adjustRightInd w:val="0"/>
        <w:jc w:val="both"/>
      </w:pPr>
      <w:r w:rsidRPr="00534B09">
        <w:tab/>
        <w:t>3.3.1. Преотстъпеният данък за 2023 г. и 2024 г. във връзка с чл. 189б, ал. 2, т. 1 се инвестира в нови сгради и нова земеделска техника, необходими за извършване на посочената в чл. 189б, ал. 1 дейност, в срок до края на втората година, следваща годината, за която се ползва преотстъпването.</w:t>
      </w:r>
      <w:r w:rsidR="00C52B94" w:rsidRPr="00534B09">
        <w:t xml:space="preserve"> (§15, ал. 3 от ЗИД на ЗКПО</w:t>
      </w:r>
      <w:r w:rsidR="00A675D0">
        <w:t xml:space="preserve">, </w:t>
      </w:r>
      <w:r w:rsidR="00A675D0" w:rsidRPr="00A675D0">
        <w:t>ДВ, бр. 106 от 2023 г., в сила от 1.01.2024 г.</w:t>
      </w:r>
      <w:r w:rsidR="00C52B94" w:rsidRPr="00534B09">
        <w:t>).</w:t>
      </w:r>
    </w:p>
    <w:p w14:paraId="42CB4297" w14:textId="53F6019A" w:rsidR="007E3ADA" w:rsidRPr="00724021" w:rsidRDefault="00BA7F26" w:rsidP="00534B09">
      <w:pPr>
        <w:ind w:firstLine="708"/>
        <w:jc w:val="both"/>
      </w:pPr>
      <w:r w:rsidRPr="00534B09">
        <w:t xml:space="preserve">3.4. </w:t>
      </w:r>
      <w:r w:rsidR="00D408EE" w:rsidRPr="00534B09">
        <w:t>А</w:t>
      </w:r>
      <w:r w:rsidRPr="00534B09">
        <w:t>ктивите трябва да са придобити при пазарни условия, съответстващи на такива при несвързани лица.</w:t>
      </w:r>
    </w:p>
    <w:p w14:paraId="0AC66749" w14:textId="3E141055" w:rsidR="000F78BB" w:rsidRPr="00534B09" w:rsidRDefault="004E7054" w:rsidP="003B0BF1">
      <w:pPr>
        <w:tabs>
          <w:tab w:val="center" w:pos="142"/>
        </w:tabs>
        <w:ind w:right="-28"/>
        <w:jc w:val="both"/>
      </w:pPr>
      <w:r w:rsidRPr="00724021">
        <w:tab/>
      </w:r>
      <w:r w:rsidR="00E737C3" w:rsidRPr="00724021">
        <w:tab/>
      </w:r>
      <w:r w:rsidR="00BA7F26" w:rsidRPr="00534B09">
        <w:t>3.5</w:t>
      </w:r>
      <w:r w:rsidR="002D6BAF" w:rsidRPr="00534B09">
        <w:t>. Дейността трябва да продължи да се осъществява за период от поне три годин</w:t>
      </w:r>
      <w:r w:rsidR="009D483B">
        <w:t xml:space="preserve">и след </w:t>
      </w:r>
      <w:r w:rsidR="005217F0">
        <w:t xml:space="preserve">годината </w:t>
      </w:r>
      <w:r w:rsidR="009D483B">
        <w:t>на преотстъпване. Т</w:t>
      </w:r>
      <w:r w:rsidR="002D6BAF" w:rsidRPr="00534B09">
        <w:t>ова обстоятелство се декларира всяка година до изтичане на тригодишния срок с годишните данъчни декларации.</w:t>
      </w:r>
    </w:p>
    <w:p w14:paraId="7875197B" w14:textId="77777777" w:rsidR="00F45243" w:rsidRPr="00534B09" w:rsidRDefault="000F78BB" w:rsidP="00FA0063">
      <w:pPr>
        <w:ind w:firstLine="708"/>
        <w:jc w:val="both"/>
        <w:rPr>
          <w:color w:val="000000"/>
        </w:rPr>
      </w:pPr>
      <w:r w:rsidRPr="00534B09">
        <w:rPr>
          <w:color w:val="000000"/>
        </w:rPr>
        <w:lastRenderedPageBreak/>
        <w:t xml:space="preserve">3.6. </w:t>
      </w:r>
      <w:r w:rsidR="00E34361" w:rsidRPr="00534B09">
        <w:rPr>
          <w:color w:val="000000"/>
        </w:rPr>
        <w:t xml:space="preserve">Преотстъпеният данък не трябва да превишава </w:t>
      </w:r>
      <w:r w:rsidR="001F16F2" w:rsidRPr="00534B09">
        <w:rPr>
          <w:color w:val="000000"/>
        </w:rPr>
        <w:t>65</w:t>
      </w:r>
      <w:r w:rsidR="002904CA" w:rsidRPr="00534B09">
        <w:rPr>
          <w:color w:val="000000"/>
        </w:rPr>
        <w:t xml:space="preserve"> </w:t>
      </w:r>
      <w:r w:rsidR="00E34361" w:rsidRPr="00534B09">
        <w:rPr>
          <w:color w:val="000000"/>
        </w:rPr>
        <w:t>на сто от настоящата стойност на активите</w:t>
      </w:r>
      <w:r w:rsidR="002D5734" w:rsidRPr="00534B09">
        <w:rPr>
          <w:color w:val="000000"/>
        </w:rPr>
        <w:t xml:space="preserve"> </w:t>
      </w:r>
      <w:r w:rsidR="00CD2963" w:rsidRPr="00534B09">
        <w:rPr>
          <w:color w:val="000000"/>
        </w:rPr>
        <w:t xml:space="preserve">по </w:t>
      </w:r>
      <w:r w:rsidR="00CD2963" w:rsidRPr="00534B09">
        <w:t>чл. 189б, ал. 2, т. 1 от ЗКПО</w:t>
      </w:r>
      <w:r w:rsidR="00E34361" w:rsidRPr="00534B09">
        <w:rPr>
          <w:color w:val="000000"/>
        </w:rPr>
        <w:t>, определена към датата на предоставяне на помощта; лихвеният процент за целите на определяне на настоящата стойност на активите по т. 1 е референтният лихвен процент, определен от Европейската комисия</w:t>
      </w:r>
      <w:r w:rsidR="002904CA" w:rsidRPr="00534B09">
        <w:rPr>
          <w:color w:val="000000"/>
        </w:rPr>
        <w:t xml:space="preserve"> към датата на предоставяне на помощта</w:t>
      </w:r>
      <w:r w:rsidR="00E34361" w:rsidRPr="00534B09">
        <w:rPr>
          <w:color w:val="000000"/>
        </w:rPr>
        <w:t xml:space="preserve"> </w:t>
      </w:r>
      <w:r w:rsidR="002904CA" w:rsidRPr="00534B09">
        <w:rPr>
          <w:color w:val="000000"/>
        </w:rPr>
        <w:t>(</w:t>
      </w:r>
      <w:r w:rsidR="00E34361" w:rsidRPr="00534B09">
        <w:rPr>
          <w:color w:val="000000"/>
        </w:rPr>
        <w:t>31 декември на годината</w:t>
      </w:r>
      <w:r w:rsidR="00F0438F" w:rsidRPr="00534B09">
        <w:rPr>
          <w:color w:val="000000"/>
        </w:rPr>
        <w:t>,</w:t>
      </w:r>
      <w:r w:rsidR="00E34361" w:rsidRPr="00534B09">
        <w:rPr>
          <w:color w:val="000000"/>
        </w:rPr>
        <w:t xml:space="preserve"> </w:t>
      </w:r>
      <w:r w:rsidR="00F0438F" w:rsidRPr="00534B09">
        <w:rPr>
          <w:color w:val="000000"/>
        </w:rPr>
        <w:t>за която се преотстъпва корпоративен данък</w:t>
      </w:r>
      <w:r w:rsidR="002904CA" w:rsidRPr="00534B09">
        <w:rPr>
          <w:color w:val="000000"/>
        </w:rPr>
        <w:t>)</w:t>
      </w:r>
      <w:r w:rsidR="00E34361" w:rsidRPr="00534B09">
        <w:rPr>
          <w:color w:val="000000"/>
        </w:rPr>
        <w:t xml:space="preserve">. </w:t>
      </w:r>
    </w:p>
    <w:p w14:paraId="3F5F8C34" w14:textId="77777777" w:rsidR="000F78BB" w:rsidRPr="00534B09" w:rsidRDefault="000F78BB" w:rsidP="00534B09">
      <w:pPr>
        <w:ind w:firstLine="708"/>
        <w:jc w:val="both"/>
        <w:rPr>
          <w:color w:val="000000"/>
        </w:rPr>
      </w:pPr>
      <w:r w:rsidRPr="00534B09">
        <w:rPr>
          <w:color w:val="000000"/>
        </w:rPr>
        <w:t xml:space="preserve">3.7. </w:t>
      </w:r>
      <w:r w:rsidR="00E34361" w:rsidRPr="00534B09">
        <w:rPr>
          <w:color w:val="000000"/>
        </w:rPr>
        <w:t xml:space="preserve">Настоящата стойност на </w:t>
      </w:r>
      <w:r w:rsidR="00CD2963" w:rsidRPr="00534B09">
        <w:rPr>
          <w:color w:val="000000"/>
        </w:rPr>
        <w:t xml:space="preserve">всички </w:t>
      </w:r>
      <w:r w:rsidR="00E34361" w:rsidRPr="00534B09">
        <w:rPr>
          <w:color w:val="000000"/>
        </w:rPr>
        <w:t xml:space="preserve">активи по </w:t>
      </w:r>
      <w:r w:rsidR="00CD2963" w:rsidRPr="00534B09">
        <w:t>чл. 189б, ал. 2, т. 1 от ЗКПО</w:t>
      </w:r>
      <w:r w:rsidR="00E34361" w:rsidRPr="00534B09">
        <w:rPr>
          <w:color w:val="000000"/>
        </w:rPr>
        <w:t xml:space="preserve">, определена към датата на предоставяне на помощта, не може да превишава праг от левовата равностойност на </w:t>
      </w:r>
      <w:r w:rsidR="002904CA" w:rsidRPr="00534B09">
        <w:rPr>
          <w:color w:val="000000"/>
        </w:rPr>
        <w:t>6</w:t>
      </w:r>
      <w:r w:rsidR="00E34361" w:rsidRPr="00534B09">
        <w:rPr>
          <w:color w:val="000000"/>
        </w:rPr>
        <w:t xml:space="preserve">00 000 евро. </w:t>
      </w:r>
    </w:p>
    <w:p w14:paraId="4F927EEE" w14:textId="77777777" w:rsidR="00E34361" w:rsidRPr="00534B09" w:rsidRDefault="0017207D" w:rsidP="00F45243">
      <w:pPr>
        <w:ind w:firstLine="708"/>
        <w:jc w:val="both"/>
        <w:rPr>
          <w:color w:val="000000"/>
        </w:rPr>
      </w:pPr>
      <w:r w:rsidRPr="00534B09">
        <w:rPr>
          <w:color w:val="000000"/>
        </w:rPr>
        <w:t>3.8. О</w:t>
      </w:r>
      <w:r w:rsidR="000F78BB" w:rsidRPr="00534B09">
        <w:rPr>
          <w:color w:val="000000"/>
        </w:rPr>
        <w:t xml:space="preserve">пределеният праг </w:t>
      </w:r>
      <w:r w:rsidR="00CD2963" w:rsidRPr="00534B09">
        <w:rPr>
          <w:color w:val="000000"/>
        </w:rPr>
        <w:t xml:space="preserve">от левовата равностойност на </w:t>
      </w:r>
      <w:r w:rsidR="003D51A0" w:rsidRPr="00534B09">
        <w:rPr>
          <w:color w:val="000000"/>
        </w:rPr>
        <w:t>6</w:t>
      </w:r>
      <w:r w:rsidR="00CD2963" w:rsidRPr="00534B09">
        <w:rPr>
          <w:color w:val="000000"/>
        </w:rPr>
        <w:t xml:space="preserve">00 000 евро </w:t>
      </w:r>
      <w:r w:rsidR="000F78BB" w:rsidRPr="00534B09">
        <w:rPr>
          <w:color w:val="000000"/>
        </w:rPr>
        <w:t>не може да се заобикаля чрез изкуствено разделяне на активите.</w:t>
      </w:r>
      <w:r w:rsidR="00E34361" w:rsidRPr="00534B09">
        <w:rPr>
          <w:color w:val="000000"/>
        </w:rPr>
        <w:t xml:space="preserve"> </w:t>
      </w:r>
    </w:p>
    <w:p w14:paraId="421C5AB6" w14:textId="77777777" w:rsidR="00B90C58" w:rsidRPr="00534B09" w:rsidRDefault="00B90C58" w:rsidP="003B0BF1">
      <w:pPr>
        <w:tabs>
          <w:tab w:val="center" w:pos="142"/>
        </w:tabs>
        <w:ind w:right="-28"/>
        <w:jc w:val="both"/>
      </w:pPr>
    </w:p>
    <w:p w14:paraId="67955262" w14:textId="0A2C59D8" w:rsidR="00220DDD" w:rsidRPr="005A3A4F" w:rsidRDefault="001D438A" w:rsidP="003B0BF1">
      <w:pPr>
        <w:tabs>
          <w:tab w:val="center" w:pos="142"/>
        </w:tabs>
        <w:ind w:right="-28"/>
        <w:jc w:val="both"/>
        <w:rPr>
          <w:b/>
        </w:rPr>
      </w:pPr>
      <w:r w:rsidRPr="00534B09">
        <w:rPr>
          <w:b/>
          <w:color w:val="FF0000"/>
        </w:rPr>
        <w:tab/>
      </w:r>
      <w:r w:rsidRPr="00534B09">
        <w:rPr>
          <w:b/>
          <w:color w:val="FF0000"/>
        </w:rPr>
        <w:tab/>
      </w:r>
      <w:r w:rsidR="003E6E54" w:rsidRPr="00534B09">
        <w:rPr>
          <w:b/>
        </w:rPr>
        <w:t xml:space="preserve">4. </w:t>
      </w:r>
      <w:r w:rsidR="00EC1DC4" w:rsidRPr="00534B09">
        <w:rPr>
          <w:b/>
        </w:rPr>
        <w:t xml:space="preserve">Деклариране и внасяне на корпоративния данък. </w:t>
      </w:r>
      <w:r w:rsidR="003E6E54" w:rsidRPr="00534B09">
        <w:rPr>
          <w:b/>
        </w:rPr>
        <w:t>Механизъм за предоставяне</w:t>
      </w:r>
      <w:r w:rsidR="00EC1DC4" w:rsidRPr="00534B09">
        <w:rPr>
          <w:b/>
        </w:rPr>
        <w:t>. Ко</w:t>
      </w:r>
      <w:r w:rsidR="00854EA8" w:rsidRPr="00534B09">
        <w:rPr>
          <w:b/>
        </w:rPr>
        <w:t xml:space="preserve">нтрол </w:t>
      </w:r>
      <w:r w:rsidR="003E6E54" w:rsidRPr="00534B09">
        <w:rPr>
          <w:b/>
        </w:rPr>
        <w:t>на помощта по схемата</w:t>
      </w:r>
      <w:r w:rsidR="00854EA8" w:rsidRPr="00534B09">
        <w:rPr>
          <w:b/>
        </w:rPr>
        <w:t xml:space="preserve"> </w:t>
      </w:r>
    </w:p>
    <w:p w14:paraId="66867382" w14:textId="77777777" w:rsidR="00EC1DC4" w:rsidRPr="00534B09" w:rsidRDefault="001D438A" w:rsidP="00EC1DC4">
      <w:pPr>
        <w:tabs>
          <w:tab w:val="center" w:pos="142"/>
        </w:tabs>
        <w:ind w:right="-29"/>
        <w:jc w:val="both"/>
        <w:rPr>
          <w:b/>
        </w:rPr>
      </w:pPr>
      <w:r w:rsidRPr="00534B09">
        <w:rPr>
          <w:b/>
        </w:rPr>
        <w:tab/>
      </w:r>
      <w:r w:rsidRPr="00534B09">
        <w:rPr>
          <w:b/>
        </w:rPr>
        <w:tab/>
      </w:r>
      <w:r w:rsidR="00EC1DC4" w:rsidRPr="00534B09">
        <w:rPr>
          <w:b/>
        </w:rPr>
        <w:t>4.1. Деклариране и внасяне на корпоративния данък:</w:t>
      </w:r>
    </w:p>
    <w:p w14:paraId="4F0A305F" w14:textId="5821471A" w:rsidR="00B716F7" w:rsidRPr="00534B09" w:rsidRDefault="00394EF2" w:rsidP="00B716F7">
      <w:pPr>
        <w:pStyle w:val="style0"/>
        <w:ind w:firstLine="708"/>
      </w:pPr>
      <w:r>
        <w:t>Д</w:t>
      </w:r>
      <w:r w:rsidR="00B716F7" w:rsidRPr="00534B09">
        <w:t>анъчно задължените лица, които се облагат с корпоративен данък, подават годишна данъчна декларация (ГДД) по образец за данъчния финансов резултат и дължимия годишен корпоративен данък</w:t>
      </w:r>
      <w:r w:rsidR="00B332AF">
        <w:t>, в срок определен в закона</w:t>
      </w:r>
      <w:r w:rsidR="00B716F7" w:rsidRPr="00534B09">
        <w:t xml:space="preserve">. </w:t>
      </w:r>
    </w:p>
    <w:p w14:paraId="54EE86CD" w14:textId="77777777" w:rsidR="00B716F7" w:rsidRPr="00534B09" w:rsidRDefault="00930B3D" w:rsidP="00534B09">
      <w:pPr>
        <w:ind w:right="-28" w:firstLine="708"/>
        <w:jc w:val="both"/>
      </w:pPr>
      <w:r w:rsidRPr="00534B09">
        <w:t>Д</w:t>
      </w:r>
      <w:r w:rsidR="00B716F7" w:rsidRPr="00534B09">
        <w:t>анъчно задължените лица внасят корпоративния данък за съответната година (Х) в срок</w:t>
      </w:r>
      <w:r w:rsidRPr="00534B09">
        <w:t>а</w:t>
      </w:r>
      <w:r w:rsidR="00B716F7" w:rsidRPr="00534B09">
        <w:t xml:space="preserve"> </w:t>
      </w:r>
      <w:r w:rsidRPr="00534B09">
        <w:t>по чл. 93 от ЗКПО</w:t>
      </w:r>
      <w:r w:rsidR="00A02C25" w:rsidRPr="00534B09">
        <w:t xml:space="preserve"> – </w:t>
      </w:r>
      <w:r w:rsidR="00152791" w:rsidRPr="00534B09">
        <w:t xml:space="preserve">до </w:t>
      </w:r>
      <w:r w:rsidR="00A02C25" w:rsidRPr="00534B09">
        <w:t xml:space="preserve">30 юни на следващата година </w:t>
      </w:r>
      <w:r w:rsidRPr="00534B09">
        <w:t xml:space="preserve"> </w:t>
      </w:r>
      <w:r w:rsidR="00B716F7" w:rsidRPr="00534B09">
        <w:t xml:space="preserve">(Х+1) след приспадане на внесените авансови вноски за съответната година (Х). </w:t>
      </w:r>
    </w:p>
    <w:p w14:paraId="5DB63B97" w14:textId="77777777" w:rsidR="00B716F7" w:rsidRPr="00534B09" w:rsidRDefault="00B716F7" w:rsidP="00B716F7">
      <w:pPr>
        <w:ind w:right="-28"/>
        <w:jc w:val="both"/>
      </w:pPr>
      <w:r w:rsidRPr="00534B09">
        <w:t>            Съгласно чл. 83, ал. 1</w:t>
      </w:r>
      <w:r w:rsidR="009113FA" w:rsidRPr="00534B09">
        <w:t xml:space="preserve"> от ЗКПО</w:t>
      </w:r>
      <w:r w:rsidR="002D4D8F" w:rsidRPr="00534B09">
        <w:t>:</w:t>
      </w:r>
      <w:r w:rsidRPr="00534B09">
        <w:t xml:space="preserve"> „Данъчно задължените лица правят месечни или тримесечни авансови вноски за корпоративния данък, на базата на прогнозна данъчна печалба за текущата година”. </w:t>
      </w:r>
    </w:p>
    <w:p w14:paraId="3318F6E2" w14:textId="77777777" w:rsidR="00B716F7" w:rsidRPr="00534B09" w:rsidRDefault="00B716F7" w:rsidP="00B716F7">
      <w:pPr>
        <w:ind w:right="-28"/>
        <w:jc w:val="both"/>
      </w:pPr>
      <w:r w:rsidRPr="00534B09">
        <w:t>            Законът задължава данъчно задължените лица, с малк</w:t>
      </w:r>
      <w:r w:rsidR="00963127" w:rsidRPr="00534B09">
        <w:t>о</w:t>
      </w:r>
      <w:r w:rsidRPr="00534B09">
        <w:t xml:space="preserve"> изрично изброени изключения, да правят месечни или тримесечни авансови вноски за корпоративен данък. </w:t>
      </w:r>
    </w:p>
    <w:p w14:paraId="5FC40C93" w14:textId="77777777" w:rsidR="00B716F7" w:rsidRPr="005B414D" w:rsidRDefault="00B716F7" w:rsidP="00B716F7">
      <w:pPr>
        <w:ind w:right="-28"/>
        <w:jc w:val="both"/>
      </w:pPr>
      <w:r w:rsidRPr="00534B09">
        <w:t xml:space="preserve">            Авансови вноски за текущата календарна година (Х) се декларират с </w:t>
      </w:r>
      <w:r w:rsidR="004F35C8" w:rsidRPr="00534B09">
        <w:t>декларация по образец</w:t>
      </w:r>
      <w:r w:rsidR="00DA24F5" w:rsidRPr="00534B09">
        <w:t xml:space="preserve"> в срок от 1 март до 15 април на същата година Х </w:t>
      </w:r>
      <w:r w:rsidRPr="00534B09">
        <w:t>(чл. 87а.).</w:t>
      </w:r>
    </w:p>
    <w:p w14:paraId="7F234063" w14:textId="77777777" w:rsidR="00B716F7" w:rsidRPr="00534B09" w:rsidRDefault="00B716F7" w:rsidP="00B716F7">
      <w:pPr>
        <w:ind w:right="-28"/>
        <w:jc w:val="both"/>
      </w:pPr>
      <w:r w:rsidRPr="005B414D">
        <w:t>            Начинът за определяне на авансови вноски е стриктно определен, като окончателното изчисление на дължимия корпоративен данък се извършва с годишната данъчна декларация</w:t>
      </w:r>
      <w:r w:rsidR="009113FA" w:rsidRPr="005B414D">
        <w:t>, която се подава в година Х+1</w:t>
      </w:r>
      <w:r w:rsidRPr="005B414D">
        <w:t xml:space="preserve"> и се определя разлика за внасяне/възстановяване/прихващане.  </w:t>
      </w:r>
      <w:r w:rsidRPr="00534B09">
        <w:t>Едновременно с това са налице наказателни разпоредби, в случаите на точно определено отклонение на реално дължимия корпоративен данък и внесените авансови вноски, както и за възстановяване на преотстъпен данък в т.ч. авансови вноски.</w:t>
      </w:r>
    </w:p>
    <w:p w14:paraId="0669FFC4" w14:textId="77777777" w:rsidR="00B716F7" w:rsidRPr="00534B09" w:rsidRDefault="00B716F7" w:rsidP="00B716F7">
      <w:pPr>
        <w:ind w:right="-28"/>
        <w:jc w:val="both"/>
      </w:pPr>
      <w:r w:rsidRPr="00534B09">
        <w:t>            Корпоративният данък, който е определен за година Х се вписва в годишната данъчна декларация и е ясен като точен размер в периода 01.0</w:t>
      </w:r>
      <w:r w:rsidR="00286816" w:rsidRPr="00534B09">
        <w:t>3</w:t>
      </w:r>
      <w:r w:rsidRPr="00534B09">
        <w:t xml:space="preserve">.Х+1 до </w:t>
      </w:r>
      <w:r w:rsidR="00286816" w:rsidRPr="00534B09">
        <w:t>30.06.</w:t>
      </w:r>
      <w:r w:rsidRPr="00534B09">
        <w:t xml:space="preserve">Х+1, т.е. тогава, когато данъкоплатецът </w:t>
      </w:r>
      <w:r w:rsidR="00EA7AF8" w:rsidRPr="00534B09">
        <w:t>подаде</w:t>
      </w:r>
      <w:r w:rsidRPr="00534B09">
        <w:t xml:space="preserve"> данъчната си декларация. </w:t>
      </w:r>
    </w:p>
    <w:p w14:paraId="2B85C7F7" w14:textId="77777777" w:rsidR="00E70AA2" w:rsidRPr="00534B09" w:rsidRDefault="00F65727" w:rsidP="00BB6A6F">
      <w:pPr>
        <w:widowControl w:val="0"/>
        <w:tabs>
          <w:tab w:val="left" w:pos="0"/>
        </w:tabs>
        <w:spacing w:line="269" w:lineRule="exact"/>
        <w:ind w:right="20"/>
        <w:jc w:val="both"/>
      </w:pPr>
      <w:r w:rsidRPr="00534B09">
        <w:tab/>
        <w:t>Посоченият по-горе ред се прилага от всички данъчно задължени лица.</w:t>
      </w:r>
    </w:p>
    <w:p w14:paraId="46550654" w14:textId="77777777" w:rsidR="006A56FF" w:rsidRPr="00534B09" w:rsidRDefault="006A56FF" w:rsidP="001E1276">
      <w:pPr>
        <w:ind w:right="-28"/>
        <w:jc w:val="both"/>
        <w:rPr>
          <w:u w:val="single"/>
        </w:rPr>
      </w:pPr>
    </w:p>
    <w:p w14:paraId="46E095D0" w14:textId="77777777" w:rsidR="0097371A" w:rsidRPr="00534B09" w:rsidRDefault="0097371A" w:rsidP="0097371A">
      <w:pPr>
        <w:pStyle w:val="listparagraph"/>
        <w:spacing w:after="0" w:line="240" w:lineRule="auto"/>
        <w:ind w:left="0" w:firstLine="708"/>
        <w:jc w:val="both"/>
        <w:rPr>
          <w:rFonts w:ascii="Times New Roman" w:hAnsi="Times New Roman"/>
          <w:sz w:val="24"/>
          <w:szCs w:val="24"/>
        </w:rPr>
      </w:pPr>
      <w:r w:rsidRPr="00534B09">
        <w:rPr>
          <w:rFonts w:ascii="Times New Roman" w:hAnsi="Times New Roman"/>
          <w:b/>
          <w:sz w:val="24"/>
          <w:szCs w:val="24"/>
        </w:rPr>
        <w:t>4.2. Механизъм на преотстъпване</w:t>
      </w:r>
      <w:r w:rsidR="00F65727" w:rsidRPr="00534B09">
        <w:rPr>
          <w:rFonts w:ascii="Times New Roman" w:hAnsi="Times New Roman"/>
          <w:b/>
          <w:sz w:val="24"/>
          <w:szCs w:val="24"/>
        </w:rPr>
        <w:t xml:space="preserve"> на корпоративен данък</w:t>
      </w:r>
    </w:p>
    <w:p w14:paraId="30E0297A" w14:textId="77777777" w:rsidR="00B716F7" w:rsidRPr="005B414D" w:rsidRDefault="00F65727" w:rsidP="00B716F7">
      <w:pPr>
        <w:ind w:right="20"/>
        <w:jc w:val="both"/>
      </w:pPr>
      <w:r w:rsidRPr="00534B09">
        <w:tab/>
      </w:r>
      <w:r w:rsidR="00B716F7" w:rsidRPr="00534B09">
        <w:t xml:space="preserve">Данъчно облекчение представлява държавна помощ под формата на данъчно предимство за земеделските </w:t>
      </w:r>
      <w:r w:rsidR="00C47EAD" w:rsidRPr="00534B09">
        <w:t>стопани</w:t>
      </w:r>
      <w:r w:rsidR="00B716F7" w:rsidRPr="00534B09">
        <w:t>.</w:t>
      </w:r>
      <w:r w:rsidR="00B716F7" w:rsidRPr="005B414D">
        <w:t xml:space="preserve">        </w:t>
      </w:r>
    </w:p>
    <w:p w14:paraId="22A3E9CA" w14:textId="0F4382E6" w:rsidR="00B716F7" w:rsidRPr="005B414D" w:rsidRDefault="00B716F7" w:rsidP="00B716F7">
      <w:pPr>
        <w:ind w:right="20"/>
        <w:jc w:val="both"/>
      </w:pPr>
      <w:r w:rsidRPr="005B414D">
        <w:t xml:space="preserve">           ЗКПО регламентира </w:t>
      </w:r>
      <w:bookmarkStart w:id="1" w:name="to_paragraph_id2995449"/>
      <w:bookmarkEnd w:id="1"/>
      <w:r w:rsidRPr="005B414D">
        <w:t>понятие за преотстъпване</w:t>
      </w:r>
      <w:r w:rsidR="002D4D8F" w:rsidRPr="005B414D">
        <w:t>:</w:t>
      </w:r>
      <w:r w:rsidRPr="005B414D">
        <w:t xml:space="preserve"> „</w:t>
      </w:r>
      <w:bookmarkStart w:id="2" w:name="to_paragraph_id2995450"/>
      <w:bookmarkEnd w:id="2"/>
      <w:r w:rsidRPr="005B414D">
        <w:t xml:space="preserve">Преотстъпване на корпоративен данък е правото на данъчно задължено лице да не внася в </w:t>
      </w:r>
      <w:r w:rsidR="00551CA3" w:rsidRPr="005B414D">
        <w:t xml:space="preserve">държавния </w:t>
      </w:r>
      <w:r w:rsidRPr="005B414D">
        <w:t>бюджет определените по реда на този закон суми за корпоративен данък, които остават в патримониума на данъчно задълженото лице и се разходват за цели, определени със закон“.</w:t>
      </w:r>
    </w:p>
    <w:p w14:paraId="054CB444" w14:textId="77777777" w:rsidR="00B716F7" w:rsidRPr="005B414D" w:rsidRDefault="00B716F7" w:rsidP="00B716F7">
      <w:pPr>
        <w:pStyle w:val="NormalWeb"/>
        <w:shd w:val="clear" w:color="auto" w:fill="FFFFFF"/>
        <w:spacing w:before="0" w:beforeAutospacing="0" w:after="0" w:afterAutospacing="0"/>
        <w:jc w:val="both"/>
      </w:pPr>
      <w:r w:rsidRPr="005B414D">
        <w:t xml:space="preserve">            Данъчно задължените лица, регистрирани като земеделски </w:t>
      </w:r>
      <w:r w:rsidR="00C47EAD" w:rsidRPr="005B414D">
        <w:t xml:space="preserve">стопани </w:t>
      </w:r>
      <w:r w:rsidRPr="005B414D">
        <w:t xml:space="preserve">могат да избират дали да се  възползват от предоставеното данъчно облекчение. Правото на избор лицата </w:t>
      </w:r>
      <w:r w:rsidR="00E82697" w:rsidRPr="005B414D">
        <w:t xml:space="preserve">могат да </w:t>
      </w:r>
      <w:r w:rsidRPr="005B414D">
        <w:t xml:space="preserve">упражняват при попълване на годишната данъчна декларация по чл. 92 </w:t>
      </w:r>
      <w:r w:rsidR="002D4D8F" w:rsidRPr="005B414D">
        <w:t xml:space="preserve">от </w:t>
      </w:r>
      <w:r w:rsidRPr="005B414D">
        <w:t>ЗКПО за съответната година</w:t>
      </w:r>
      <w:r w:rsidR="00E82697" w:rsidRPr="005B414D">
        <w:t xml:space="preserve"> или на по-късен етап.</w:t>
      </w:r>
    </w:p>
    <w:p w14:paraId="6AAC4BEC" w14:textId="77777777" w:rsidR="00B716F7" w:rsidRPr="005B414D" w:rsidRDefault="00B716F7" w:rsidP="00B716F7">
      <w:pPr>
        <w:pStyle w:val="NormalWeb"/>
        <w:shd w:val="clear" w:color="auto" w:fill="FFFFFF"/>
        <w:spacing w:before="0" w:beforeAutospacing="0" w:after="0" w:afterAutospacing="0"/>
        <w:ind w:firstLine="708"/>
        <w:jc w:val="both"/>
      </w:pPr>
      <w:r w:rsidRPr="005B414D">
        <w:t xml:space="preserve">Съгласно разпоредбата на чл. 91 от ЗКПО на данъчно задължените лица, на които се преотстъпва корпоративен данък за текущата година (Х), се преотстъпва и съответната част от дължимите авансови вноски, пропорционална на размера на преотстъпването. </w:t>
      </w:r>
    </w:p>
    <w:p w14:paraId="6EE997EA" w14:textId="77777777" w:rsidR="00B716F7" w:rsidRPr="005B414D" w:rsidRDefault="00B716F7" w:rsidP="00B716F7">
      <w:pPr>
        <w:pStyle w:val="NormalWeb"/>
        <w:shd w:val="clear" w:color="auto" w:fill="FFFFFF"/>
        <w:spacing w:before="0" w:beforeAutospacing="0" w:after="0" w:afterAutospacing="0"/>
        <w:ind w:firstLine="708"/>
        <w:jc w:val="both"/>
        <w:rPr>
          <w:shd w:val="clear" w:color="auto" w:fill="00FFFF"/>
        </w:rPr>
      </w:pPr>
      <w:r w:rsidRPr="005B414D">
        <w:t>С подаване на годишна данъчна декларация за година Х от бенефициера (данъчно задължен субект), в година Х+1 се определя окончателния размер на помощта (преотстъпения данък) за година Х. С други думи данъкът, който се преотстъпва за година Х, в това число преотстъпените авансови вноски, е окончателният данък, който се определя с данъчната декларация за година Х, но през година Х+1.</w:t>
      </w:r>
    </w:p>
    <w:p w14:paraId="1275DD87" w14:textId="77777777" w:rsidR="0017207D" w:rsidRPr="005B414D" w:rsidRDefault="0017207D" w:rsidP="0017207D">
      <w:pPr>
        <w:pStyle w:val="NormalWeb"/>
        <w:shd w:val="clear" w:color="auto" w:fill="FFFFFF"/>
        <w:spacing w:before="0" w:beforeAutospacing="0" w:after="0" w:afterAutospacing="0"/>
        <w:ind w:firstLine="708"/>
        <w:jc w:val="both"/>
      </w:pPr>
      <w:r w:rsidRPr="005B414D">
        <w:t xml:space="preserve">Лихвеният процент за целите на определяне на настоящата стойност на активите, в които се инвестира </w:t>
      </w:r>
      <w:r w:rsidR="00FC02E3" w:rsidRPr="005B414D">
        <w:t xml:space="preserve">преотстъпения данък </w:t>
      </w:r>
      <w:r w:rsidRPr="005B414D">
        <w:t>е референтният лихвен процент, определен от Европейската комисия, към 31 декември на годината на преотстъпване.</w:t>
      </w:r>
    </w:p>
    <w:p w14:paraId="4EC03EB6" w14:textId="08665F4E" w:rsidR="00B716F7" w:rsidRPr="005B414D" w:rsidRDefault="00B716F7" w:rsidP="00B716F7">
      <w:pPr>
        <w:pStyle w:val="NormalWeb"/>
        <w:shd w:val="clear" w:color="auto" w:fill="FFFFFF"/>
        <w:spacing w:before="0" w:beforeAutospacing="0" w:after="0" w:afterAutospacing="0"/>
        <w:ind w:firstLine="708"/>
        <w:jc w:val="both"/>
      </w:pPr>
      <w:r w:rsidRPr="005B414D">
        <w:t xml:space="preserve">Авансови вноски за текущата календарна година се декларират с </w:t>
      </w:r>
      <w:r w:rsidR="009E6759" w:rsidRPr="005B414D">
        <w:t>декларация по образец в срок от 1 март до 15 април на същата година</w:t>
      </w:r>
      <w:r w:rsidR="00A26DD2" w:rsidRPr="005B414D">
        <w:t xml:space="preserve"> Х</w:t>
      </w:r>
      <w:r w:rsidRPr="005B414D">
        <w:t>.</w:t>
      </w:r>
    </w:p>
    <w:p w14:paraId="4032AE93" w14:textId="77777777" w:rsidR="00B716F7" w:rsidRPr="005B414D" w:rsidRDefault="00B716F7" w:rsidP="00B716F7">
      <w:pPr>
        <w:pStyle w:val="listparagraph"/>
        <w:spacing w:after="0" w:line="240" w:lineRule="auto"/>
        <w:ind w:left="0" w:firstLine="708"/>
        <w:jc w:val="both"/>
        <w:rPr>
          <w:rFonts w:ascii="Times New Roman" w:hAnsi="Times New Roman"/>
          <w:sz w:val="24"/>
          <w:szCs w:val="24"/>
        </w:rPr>
      </w:pPr>
      <w:r w:rsidRPr="005B414D">
        <w:rPr>
          <w:rFonts w:ascii="Times New Roman" w:hAnsi="Times New Roman"/>
          <w:sz w:val="24"/>
          <w:szCs w:val="24"/>
        </w:rPr>
        <w:t xml:space="preserve">Преотстъпените през годината Х авансови вноски са част от окончателния корпоративен данък, подлежащ на преотстъпване. По този начин данъчно задължените лица разполагат с реален паричен ресурс </w:t>
      </w:r>
      <w:r w:rsidR="00E86268" w:rsidRPr="005B414D">
        <w:rPr>
          <w:rFonts w:ascii="Times New Roman" w:hAnsi="Times New Roman"/>
          <w:sz w:val="24"/>
          <w:szCs w:val="24"/>
        </w:rPr>
        <w:t xml:space="preserve">за инвестиране в активи </w:t>
      </w:r>
      <w:r w:rsidRPr="005B414D">
        <w:rPr>
          <w:rFonts w:ascii="Times New Roman" w:hAnsi="Times New Roman"/>
          <w:sz w:val="24"/>
          <w:szCs w:val="24"/>
        </w:rPr>
        <w:t xml:space="preserve">през година Х, без същия да се задържа в бюджета до датата на подаване на данъчната декларация в година Х+1, респективно не подлежи на последващо фактическо възстановяване от приходната администрация. </w:t>
      </w:r>
    </w:p>
    <w:p w14:paraId="73600ACD" w14:textId="7D54E229" w:rsidR="00B716F7" w:rsidRPr="005B414D" w:rsidRDefault="00B716F7" w:rsidP="00B716F7">
      <w:pPr>
        <w:ind w:firstLine="708"/>
        <w:jc w:val="both"/>
      </w:pPr>
      <w:r w:rsidRPr="005B414D">
        <w:t>В случаите на</w:t>
      </w:r>
      <w:r w:rsidR="00E86268" w:rsidRPr="005B414D">
        <w:t xml:space="preserve"> решение </w:t>
      </w:r>
      <w:r w:rsidR="00E86268" w:rsidRPr="00534B09">
        <w:t>за</w:t>
      </w:r>
      <w:r w:rsidRPr="00534B09">
        <w:t xml:space="preserve"> </w:t>
      </w:r>
      <w:r w:rsidR="00E86268" w:rsidRPr="00534B09">
        <w:t xml:space="preserve">прилагане на данъчното облекчение след изтичане на срока за подаване на </w:t>
      </w:r>
      <w:r w:rsidR="00E2263A" w:rsidRPr="00534B09">
        <w:t>декларацията по чл. 87а, ал. 1</w:t>
      </w:r>
      <w:r w:rsidR="007D7D0A" w:rsidRPr="00534B09">
        <w:t xml:space="preserve"> </w:t>
      </w:r>
      <w:r w:rsidR="00E2263A" w:rsidRPr="00534B09">
        <w:t xml:space="preserve"> </w:t>
      </w:r>
      <w:r w:rsidR="007D7D0A" w:rsidRPr="00534B09">
        <w:t>̶</w:t>
      </w:r>
      <w:r w:rsidR="00E2263A" w:rsidRPr="00534B09">
        <w:t xml:space="preserve"> 15 </w:t>
      </w:r>
      <w:r w:rsidR="0044296C" w:rsidRPr="00534B09">
        <w:t xml:space="preserve">април на година Х, то </w:t>
      </w:r>
      <w:r w:rsidR="00D44A91" w:rsidRPr="00534B09">
        <w:t xml:space="preserve"> </w:t>
      </w:r>
      <w:r w:rsidRPr="00534B09">
        <w:t>земеделския</w:t>
      </w:r>
      <w:r w:rsidR="00D569FE" w:rsidRPr="00534B09">
        <w:t>т</w:t>
      </w:r>
      <w:r w:rsidRPr="00534B09">
        <w:t xml:space="preserve"> </w:t>
      </w:r>
      <w:r w:rsidR="00670C4B" w:rsidRPr="00534B09">
        <w:t xml:space="preserve">стопанин </w:t>
      </w:r>
      <w:r w:rsidRPr="00534B09">
        <w:t xml:space="preserve">ще може да декларира </w:t>
      </w:r>
      <w:r w:rsidR="00D44A91" w:rsidRPr="00534B09">
        <w:t xml:space="preserve">преотстъпване на авансови вноски </w:t>
      </w:r>
      <w:r w:rsidRPr="00534B09">
        <w:t xml:space="preserve"> с подаване на декларация</w:t>
      </w:r>
      <w:r w:rsidRPr="005B414D">
        <w:t xml:space="preserve"> за намаляване или увеличаване на авансовите вноски</w:t>
      </w:r>
      <w:r w:rsidR="00C17B74" w:rsidRPr="005B414D">
        <w:t xml:space="preserve"> в срок до 15 ноември на година Х</w:t>
      </w:r>
      <w:r w:rsidRPr="005B414D">
        <w:t xml:space="preserve"> или с окончателната годишна данъчна декларация</w:t>
      </w:r>
      <w:r w:rsidR="00C17B74" w:rsidRPr="005B414D">
        <w:t>,</w:t>
      </w:r>
      <w:r w:rsidRPr="005B414D">
        <w:t xml:space="preserve"> подадена в година Х+1</w:t>
      </w:r>
      <w:r w:rsidR="00D44A91" w:rsidRPr="005B414D">
        <w:t>, като в този случай не е налице преотстъпване на авансови вноски</w:t>
      </w:r>
      <w:r w:rsidR="0017207D" w:rsidRPr="005B414D">
        <w:t>.</w:t>
      </w:r>
    </w:p>
    <w:p w14:paraId="468B4CAA" w14:textId="77777777" w:rsidR="0017207D" w:rsidRPr="00534B09" w:rsidRDefault="0017207D" w:rsidP="00C17D5A">
      <w:pPr>
        <w:ind w:firstLine="540"/>
        <w:jc w:val="both"/>
        <w:rPr>
          <w:b/>
          <w:color w:val="FF0000"/>
        </w:rPr>
      </w:pPr>
    </w:p>
    <w:p w14:paraId="6908E8B4" w14:textId="77777777" w:rsidR="00476FD4" w:rsidRPr="00724021" w:rsidRDefault="009113FA" w:rsidP="00C17D5A">
      <w:pPr>
        <w:ind w:firstLine="540"/>
        <w:jc w:val="both"/>
        <w:rPr>
          <w:b/>
        </w:rPr>
      </w:pPr>
      <w:r w:rsidRPr="00724021">
        <w:rPr>
          <w:b/>
        </w:rPr>
        <w:t xml:space="preserve"> </w:t>
      </w:r>
      <w:r w:rsidR="0097371A" w:rsidRPr="00724021">
        <w:rPr>
          <w:b/>
        </w:rPr>
        <w:t>4.3</w:t>
      </w:r>
      <w:r w:rsidR="00476FD4" w:rsidRPr="00724021">
        <w:rPr>
          <w:b/>
        </w:rPr>
        <w:t>.</w:t>
      </w:r>
      <w:r w:rsidR="00C17D5A" w:rsidRPr="00724021">
        <w:rPr>
          <w:b/>
        </w:rPr>
        <w:t xml:space="preserve"> Начин</w:t>
      </w:r>
      <w:r w:rsidR="00476FD4" w:rsidRPr="00724021">
        <w:rPr>
          <w:b/>
        </w:rPr>
        <w:t xml:space="preserve"> на предоставяне на помощта</w:t>
      </w:r>
    </w:p>
    <w:p w14:paraId="15D41E28" w14:textId="77777777" w:rsidR="00F817D3" w:rsidRPr="00724021" w:rsidRDefault="00193488" w:rsidP="00F817D3">
      <w:pPr>
        <w:ind w:right="-28" w:firstLine="708"/>
        <w:jc w:val="both"/>
      </w:pPr>
      <w:r w:rsidRPr="00724021">
        <w:t xml:space="preserve">Получателят </w:t>
      </w:r>
      <w:r w:rsidR="00BB1DFF" w:rsidRPr="00724021">
        <w:t xml:space="preserve">на помощта по схемата </w:t>
      </w:r>
      <w:r w:rsidRPr="00724021">
        <w:t>има право директно</w:t>
      </w:r>
      <w:r w:rsidR="009113FA" w:rsidRPr="00724021">
        <w:t xml:space="preserve"> </w:t>
      </w:r>
      <w:r w:rsidR="003E1BC4" w:rsidRPr="00724021">
        <w:t>(</w:t>
      </w:r>
      <w:r w:rsidRPr="00724021">
        <w:t>на основание на ЗКПО</w:t>
      </w:r>
      <w:r w:rsidR="003E1BC4" w:rsidRPr="00724021">
        <w:t>)</w:t>
      </w:r>
      <w:r w:rsidRPr="00724021">
        <w:t xml:space="preserve"> на данъчно облекчение</w:t>
      </w:r>
      <w:r w:rsidR="006D636C" w:rsidRPr="00724021">
        <w:t>.</w:t>
      </w:r>
      <w:r w:rsidR="00B376F9" w:rsidRPr="00724021">
        <w:rPr>
          <w:b/>
        </w:rPr>
        <w:t xml:space="preserve"> </w:t>
      </w:r>
    </w:p>
    <w:p w14:paraId="05959311" w14:textId="77777777" w:rsidR="00F817D3" w:rsidRPr="00724021" w:rsidRDefault="006D636C" w:rsidP="00534B09">
      <w:pPr>
        <w:ind w:right="-28" w:firstLine="708"/>
        <w:jc w:val="both"/>
        <w:rPr>
          <w:b/>
        </w:rPr>
      </w:pPr>
      <w:r w:rsidRPr="00724021">
        <w:t>Българските власти не упражняват предварителен контрол и не приемат допълнителни документи</w:t>
      </w:r>
      <w:r w:rsidR="0097371A" w:rsidRPr="00724021">
        <w:rPr>
          <w:b/>
        </w:rPr>
        <w:t>.</w:t>
      </w:r>
      <w:r w:rsidRPr="00724021">
        <w:rPr>
          <w:b/>
        </w:rPr>
        <w:t xml:space="preserve"> </w:t>
      </w:r>
    </w:p>
    <w:p w14:paraId="56379EEF" w14:textId="77777777" w:rsidR="006D636C" w:rsidRPr="00724021" w:rsidRDefault="006D636C" w:rsidP="00193488">
      <w:pPr>
        <w:ind w:right="-28" w:firstLine="708"/>
        <w:jc w:val="both"/>
        <w:rPr>
          <w:b/>
          <w:u w:val="single"/>
        </w:rPr>
      </w:pPr>
      <w:r w:rsidRPr="00724021">
        <w:t>Получаването на помощта по схемата зависи от спазването на предвидените в ЗКПО изисквания, чието изпълнение е предмет на последващ контрол от страна на Националната агенция за приходите. При неизпълнение на някое от приложимите условия, преотстъпения</w:t>
      </w:r>
      <w:r w:rsidR="00F36A8B" w:rsidRPr="00724021">
        <w:t>т</w:t>
      </w:r>
      <w:r w:rsidRPr="00724021">
        <w:t xml:space="preserve"> данък подлежи на възстановяване заедно със съответните лихви.</w:t>
      </w:r>
    </w:p>
    <w:p w14:paraId="2ED913A9" w14:textId="77777777" w:rsidR="000F2C4A" w:rsidRPr="009D483B" w:rsidRDefault="00197060" w:rsidP="009D483B">
      <w:pPr>
        <w:pStyle w:val="Default"/>
        <w:ind w:firstLine="540"/>
        <w:jc w:val="both"/>
        <w:rPr>
          <w:b/>
        </w:rPr>
      </w:pPr>
      <w:r w:rsidRPr="00724021">
        <w:rPr>
          <w:b/>
        </w:rPr>
        <w:tab/>
      </w:r>
    </w:p>
    <w:p w14:paraId="58D41641" w14:textId="77777777" w:rsidR="001C7335" w:rsidRPr="009A0554" w:rsidRDefault="00267BBD" w:rsidP="003B0BF1">
      <w:pPr>
        <w:tabs>
          <w:tab w:val="center" w:pos="142"/>
        </w:tabs>
        <w:ind w:right="-28"/>
        <w:jc w:val="both"/>
        <w:rPr>
          <w:b/>
        </w:rPr>
      </w:pPr>
      <w:r w:rsidRPr="00534B09">
        <w:rPr>
          <w:b/>
          <w:color w:val="FF0000"/>
        </w:rPr>
        <w:tab/>
      </w:r>
      <w:r w:rsidRPr="00534B09">
        <w:rPr>
          <w:b/>
          <w:color w:val="FF0000"/>
        </w:rPr>
        <w:tab/>
      </w:r>
      <w:r w:rsidR="0097371A" w:rsidRPr="005B414D">
        <w:rPr>
          <w:b/>
        </w:rPr>
        <w:t>4.4</w:t>
      </w:r>
      <w:r w:rsidR="00854EA8" w:rsidRPr="005B414D">
        <w:rPr>
          <w:b/>
        </w:rPr>
        <w:t xml:space="preserve">. </w:t>
      </w:r>
      <w:r w:rsidR="001C7335" w:rsidRPr="005B414D">
        <w:rPr>
          <w:b/>
        </w:rPr>
        <w:t>Контрол на помощта по схемата</w:t>
      </w:r>
    </w:p>
    <w:p w14:paraId="5B66AFFA" w14:textId="77777777" w:rsidR="00854EA8" w:rsidRPr="005B414D" w:rsidRDefault="001C7335" w:rsidP="003B0BF1">
      <w:pPr>
        <w:tabs>
          <w:tab w:val="center" w:pos="142"/>
        </w:tabs>
        <w:ind w:right="-28"/>
        <w:jc w:val="both"/>
      </w:pPr>
      <w:r w:rsidRPr="005B414D">
        <w:tab/>
      </w:r>
      <w:r w:rsidRPr="005B414D">
        <w:tab/>
      </w:r>
      <w:r w:rsidR="00854EA8" w:rsidRPr="005B414D">
        <w:t>Националната агенция за приходите</w:t>
      </w:r>
      <w:r w:rsidR="00E4305E" w:rsidRPr="005B414D">
        <w:t xml:space="preserve"> (НАП)</w:t>
      </w:r>
      <w:r w:rsidR="00854EA8" w:rsidRPr="005B414D">
        <w:t xml:space="preserve"> отговаря за правилното прилагане на данъчното законодателство и контролира прилагането на схемата.</w:t>
      </w:r>
    </w:p>
    <w:p w14:paraId="0D79E709" w14:textId="77777777" w:rsidR="007B203D" w:rsidRPr="005B414D" w:rsidRDefault="007B203D" w:rsidP="007B203D">
      <w:pPr>
        <w:pStyle w:val="Style"/>
        <w:tabs>
          <w:tab w:val="left" w:pos="0"/>
        </w:tabs>
        <w:ind w:left="0" w:right="0" w:firstLine="0"/>
        <w:outlineLvl w:val="2"/>
      </w:pPr>
      <w:r w:rsidRPr="005B414D">
        <w:tab/>
        <w:t xml:space="preserve">Националната агенция за приходите ще осъществи следната система от мерки за последващ данъчен контрол по отношение на лицата, ползвали държавна помощ по чл. 189б от ЗКПО: </w:t>
      </w:r>
    </w:p>
    <w:p w14:paraId="18A0F640" w14:textId="77777777" w:rsidR="00AC0537" w:rsidRPr="005B414D" w:rsidRDefault="00AC0537" w:rsidP="00AC0537">
      <w:pPr>
        <w:ind w:firstLine="720"/>
        <w:jc w:val="both"/>
      </w:pPr>
      <w:r w:rsidRPr="005B414D">
        <w:t xml:space="preserve">Съобразно установената в Република България данъчна система, контролът се осъществява чрез два основни подхода - извършване на ревизии и проверки. Ревизията е съвкупност от действия на органите по приходите, насочени към установяване на задължения за данъци и задължителни осигурителни вноски. При проверката органите по приходите събират информация относно спазването на данъчното и осигурителното законодателство от задължените лица. С проверка могат да се установяват определени факти и обстоятелства от значение за задълженията за данъци и задължителни осигурителни вноски, като не се установяват конкретните задължения за данъци и задължителни осигурителни вноски на проверяваното лице. </w:t>
      </w:r>
    </w:p>
    <w:p w14:paraId="7213AEA4" w14:textId="77777777" w:rsidR="00AC0537" w:rsidRPr="005B414D" w:rsidRDefault="00AC0537" w:rsidP="00AC0537">
      <w:pPr>
        <w:ind w:firstLine="720"/>
        <w:jc w:val="both"/>
      </w:pPr>
      <w:r w:rsidRPr="005B414D">
        <w:t>Преценка относно контролното производство, което да бъде предприето по отношение на конкретно лице, се извършва в процеса по селекция на задължени лица. С цел постигане на ефективен и ефикасен контрол, ревизии се извършват преимуществено на лица, при които е налице риск от неспазване на законодателството и същият е значим от гледна точка на фиска. При селекцията, освен че се определя рискът от неплащане на задължения или от неспазване на законодателството в контекста на общото поведение на задълженото лице, се прави и преценка за ефективността от предприемане на определен вид действия както по отношение на конкретно задължено лице, така и относно конкретен вид задължение.</w:t>
      </w:r>
    </w:p>
    <w:p w14:paraId="781FCF06" w14:textId="77777777" w:rsidR="0054268C" w:rsidRPr="005B414D" w:rsidRDefault="0054268C" w:rsidP="00AC0537">
      <w:pPr>
        <w:ind w:firstLine="720"/>
        <w:jc w:val="both"/>
      </w:pPr>
      <w:r w:rsidRPr="005B414D">
        <w:t xml:space="preserve">Във връзка с механизма за контрол на данъчно облекчение, представляващо държавна помощ за земеделски стопани </w:t>
      </w:r>
      <w:r w:rsidRPr="005B414D">
        <w:rPr>
          <w:lang w:eastAsia="en-US"/>
        </w:rPr>
        <w:t>по чл. 189б от ЗКПО</w:t>
      </w:r>
      <w:r w:rsidRPr="005B414D">
        <w:t xml:space="preserve"> </w:t>
      </w:r>
      <w:r w:rsidR="00AE6DB1" w:rsidRPr="00534B09">
        <w:rPr>
          <w:lang w:val="en-US"/>
        </w:rPr>
        <w:t xml:space="preserve"> </w:t>
      </w:r>
      <w:r w:rsidR="00AE6DB1" w:rsidRPr="00534B09">
        <w:t xml:space="preserve">ще се </w:t>
      </w:r>
      <w:r w:rsidRPr="005B414D">
        <w:t>разработ</w:t>
      </w:r>
      <w:r w:rsidR="00AE6DB1" w:rsidRPr="00534B09">
        <w:t>ят</w:t>
      </w:r>
      <w:r w:rsidRPr="005B414D">
        <w:t xml:space="preserve"> рискови профили за активна селекция, изразяваща се в оценка на задължени лица – физически и юридически, декларирали преотстъпен корпоративен данък по чл. 189б от ЗКПО</w:t>
      </w:r>
      <w:r w:rsidR="006A249C" w:rsidRPr="005B414D">
        <w:t xml:space="preserve"> за периодите </w:t>
      </w:r>
      <w:r w:rsidR="00AE6DB1" w:rsidRPr="00534B09">
        <w:t xml:space="preserve">на </w:t>
      </w:r>
      <w:r w:rsidR="00AE3FE4" w:rsidRPr="00534B09">
        <w:t xml:space="preserve">прилагане на </w:t>
      </w:r>
      <w:r w:rsidR="00AE6DB1" w:rsidRPr="00534B09">
        <w:t>схемата.</w:t>
      </w:r>
    </w:p>
    <w:p w14:paraId="77560659" w14:textId="77777777" w:rsidR="006A249C" w:rsidRPr="005B414D" w:rsidRDefault="006A249C" w:rsidP="00AC0537">
      <w:pPr>
        <w:ind w:firstLine="720"/>
        <w:jc w:val="both"/>
      </w:pPr>
      <w:r w:rsidRPr="005B414D">
        <w:t xml:space="preserve">В зависимост от резултатите от активната селекция, </w:t>
      </w:r>
      <w:r w:rsidR="00AE6DB1" w:rsidRPr="00534B09">
        <w:t xml:space="preserve">ще </w:t>
      </w:r>
      <w:r w:rsidRPr="005B414D">
        <w:t>се възлага извършването на проверки или ревизии на задължените лица.</w:t>
      </w:r>
    </w:p>
    <w:p w14:paraId="3A3E7733" w14:textId="77777777" w:rsidR="006A249C" w:rsidRPr="005B414D" w:rsidRDefault="00AE6DB1" w:rsidP="004B01EF">
      <w:pPr>
        <w:ind w:firstLine="708"/>
        <w:jc w:val="both"/>
        <w:rPr>
          <w:b/>
        </w:rPr>
      </w:pPr>
      <w:r w:rsidRPr="00534B09">
        <w:t>Целта</w:t>
      </w:r>
      <w:r w:rsidR="006A249C" w:rsidRPr="005B414D">
        <w:t xml:space="preserve"> на проверките </w:t>
      </w:r>
      <w:r w:rsidRPr="00534B09">
        <w:t xml:space="preserve">е да </w:t>
      </w:r>
      <w:r w:rsidR="006A249C" w:rsidRPr="005B414D">
        <w:t xml:space="preserve">се установят наличието или липсата на изпълнение на всички условия по чл. 167, чл. 182, ал. 5, чл. 189б и чл. 190 от ЗКПО. При </w:t>
      </w:r>
      <w:r w:rsidRPr="00534B09">
        <w:t xml:space="preserve">установено </w:t>
      </w:r>
      <w:r w:rsidR="006A249C" w:rsidRPr="005B414D">
        <w:t xml:space="preserve">неизпълнение на някое от условията за ползване на държавна помощ за земеделски стопани, се изпраща до задълженото лице покана по чл. 103 от ДОПК за отстраняване на несъответствия, чрез подаване на коригираща декларация и внасяне на дължимите задължения. В случай, че лицето не се яви в срока, указан в съобщението, или не подаде коригираща декларация, се издава Акт за установяване на задължение (АУЗ). </w:t>
      </w:r>
    </w:p>
    <w:p w14:paraId="096FA48A" w14:textId="77777777" w:rsidR="006A249C" w:rsidRPr="005B414D" w:rsidRDefault="006A249C" w:rsidP="004B01EF">
      <w:pPr>
        <w:ind w:firstLine="709"/>
        <w:jc w:val="both"/>
      </w:pPr>
      <w:r w:rsidRPr="005B414D">
        <w:t xml:space="preserve">В случай че ползване на облекчението не може да се откаже с АУЗ, се преминава към възлагане на ревизия. </w:t>
      </w:r>
    </w:p>
    <w:p w14:paraId="1B0800C7" w14:textId="77777777" w:rsidR="006A249C" w:rsidRPr="005B414D" w:rsidRDefault="006A249C" w:rsidP="004B01EF">
      <w:pPr>
        <w:ind w:firstLine="708"/>
        <w:jc w:val="both"/>
      </w:pPr>
      <w:r w:rsidRPr="005B414D">
        <w:t xml:space="preserve">Ревизионни актове за признаване/отказване на правото на ползване на данъчно облекчение, представляващо държавна помощ за земеделски стопани </w:t>
      </w:r>
      <w:r w:rsidRPr="005B414D">
        <w:rPr>
          <w:lang w:eastAsia="en-US"/>
        </w:rPr>
        <w:t xml:space="preserve">по чл. 189б от ЗКПО, преди изтичане на сроковете за изпълнение на всички </w:t>
      </w:r>
      <w:r w:rsidRPr="005B414D">
        <w:t>условия за преотстъпване на данъка не се издават.</w:t>
      </w:r>
    </w:p>
    <w:p w14:paraId="1D128014" w14:textId="77777777" w:rsidR="004B01EF" w:rsidRPr="005B414D" w:rsidRDefault="004B01EF" w:rsidP="004B01EF">
      <w:pPr>
        <w:jc w:val="both"/>
        <w:rPr>
          <w:bCs/>
        </w:rPr>
      </w:pPr>
      <w:r w:rsidRPr="00534B09">
        <w:tab/>
        <w:t>Описаният механизъм за контрол ще бъде запазен за целия срок на прилагане на схемата</w:t>
      </w:r>
      <w:r w:rsidRPr="005B414D">
        <w:t>.</w:t>
      </w:r>
    </w:p>
    <w:p w14:paraId="69C83211" w14:textId="77777777" w:rsidR="00AC0537" w:rsidRPr="00534B09" w:rsidRDefault="00AC0537" w:rsidP="003B0BF1">
      <w:pPr>
        <w:tabs>
          <w:tab w:val="center" w:pos="142"/>
        </w:tabs>
        <w:ind w:right="-28"/>
        <w:jc w:val="both"/>
      </w:pPr>
    </w:p>
    <w:p w14:paraId="403595DC" w14:textId="77777777" w:rsidR="003B0BF1" w:rsidRPr="00724021" w:rsidRDefault="003B0BF1" w:rsidP="003B0BF1">
      <w:pPr>
        <w:tabs>
          <w:tab w:val="center" w:pos="142"/>
        </w:tabs>
        <w:ind w:right="-28"/>
        <w:jc w:val="both"/>
        <w:rPr>
          <w:b/>
        </w:rPr>
      </w:pPr>
      <w:r w:rsidRPr="00724021">
        <w:tab/>
      </w:r>
      <w:r w:rsidR="001D438A" w:rsidRPr="00724021">
        <w:tab/>
      </w:r>
      <w:r w:rsidR="003C5EAD" w:rsidRPr="00724021">
        <w:rPr>
          <w:b/>
        </w:rPr>
        <w:t>5</w:t>
      </w:r>
      <w:r w:rsidRPr="00724021">
        <w:rPr>
          <w:b/>
        </w:rPr>
        <w:t>. Ползватели</w:t>
      </w:r>
    </w:p>
    <w:p w14:paraId="62C2F109" w14:textId="77777777" w:rsidR="0068328C" w:rsidRPr="00724021" w:rsidRDefault="001D438A" w:rsidP="003B0BF1">
      <w:pPr>
        <w:tabs>
          <w:tab w:val="center" w:pos="142"/>
        </w:tabs>
        <w:ind w:right="-28"/>
        <w:jc w:val="both"/>
      </w:pPr>
      <w:r w:rsidRPr="00724021">
        <w:tab/>
      </w:r>
      <w:r w:rsidRPr="00724021">
        <w:tab/>
      </w:r>
      <w:r w:rsidR="003B0BF1" w:rsidRPr="00724021">
        <w:t xml:space="preserve">Помощта се предоставя на </w:t>
      </w:r>
      <w:r w:rsidR="00E12E12" w:rsidRPr="00724021">
        <w:t>данъчно задължени лица</w:t>
      </w:r>
      <w:r w:rsidR="001A4CB0" w:rsidRPr="00724021">
        <w:t>,</w:t>
      </w:r>
      <w:r w:rsidR="00E12E12" w:rsidRPr="00724021">
        <w:t xml:space="preserve"> </w:t>
      </w:r>
      <w:r w:rsidR="004D3688" w:rsidRPr="00724021">
        <w:t>(юридически лица и еднолични търговци)</w:t>
      </w:r>
      <w:r w:rsidR="00C24095" w:rsidRPr="00724021">
        <w:t xml:space="preserve"> </w:t>
      </w:r>
      <w:r w:rsidR="00ED2397" w:rsidRPr="00724021">
        <w:t>-</w:t>
      </w:r>
      <w:r w:rsidR="00E12E12" w:rsidRPr="00724021">
        <w:t xml:space="preserve"> </w:t>
      </w:r>
      <w:r w:rsidR="003B0BF1" w:rsidRPr="00724021">
        <w:t xml:space="preserve">земеделски </w:t>
      </w:r>
      <w:r w:rsidR="00C47EAD" w:rsidRPr="00724021">
        <w:t>стопани</w:t>
      </w:r>
      <w:r w:rsidR="003B0BF1" w:rsidRPr="00724021">
        <w:t>, отговарящи на следните условия:</w:t>
      </w:r>
    </w:p>
    <w:p w14:paraId="6BA5D77C" w14:textId="77777777" w:rsidR="001A4CB0" w:rsidRPr="00724021" w:rsidRDefault="001A4CB0" w:rsidP="00EF7840">
      <w:pPr>
        <w:ind w:firstLine="708"/>
        <w:jc w:val="both"/>
      </w:pPr>
      <w:r w:rsidRPr="00724021">
        <w:t xml:space="preserve">5.1. Да са </w:t>
      </w:r>
      <w:r w:rsidR="00152791">
        <w:t>микро-, малки или средни предприятия</w:t>
      </w:r>
      <w:r w:rsidR="00152791" w:rsidRPr="00724021">
        <w:t xml:space="preserve"> </w:t>
      </w:r>
      <w:r w:rsidRPr="00724021">
        <w:t xml:space="preserve">съгласно критериите, определени в Приложение І от </w:t>
      </w:r>
      <w:r w:rsidR="003D51A0" w:rsidRPr="00724021">
        <w:t>Регламент (ЕС) 2022/2472</w:t>
      </w:r>
      <w:r w:rsidRPr="00724021">
        <w:t>;</w:t>
      </w:r>
    </w:p>
    <w:p w14:paraId="54489B7E" w14:textId="77777777" w:rsidR="0027206E" w:rsidRPr="00724021" w:rsidRDefault="001D438A" w:rsidP="00EF7840">
      <w:pPr>
        <w:tabs>
          <w:tab w:val="center" w:pos="142"/>
        </w:tabs>
        <w:ind w:right="-28"/>
        <w:jc w:val="both"/>
        <w:rPr>
          <w:bCs/>
        </w:rPr>
      </w:pPr>
      <w:r w:rsidRPr="00724021">
        <w:tab/>
      </w:r>
      <w:r w:rsidRPr="00724021">
        <w:tab/>
      </w:r>
      <w:r w:rsidR="0068328C" w:rsidRPr="00724021">
        <w:t>5.1. Да са регистрирани по реда на Наредба № 3 от 1999 г.</w:t>
      </w:r>
      <w:r w:rsidR="002D4D8F" w:rsidRPr="00724021">
        <w:t xml:space="preserve"> </w:t>
      </w:r>
      <w:r w:rsidR="0068328C" w:rsidRPr="00724021">
        <w:t xml:space="preserve">за създаване и поддържане на регистър на земеделските </w:t>
      </w:r>
      <w:r w:rsidR="00056E83" w:rsidRPr="00724021">
        <w:t>стопани</w:t>
      </w:r>
      <w:r w:rsidR="00C47EAD" w:rsidRPr="00724021">
        <w:rPr>
          <w:bCs/>
        </w:rPr>
        <w:t>;</w:t>
      </w:r>
    </w:p>
    <w:p w14:paraId="00821CE6" w14:textId="77777777" w:rsidR="00995085" w:rsidRPr="00724021" w:rsidRDefault="00EC1DC4" w:rsidP="00EF7840">
      <w:pPr>
        <w:tabs>
          <w:tab w:val="center" w:pos="142"/>
        </w:tabs>
        <w:ind w:right="-28"/>
        <w:jc w:val="both"/>
      </w:pPr>
      <w:r w:rsidRPr="00724021">
        <w:tab/>
      </w:r>
      <w:r w:rsidRPr="00724021">
        <w:tab/>
      </w:r>
      <w:r w:rsidR="00ED2397" w:rsidRPr="00724021">
        <w:t>5</w:t>
      </w:r>
      <w:r w:rsidR="003B0BF1" w:rsidRPr="00724021">
        <w:t>.</w:t>
      </w:r>
      <w:r w:rsidR="00526F2D" w:rsidRPr="00724021">
        <w:t>2</w:t>
      </w:r>
      <w:r w:rsidR="003B0BF1" w:rsidRPr="00724021">
        <w:t>. Да не са предприятия в затру</w:t>
      </w:r>
      <w:r w:rsidR="00EF3A86" w:rsidRPr="00724021">
        <w:t>днено положение</w:t>
      </w:r>
      <w:r w:rsidR="003B0BF1" w:rsidRPr="00724021">
        <w:rPr>
          <w:rStyle w:val="FootnoteReference"/>
        </w:rPr>
        <w:footnoteReference w:id="4"/>
      </w:r>
      <w:r w:rsidR="003B0BF1" w:rsidRPr="00724021">
        <w:t xml:space="preserve"> по смисъла на </w:t>
      </w:r>
      <w:r w:rsidR="003D51A0" w:rsidRPr="00936E0B">
        <w:t>член 2, точка 18 от Регламент (ЕС) № 651/2014 на Комисията</w:t>
      </w:r>
      <w:r w:rsidR="00526F2D" w:rsidRPr="00936E0B">
        <w:t>;</w:t>
      </w:r>
    </w:p>
    <w:p w14:paraId="1A9B5B27" w14:textId="77777777" w:rsidR="00526F2D" w:rsidRPr="00724021" w:rsidRDefault="003F1411" w:rsidP="00EF7840">
      <w:pPr>
        <w:tabs>
          <w:tab w:val="center" w:pos="142"/>
        </w:tabs>
        <w:ind w:right="-28"/>
        <w:jc w:val="both"/>
      </w:pPr>
      <w:r w:rsidRPr="00724021">
        <w:tab/>
      </w:r>
      <w:r w:rsidRPr="00724021">
        <w:tab/>
      </w:r>
      <w:r w:rsidR="00526F2D" w:rsidRPr="00724021">
        <w:t>5.3. Да изпълняват условия</w:t>
      </w:r>
      <w:r w:rsidR="00560731" w:rsidRPr="00724021">
        <w:t>та</w:t>
      </w:r>
      <w:r w:rsidR="00526F2D" w:rsidRPr="00724021">
        <w:t xml:space="preserve"> за преотстъпване на корпоративен данък, заложени в ЗКПО.</w:t>
      </w:r>
    </w:p>
    <w:p w14:paraId="5504B877" w14:textId="77777777" w:rsidR="009C07FD" w:rsidRPr="00724021" w:rsidRDefault="00B86243" w:rsidP="00EF7840">
      <w:pPr>
        <w:tabs>
          <w:tab w:val="center" w:pos="142"/>
        </w:tabs>
        <w:ind w:right="-28"/>
        <w:jc w:val="both"/>
      </w:pPr>
      <w:r w:rsidRPr="00724021">
        <w:tab/>
      </w:r>
      <w:r w:rsidRPr="00724021">
        <w:tab/>
      </w:r>
    </w:p>
    <w:p w14:paraId="312595A5" w14:textId="77777777" w:rsidR="00A92AD8" w:rsidRDefault="00EF7840" w:rsidP="00044A4E">
      <w:pPr>
        <w:pStyle w:val="NormalWeb"/>
        <w:spacing w:before="0" w:beforeAutospacing="0" w:after="0" w:afterAutospacing="0"/>
        <w:jc w:val="both"/>
        <w:rPr>
          <w:b/>
        </w:rPr>
      </w:pPr>
      <w:r w:rsidRPr="00724021">
        <w:rPr>
          <w:b/>
        </w:rPr>
        <w:tab/>
      </w:r>
      <w:r w:rsidR="000B54EA" w:rsidRPr="00724021">
        <w:rPr>
          <w:b/>
        </w:rPr>
        <w:t>6</w:t>
      </w:r>
      <w:r w:rsidR="009C07FD" w:rsidRPr="00724021">
        <w:rPr>
          <w:b/>
        </w:rPr>
        <w:t xml:space="preserve">. </w:t>
      </w:r>
      <w:r w:rsidR="00A92AD8" w:rsidRPr="00724021">
        <w:rPr>
          <w:b/>
        </w:rPr>
        <w:t>Срок на прилагане</w:t>
      </w:r>
      <w:r w:rsidR="00E433B6">
        <w:rPr>
          <w:b/>
        </w:rPr>
        <w:t xml:space="preserve">, </w:t>
      </w:r>
      <w:r w:rsidR="00A92AD8">
        <w:rPr>
          <w:b/>
        </w:rPr>
        <w:t>д</w:t>
      </w:r>
      <w:r w:rsidR="009C07FD" w:rsidRPr="00724021">
        <w:rPr>
          <w:b/>
        </w:rPr>
        <w:t xml:space="preserve">ата </w:t>
      </w:r>
      <w:r w:rsidR="00E433B6">
        <w:rPr>
          <w:b/>
        </w:rPr>
        <w:t>и условия за</w:t>
      </w:r>
      <w:r w:rsidR="009C07FD" w:rsidRPr="00724021">
        <w:rPr>
          <w:b/>
        </w:rPr>
        <w:t xml:space="preserve"> въвеждане на схемата: </w:t>
      </w:r>
    </w:p>
    <w:p w14:paraId="09EAA606" w14:textId="77777777" w:rsidR="00A92AD8" w:rsidRDefault="000C3FC2" w:rsidP="00A92AD8">
      <w:pPr>
        <w:pStyle w:val="style0"/>
        <w:ind w:firstLine="708"/>
      </w:pPr>
      <w:r>
        <w:t xml:space="preserve">6.1. </w:t>
      </w:r>
      <w:r w:rsidR="00A92AD8">
        <w:t xml:space="preserve">Данъчното облекчение по чл. 189б се прилага само след датата на получаване на окончателния номер на помощта в Регистъра на държавните помощи на Европейската комисия, при спазване на условията на глава І и чл. 14 от Регламент (ЕС) 2022/2472. </w:t>
      </w:r>
    </w:p>
    <w:p w14:paraId="09EFE7CF" w14:textId="77777777" w:rsidR="00A92AD8" w:rsidRDefault="00A92AD8" w:rsidP="00A92AD8">
      <w:pPr>
        <w:pStyle w:val="style0"/>
        <w:ind w:firstLine="708"/>
      </w:pPr>
      <w:r>
        <w:t>Преотстъпване на авансови вноски за корпоративен данък на земеделски стопани не се допуска до датата на получаване на окончателния номер на помощта в Регистъра на държавните помощи на Европейската комисия. Данъчното облекчение се прилага за 2023 г., в случай че окончателният номер на помощта в Регистъра на държавните помощи на Европейската комисия е получен до 30 юни 2024 г. включително.</w:t>
      </w:r>
    </w:p>
    <w:p w14:paraId="539CA972" w14:textId="77777777" w:rsidR="00A92AD8" w:rsidRDefault="00A92AD8" w:rsidP="00A92AD8">
      <w:pPr>
        <w:pStyle w:val="style0"/>
        <w:ind w:firstLine="708"/>
      </w:pPr>
      <w:r>
        <w:t>Данъчното облекчение по чл. 189б, представляващо държавна помощ за земеделски стопани, може да се ползва до 31 декември 2029 г., включително за корпоративния данък за 2029 г.</w:t>
      </w:r>
    </w:p>
    <w:p w14:paraId="3C1D4B90" w14:textId="77777777" w:rsidR="00A92AD8" w:rsidRPr="006A0637" w:rsidRDefault="00461BD0" w:rsidP="00A92AD8">
      <w:pPr>
        <w:pStyle w:val="style0"/>
        <w:ind w:firstLine="708"/>
      </w:pPr>
      <w:r>
        <w:t xml:space="preserve">6.2. </w:t>
      </w:r>
      <w:r w:rsidR="00A92AD8" w:rsidRPr="006A0637">
        <w:t>Данъчното облекчение по чл. 48, ал. 6 от Закона за данъците върху доходите на физическите лица се прилага само след датата на получаване на окончателния номер на помощта в Регистъра на държавните помощи на Европейската комисия, при спазване на условията на глава І и чл.</w:t>
      </w:r>
      <w:r>
        <w:t xml:space="preserve"> 14 от Регламент (ЕС) 2022/2472. </w:t>
      </w:r>
      <w:r w:rsidR="00A92AD8" w:rsidRPr="006A0637">
        <w:t>Преотстъпване на авансови вноски за данък върху годишната данъчна основа по чл. 28 на земеделските стопани не се допуска до датата на получаване на окончателния номер на помощта в Регистъра на държавните помощи на Европейската комисия. Данъчното облекчение се прилага за 2023 г., в случай че окончателният номер на помощта в Регистъра на държавните помощи на Европейската комисия е получен до 30 юни 2024 г. включително.</w:t>
      </w:r>
    </w:p>
    <w:p w14:paraId="4AE8A249" w14:textId="77777777" w:rsidR="00A92AD8" w:rsidRPr="006A0637" w:rsidRDefault="00A92AD8" w:rsidP="00A92AD8">
      <w:pPr>
        <w:pStyle w:val="style0"/>
        <w:ind w:firstLine="708"/>
      </w:pPr>
      <w:r w:rsidRPr="006A0637">
        <w:t>Данъчното облекчение по чл. 48, ал. 6 от Закона за данъците върху доходите на физическите лица може да се ползва до 31 декември 2029 г., включително за данъка върху годишната данъчна основа по чл. 28 за 2029 г.</w:t>
      </w:r>
    </w:p>
    <w:p w14:paraId="59A6B597" w14:textId="77777777" w:rsidR="00A92AD8" w:rsidRDefault="00A92AD8" w:rsidP="00044A4E">
      <w:pPr>
        <w:pStyle w:val="NormalWeb"/>
        <w:spacing w:before="0" w:beforeAutospacing="0" w:after="0" w:afterAutospacing="0"/>
        <w:jc w:val="both"/>
        <w:rPr>
          <w:b/>
        </w:rPr>
      </w:pPr>
    </w:p>
    <w:p w14:paraId="6B915159" w14:textId="77777777" w:rsidR="00231839" w:rsidRPr="009D483B" w:rsidRDefault="001643B7" w:rsidP="00170429">
      <w:pPr>
        <w:pStyle w:val="FootnoteText"/>
        <w:ind w:firstLine="708"/>
        <w:jc w:val="both"/>
      </w:pPr>
      <w:r>
        <w:rPr>
          <w:sz w:val="24"/>
          <w:szCs w:val="24"/>
        </w:rPr>
        <w:t xml:space="preserve">6.3. </w:t>
      </w:r>
      <w:r w:rsidR="003829CF" w:rsidRPr="009D483B">
        <w:rPr>
          <w:sz w:val="24"/>
          <w:szCs w:val="24"/>
        </w:rPr>
        <w:t>Данъчното облекчение за данъчна 202</w:t>
      </w:r>
      <w:r w:rsidR="000E2CDE" w:rsidRPr="009D483B">
        <w:rPr>
          <w:sz w:val="24"/>
          <w:szCs w:val="24"/>
        </w:rPr>
        <w:t>9</w:t>
      </w:r>
      <w:r w:rsidR="003829CF" w:rsidRPr="009D483B">
        <w:rPr>
          <w:sz w:val="24"/>
          <w:szCs w:val="24"/>
        </w:rPr>
        <w:t xml:space="preserve"> г. ще се ползва с подаване на Годишната данъчна декларация </w:t>
      </w:r>
      <w:r w:rsidR="00056E83" w:rsidRPr="009D483B">
        <w:rPr>
          <w:sz w:val="24"/>
          <w:szCs w:val="24"/>
        </w:rPr>
        <w:t>през 20</w:t>
      </w:r>
      <w:r w:rsidR="000E2CDE" w:rsidRPr="009D483B">
        <w:rPr>
          <w:sz w:val="24"/>
          <w:szCs w:val="24"/>
        </w:rPr>
        <w:t>30</w:t>
      </w:r>
      <w:r w:rsidR="00056E83" w:rsidRPr="009D483B">
        <w:rPr>
          <w:sz w:val="24"/>
          <w:szCs w:val="24"/>
        </w:rPr>
        <w:t xml:space="preserve"> г.</w:t>
      </w:r>
      <w:r w:rsidR="009D483B" w:rsidRPr="009D483B">
        <w:rPr>
          <w:sz w:val="24"/>
          <w:szCs w:val="24"/>
        </w:rPr>
        <w:t xml:space="preserve">  </w:t>
      </w:r>
      <w:r w:rsidR="00BA7F26" w:rsidRPr="009D483B">
        <w:rPr>
          <w:sz w:val="24"/>
          <w:szCs w:val="24"/>
        </w:rPr>
        <w:t>Инвест</w:t>
      </w:r>
      <w:r w:rsidR="00532207" w:rsidRPr="009D483B">
        <w:rPr>
          <w:sz w:val="24"/>
          <w:szCs w:val="24"/>
        </w:rPr>
        <w:t>ицията следва да бъде извършена</w:t>
      </w:r>
      <w:r w:rsidR="00BA7F26" w:rsidRPr="009D483B">
        <w:rPr>
          <w:sz w:val="24"/>
          <w:szCs w:val="24"/>
        </w:rPr>
        <w:t xml:space="preserve"> в срок до края на 20</w:t>
      </w:r>
      <w:r w:rsidR="000E2CDE" w:rsidRPr="009D483B">
        <w:rPr>
          <w:sz w:val="24"/>
          <w:szCs w:val="24"/>
        </w:rPr>
        <w:t>30</w:t>
      </w:r>
      <w:r w:rsidR="00BA7F26" w:rsidRPr="009D483B">
        <w:rPr>
          <w:sz w:val="24"/>
          <w:szCs w:val="24"/>
        </w:rPr>
        <w:t xml:space="preserve"> г.</w:t>
      </w:r>
    </w:p>
    <w:p w14:paraId="40EAA7F6" w14:textId="77777777" w:rsidR="00AC0537" w:rsidRPr="00724021" w:rsidRDefault="00AC0537" w:rsidP="00231839">
      <w:pPr>
        <w:jc w:val="both"/>
        <w:rPr>
          <w:b/>
        </w:rPr>
      </w:pPr>
    </w:p>
    <w:p w14:paraId="2B85E08C" w14:textId="1B0D41D7" w:rsidR="007C2588" w:rsidRPr="00387AE4" w:rsidRDefault="007C2588" w:rsidP="00387AE4">
      <w:pPr>
        <w:ind w:firstLine="720"/>
        <w:jc w:val="both"/>
      </w:pPr>
      <w:r w:rsidRPr="005A3A4F">
        <w:rPr>
          <w:b/>
        </w:rPr>
        <w:t xml:space="preserve">8. Бюджет </w:t>
      </w:r>
      <w:r w:rsidR="009D483B" w:rsidRPr="005A3A4F">
        <w:rPr>
          <w:b/>
        </w:rPr>
        <w:t>по</w:t>
      </w:r>
      <w:r w:rsidRPr="005A3A4F">
        <w:rPr>
          <w:b/>
        </w:rPr>
        <w:t xml:space="preserve"> схемата:</w:t>
      </w:r>
      <w:r w:rsidRPr="009D483B">
        <w:t xml:space="preserve"> формира се като част от годишно предвидените данъци, които няма да бъдат събирани за периода 2023 г. – 2029 г. или </w:t>
      </w:r>
      <w:r w:rsidRPr="009D483B">
        <w:rPr>
          <w:bCs/>
        </w:rPr>
        <w:t>общият размер на преотстъпения данък на данъчно задължените лица за периода на прилагане на схемата.</w:t>
      </w:r>
    </w:p>
    <w:p w14:paraId="1E60C8F6" w14:textId="491159D8" w:rsidR="00440A83" w:rsidRPr="00724021" w:rsidRDefault="007C2588" w:rsidP="00387AE4">
      <w:pPr>
        <w:ind w:firstLine="720"/>
        <w:jc w:val="both"/>
        <w:rPr>
          <w:bCs/>
        </w:rPr>
      </w:pPr>
      <w:r w:rsidRPr="009D483B">
        <w:rPr>
          <w:bCs/>
        </w:rPr>
        <w:t>Предвижда се за периода</w:t>
      </w:r>
      <w:r w:rsidR="00440A83" w:rsidRPr="009D483B">
        <w:rPr>
          <w:bCs/>
        </w:rPr>
        <w:t>,</w:t>
      </w:r>
      <w:r w:rsidRPr="009D483B">
        <w:rPr>
          <w:bCs/>
        </w:rPr>
        <w:t xml:space="preserve"> включващ данъчни години от 2023 г. до 2029 г., максималният прогнозен бюджет да е в размер до 1 милиард лв. за периода на прилагане.</w:t>
      </w:r>
      <w:r w:rsidRPr="009D483B">
        <w:rPr>
          <w:bCs/>
          <w:u w:val="single"/>
        </w:rPr>
        <w:t xml:space="preserve"> </w:t>
      </w:r>
    </w:p>
    <w:p w14:paraId="020A40A4" w14:textId="77777777" w:rsidR="002323D3" w:rsidRPr="009D483B" w:rsidRDefault="002323D3" w:rsidP="002323D3">
      <w:pPr>
        <w:ind w:firstLine="708"/>
        <w:jc w:val="both"/>
        <w:rPr>
          <w:bCs/>
        </w:rPr>
      </w:pPr>
      <w:r w:rsidRPr="009D483B">
        <w:rPr>
          <w:bCs/>
        </w:rPr>
        <w:t xml:space="preserve">В общия бюджет на схемата са включени средства за преотстъпване </w:t>
      </w:r>
      <w:r w:rsidR="007E6C2D" w:rsidRPr="009D483B">
        <w:rPr>
          <w:bCs/>
        </w:rPr>
        <w:t xml:space="preserve">на корпоративен данък </w:t>
      </w:r>
      <w:r w:rsidRPr="009D483B">
        <w:rPr>
          <w:bCs/>
        </w:rPr>
        <w:t>и за данъчна 202</w:t>
      </w:r>
      <w:r w:rsidR="00A24FFE" w:rsidRPr="009D483B">
        <w:rPr>
          <w:bCs/>
        </w:rPr>
        <w:t>9</w:t>
      </w:r>
      <w:r w:rsidRPr="009D483B">
        <w:rPr>
          <w:bCs/>
        </w:rPr>
        <w:t xml:space="preserve"> година.</w:t>
      </w:r>
    </w:p>
    <w:p w14:paraId="5E5E7AB0" w14:textId="77777777" w:rsidR="003F1411" w:rsidRPr="00724021" w:rsidRDefault="003F1411" w:rsidP="003B0BF1">
      <w:pPr>
        <w:jc w:val="both"/>
        <w:rPr>
          <w:b/>
        </w:rPr>
      </w:pPr>
    </w:p>
    <w:p w14:paraId="6995AB19" w14:textId="77777777" w:rsidR="006E39DF" w:rsidRPr="00724021" w:rsidRDefault="001D438A" w:rsidP="006E39DF">
      <w:pPr>
        <w:tabs>
          <w:tab w:val="center" w:pos="142"/>
        </w:tabs>
        <w:jc w:val="both"/>
        <w:rPr>
          <w:b/>
        </w:rPr>
      </w:pPr>
      <w:r w:rsidRPr="00724021">
        <w:rPr>
          <w:b/>
        </w:rPr>
        <w:tab/>
      </w:r>
      <w:r w:rsidRPr="00724021">
        <w:rPr>
          <w:b/>
        </w:rPr>
        <w:tab/>
      </w:r>
      <w:r w:rsidR="006E39DF" w:rsidRPr="00724021">
        <w:rPr>
          <w:b/>
        </w:rPr>
        <w:t>9. Допустими инвестиции и приемливи разходи:</w:t>
      </w:r>
    </w:p>
    <w:p w14:paraId="2DD1C3E9" w14:textId="77777777" w:rsidR="006E39DF" w:rsidRPr="00724021" w:rsidRDefault="006E39DF" w:rsidP="001D438A">
      <w:pPr>
        <w:ind w:firstLine="708"/>
        <w:jc w:val="both"/>
      </w:pPr>
      <w:r w:rsidRPr="00724021">
        <w:t xml:space="preserve">9.1.  За допустими по схемата се считат  инвестициите </w:t>
      </w:r>
      <w:r w:rsidR="00D81E34" w:rsidRPr="00724021">
        <w:t>в следните активи</w:t>
      </w:r>
      <w:r w:rsidRPr="00724021">
        <w:t>:</w:t>
      </w:r>
    </w:p>
    <w:p w14:paraId="635595B6" w14:textId="77777777" w:rsidR="006E39DF" w:rsidRPr="00724021" w:rsidRDefault="006E39DF" w:rsidP="001D438A">
      <w:pPr>
        <w:ind w:firstLine="708"/>
        <w:jc w:val="both"/>
      </w:pPr>
      <w:r w:rsidRPr="00724021">
        <w:t>а) нови сгради;</w:t>
      </w:r>
    </w:p>
    <w:p w14:paraId="5A83691C" w14:textId="5B93A96F" w:rsidR="00387AE4" w:rsidRDefault="003646A2" w:rsidP="00387AE4">
      <w:pPr>
        <w:ind w:firstLine="708"/>
        <w:jc w:val="both"/>
      </w:pPr>
      <w:r w:rsidRPr="00724021">
        <w:t>б) нова земеделска техника</w:t>
      </w:r>
      <w:r w:rsidR="003248CA" w:rsidRPr="00724021">
        <w:t>.</w:t>
      </w:r>
    </w:p>
    <w:p w14:paraId="4AD7F4B8" w14:textId="77777777" w:rsidR="00387AE4" w:rsidRPr="00724021" w:rsidRDefault="00387AE4" w:rsidP="00387AE4">
      <w:pPr>
        <w:ind w:firstLine="708"/>
        <w:jc w:val="both"/>
      </w:pPr>
    </w:p>
    <w:p w14:paraId="21920569" w14:textId="77777777" w:rsidR="00E230DB" w:rsidRPr="00724021" w:rsidRDefault="002C0338" w:rsidP="001D438A">
      <w:pPr>
        <w:ind w:firstLine="708"/>
        <w:jc w:val="both"/>
        <w:rPr>
          <w:b/>
        </w:rPr>
      </w:pPr>
      <w:r w:rsidRPr="00724021">
        <w:rPr>
          <w:b/>
        </w:rPr>
        <w:t>9</w:t>
      </w:r>
      <w:r w:rsidR="00E230DB" w:rsidRPr="00724021">
        <w:rPr>
          <w:b/>
        </w:rPr>
        <w:t>.2. Приемливите разходи по допустимите инвестиции са за</w:t>
      </w:r>
      <w:r w:rsidRPr="00724021">
        <w:rPr>
          <w:b/>
        </w:rPr>
        <w:t>:</w:t>
      </w:r>
    </w:p>
    <w:p w14:paraId="79E65B84" w14:textId="77777777" w:rsidR="00402192" w:rsidRPr="00724021" w:rsidRDefault="00402192" w:rsidP="001D438A">
      <w:pPr>
        <w:ind w:firstLine="708"/>
        <w:jc w:val="both"/>
      </w:pPr>
      <w:r w:rsidRPr="00724021">
        <w:t xml:space="preserve">а) изграждане </w:t>
      </w:r>
      <w:r w:rsidR="00231839" w:rsidRPr="00724021">
        <w:t xml:space="preserve">или придобиване </w:t>
      </w:r>
      <w:r w:rsidRPr="00724021">
        <w:t>на нова сграда</w:t>
      </w:r>
      <w:r w:rsidR="00535444" w:rsidRPr="00724021">
        <w:t>,</w:t>
      </w:r>
      <w:r w:rsidR="00747CDC">
        <w:t xml:space="preserve"> </w:t>
      </w:r>
      <w:r w:rsidR="00535444" w:rsidRPr="00724021">
        <w:t>необходима за извършване на дейност по производство на непреработена растителна и животинска продукция;</w:t>
      </w:r>
    </w:p>
    <w:p w14:paraId="1551D702" w14:textId="77777777" w:rsidR="00DC381E" w:rsidRPr="00724021" w:rsidRDefault="00C27E52" w:rsidP="00DC381E">
      <w:pPr>
        <w:ind w:firstLine="708"/>
        <w:jc w:val="both"/>
      </w:pPr>
      <w:r w:rsidRPr="00724021">
        <w:t>б</w:t>
      </w:r>
      <w:r w:rsidR="00402192" w:rsidRPr="00724021">
        <w:t>)</w:t>
      </w:r>
      <w:r w:rsidR="00231839" w:rsidRPr="00724021">
        <w:t xml:space="preserve"> </w:t>
      </w:r>
      <w:r w:rsidR="00793797" w:rsidRPr="00724021">
        <w:t>закупуването</w:t>
      </w:r>
      <w:r w:rsidR="00402192" w:rsidRPr="00724021">
        <w:t xml:space="preserve"> на </w:t>
      </w:r>
      <w:r w:rsidR="00231839" w:rsidRPr="00724021">
        <w:t xml:space="preserve">нова </w:t>
      </w:r>
      <w:r w:rsidR="00402192" w:rsidRPr="00724021">
        <w:t>земеделска техника</w:t>
      </w:r>
      <w:r w:rsidR="00DC381E" w:rsidRPr="00724021">
        <w:t>, необходима за извършване на дейност по производство на непреработена растителна и животинска продукция.</w:t>
      </w:r>
    </w:p>
    <w:p w14:paraId="7FB22B88" w14:textId="77777777" w:rsidR="00E70AA2" w:rsidRPr="00724021" w:rsidRDefault="00E70AA2" w:rsidP="005C6C43">
      <w:pPr>
        <w:jc w:val="both"/>
      </w:pPr>
    </w:p>
    <w:p w14:paraId="713D0F5E" w14:textId="77777777" w:rsidR="00D02331" w:rsidRPr="00724021" w:rsidRDefault="00931AFD" w:rsidP="001D438A">
      <w:pPr>
        <w:ind w:firstLine="708"/>
        <w:jc w:val="both"/>
      </w:pPr>
      <w:r w:rsidRPr="00724021">
        <w:rPr>
          <w:b/>
        </w:rPr>
        <w:t>9</w:t>
      </w:r>
      <w:r w:rsidR="006C2DCB" w:rsidRPr="00724021">
        <w:rPr>
          <w:b/>
        </w:rPr>
        <w:t>.3. П</w:t>
      </w:r>
      <w:r w:rsidR="00D02331" w:rsidRPr="00724021">
        <w:rPr>
          <w:b/>
        </w:rPr>
        <w:t>омощта не покрива следните разходи</w:t>
      </w:r>
      <w:r w:rsidR="00D02331" w:rsidRPr="00724021">
        <w:t>:</w:t>
      </w:r>
    </w:p>
    <w:p w14:paraId="4E8378DE" w14:textId="77777777" w:rsidR="00F46506" w:rsidRPr="00724021" w:rsidRDefault="00F46506" w:rsidP="00F46506">
      <w:pPr>
        <w:ind w:firstLine="709"/>
        <w:jc w:val="both"/>
      </w:pPr>
      <w:r w:rsidRPr="00724021">
        <w:t>а) закупуване на права за плащане;</w:t>
      </w:r>
    </w:p>
    <w:p w14:paraId="24C0AFE5" w14:textId="77777777" w:rsidR="00F46506" w:rsidRPr="00724021" w:rsidRDefault="00F46506" w:rsidP="00F46506">
      <w:pPr>
        <w:ind w:firstLine="709"/>
        <w:jc w:val="both"/>
      </w:pPr>
      <w:r w:rsidRPr="00724021">
        <w:t>б) закупуване и засаждане на едногодишни растения;</w:t>
      </w:r>
    </w:p>
    <w:p w14:paraId="0F28B677" w14:textId="77777777" w:rsidR="00F46506" w:rsidRPr="00724021" w:rsidRDefault="00F46506" w:rsidP="00F46506">
      <w:pPr>
        <w:ind w:firstLine="709"/>
        <w:jc w:val="both"/>
      </w:pPr>
      <w:r w:rsidRPr="00724021">
        <w:t>в) дренажни съоръжения;</w:t>
      </w:r>
    </w:p>
    <w:p w14:paraId="27ECB7A4" w14:textId="77777777" w:rsidR="00F46506" w:rsidRPr="00724021" w:rsidRDefault="00F46506" w:rsidP="00F46506">
      <w:pPr>
        <w:ind w:firstLine="709"/>
        <w:jc w:val="both"/>
      </w:pPr>
      <w:r w:rsidRPr="00724021">
        <w:t>г) закупуване на животни;</w:t>
      </w:r>
    </w:p>
    <w:p w14:paraId="3F4DE233" w14:textId="77777777" w:rsidR="00F46506" w:rsidRPr="00724021" w:rsidRDefault="00F46506" w:rsidP="00F46506">
      <w:pPr>
        <w:ind w:firstLine="709"/>
        <w:jc w:val="both"/>
      </w:pPr>
      <w:r w:rsidRPr="00724021">
        <w:t>д) разходи, свързани с договори за лизинг, като например марж на лизингодателя, разходи за рефинансиране на лихви, административни разходи и разходи за застраховка;</w:t>
      </w:r>
    </w:p>
    <w:p w14:paraId="29EB8D47" w14:textId="77777777" w:rsidR="00F46506" w:rsidRPr="00724021" w:rsidRDefault="00747CDC" w:rsidP="00F46506">
      <w:pPr>
        <w:ind w:firstLine="709"/>
        <w:jc w:val="both"/>
      </w:pPr>
      <w:r>
        <w:t>е</w:t>
      </w:r>
      <w:r w:rsidR="00F46506" w:rsidRPr="00724021">
        <w:t xml:space="preserve">) оборотен капитал; </w:t>
      </w:r>
    </w:p>
    <w:p w14:paraId="4C97B2F6" w14:textId="77777777" w:rsidR="00F46506" w:rsidRPr="00724021" w:rsidRDefault="00747CDC" w:rsidP="00F46506">
      <w:pPr>
        <w:ind w:firstLine="709"/>
        <w:jc w:val="both"/>
      </w:pPr>
      <w:r>
        <w:t>ж</w:t>
      </w:r>
      <w:r w:rsidR="00F46506" w:rsidRPr="00724021">
        <w:t>) активи, които заместват съществуващи;</w:t>
      </w:r>
    </w:p>
    <w:p w14:paraId="72B95CDC" w14:textId="77777777" w:rsidR="00F46506" w:rsidRPr="00724021" w:rsidRDefault="00747CDC" w:rsidP="00F46506">
      <w:pPr>
        <w:ind w:firstLine="709"/>
        <w:jc w:val="both"/>
      </w:pPr>
      <w:r>
        <w:t>з</w:t>
      </w:r>
      <w:r w:rsidR="00F46506" w:rsidRPr="00724021">
        <w:t>) данък върху добавената стойност (ДДС), освен в случаите, когато не подлежи на възстановяване съгласно националното законодателство в областта на ДДС;</w:t>
      </w:r>
    </w:p>
    <w:p w14:paraId="4C2C476D" w14:textId="77777777" w:rsidR="00F46506" w:rsidRPr="00724021" w:rsidRDefault="00747CDC" w:rsidP="00F46506">
      <w:pPr>
        <w:ind w:firstLine="709"/>
        <w:jc w:val="both"/>
      </w:pPr>
      <w:r>
        <w:t>и</w:t>
      </w:r>
      <w:r w:rsidR="00F46506" w:rsidRPr="00724021">
        <w:t>) инвестиции в напояване.</w:t>
      </w:r>
    </w:p>
    <w:p w14:paraId="59BD02D4" w14:textId="77777777" w:rsidR="00AC0537" w:rsidRPr="00724021" w:rsidRDefault="00AC0537" w:rsidP="00B14B98">
      <w:pPr>
        <w:jc w:val="both"/>
      </w:pPr>
    </w:p>
    <w:p w14:paraId="43225DE0" w14:textId="77777777" w:rsidR="00F5515E" w:rsidRPr="00724021" w:rsidRDefault="000B54EA" w:rsidP="001D438A">
      <w:pPr>
        <w:ind w:firstLine="540"/>
        <w:jc w:val="both"/>
        <w:rPr>
          <w:b/>
        </w:rPr>
      </w:pPr>
      <w:r w:rsidRPr="00724021">
        <w:rPr>
          <w:b/>
        </w:rPr>
        <w:t>10</w:t>
      </w:r>
      <w:r w:rsidR="003B0BF1" w:rsidRPr="00724021">
        <w:rPr>
          <w:b/>
        </w:rPr>
        <w:t xml:space="preserve">. Максимален интензитет на помощта: </w:t>
      </w:r>
    </w:p>
    <w:p w14:paraId="18783291" w14:textId="77777777" w:rsidR="00F45243" w:rsidRPr="00724021" w:rsidRDefault="002E5AF7" w:rsidP="00986D61">
      <w:pPr>
        <w:ind w:firstLine="540"/>
        <w:jc w:val="both"/>
      </w:pPr>
      <w:r w:rsidRPr="00724021">
        <w:rPr>
          <w:rFonts w:ascii="Times New Roman CYR" w:hAnsi="Times New Roman CYR"/>
        </w:rPr>
        <w:t xml:space="preserve">10.1. </w:t>
      </w:r>
      <w:r w:rsidR="000169F7" w:rsidRPr="00724021">
        <w:rPr>
          <w:rFonts w:ascii="Times New Roman CYR" w:hAnsi="Times New Roman CYR"/>
        </w:rPr>
        <w:t xml:space="preserve">Интензитетът на помощта </w:t>
      </w:r>
      <w:r w:rsidR="003E1BC4" w:rsidRPr="00724021">
        <w:rPr>
          <w:rFonts w:ascii="Times New Roman CYR" w:hAnsi="Times New Roman CYR"/>
        </w:rPr>
        <w:t xml:space="preserve">е до </w:t>
      </w:r>
      <w:r w:rsidR="001F16F2">
        <w:rPr>
          <w:rFonts w:ascii="Times New Roman CYR" w:hAnsi="Times New Roman CYR"/>
        </w:rPr>
        <w:t>65</w:t>
      </w:r>
      <w:r w:rsidR="009E7243" w:rsidRPr="00724021">
        <w:rPr>
          <w:rFonts w:ascii="Times New Roman CYR" w:hAnsi="Times New Roman CYR"/>
        </w:rPr>
        <w:t xml:space="preserve"> </w:t>
      </w:r>
      <w:r w:rsidR="000169F7" w:rsidRPr="00724021">
        <w:rPr>
          <w:rFonts w:ascii="Times New Roman CYR" w:hAnsi="Times New Roman CYR"/>
        </w:rPr>
        <w:t>% от размера на допустимите разходи</w:t>
      </w:r>
      <w:r w:rsidR="009213A4" w:rsidRPr="00724021">
        <w:rPr>
          <w:rFonts w:ascii="Times New Roman CYR" w:hAnsi="Times New Roman CYR"/>
        </w:rPr>
        <w:t>;</w:t>
      </w:r>
    </w:p>
    <w:p w14:paraId="5638B67F" w14:textId="77777777" w:rsidR="00F45243" w:rsidRPr="00724021" w:rsidRDefault="00F45243" w:rsidP="00534B09">
      <w:pPr>
        <w:ind w:firstLine="540"/>
        <w:jc w:val="both"/>
        <w:rPr>
          <w:color w:val="000000"/>
        </w:rPr>
      </w:pPr>
      <w:r w:rsidRPr="00724021">
        <w:t>1</w:t>
      </w:r>
      <w:r w:rsidR="00AF2AE1" w:rsidRPr="00724021">
        <w:t>0.2</w:t>
      </w:r>
      <w:r w:rsidR="002E5AF7" w:rsidRPr="00724021">
        <w:t xml:space="preserve">. </w:t>
      </w:r>
      <w:r w:rsidRPr="00724021">
        <w:rPr>
          <w:color w:val="000000"/>
        </w:rPr>
        <w:t xml:space="preserve">Преотстъпеният данък не трябва да превишава </w:t>
      </w:r>
      <w:r w:rsidR="001F16F2">
        <w:rPr>
          <w:color w:val="000000"/>
        </w:rPr>
        <w:t>65</w:t>
      </w:r>
      <w:r w:rsidR="009E7243" w:rsidRPr="00724021">
        <w:rPr>
          <w:color w:val="000000"/>
        </w:rPr>
        <w:t xml:space="preserve"> </w:t>
      </w:r>
      <w:r w:rsidRPr="00724021">
        <w:rPr>
          <w:color w:val="000000"/>
        </w:rPr>
        <w:t xml:space="preserve">на сто от настоящата стойност на активите по т. </w:t>
      </w:r>
      <w:r w:rsidR="00B7305A" w:rsidRPr="00724021">
        <w:rPr>
          <w:color w:val="000000"/>
        </w:rPr>
        <w:t>9.</w:t>
      </w:r>
      <w:r w:rsidRPr="00724021">
        <w:rPr>
          <w:color w:val="000000"/>
        </w:rPr>
        <w:t>1</w:t>
      </w:r>
      <w:r w:rsidR="00B7305A" w:rsidRPr="00724021">
        <w:rPr>
          <w:color w:val="000000"/>
        </w:rPr>
        <w:t>.</w:t>
      </w:r>
      <w:r w:rsidRPr="00724021">
        <w:rPr>
          <w:color w:val="000000"/>
        </w:rPr>
        <w:t xml:space="preserve">, определена към датата на предоставяне на помощта; лихвеният процент за целите на определяне на настоящата стойност на активите по т. </w:t>
      </w:r>
      <w:r w:rsidR="00B7305A" w:rsidRPr="00724021">
        <w:rPr>
          <w:color w:val="000000"/>
        </w:rPr>
        <w:t>9.</w:t>
      </w:r>
      <w:r w:rsidRPr="00724021">
        <w:rPr>
          <w:color w:val="000000"/>
        </w:rPr>
        <w:t>1</w:t>
      </w:r>
      <w:r w:rsidR="00B7305A" w:rsidRPr="00724021">
        <w:rPr>
          <w:color w:val="000000"/>
        </w:rPr>
        <w:t>.</w:t>
      </w:r>
      <w:r w:rsidRPr="00724021">
        <w:rPr>
          <w:color w:val="000000"/>
        </w:rPr>
        <w:t xml:space="preserve"> е референтният лихвен процент, определен от Европейската комисия към 31 декември на годината на преотстъпване. </w:t>
      </w:r>
    </w:p>
    <w:p w14:paraId="58BE0D76" w14:textId="77777777" w:rsidR="00F45243" w:rsidRPr="00724021" w:rsidRDefault="00F45243" w:rsidP="00534B09">
      <w:pPr>
        <w:ind w:firstLine="708"/>
        <w:jc w:val="both"/>
        <w:rPr>
          <w:color w:val="000000"/>
        </w:rPr>
      </w:pPr>
      <w:r w:rsidRPr="00724021">
        <w:rPr>
          <w:color w:val="000000"/>
        </w:rPr>
        <w:t xml:space="preserve">10.3. Настоящата стойност </w:t>
      </w:r>
      <w:r w:rsidR="0049673E" w:rsidRPr="00724021">
        <w:rPr>
          <w:color w:val="000000"/>
        </w:rPr>
        <w:t xml:space="preserve">на </w:t>
      </w:r>
      <w:r w:rsidR="006A56FF" w:rsidRPr="00724021">
        <w:rPr>
          <w:color w:val="000000"/>
        </w:rPr>
        <w:t>всички</w:t>
      </w:r>
      <w:r w:rsidRPr="00724021">
        <w:rPr>
          <w:color w:val="000000"/>
        </w:rPr>
        <w:t xml:space="preserve"> активи по т. </w:t>
      </w:r>
      <w:r w:rsidR="00B7305A" w:rsidRPr="00724021">
        <w:rPr>
          <w:color w:val="000000"/>
        </w:rPr>
        <w:t>9.</w:t>
      </w:r>
      <w:r w:rsidRPr="00724021">
        <w:rPr>
          <w:color w:val="000000"/>
        </w:rPr>
        <w:t>1</w:t>
      </w:r>
      <w:r w:rsidR="006A56FF" w:rsidRPr="00724021">
        <w:rPr>
          <w:color w:val="000000"/>
        </w:rPr>
        <w:t>.,</w:t>
      </w:r>
      <w:r w:rsidR="009E7243" w:rsidRPr="00724021">
        <w:rPr>
          <w:color w:val="000000"/>
        </w:rPr>
        <w:t xml:space="preserve"> </w:t>
      </w:r>
      <w:r w:rsidRPr="00724021">
        <w:rPr>
          <w:color w:val="000000"/>
        </w:rPr>
        <w:t xml:space="preserve">определена към датата на предоставяне на помощта, не може да превишава праг от левовата равностойност на </w:t>
      </w:r>
      <w:r w:rsidR="009E7243" w:rsidRPr="00724021">
        <w:rPr>
          <w:color w:val="000000"/>
        </w:rPr>
        <w:t>600 </w:t>
      </w:r>
      <w:r w:rsidRPr="00724021">
        <w:rPr>
          <w:color w:val="000000"/>
        </w:rPr>
        <w:t xml:space="preserve">000 евро. </w:t>
      </w:r>
    </w:p>
    <w:p w14:paraId="0E175438" w14:textId="77777777" w:rsidR="00F45243" w:rsidRPr="00724021" w:rsidRDefault="00F45243" w:rsidP="00F45243">
      <w:pPr>
        <w:ind w:firstLine="708"/>
        <w:jc w:val="both"/>
        <w:rPr>
          <w:color w:val="000000"/>
        </w:rPr>
      </w:pPr>
      <w:r w:rsidRPr="00724021">
        <w:rPr>
          <w:color w:val="000000"/>
        </w:rPr>
        <w:t xml:space="preserve">10.4. Определеният праг не може да се заобикаля чрез изкуствено разделяне на активите. </w:t>
      </w:r>
    </w:p>
    <w:p w14:paraId="30068E7C" w14:textId="77777777" w:rsidR="0031018A" w:rsidRPr="00534B09" w:rsidRDefault="0031018A" w:rsidP="004B23D2">
      <w:pPr>
        <w:rPr>
          <w:b/>
        </w:rPr>
      </w:pPr>
    </w:p>
    <w:p w14:paraId="0694EFFC" w14:textId="77777777" w:rsidR="008D0618" w:rsidRPr="00724021" w:rsidRDefault="00C27E52" w:rsidP="00D669DE">
      <w:pPr>
        <w:ind w:firstLine="540"/>
        <w:rPr>
          <w:b/>
        </w:rPr>
      </w:pPr>
      <w:r w:rsidRPr="009A0554">
        <w:rPr>
          <w:b/>
        </w:rPr>
        <w:t>11</w:t>
      </w:r>
      <w:r w:rsidR="008D0618" w:rsidRPr="009A0554">
        <w:rPr>
          <w:b/>
        </w:rPr>
        <w:t>. Спазване на правилата за държавни помощи</w:t>
      </w:r>
    </w:p>
    <w:p w14:paraId="1AC74E39" w14:textId="77777777" w:rsidR="00D0244E" w:rsidRPr="00534B09" w:rsidRDefault="00C27E52" w:rsidP="00F401FA">
      <w:pPr>
        <w:ind w:firstLine="540"/>
        <w:jc w:val="both"/>
        <w:rPr>
          <w:lang w:val="ru-RU"/>
        </w:rPr>
      </w:pPr>
      <w:r w:rsidRPr="00724021">
        <w:t>1</w:t>
      </w:r>
      <w:r w:rsidR="001B31AB" w:rsidRPr="00724021">
        <w:t>1</w:t>
      </w:r>
      <w:r w:rsidR="008D0618" w:rsidRPr="00724021">
        <w:t>.1. Помощта, съгласно тази схема е вид държавна помощ, предоставена при условията на правото на Европейския съюз.</w:t>
      </w:r>
    </w:p>
    <w:p w14:paraId="6B10929B" w14:textId="77777777" w:rsidR="00995085" w:rsidRDefault="00D0244E" w:rsidP="00D0244E">
      <w:pPr>
        <w:ind w:firstLine="540"/>
        <w:jc w:val="both"/>
        <w:rPr>
          <w:lang w:val="ru-RU"/>
        </w:rPr>
      </w:pPr>
      <w:r w:rsidRPr="00534B09">
        <w:rPr>
          <w:lang w:val="ru-RU"/>
        </w:rPr>
        <w:t>11</w:t>
      </w:r>
      <w:r>
        <w:t>.</w:t>
      </w:r>
      <w:r w:rsidRPr="00534B09">
        <w:rPr>
          <w:lang w:val="ru-RU"/>
        </w:rPr>
        <w:t>2. Земеделски стопани, които не са микро-, малки или средни предприятия по смисъла на Регламент (ЕС) 2022/2472 нямат право на помощта.</w:t>
      </w:r>
    </w:p>
    <w:p w14:paraId="75D54375" w14:textId="47F9FA75" w:rsidR="00796286" w:rsidRDefault="00796286" w:rsidP="00D0244E">
      <w:pPr>
        <w:ind w:firstLine="540"/>
        <w:jc w:val="both"/>
        <w:rPr>
          <w:lang w:val="ru-RU"/>
        </w:rPr>
      </w:pPr>
      <w:r>
        <w:rPr>
          <w:lang w:val="ru-RU"/>
        </w:rPr>
        <w:t>11</w:t>
      </w:r>
      <w:r>
        <w:t>.3</w:t>
      </w:r>
      <w:r w:rsidRPr="00796286">
        <w:rPr>
          <w:lang w:val="ru-RU"/>
        </w:rPr>
        <w:t>. Не се предоставя помощ на предприятия в затруднено положение  по смисъла на чл. 2, точка 18 от Регламент (ЕС) № 651/2014 г.</w:t>
      </w:r>
    </w:p>
    <w:p w14:paraId="56B06C29" w14:textId="7AE1BE2E" w:rsidR="00501D88" w:rsidRPr="00501D88" w:rsidRDefault="00501D88" w:rsidP="00501D88">
      <w:pPr>
        <w:ind w:firstLine="540"/>
        <w:jc w:val="both"/>
        <w:rPr>
          <w:lang w:val="ru-RU"/>
        </w:rPr>
      </w:pPr>
      <w:r>
        <w:rPr>
          <w:lang w:val="en-US"/>
        </w:rPr>
        <w:t>11</w:t>
      </w:r>
      <w:r>
        <w:t xml:space="preserve">.4. </w:t>
      </w:r>
      <w:r w:rsidR="00394EF2">
        <w:t xml:space="preserve">Съгласно </w:t>
      </w:r>
      <w:r w:rsidR="00186F7C">
        <w:t xml:space="preserve">чл. 6, ал. 4, б. а и б. б от </w:t>
      </w:r>
      <w:r w:rsidR="00186F7C" w:rsidRPr="00186F7C">
        <w:t xml:space="preserve">Регламент (ЕС) 2022/2472 </w:t>
      </w:r>
      <w:r w:rsidR="00186F7C">
        <w:t xml:space="preserve"> - м</w:t>
      </w:r>
      <w:r w:rsidRPr="00501D88">
        <w:rPr>
          <w:lang w:val="ru-RU"/>
        </w:rPr>
        <w:t>ерки под формата на данъчни предимства имат стимулиращ ефект, ако са изпълнени следните условия:</w:t>
      </w:r>
    </w:p>
    <w:p w14:paraId="493253FC" w14:textId="77777777" w:rsidR="00501D88" w:rsidRPr="00501D88" w:rsidRDefault="00501D88" w:rsidP="00501D88">
      <w:pPr>
        <w:ind w:firstLine="540"/>
        <w:jc w:val="both"/>
        <w:rPr>
          <w:lang w:val="ru-RU"/>
        </w:rPr>
      </w:pPr>
      <w:r w:rsidRPr="00501D88">
        <w:rPr>
          <w:lang w:val="ru-RU"/>
        </w:rPr>
        <w:t>а) мярката предвижда право на помощ в съответствие с обективни критерии и без свобода на преценка от страна на държавата членка;</w:t>
      </w:r>
    </w:p>
    <w:p w14:paraId="5C0A304C" w14:textId="7B4AB6E5" w:rsidR="00501D88" w:rsidRPr="00534B09" w:rsidRDefault="00501D88" w:rsidP="00501D88">
      <w:pPr>
        <w:ind w:firstLine="540"/>
        <w:jc w:val="both"/>
        <w:rPr>
          <w:lang w:val="ru-RU"/>
        </w:rPr>
      </w:pPr>
      <w:r w:rsidRPr="00501D88">
        <w:rPr>
          <w:lang w:val="ru-RU"/>
        </w:rPr>
        <w:t>б) мярката е приета и е била в сила преди започване на работата по подпомагания проект или подпомаганата дейност, освен в случай на последващи фискални схеми</w:t>
      </w:r>
      <w:r w:rsidR="00A73269">
        <w:rPr>
          <w:rStyle w:val="FootnoteReference"/>
          <w:lang w:val="ru-RU"/>
        </w:rPr>
        <w:footnoteReference w:id="5"/>
      </w:r>
      <w:r w:rsidRPr="00501D88">
        <w:rPr>
          <w:lang w:val="ru-RU"/>
        </w:rPr>
        <w:t>, когато дейността вече е била обхваната от предходни схеми под формата на данъчни предимства.</w:t>
      </w:r>
    </w:p>
    <w:p w14:paraId="1189E926" w14:textId="56603199" w:rsidR="00E50E8D" w:rsidRPr="00EC456C" w:rsidRDefault="00C27E52" w:rsidP="00A66713">
      <w:pPr>
        <w:ind w:firstLine="540"/>
        <w:jc w:val="both"/>
      </w:pPr>
      <w:r w:rsidRPr="00EC456C">
        <w:t>1</w:t>
      </w:r>
      <w:r w:rsidR="001B31AB" w:rsidRPr="00EC456C">
        <w:t>1</w:t>
      </w:r>
      <w:r w:rsidR="008D0618" w:rsidRPr="00EC456C">
        <w:t>.</w:t>
      </w:r>
      <w:r w:rsidR="00501D88">
        <w:t>5</w:t>
      </w:r>
      <w:r w:rsidR="008D0618" w:rsidRPr="00EC456C">
        <w:t xml:space="preserve">. </w:t>
      </w:r>
      <w:r w:rsidR="00E50E8D" w:rsidRPr="00EC456C">
        <w:t>Натрупване на помощ</w:t>
      </w:r>
      <w:r w:rsidR="006853CD" w:rsidRPr="00EC456C">
        <w:t>та</w:t>
      </w:r>
      <w:r w:rsidR="00E50E8D" w:rsidRPr="00EC456C">
        <w:t>:</w:t>
      </w:r>
    </w:p>
    <w:p w14:paraId="72C22434" w14:textId="2135B3EB" w:rsidR="00A66713" w:rsidRPr="00724021" w:rsidRDefault="00A66713" w:rsidP="00A66713">
      <w:pPr>
        <w:ind w:firstLine="540"/>
        <w:jc w:val="both"/>
      </w:pPr>
      <w:r w:rsidRPr="00534B09">
        <w:t xml:space="preserve">Съгласно чл. 189б, ал. 2, т. </w:t>
      </w:r>
      <w:r w:rsidR="004A555B">
        <w:t>9</w:t>
      </w:r>
      <w:r w:rsidR="004A555B" w:rsidRPr="00534B09">
        <w:t xml:space="preserve"> </w:t>
      </w:r>
      <w:r w:rsidR="00E228B3" w:rsidRPr="00534B09">
        <w:t>от ЗКПО</w:t>
      </w:r>
      <w:r w:rsidRPr="00534B09">
        <w:t>, корпоративен данък се преотстъпва, ако за активи</w:t>
      </w:r>
      <w:r w:rsidR="00DB6FFD" w:rsidRPr="00534B09">
        <w:t>те по чл. 189б, ал. 2, т. 1 (нови сгради и нова земеделска</w:t>
      </w:r>
      <w:r w:rsidR="00DB6FFD" w:rsidRPr="00724021">
        <w:t xml:space="preserve"> техника),</w:t>
      </w:r>
      <w:r w:rsidRPr="00D0244E">
        <w:t xml:space="preserve"> земеделският </w:t>
      </w:r>
      <w:r w:rsidR="00B479B8" w:rsidRPr="00D0244E">
        <w:t xml:space="preserve">стопанин </w:t>
      </w:r>
      <w:r w:rsidRPr="00D0244E">
        <w:t>не е получател (</w:t>
      </w:r>
      <w:r w:rsidR="00396806" w:rsidRPr="00724021">
        <w:t>бенефициер</w:t>
      </w:r>
      <w:r w:rsidRPr="00724021">
        <w:t xml:space="preserve">) </w:t>
      </w:r>
      <w:r w:rsidR="007725E5" w:rsidRPr="00724021">
        <w:t xml:space="preserve">за същите активи </w:t>
      </w:r>
      <w:r w:rsidRPr="00724021">
        <w:t>по някоя от следните помощи:</w:t>
      </w:r>
    </w:p>
    <w:p w14:paraId="1CF3D115" w14:textId="77777777" w:rsidR="00A66713" w:rsidRPr="00724021" w:rsidRDefault="00A66713" w:rsidP="00B944D3">
      <w:pPr>
        <w:ind w:firstLine="708"/>
        <w:jc w:val="both"/>
        <w:textAlignment w:val="center"/>
      </w:pPr>
      <w:r w:rsidRPr="00724021">
        <w:t>а) помощ по смисъла на чл. 107, параграф 1 от Договора за функционирането на Европейския съюз;</w:t>
      </w:r>
    </w:p>
    <w:p w14:paraId="50A8E593" w14:textId="77777777" w:rsidR="00A66713" w:rsidRPr="00724021" w:rsidRDefault="00A66713" w:rsidP="00B944D3">
      <w:pPr>
        <w:ind w:firstLine="708"/>
        <w:jc w:val="both"/>
        <w:textAlignment w:val="center"/>
      </w:pPr>
      <w:r w:rsidRPr="00724021">
        <w:t xml:space="preserve">б) минимална помощ по смисъла </w:t>
      </w:r>
      <w:r w:rsidR="007C0F97" w:rsidRPr="00724021">
        <w:t xml:space="preserve">на </w:t>
      </w:r>
      <w:hyperlink r:id="rId8" w:history="1">
        <w:r w:rsidR="007C0F97" w:rsidRPr="00724021">
          <w:t>Регламент (ЕС) № 1408/2013</w:t>
        </w:r>
      </w:hyperlink>
      <w:r w:rsidR="007C0F97" w:rsidRPr="00724021">
        <w:t xml:space="preserve"> на Комисията от 18 декември 2013 г. относно прилагането на членове 107 и 108 от Договора за функционирането на Европейския съюз к</w:t>
      </w:r>
      <w:r w:rsidR="007C0F97" w:rsidRPr="00796286">
        <w:t>ъм помощта de minimis в селскостопанския сектор  (OB, L 352 от 24 декември 2013 г.)</w:t>
      </w:r>
      <w:r w:rsidRPr="00724021">
        <w:t>;</w:t>
      </w:r>
    </w:p>
    <w:p w14:paraId="7A7C1529" w14:textId="77777777" w:rsidR="00A66713" w:rsidRDefault="00A66713" w:rsidP="00B944D3">
      <w:pPr>
        <w:ind w:firstLine="708"/>
        <w:jc w:val="both"/>
        <w:textAlignment w:val="center"/>
      </w:pPr>
      <w:r w:rsidRPr="00724021">
        <w:t>в) финансова помощ по Програмата за развитие на селските райони;</w:t>
      </w:r>
    </w:p>
    <w:p w14:paraId="0544C128" w14:textId="77777777" w:rsidR="00A46E3A" w:rsidRPr="00EC456C" w:rsidRDefault="006A5A32" w:rsidP="00D669DE">
      <w:pPr>
        <w:ind w:firstLine="708"/>
        <w:jc w:val="both"/>
        <w:textAlignment w:val="center"/>
      </w:pPr>
      <w:r>
        <w:t>г</w:t>
      </w:r>
      <w:r w:rsidR="00A66713" w:rsidRPr="00724021">
        <w:t>) всяка друга публична финансова помощ от националния бюджет и/или от бюджета на Европейския съюз.</w:t>
      </w:r>
    </w:p>
    <w:p w14:paraId="39B2C75D" w14:textId="435B952C" w:rsidR="00D304BF" w:rsidRPr="00EC456C" w:rsidRDefault="00C27E52" w:rsidP="00D669DE">
      <w:pPr>
        <w:ind w:firstLine="708"/>
        <w:jc w:val="both"/>
      </w:pPr>
      <w:r w:rsidRPr="00EC456C">
        <w:t>1</w:t>
      </w:r>
      <w:r w:rsidR="001B31AB" w:rsidRPr="00EC456C">
        <w:t>1</w:t>
      </w:r>
      <w:r w:rsidR="00A665E9" w:rsidRPr="00EC456C">
        <w:t>.</w:t>
      </w:r>
      <w:r w:rsidR="00501D88">
        <w:t>6</w:t>
      </w:r>
      <w:r w:rsidR="00F24092" w:rsidRPr="00EC456C">
        <w:t xml:space="preserve">. </w:t>
      </w:r>
      <w:r w:rsidR="00EC456C" w:rsidRPr="00EC456C">
        <w:t>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1A971E98" w14:textId="2B76839D" w:rsidR="00A46E3A" w:rsidRPr="00724021" w:rsidRDefault="00D304BF" w:rsidP="00D669DE">
      <w:pPr>
        <w:ind w:firstLine="709"/>
        <w:jc w:val="both"/>
      </w:pPr>
      <w:r w:rsidRPr="00EC456C">
        <w:t>11.</w:t>
      </w:r>
      <w:r w:rsidR="00501D88">
        <w:t>7</w:t>
      </w:r>
      <w:r w:rsidRPr="00EC456C">
        <w:t xml:space="preserve">. </w:t>
      </w:r>
      <w:r w:rsidR="00CD0E6B" w:rsidRPr="00EC456C">
        <w:t xml:space="preserve">Инвестициите в активи, които не </w:t>
      </w:r>
      <w:r w:rsidR="00A46E3A" w:rsidRPr="00EC456C">
        <w:t>съответстват на законодателството на Съюза и на националното законодателство в областта на защитата на околната сред</w:t>
      </w:r>
      <w:r w:rsidR="00680204" w:rsidRPr="00724021">
        <w:t>а</w:t>
      </w:r>
      <w:r w:rsidR="00CD0E6B" w:rsidRPr="00724021">
        <w:t xml:space="preserve"> не са допустими</w:t>
      </w:r>
      <w:r w:rsidR="00A46E3A" w:rsidRPr="00724021">
        <w:t xml:space="preserve">. </w:t>
      </w:r>
    </w:p>
    <w:p w14:paraId="327D5E99" w14:textId="77777777" w:rsidR="00D82EDD" w:rsidRPr="00724021" w:rsidRDefault="00EC456C" w:rsidP="00D669DE">
      <w:pPr>
        <w:ind w:firstLine="709"/>
        <w:jc w:val="both"/>
      </w:pPr>
      <w:r>
        <w:t>З</w:t>
      </w:r>
      <w:r w:rsidRPr="00EC456C">
        <w:t>а инвестиции, които изискват оценка на въздействието върху околната среда съгласно Директива 2011/92/ЕС на Европейс</w:t>
      </w:r>
      <w:r w:rsidR="001F16F2">
        <w:t>кия парламент и на Съвета</w:t>
      </w:r>
      <w:r w:rsidRPr="00EC456C">
        <w:t>, по отношение на помощта се прилага изискването тази оценка да е извършена и разрешението за изпълнение на съответния инвестиционен проект да е издадено преди датата на предоставяне на индивидуалната помощ.</w:t>
      </w:r>
    </w:p>
    <w:p w14:paraId="0EA2E1F6" w14:textId="7CA3F493" w:rsidR="00F11593" w:rsidRDefault="00531FBE" w:rsidP="00D669DE">
      <w:pPr>
        <w:ind w:firstLine="709"/>
        <w:jc w:val="both"/>
      </w:pPr>
      <w:r w:rsidRPr="00D82EDD">
        <w:t>11.</w:t>
      </w:r>
      <w:r w:rsidR="00501D88">
        <w:t>8</w:t>
      </w:r>
      <w:r w:rsidRPr="00D82EDD">
        <w:t xml:space="preserve">. Помощта по схемата не може да се предоставя в нарушение на забрани или ограничения, установени в Регламент (ЕС) №1308/2013, дори ако тези забрани и ограничения се отнасят само за подпомагането от </w:t>
      </w:r>
      <w:r w:rsidRPr="00B81E18">
        <w:t>Съюза, предвидено в посочения</w:t>
      </w:r>
      <w:r w:rsidRPr="00D82EDD">
        <w:t xml:space="preserve"> регламент.</w:t>
      </w:r>
    </w:p>
    <w:p w14:paraId="19C34DB2" w14:textId="38EAA3BD" w:rsidR="006A4DEF" w:rsidRDefault="00106108" w:rsidP="00D669DE">
      <w:pPr>
        <w:ind w:firstLine="709"/>
        <w:jc w:val="both"/>
      </w:pPr>
      <w:r>
        <w:t>11.</w:t>
      </w:r>
      <w:r w:rsidR="00501D88">
        <w:t>9</w:t>
      </w:r>
      <w:r w:rsidR="006A4DEF">
        <w:t>. П</w:t>
      </w:r>
      <w:r w:rsidR="006A4DEF" w:rsidRPr="0071381A">
        <w:t xml:space="preserve">омощта </w:t>
      </w:r>
      <w:r w:rsidR="006A4DEF">
        <w:t xml:space="preserve">не се прилага </w:t>
      </w:r>
      <w:r w:rsidR="006A4DEF" w:rsidRPr="0071381A">
        <w:t>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r w:rsidR="006A4DEF">
        <w:t>;</w:t>
      </w:r>
    </w:p>
    <w:p w14:paraId="30404FB0" w14:textId="77777777" w:rsidR="006A4DEF" w:rsidRDefault="006A4DEF" w:rsidP="00D669DE">
      <w:pPr>
        <w:ind w:firstLine="709"/>
        <w:jc w:val="both"/>
      </w:pPr>
      <w:r>
        <w:t>11.</w:t>
      </w:r>
      <w:r w:rsidR="00106108">
        <w:t>10.</w:t>
      </w:r>
      <w:r>
        <w:t xml:space="preserve">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по-специално:</w:t>
      </w:r>
    </w:p>
    <w:p w14:paraId="2E3DE07D" w14:textId="77777777" w:rsidR="006A4DEF" w:rsidRDefault="006A4DEF" w:rsidP="006A4DEF">
      <w:pPr>
        <w:ind w:firstLine="708"/>
        <w:jc w:val="both"/>
      </w:pPr>
      <w:r>
        <w:t>а) помощи, чието предоставяне е свързано със задължението бенефициерът да използва местно произведени стоки или услуги;</w:t>
      </w:r>
    </w:p>
    <w:p w14:paraId="16D9F52D" w14:textId="77777777" w:rsidR="006A4DEF" w:rsidRPr="00E769AF" w:rsidRDefault="006A4DEF" w:rsidP="006A4DEF">
      <w:pPr>
        <w:ind w:firstLine="708"/>
        <w:jc w:val="both"/>
      </w:pPr>
      <w:r>
        <w:t>б) помощи, които ограничават възможността бенефициерите да се възползват от резултатите от научноизследователска и развойна дейност и иновации в други държави членки;</w:t>
      </w:r>
    </w:p>
    <w:p w14:paraId="429F8A0D" w14:textId="405391FB" w:rsidR="0079212C" w:rsidRPr="006A4DEF" w:rsidRDefault="006A4DEF" w:rsidP="00773DA7">
      <w:pPr>
        <w:tabs>
          <w:tab w:val="center" w:pos="142"/>
        </w:tabs>
        <w:overflowPunct w:val="0"/>
        <w:autoSpaceDE w:val="0"/>
        <w:autoSpaceDN w:val="0"/>
        <w:adjustRightInd w:val="0"/>
        <w:ind w:right="-28"/>
        <w:jc w:val="both"/>
        <w:textAlignment w:val="baseline"/>
        <w:rPr>
          <w:lang w:eastAsia="en-US"/>
        </w:rPr>
      </w:pPr>
      <w:r>
        <w:rPr>
          <w:lang w:eastAsia="en-US"/>
        </w:rPr>
        <w:tab/>
      </w:r>
      <w:r>
        <w:rPr>
          <w:lang w:eastAsia="en-US"/>
        </w:rPr>
        <w:tab/>
      </w:r>
      <w:r w:rsidR="00106108">
        <w:rPr>
          <w:lang w:eastAsia="en-US"/>
        </w:rPr>
        <w:t>11.1</w:t>
      </w:r>
      <w:r w:rsidR="00501D88">
        <w:rPr>
          <w:lang w:eastAsia="en-US"/>
        </w:rPr>
        <w:t>1</w:t>
      </w:r>
      <w:r w:rsidRPr="003461AF">
        <w:rPr>
          <w:lang w:eastAsia="en-US"/>
        </w:rPr>
        <w:t xml:space="preserve">. Съгласно чл. 7, </w:t>
      </w:r>
      <w:r>
        <w:rPr>
          <w:lang w:eastAsia="en-US"/>
        </w:rPr>
        <w:t>параграф 3</w:t>
      </w:r>
      <w:r w:rsidRPr="003461AF">
        <w:rPr>
          <w:lang w:eastAsia="en-US"/>
        </w:rPr>
        <w:t xml:space="preserve"> </w:t>
      </w:r>
      <w:r>
        <w:rPr>
          <w:lang w:eastAsia="en-US"/>
        </w:rPr>
        <w:t xml:space="preserve"> от </w:t>
      </w:r>
      <w:r w:rsidRPr="00B8134B">
        <w:rPr>
          <w:lang w:eastAsia="en-US"/>
        </w:rPr>
        <w:t>Регламент (ЕС) 2022/2472</w:t>
      </w:r>
      <w:r w:rsidRPr="003461AF">
        <w:rPr>
          <w:rFonts w:ascii="Arial" w:hAnsi="Arial"/>
          <w:sz w:val="20"/>
          <w:szCs w:val="20"/>
          <w:lang w:eastAsia="en-US"/>
        </w:rPr>
        <w:t xml:space="preserve"> </w:t>
      </w:r>
      <w:r>
        <w:rPr>
          <w:lang w:eastAsia="en-US"/>
        </w:rPr>
        <w:t>с</w:t>
      </w:r>
      <w:r w:rsidRPr="00B8134B">
        <w:rPr>
          <w:lang w:eastAsia="en-US"/>
        </w:rPr>
        <w:t>умите за Данък добавена стойност (ДДС) не следва да са допустими за помощ, освен в случаите, когато не се възстановяват съгласно националното з</w:t>
      </w:r>
      <w:r>
        <w:rPr>
          <w:lang w:eastAsia="en-US"/>
        </w:rPr>
        <w:t>аконодателство, свързано с ДДС</w:t>
      </w:r>
      <w:r w:rsidRPr="003461AF">
        <w:rPr>
          <w:lang w:eastAsia="en-US"/>
        </w:rPr>
        <w:t xml:space="preserve">. </w:t>
      </w:r>
    </w:p>
    <w:p w14:paraId="7D7FF23B" w14:textId="61141509" w:rsidR="006A4DEF" w:rsidRPr="00E769AF" w:rsidRDefault="00106108" w:rsidP="006A4DEF">
      <w:pPr>
        <w:ind w:left="708"/>
        <w:jc w:val="both"/>
      </w:pPr>
      <w:r>
        <w:t>11.1</w:t>
      </w:r>
      <w:r w:rsidR="00501D88">
        <w:t>2</w:t>
      </w:r>
      <w:r w:rsidR="006A4DEF" w:rsidRPr="00E769AF">
        <w:t>. Публикуване и информация</w:t>
      </w:r>
    </w:p>
    <w:p w14:paraId="307CB5A6" w14:textId="77777777" w:rsidR="006A4DEF" w:rsidRPr="004F490D" w:rsidRDefault="006A4DEF" w:rsidP="00534B09">
      <w:pPr>
        <w:ind w:firstLine="708"/>
        <w:jc w:val="both"/>
      </w:pPr>
      <w:r w:rsidRPr="00E769AF">
        <w:t xml:space="preserve">Във връзка </w:t>
      </w:r>
      <w:r w:rsidR="002A10B2">
        <w:t xml:space="preserve">с </w:t>
      </w:r>
      <w:r w:rsidRPr="00E769AF">
        <w:t xml:space="preserve">изпълнение на изискванията на чл. 9 от </w:t>
      </w:r>
      <w:r w:rsidRPr="00E81BE8">
        <w:t xml:space="preserve">Регламент (ЕС) 2022/2472 </w:t>
      </w:r>
      <w:r w:rsidR="003F2842">
        <w:t>„</w:t>
      </w:r>
      <w:r w:rsidR="004C47D4">
        <w:t>Публикуване и информация</w:t>
      </w:r>
      <w:r w:rsidR="003F2842">
        <w:t>“,</w:t>
      </w:r>
      <w:r w:rsidRPr="00E769AF">
        <w:t xml:space="preserve"> към настоящия момент на  уебсайта на Министерство на земеделието и храните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5BD1A53B" w14:textId="5AF74DF0" w:rsidR="006A4DEF" w:rsidRDefault="006A4DEF" w:rsidP="00254645">
      <w:pPr>
        <w:overflowPunct w:val="0"/>
        <w:autoSpaceDE w:val="0"/>
        <w:autoSpaceDN w:val="0"/>
        <w:adjustRightInd w:val="0"/>
        <w:ind w:firstLine="708"/>
        <w:jc w:val="both"/>
        <w:textAlignment w:val="baseline"/>
      </w:pPr>
      <w:r>
        <w:t>При спазване изискването за прозрачност и публикуване на информацията, в съ</w:t>
      </w:r>
      <w:r w:rsidR="00E9578A">
        <w:t xml:space="preserve">ответствие с чл. 9, параграфи 2 </w:t>
      </w:r>
      <w:r>
        <w:t xml:space="preserve">от </w:t>
      </w:r>
      <w:r w:rsidRPr="00CB5A75">
        <w:t>Регламент (ЕС) 2022/2472</w:t>
      </w:r>
      <w:r>
        <w:t>, на сайта на ДФ ”Земеделие” се публикува информация за всяка отпусната индивидуална помощ, надхвърляща 10 000 EUR за бенефициери, извършващи дейност в първичното селскостопанско производство.</w:t>
      </w:r>
      <w:r w:rsidR="004C47D4">
        <w:rPr>
          <w:lang w:val="en-US"/>
        </w:rPr>
        <w:t xml:space="preserve"> </w:t>
      </w:r>
      <w:r w:rsidR="004C47D4">
        <w:t>Информацията се предоставя от Националната агенция за приходите на Държавен фонд „Земеделие“ чрез Министерство на земеделието и храните.</w:t>
      </w:r>
      <w:r w:rsidR="00A051F5">
        <w:t xml:space="preserve"> </w:t>
      </w:r>
      <w:r w:rsidR="006838D8" w:rsidRPr="00AF5AED">
        <w:t>В съответствие с чл. 9, параграф 3 от Регламент (ЕС) 2022/2472</w:t>
      </w:r>
      <w:r w:rsidR="006838D8" w:rsidRPr="00534B09">
        <w:t xml:space="preserve"> за</w:t>
      </w:r>
      <w:r w:rsidR="00A051F5" w:rsidRPr="00AF5AED">
        <w:t xml:space="preserve"> помощи под формата на данъчни предимства информацията се публикува в рамките на една година от датата, на която трябва да се представи данъчната декларация.</w:t>
      </w:r>
    </w:p>
    <w:p w14:paraId="14BCAEF0" w14:textId="319FD481" w:rsidR="003F2842" w:rsidRDefault="003F2842" w:rsidP="003F2842">
      <w:pPr>
        <w:overflowPunct w:val="0"/>
        <w:autoSpaceDE w:val="0"/>
        <w:autoSpaceDN w:val="0"/>
        <w:adjustRightInd w:val="0"/>
        <w:ind w:firstLine="708"/>
        <w:jc w:val="both"/>
        <w:textAlignment w:val="baseline"/>
      </w:pPr>
      <w:r>
        <w:t>11.1</w:t>
      </w:r>
      <w:r w:rsidR="00501D88">
        <w:t>3</w:t>
      </w:r>
      <w:r>
        <w:t>. Наблюдение - съгласно чл. 13 Наблюдение от Регламент (ЕС) 2022/2472 в Министерство на земеделието и храните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258FF33F" w14:textId="77777777" w:rsidR="003F2842" w:rsidRPr="004C47D4" w:rsidRDefault="003F2842" w:rsidP="003F2842">
      <w:pPr>
        <w:overflowPunct w:val="0"/>
        <w:autoSpaceDE w:val="0"/>
        <w:autoSpaceDN w:val="0"/>
        <w:adjustRightInd w:val="0"/>
        <w:ind w:firstLine="708"/>
        <w:jc w:val="both"/>
        <w:textAlignment w:val="baseline"/>
      </w:pPr>
      <w:r>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1E738B5C" w14:textId="5E5CDA86" w:rsidR="00A35AE8" w:rsidRPr="00773DA7" w:rsidRDefault="003F2842" w:rsidP="006A4DEF">
      <w:pPr>
        <w:overflowPunct w:val="0"/>
        <w:autoSpaceDE w:val="0"/>
        <w:autoSpaceDN w:val="0"/>
        <w:adjustRightInd w:val="0"/>
        <w:ind w:firstLine="708"/>
        <w:jc w:val="both"/>
        <w:textAlignment w:val="baseline"/>
      </w:pPr>
      <w:r>
        <w:t>11.1</w:t>
      </w:r>
      <w:r w:rsidR="00501D88">
        <w:t>4</w:t>
      </w:r>
      <w:r>
        <w:t>. А</w:t>
      </w:r>
      <w:r w:rsidR="00AD6203" w:rsidRPr="00773DA7">
        <w:t>дминистратор на държавната помощ е министърът на земеделието и храните. Министърът на земеделието и храните уведомява Европейската комисия по реда и процедурите, установени в Закона за държавните помощи.</w:t>
      </w:r>
    </w:p>
    <w:p w14:paraId="51B6093C" w14:textId="77777777" w:rsidR="00AF5AED" w:rsidRDefault="00AF5AED" w:rsidP="006A4DEF">
      <w:pPr>
        <w:overflowPunct w:val="0"/>
        <w:autoSpaceDE w:val="0"/>
        <w:autoSpaceDN w:val="0"/>
        <w:adjustRightInd w:val="0"/>
        <w:ind w:firstLine="708"/>
        <w:jc w:val="both"/>
        <w:textAlignment w:val="baseline"/>
      </w:pPr>
      <w:r w:rsidRPr="00773DA7">
        <w:t>Националната агенция за приходите отговаря за правилното прилагане на данъчното законодателство и контролира прилагането на схемата.</w:t>
      </w:r>
    </w:p>
    <w:p w14:paraId="4F8D2135" w14:textId="77777777" w:rsidR="00AD6203" w:rsidRDefault="00AD6203" w:rsidP="006A4DEF">
      <w:pPr>
        <w:overflowPunct w:val="0"/>
        <w:autoSpaceDE w:val="0"/>
        <w:autoSpaceDN w:val="0"/>
        <w:adjustRightInd w:val="0"/>
        <w:ind w:firstLine="708"/>
        <w:jc w:val="both"/>
        <w:textAlignment w:val="baseline"/>
      </w:pPr>
    </w:p>
    <w:p w14:paraId="743FC2FF" w14:textId="77777777" w:rsidR="00AD6203" w:rsidRPr="00534B09" w:rsidRDefault="00AD6203" w:rsidP="00534B09">
      <w:pPr>
        <w:overflowPunct w:val="0"/>
        <w:autoSpaceDE w:val="0"/>
        <w:autoSpaceDN w:val="0"/>
        <w:adjustRightInd w:val="0"/>
        <w:jc w:val="both"/>
        <w:textAlignment w:val="baseline"/>
        <w:rPr>
          <w:highlight w:val="green"/>
        </w:rPr>
      </w:pPr>
    </w:p>
    <w:sectPr w:rsidR="00AD6203" w:rsidRPr="00534B09" w:rsidSect="00BE0627">
      <w:footerReference w:type="even" r:id="rId9"/>
      <w:footerReference w:type="default" r:id="rId10"/>
      <w:type w:val="continuous"/>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256D" w14:textId="77777777" w:rsidR="00082330" w:rsidRDefault="00082330">
      <w:r>
        <w:separator/>
      </w:r>
    </w:p>
  </w:endnote>
  <w:endnote w:type="continuationSeparator" w:id="0">
    <w:p w14:paraId="24B19916" w14:textId="77777777" w:rsidR="00082330" w:rsidRDefault="0008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EU Albertina">
    <w:altName w:val="Times New Roman"/>
    <w:panose1 w:val="00000000000000000000"/>
    <w:charset w:val="CC"/>
    <w:family w:val="roman"/>
    <w:notTrueType/>
    <w:pitch w:val="default"/>
    <w:sig w:usb0="00000201" w:usb1="00000000" w:usb2="00000000" w:usb3="00000000" w:csb0="00000004" w:csb1="00000000"/>
  </w:font>
  <w:font w:name="Times">
    <w:panose1 w:val="020206030504050203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2528" w14:textId="77777777" w:rsidR="0049673E" w:rsidRDefault="0049673E" w:rsidP="00E67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C3A62" w14:textId="77777777" w:rsidR="0049673E" w:rsidRDefault="0049673E" w:rsidP="00F36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917B" w14:textId="08C90F29" w:rsidR="0049673E" w:rsidRDefault="0049673E" w:rsidP="00E67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330">
      <w:rPr>
        <w:rStyle w:val="PageNumber"/>
        <w:noProof/>
      </w:rPr>
      <w:t>1</w:t>
    </w:r>
    <w:r>
      <w:rPr>
        <w:rStyle w:val="PageNumber"/>
      </w:rPr>
      <w:fldChar w:fldCharType="end"/>
    </w:r>
  </w:p>
  <w:p w14:paraId="0C80F9A6" w14:textId="77777777" w:rsidR="0049673E" w:rsidRDefault="0049673E" w:rsidP="00F363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0207" w14:textId="77777777" w:rsidR="00082330" w:rsidRDefault="00082330">
      <w:r>
        <w:separator/>
      </w:r>
    </w:p>
  </w:footnote>
  <w:footnote w:type="continuationSeparator" w:id="0">
    <w:p w14:paraId="16FEBC3C" w14:textId="77777777" w:rsidR="00082330" w:rsidRDefault="00082330">
      <w:r>
        <w:continuationSeparator/>
      </w:r>
    </w:p>
  </w:footnote>
  <w:footnote w:id="1">
    <w:p w14:paraId="2F59F25F" w14:textId="77777777" w:rsidR="0049673E" w:rsidRDefault="0049673E" w:rsidP="00320D54">
      <w:pPr>
        <w:pStyle w:val="FootnoteText"/>
        <w:jc w:val="both"/>
      </w:pPr>
      <w:r>
        <w:rPr>
          <w:rStyle w:val="FootnoteReference"/>
        </w:rPr>
        <w:footnoteRef/>
      </w:r>
      <w:r>
        <w:t xml:space="preserve"> </w:t>
      </w:r>
      <w:r w:rsidRPr="000874AE">
        <w:rPr>
          <w:b/>
        </w:rPr>
        <w:t>„Земеделска техника”</w:t>
      </w:r>
      <w:r>
        <w:t xml:space="preserve"> – за целите на чл. 189б от ЗКПО, това са самоходните, несамоходните и стационарните машини, съоръженията, инсталациите и апаратите, използвани в земеделието (§ 1, т. 60 от ДР на ЗКПО)</w:t>
      </w:r>
    </w:p>
    <w:p w14:paraId="28B3F065" w14:textId="77777777" w:rsidR="0049673E" w:rsidRDefault="0049673E" w:rsidP="00320D54">
      <w:pPr>
        <w:pStyle w:val="FootnoteText"/>
        <w:jc w:val="both"/>
      </w:pPr>
      <w:r>
        <w:rPr>
          <w:rStyle w:val="FootnoteReference"/>
        </w:rPr>
        <w:t>2</w:t>
      </w:r>
      <w:r>
        <w:t xml:space="preserve"> </w:t>
      </w:r>
      <w:r w:rsidRPr="000874AE">
        <w:rPr>
          <w:b/>
        </w:rPr>
        <w:t>„Непреработена растителна и животинска продукция”</w:t>
      </w:r>
      <w:r>
        <w:t xml:space="preserve"> – съгласно § 1, т. 27 от ДР на ЗКПО, това е всеки първичен продукт, получен от растенията и животните, който не е подлаган на никаква технологична обработка или преработка, в резултат на която да са настъпили физико-химични изменения в състава, и е посочен в Приложение І на Договора за функционирането  на Европейския  съюз.</w:t>
      </w:r>
    </w:p>
  </w:footnote>
  <w:footnote w:id="2">
    <w:p w14:paraId="1A1A09EB" w14:textId="77777777" w:rsidR="0049673E" w:rsidRPr="000734CE" w:rsidRDefault="0049673E" w:rsidP="00B11F07">
      <w:pPr>
        <w:pStyle w:val="FootnoteText"/>
        <w:rPr>
          <w:sz w:val="18"/>
          <w:szCs w:val="18"/>
          <w:lang w:val="ru-RU"/>
        </w:rPr>
      </w:pPr>
    </w:p>
  </w:footnote>
  <w:footnote w:id="3">
    <w:p w14:paraId="73FB2AD3" w14:textId="77777777" w:rsidR="0049673E" w:rsidRPr="0036681B" w:rsidRDefault="0049673E" w:rsidP="00B11F07">
      <w:pPr>
        <w:autoSpaceDE w:val="0"/>
        <w:autoSpaceDN w:val="0"/>
        <w:adjustRightInd w:val="0"/>
        <w:jc w:val="both"/>
        <w:rPr>
          <w:color w:val="000000"/>
          <w:sz w:val="20"/>
          <w:szCs w:val="20"/>
        </w:rPr>
      </w:pPr>
      <w:r w:rsidRPr="001A4CB0">
        <w:rPr>
          <w:rStyle w:val="FootnoteReference"/>
          <w:sz w:val="20"/>
          <w:szCs w:val="20"/>
        </w:rPr>
        <w:footnoteRef/>
      </w:r>
      <w:r w:rsidRPr="001A4CB0">
        <w:rPr>
          <w:sz w:val="20"/>
          <w:szCs w:val="20"/>
        </w:rPr>
        <w:t xml:space="preserve"> </w:t>
      </w:r>
      <w:r w:rsidRPr="001A4CB0">
        <w:rPr>
          <w:b/>
          <w:color w:val="000000"/>
          <w:sz w:val="20"/>
          <w:szCs w:val="20"/>
        </w:rPr>
        <w:t>„Първично селскостопанско производство“</w:t>
      </w:r>
      <w:r w:rsidRPr="001A4CB0">
        <w:rPr>
          <w:color w:val="000000"/>
          <w:sz w:val="20"/>
          <w:szCs w:val="20"/>
        </w:rPr>
        <w:t xml:space="preserve"> съгласно параграф </w:t>
      </w:r>
      <w:r w:rsidR="002174E0">
        <w:rPr>
          <w:color w:val="000000"/>
          <w:sz w:val="20"/>
          <w:szCs w:val="20"/>
        </w:rPr>
        <w:t>44</w:t>
      </w:r>
      <w:r w:rsidRPr="001A4CB0">
        <w:rPr>
          <w:color w:val="000000"/>
          <w:sz w:val="20"/>
          <w:szCs w:val="20"/>
        </w:rPr>
        <w:t xml:space="preserve">, чл. 2 от </w:t>
      </w:r>
      <w:r w:rsidR="002174E0" w:rsidRPr="002174E0">
        <w:rPr>
          <w:color w:val="000000"/>
          <w:sz w:val="20"/>
          <w:szCs w:val="20"/>
        </w:rPr>
        <w:t>Регламент (ЕС) 2022/2472</w:t>
      </w:r>
      <w:r w:rsidRPr="001A4CB0">
        <w:rPr>
          <w:color w:val="000000"/>
          <w:sz w:val="20"/>
          <w:szCs w:val="20"/>
        </w:rPr>
        <w:t>, означава</w:t>
      </w:r>
      <w:r w:rsidRPr="0036681B">
        <w:rPr>
          <w:color w:val="000000"/>
          <w:sz w:val="20"/>
          <w:szCs w:val="20"/>
        </w:rPr>
        <w:t xml:space="preserve"> производството на </w:t>
      </w:r>
      <w:r>
        <w:rPr>
          <w:color w:val="000000"/>
          <w:sz w:val="20"/>
          <w:szCs w:val="20"/>
        </w:rPr>
        <w:t>растителните и животински продукти</w:t>
      </w:r>
      <w:r w:rsidRPr="0036681B">
        <w:rPr>
          <w:color w:val="000000"/>
          <w:sz w:val="20"/>
          <w:szCs w:val="20"/>
        </w:rPr>
        <w:t>, избр</w:t>
      </w:r>
      <w:r>
        <w:rPr>
          <w:color w:val="000000"/>
          <w:sz w:val="20"/>
          <w:szCs w:val="20"/>
        </w:rPr>
        <w:t>оени в приложение I към Договора</w:t>
      </w:r>
      <w:r w:rsidRPr="0036681B">
        <w:rPr>
          <w:color w:val="000000"/>
          <w:sz w:val="20"/>
          <w:szCs w:val="20"/>
        </w:rPr>
        <w:t>, без да се извършват никакви по-нататъшни операции, с които се промен</w:t>
      </w:r>
      <w:r>
        <w:rPr>
          <w:color w:val="000000"/>
          <w:sz w:val="20"/>
          <w:szCs w:val="20"/>
        </w:rPr>
        <w:t>я естеството на такива продукти.</w:t>
      </w:r>
    </w:p>
    <w:p w14:paraId="05A6D22C" w14:textId="77777777" w:rsidR="0049673E" w:rsidRPr="0036681B" w:rsidRDefault="0049673E" w:rsidP="00B11F07">
      <w:pPr>
        <w:autoSpaceDE w:val="0"/>
        <w:autoSpaceDN w:val="0"/>
        <w:adjustRightInd w:val="0"/>
        <w:rPr>
          <w:rFonts w:ascii="EUAlbertina" w:hAnsi="EUAlbertina" w:cs="EUAlbertina"/>
          <w:color w:val="000000"/>
        </w:rPr>
      </w:pPr>
    </w:p>
  </w:footnote>
  <w:footnote w:id="4">
    <w:p w14:paraId="6BD99CA7" w14:textId="77777777" w:rsidR="0049673E" w:rsidRDefault="0049673E" w:rsidP="009B182C">
      <w:pPr>
        <w:jc w:val="both"/>
        <w:rPr>
          <w:sz w:val="19"/>
          <w:szCs w:val="19"/>
        </w:rPr>
      </w:pPr>
      <w:r w:rsidRPr="00EF3A86">
        <w:rPr>
          <w:sz w:val="20"/>
          <w:szCs w:val="20"/>
        </w:rPr>
        <w:footnoteRef/>
      </w:r>
      <w:r w:rsidRPr="00EF3A86">
        <w:rPr>
          <w:sz w:val="20"/>
          <w:szCs w:val="20"/>
        </w:rPr>
        <w:t xml:space="preserve"> </w:t>
      </w:r>
      <w:r w:rsidRPr="00BA75E3">
        <w:rPr>
          <w:b/>
          <w:sz w:val="19"/>
          <w:szCs w:val="19"/>
        </w:rPr>
        <w:t>„предприятие в затруднено положение“</w:t>
      </w:r>
      <w:r>
        <w:rPr>
          <w:sz w:val="19"/>
          <w:szCs w:val="19"/>
        </w:rPr>
        <w:t xml:space="preserve"> означава предприятие, по отношение на което е налице поне едно от следните обстоятелства:</w:t>
      </w:r>
    </w:p>
    <w:tbl>
      <w:tblPr>
        <w:tblW w:w="5000" w:type="pct"/>
        <w:shd w:val="clear" w:color="auto" w:fill="FFFFFF"/>
        <w:tblCellMar>
          <w:left w:w="0" w:type="dxa"/>
          <w:right w:w="0" w:type="dxa"/>
        </w:tblCellMar>
        <w:tblLook w:val="04A0" w:firstRow="1" w:lastRow="0" w:firstColumn="1" w:lastColumn="0" w:noHBand="0" w:noVBand="1"/>
      </w:tblPr>
      <w:tblGrid>
        <w:gridCol w:w="160"/>
        <w:gridCol w:w="9761"/>
      </w:tblGrid>
      <w:tr w:rsidR="003D51A0" w:rsidRPr="003D51A0" w14:paraId="63172A1C" w14:textId="77777777" w:rsidTr="007F4BE5">
        <w:tc>
          <w:tcPr>
            <w:tcW w:w="0" w:type="auto"/>
            <w:shd w:val="clear" w:color="auto" w:fill="FFFFFF"/>
            <w:hideMark/>
          </w:tcPr>
          <w:p w14:paraId="165B9520" w14:textId="77777777" w:rsidR="003D51A0" w:rsidRPr="003D51A0" w:rsidRDefault="003D51A0" w:rsidP="003D51A0">
            <w:pPr>
              <w:jc w:val="both"/>
              <w:rPr>
                <w:sz w:val="19"/>
                <w:szCs w:val="19"/>
                <w:lang w:val="en-US"/>
              </w:rPr>
            </w:pPr>
            <w:r w:rsidRPr="003D51A0">
              <w:rPr>
                <w:sz w:val="19"/>
                <w:szCs w:val="19"/>
                <w:lang w:val="en-US"/>
              </w:rPr>
              <w:t>а)</w:t>
            </w:r>
          </w:p>
        </w:tc>
        <w:tc>
          <w:tcPr>
            <w:tcW w:w="0" w:type="auto"/>
            <w:shd w:val="clear" w:color="auto" w:fill="FFFFFF"/>
            <w:hideMark/>
          </w:tcPr>
          <w:p w14:paraId="5274BA2D" w14:textId="77777777" w:rsidR="003D51A0" w:rsidRPr="003D51A0" w:rsidRDefault="003D51A0" w:rsidP="003D51A0">
            <w:pPr>
              <w:jc w:val="both"/>
              <w:rPr>
                <w:sz w:val="19"/>
                <w:szCs w:val="19"/>
                <w:lang w:val="ru-RU"/>
              </w:rPr>
            </w:pPr>
            <w:r w:rsidRPr="003D51A0">
              <w:rPr>
                <w:sz w:val="19"/>
                <w:szCs w:val="19"/>
                <w:lang w:val="ru-RU"/>
              </w:rPr>
              <w:t>в случай на дружество с ограничена отговорност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w:t>
            </w:r>
            <w:r w:rsidRPr="003D51A0">
              <w:rPr>
                <w:sz w:val="19"/>
                <w:szCs w:val="19"/>
                <w:lang w:val="en-US"/>
              </w:rPr>
              <w:t> </w:t>
            </w:r>
            <w:r w:rsidRPr="003D51A0">
              <w:rPr>
                <w:sz w:val="19"/>
                <w:szCs w:val="19"/>
                <w:lang w:val="ru-RU"/>
              </w:rPr>
              <w:t>7</w:t>
            </w:r>
            <w:r w:rsidRPr="003D51A0">
              <w:rPr>
                <w:sz w:val="19"/>
                <w:szCs w:val="19"/>
                <w:lang w:val="en-US"/>
              </w:rPr>
              <w:t> </w:t>
            </w:r>
            <w:r w:rsidRPr="003D51A0">
              <w:rPr>
                <w:sz w:val="19"/>
                <w:szCs w:val="19"/>
                <w:lang w:val="ru-RU"/>
              </w:rPr>
              <w:t xml:space="preserve">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w:t>
            </w:r>
            <w:r w:rsidRPr="003D51A0">
              <w:rPr>
                <w:sz w:val="19"/>
                <w:szCs w:val="19"/>
                <w:lang w:val="en-US"/>
              </w:rPr>
              <w:t>I</w:t>
            </w:r>
            <w:r w:rsidRPr="003D51A0">
              <w:rPr>
                <w:sz w:val="19"/>
                <w:szCs w:val="19"/>
                <w:lang w:val="ru-RU"/>
              </w:rPr>
              <w:t xml:space="preserve"> към Директива 2013/34/ЕС</w:t>
            </w:r>
            <w:r w:rsidRPr="003D51A0">
              <w:rPr>
                <w:sz w:val="19"/>
                <w:szCs w:val="19"/>
              </w:rPr>
              <w:t> </w:t>
            </w:r>
            <w:r w:rsidRPr="003D51A0">
              <w:rPr>
                <w:sz w:val="19"/>
                <w:szCs w:val="19"/>
                <w:lang w:val="ru-RU"/>
              </w:rPr>
              <w:t xml:space="preserve"> а понятието „акционерен капитал“ включва, когато е уместно, премии от акции;</w:t>
            </w:r>
          </w:p>
        </w:tc>
      </w:tr>
      <w:tr w:rsidR="003D51A0" w:rsidRPr="003D51A0" w14:paraId="60DA3E55" w14:textId="77777777" w:rsidTr="007F4BE5">
        <w:tc>
          <w:tcPr>
            <w:tcW w:w="0" w:type="auto"/>
            <w:shd w:val="clear" w:color="auto" w:fill="FFFFFF"/>
            <w:hideMark/>
          </w:tcPr>
          <w:p w14:paraId="0AB7653E" w14:textId="77777777" w:rsidR="003D51A0" w:rsidRPr="003D51A0" w:rsidRDefault="003D51A0" w:rsidP="003D51A0">
            <w:pPr>
              <w:jc w:val="both"/>
              <w:rPr>
                <w:sz w:val="19"/>
                <w:szCs w:val="19"/>
                <w:lang w:val="en-US"/>
              </w:rPr>
            </w:pPr>
            <w:r w:rsidRPr="003D51A0">
              <w:rPr>
                <w:sz w:val="19"/>
                <w:szCs w:val="19"/>
                <w:lang w:val="en-US"/>
              </w:rPr>
              <w:t>б)</w:t>
            </w:r>
          </w:p>
        </w:tc>
        <w:tc>
          <w:tcPr>
            <w:tcW w:w="0" w:type="auto"/>
            <w:shd w:val="clear" w:color="auto" w:fill="FFFFFF"/>
            <w:hideMark/>
          </w:tcPr>
          <w:p w14:paraId="38B3B2AC" w14:textId="77777777" w:rsidR="003D51A0" w:rsidRPr="003D51A0" w:rsidRDefault="003D51A0" w:rsidP="003D51A0">
            <w:pPr>
              <w:jc w:val="both"/>
              <w:rPr>
                <w:sz w:val="19"/>
                <w:szCs w:val="19"/>
                <w:lang w:val="ru-RU"/>
              </w:rPr>
            </w:pPr>
            <w:r w:rsidRPr="003D51A0">
              <w:rPr>
                <w:sz w:val="19"/>
                <w:szCs w:val="19"/>
                <w:lang w:val="ru-RU"/>
              </w:rPr>
              <w:t xml:space="preserve">в случай на дружество, при което поне някои съдружници носят неограничена отговорност за задълженията на дружеството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w:t>
            </w:r>
            <w:r w:rsidRPr="003D51A0">
              <w:rPr>
                <w:sz w:val="19"/>
                <w:szCs w:val="19"/>
                <w:lang w:val="en-US"/>
              </w:rPr>
              <w:t>II</w:t>
            </w:r>
            <w:r w:rsidRPr="003D51A0">
              <w:rPr>
                <w:sz w:val="19"/>
                <w:szCs w:val="19"/>
                <w:lang w:val="ru-RU"/>
              </w:rPr>
              <w:t xml:space="preserve"> към Директива 2013/34/ЕС;</w:t>
            </w:r>
          </w:p>
        </w:tc>
      </w:tr>
      <w:tr w:rsidR="003D51A0" w:rsidRPr="003D51A0" w14:paraId="5B3866C7" w14:textId="77777777" w:rsidTr="007F4BE5">
        <w:tc>
          <w:tcPr>
            <w:tcW w:w="0" w:type="auto"/>
            <w:shd w:val="clear" w:color="auto" w:fill="FFFFFF"/>
            <w:hideMark/>
          </w:tcPr>
          <w:p w14:paraId="2F963885" w14:textId="77777777" w:rsidR="003D51A0" w:rsidRPr="003D51A0" w:rsidRDefault="003D51A0" w:rsidP="003D51A0">
            <w:pPr>
              <w:jc w:val="both"/>
              <w:rPr>
                <w:sz w:val="19"/>
                <w:szCs w:val="19"/>
                <w:lang w:val="en-US"/>
              </w:rPr>
            </w:pPr>
            <w:r w:rsidRPr="003D51A0">
              <w:rPr>
                <w:sz w:val="19"/>
                <w:szCs w:val="19"/>
                <w:lang w:val="en-US"/>
              </w:rPr>
              <w:t>в)</w:t>
            </w:r>
          </w:p>
        </w:tc>
        <w:tc>
          <w:tcPr>
            <w:tcW w:w="0" w:type="auto"/>
            <w:shd w:val="clear" w:color="auto" w:fill="FFFFFF"/>
            <w:hideMark/>
          </w:tcPr>
          <w:p w14:paraId="31030089" w14:textId="77777777" w:rsidR="003D51A0" w:rsidRPr="003D51A0" w:rsidRDefault="003D51A0" w:rsidP="003D51A0">
            <w:pPr>
              <w:jc w:val="both"/>
              <w:rPr>
                <w:sz w:val="19"/>
                <w:szCs w:val="19"/>
                <w:lang w:val="ru-RU"/>
              </w:rPr>
            </w:pPr>
            <w:r w:rsidRPr="003D51A0">
              <w:rPr>
                <w:sz w:val="19"/>
                <w:szCs w:val="19"/>
                <w:lang w:val="ru-RU"/>
              </w:rPr>
              <w:t>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p>
        </w:tc>
      </w:tr>
      <w:tr w:rsidR="003D51A0" w:rsidRPr="003D51A0" w14:paraId="51AEA1A3" w14:textId="77777777" w:rsidTr="007F4BE5">
        <w:tc>
          <w:tcPr>
            <w:tcW w:w="0" w:type="auto"/>
            <w:shd w:val="clear" w:color="auto" w:fill="FFFFFF"/>
            <w:hideMark/>
          </w:tcPr>
          <w:p w14:paraId="1DCBC66C" w14:textId="77777777" w:rsidR="003D51A0" w:rsidRPr="003D51A0" w:rsidRDefault="003D51A0" w:rsidP="003D51A0">
            <w:pPr>
              <w:jc w:val="both"/>
              <w:rPr>
                <w:sz w:val="19"/>
                <w:szCs w:val="19"/>
                <w:lang w:val="en-US"/>
              </w:rPr>
            </w:pPr>
            <w:r w:rsidRPr="003D51A0">
              <w:rPr>
                <w:sz w:val="19"/>
                <w:szCs w:val="19"/>
                <w:lang w:val="en-US"/>
              </w:rPr>
              <w:t>г)</w:t>
            </w:r>
          </w:p>
        </w:tc>
        <w:tc>
          <w:tcPr>
            <w:tcW w:w="0" w:type="auto"/>
            <w:shd w:val="clear" w:color="auto" w:fill="FFFFFF"/>
            <w:hideMark/>
          </w:tcPr>
          <w:p w14:paraId="2D87E6D1" w14:textId="77777777" w:rsidR="003D51A0" w:rsidRPr="003D51A0" w:rsidRDefault="003D51A0" w:rsidP="003D51A0">
            <w:pPr>
              <w:jc w:val="both"/>
              <w:rPr>
                <w:sz w:val="19"/>
                <w:szCs w:val="19"/>
                <w:lang w:val="ru-RU"/>
              </w:rPr>
            </w:pPr>
            <w:r w:rsidRPr="003D51A0">
              <w:rPr>
                <w:sz w:val="19"/>
                <w:szCs w:val="19"/>
                <w:lang w:val="ru-RU"/>
              </w:rPr>
              <w:t>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tc>
      </w:tr>
      <w:tr w:rsidR="003D51A0" w:rsidRPr="003D51A0" w14:paraId="2DF96808" w14:textId="77777777" w:rsidTr="007F4BE5">
        <w:tc>
          <w:tcPr>
            <w:tcW w:w="0" w:type="auto"/>
            <w:shd w:val="clear" w:color="auto" w:fill="FFFFFF"/>
            <w:hideMark/>
          </w:tcPr>
          <w:p w14:paraId="337BCF85" w14:textId="77777777" w:rsidR="003D51A0" w:rsidRPr="003D51A0" w:rsidRDefault="003D51A0" w:rsidP="003D51A0">
            <w:pPr>
              <w:jc w:val="both"/>
              <w:rPr>
                <w:sz w:val="19"/>
                <w:szCs w:val="19"/>
                <w:lang w:val="en-US"/>
              </w:rPr>
            </w:pPr>
            <w:r w:rsidRPr="003D51A0">
              <w:rPr>
                <w:sz w:val="19"/>
                <w:szCs w:val="19"/>
                <w:lang w:val="en-US"/>
              </w:rPr>
              <w:t>д)</w:t>
            </w:r>
          </w:p>
        </w:tc>
        <w:tc>
          <w:tcPr>
            <w:tcW w:w="0" w:type="auto"/>
            <w:shd w:val="clear" w:color="auto" w:fill="FFFFFF"/>
            <w:hideMark/>
          </w:tcPr>
          <w:p w14:paraId="2FD4EAF9" w14:textId="77777777" w:rsidR="003D51A0" w:rsidRPr="003D51A0" w:rsidRDefault="003D51A0" w:rsidP="003D51A0">
            <w:pPr>
              <w:jc w:val="both"/>
              <w:rPr>
                <w:sz w:val="19"/>
                <w:szCs w:val="19"/>
                <w:lang w:val="ru-RU"/>
              </w:rPr>
            </w:pPr>
            <w:r w:rsidRPr="003D51A0">
              <w:rPr>
                <w:sz w:val="19"/>
                <w:szCs w:val="19"/>
                <w:lang w:val="ru-RU"/>
              </w:rPr>
              <w:t>когато предприятието не е МСП и през последните две години:</w:t>
            </w:r>
          </w:p>
          <w:tbl>
            <w:tblPr>
              <w:tblW w:w="5000" w:type="pct"/>
              <w:tblCellMar>
                <w:left w:w="0" w:type="dxa"/>
                <w:right w:w="0" w:type="dxa"/>
              </w:tblCellMar>
              <w:tblLook w:val="04A0" w:firstRow="1" w:lastRow="0" w:firstColumn="1" w:lastColumn="0" w:noHBand="0" w:noVBand="1"/>
            </w:tblPr>
            <w:tblGrid>
              <w:gridCol w:w="176"/>
              <w:gridCol w:w="9585"/>
            </w:tblGrid>
            <w:tr w:rsidR="003D51A0" w:rsidRPr="003D51A0" w14:paraId="4321B795" w14:textId="77777777" w:rsidTr="007F4BE5">
              <w:tc>
                <w:tcPr>
                  <w:tcW w:w="0" w:type="auto"/>
                  <w:shd w:val="clear" w:color="auto" w:fill="auto"/>
                  <w:hideMark/>
                </w:tcPr>
                <w:p w14:paraId="16471B24" w14:textId="77777777" w:rsidR="003D51A0" w:rsidRPr="003D51A0" w:rsidRDefault="003D51A0" w:rsidP="003D51A0">
                  <w:pPr>
                    <w:jc w:val="both"/>
                    <w:rPr>
                      <w:sz w:val="19"/>
                      <w:szCs w:val="19"/>
                      <w:lang w:val="en-US"/>
                    </w:rPr>
                  </w:pPr>
                  <w:r w:rsidRPr="003D51A0">
                    <w:rPr>
                      <w:sz w:val="19"/>
                      <w:szCs w:val="19"/>
                      <w:lang w:val="en-US"/>
                    </w:rPr>
                    <w:t>1)</w:t>
                  </w:r>
                </w:p>
              </w:tc>
              <w:tc>
                <w:tcPr>
                  <w:tcW w:w="0" w:type="auto"/>
                  <w:shd w:val="clear" w:color="auto" w:fill="auto"/>
                  <w:hideMark/>
                </w:tcPr>
                <w:p w14:paraId="40E8EEE6" w14:textId="77777777" w:rsidR="003D51A0" w:rsidRPr="003D51A0" w:rsidRDefault="003D51A0" w:rsidP="003D51A0">
                  <w:pPr>
                    <w:jc w:val="both"/>
                    <w:rPr>
                      <w:sz w:val="19"/>
                      <w:szCs w:val="19"/>
                      <w:lang w:val="ru-RU"/>
                    </w:rPr>
                  </w:pPr>
                  <w:r w:rsidRPr="003D51A0">
                    <w:rPr>
                      <w:sz w:val="19"/>
                      <w:szCs w:val="19"/>
                      <w:lang w:val="ru-RU"/>
                    </w:rPr>
                    <w:t>съотношението задължения/собствен капитал на предприятието е било по-голямо от 7,5; и</w:t>
                  </w:r>
                </w:p>
              </w:tc>
            </w:tr>
            <w:tr w:rsidR="003D51A0" w:rsidRPr="003D51A0" w14:paraId="65F5EDF0" w14:textId="77777777" w:rsidTr="007F4BE5">
              <w:tc>
                <w:tcPr>
                  <w:tcW w:w="0" w:type="auto"/>
                  <w:shd w:val="clear" w:color="auto" w:fill="auto"/>
                  <w:hideMark/>
                </w:tcPr>
                <w:p w14:paraId="7F8CBAA6" w14:textId="77777777" w:rsidR="003D51A0" w:rsidRPr="003D51A0" w:rsidRDefault="003D51A0" w:rsidP="003D51A0">
                  <w:pPr>
                    <w:jc w:val="both"/>
                    <w:rPr>
                      <w:sz w:val="19"/>
                      <w:szCs w:val="19"/>
                      <w:lang w:val="en-US"/>
                    </w:rPr>
                  </w:pPr>
                  <w:r w:rsidRPr="003D51A0">
                    <w:rPr>
                      <w:sz w:val="19"/>
                      <w:szCs w:val="19"/>
                      <w:lang w:val="en-US"/>
                    </w:rPr>
                    <w:t>2)</w:t>
                  </w:r>
                </w:p>
              </w:tc>
              <w:tc>
                <w:tcPr>
                  <w:tcW w:w="0" w:type="auto"/>
                  <w:shd w:val="clear" w:color="auto" w:fill="auto"/>
                </w:tcPr>
                <w:p w14:paraId="54E1653E" w14:textId="77777777" w:rsidR="003D51A0" w:rsidRPr="003D51A0" w:rsidRDefault="003D51A0" w:rsidP="003D51A0">
                  <w:pPr>
                    <w:jc w:val="both"/>
                    <w:rPr>
                      <w:sz w:val="19"/>
                      <w:szCs w:val="19"/>
                      <w:lang w:val="ru-RU"/>
                    </w:rPr>
                  </w:pPr>
                  <w:r w:rsidRPr="003D51A0">
                    <w:rPr>
                      <w:sz w:val="19"/>
                      <w:szCs w:val="19"/>
                      <w:lang w:val="ru-RU"/>
                    </w:rPr>
                    <w:t>съотношението за лихвено покритие на предприятието, изчислено на основата на EBITDA, е било под 1,0;</w:t>
                  </w:r>
                </w:p>
              </w:tc>
            </w:tr>
          </w:tbl>
          <w:p w14:paraId="26B5F80A" w14:textId="77777777" w:rsidR="003D51A0" w:rsidRPr="003D51A0" w:rsidRDefault="003D51A0" w:rsidP="003D51A0">
            <w:pPr>
              <w:jc w:val="both"/>
              <w:rPr>
                <w:sz w:val="19"/>
                <w:szCs w:val="19"/>
                <w:lang w:val="ru-RU"/>
              </w:rPr>
            </w:pPr>
          </w:p>
        </w:tc>
      </w:tr>
    </w:tbl>
    <w:p w14:paraId="5418D0EC" w14:textId="77777777" w:rsidR="0049673E" w:rsidRDefault="0049673E" w:rsidP="009B182C">
      <w:pPr>
        <w:rPr>
          <w:rFonts w:ascii="Arial" w:hAnsi="Arial" w:cs="Arial"/>
          <w:sz w:val="20"/>
          <w:szCs w:val="20"/>
        </w:rPr>
      </w:pPr>
    </w:p>
    <w:p w14:paraId="5713DBA7" w14:textId="77777777" w:rsidR="0049673E" w:rsidRDefault="0049673E" w:rsidP="003B0BF1">
      <w:pPr>
        <w:tabs>
          <w:tab w:val="left" w:pos="-4860"/>
        </w:tabs>
        <w:autoSpaceDE w:val="0"/>
        <w:autoSpaceDN w:val="0"/>
        <w:adjustRightInd w:val="0"/>
        <w:jc w:val="both"/>
        <w:rPr>
          <w:b/>
          <w:bCs/>
          <w:sz w:val="17"/>
          <w:szCs w:val="17"/>
        </w:rPr>
      </w:pPr>
    </w:p>
    <w:p w14:paraId="2FDE816B" w14:textId="77777777" w:rsidR="0049673E" w:rsidRPr="00BF7080" w:rsidRDefault="0049673E" w:rsidP="003B0BF1">
      <w:pPr>
        <w:tabs>
          <w:tab w:val="left" w:pos="-4860"/>
        </w:tabs>
        <w:autoSpaceDE w:val="0"/>
        <w:autoSpaceDN w:val="0"/>
        <w:adjustRightInd w:val="0"/>
        <w:jc w:val="both"/>
        <w:rPr>
          <w:sz w:val="17"/>
          <w:szCs w:val="17"/>
        </w:rPr>
      </w:pPr>
      <w:r w:rsidRPr="00BF7080">
        <w:rPr>
          <w:sz w:val="17"/>
          <w:szCs w:val="17"/>
        </w:rPr>
        <w:t xml:space="preserve"> </w:t>
      </w:r>
    </w:p>
  </w:footnote>
  <w:footnote w:id="5">
    <w:p w14:paraId="7C5767F9" w14:textId="0B05EBB4" w:rsidR="00A73269" w:rsidRDefault="00A73269">
      <w:pPr>
        <w:pStyle w:val="FootnoteText"/>
      </w:pPr>
      <w:r>
        <w:rPr>
          <w:rStyle w:val="FootnoteReference"/>
        </w:rPr>
        <w:footnoteRef/>
      </w:r>
      <w:r>
        <w:t xml:space="preserve"> </w:t>
      </w:r>
      <w:r w:rsidRPr="00A73269">
        <w:t>„последваща фискална схема“ означава схема под формата на данъчни предимства, която представлява изменена версия на вече съществуваща фискална схема под формата на данъчно предимство и която я заменя</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B96DE"/>
    <w:multiLevelType w:val="hybridMultilevel"/>
    <w:tmpl w:val="A366EA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94685A"/>
    <w:multiLevelType w:val="hybridMultilevel"/>
    <w:tmpl w:val="C48427D4"/>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CBED0378"/>
    <w:multiLevelType w:val="hybridMultilevel"/>
    <w:tmpl w:val="C1DFEC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3E4237"/>
    <w:multiLevelType w:val="hybridMultilevel"/>
    <w:tmpl w:val="9616F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E09EC3"/>
    <w:multiLevelType w:val="hybridMultilevel"/>
    <w:tmpl w:val="1ADFB7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EF2F46"/>
    <w:multiLevelType w:val="hybridMultilevel"/>
    <w:tmpl w:val="928A356E"/>
    <w:lvl w:ilvl="0" w:tplc="5EF09548">
      <w:start w:val="1"/>
      <w:numFmt w:val="bullet"/>
      <w:lvlText w:val=""/>
      <w:lvlJc w:val="left"/>
      <w:pPr>
        <w:tabs>
          <w:tab w:val="num" w:pos="792"/>
        </w:tabs>
        <w:ind w:left="0" w:firstLine="504"/>
      </w:pPr>
      <w:rPr>
        <w:rFonts w:ascii="Symbol" w:hAnsi="Symbol" w:hint="default"/>
        <w:b w:val="0"/>
        <w:i w:val="0"/>
        <w:sz w:val="24"/>
      </w:rPr>
    </w:lvl>
    <w:lvl w:ilvl="1" w:tplc="B802C7E6">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56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5148F1"/>
    <w:multiLevelType w:val="hybridMultilevel"/>
    <w:tmpl w:val="260034CE"/>
    <w:lvl w:ilvl="0" w:tplc="5EF09548">
      <w:start w:val="1"/>
      <w:numFmt w:val="bullet"/>
      <w:lvlText w:val=""/>
      <w:lvlJc w:val="left"/>
      <w:pPr>
        <w:tabs>
          <w:tab w:val="num" w:pos="792"/>
        </w:tabs>
        <w:ind w:left="0" w:firstLine="504"/>
      </w:pPr>
      <w:rPr>
        <w:rFonts w:ascii="Symbol" w:hAnsi="Symbol" w:hint="default"/>
        <w:b w:val="0"/>
        <w:i w:val="0"/>
        <w:sz w:val="24"/>
      </w:rPr>
    </w:lvl>
    <w:lvl w:ilvl="1" w:tplc="7EDC30D2">
      <w:start w:val="1"/>
      <w:numFmt w:val="bullet"/>
      <w:lvlText w:val="-"/>
      <w:lvlJc w:val="left"/>
      <w:pPr>
        <w:tabs>
          <w:tab w:val="num" w:pos="1474"/>
        </w:tabs>
        <w:ind w:left="513" w:firstLine="567"/>
      </w:pPr>
      <w:rPr>
        <w:rFonts w:ascii="Times New Roman" w:hAnsi="Times New Roman" w:cs="Times New Roman" w:hint="default"/>
        <w:b w:val="0"/>
        <w:i w:val="0"/>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DB1CF2"/>
    <w:multiLevelType w:val="hybridMultilevel"/>
    <w:tmpl w:val="752C7234"/>
    <w:lvl w:ilvl="0" w:tplc="EA460A1E">
      <w:start w:val="1"/>
      <w:numFmt w:val="decimal"/>
      <w:lvlText w:val="%1."/>
      <w:lvlJc w:val="left"/>
      <w:pPr>
        <w:tabs>
          <w:tab w:val="num" w:pos="1335"/>
        </w:tabs>
        <w:ind w:left="1335" w:hanging="79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9" w15:restartNumberingAfterBreak="0">
    <w:nsid w:val="596548BF"/>
    <w:multiLevelType w:val="hybridMultilevel"/>
    <w:tmpl w:val="8C5E6676"/>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84DD8"/>
    <w:multiLevelType w:val="hybridMultilevel"/>
    <w:tmpl w:val="B78263EA"/>
    <w:lvl w:ilvl="0" w:tplc="0402000F">
      <w:start w:val="2"/>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8"/>
  </w:num>
  <w:num w:numId="8">
    <w:abstractNumId w:val="0"/>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F1"/>
    <w:rsid w:val="000026D4"/>
    <w:rsid w:val="00003251"/>
    <w:rsid w:val="0000344A"/>
    <w:rsid w:val="00003BE3"/>
    <w:rsid w:val="00013253"/>
    <w:rsid w:val="000169F7"/>
    <w:rsid w:val="00016A08"/>
    <w:rsid w:val="00020190"/>
    <w:rsid w:val="0002082A"/>
    <w:rsid w:val="000242AE"/>
    <w:rsid w:val="00037FAE"/>
    <w:rsid w:val="00044A4E"/>
    <w:rsid w:val="00050661"/>
    <w:rsid w:val="000530CF"/>
    <w:rsid w:val="00056E83"/>
    <w:rsid w:val="00056EE9"/>
    <w:rsid w:val="00057057"/>
    <w:rsid w:val="00061610"/>
    <w:rsid w:val="00063982"/>
    <w:rsid w:val="0006705E"/>
    <w:rsid w:val="00070FEE"/>
    <w:rsid w:val="0007263B"/>
    <w:rsid w:val="000734CE"/>
    <w:rsid w:val="0007416F"/>
    <w:rsid w:val="0007618A"/>
    <w:rsid w:val="00076ADA"/>
    <w:rsid w:val="00077297"/>
    <w:rsid w:val="00080226"/>
    <w:rsid w:val="00082330"/>
    <w:rsid w:val="00084562"/>
    <w:rsid w:val="000874AE"/>
    <w:rsid w:val="00087A15"/>
    <w:rsid w:val="000928DA"/>
    <w:rsid w:val="00093A59"/>
    <w:rsid w:val="000940FE"/>
    <w:rsid w:val="00094DD8"/>
    <w:rsid w:val="000A0B5E"/>
    <w:rsid w:val="000A5278"/>
    <w:rsid w:val="000A6359"/>
    <w:rsid w:val="000B0DB8"/>
    <w:rsid w:val="000B1414"/>
    <w:rsid w:val="000B1F5F"/>
    <w:rsid w:val="000B54EA"/>
    <w:rsid w:val="000B555E"/>
    <w:rsid w:val="000B7A27"/>
    <w:rsid w:val="000C0060"/>
    <w:rsid w:val="000C16AE"/>
    <w:rsid w:val="000C3FC2"/>
    <w:rsid w:val="000C55AF"/>
    <w:rsid w:val="000C6447"/>
    <w:rsid w:val="000C706A"/>
    <w:rsid w:val="000C768C"/>
    <w:rsid w:val="000D1025"/>
    <w:rsid w:val="000D115E"/>
    <w:rsid w:val="000D2CA2"/>
    <w:rsid w:val="000D3D4B"/>
    <w:rsid w:val="000D5A6B"/>
    <w:rsid w:val="000E2CDE"/>
    <w:rsid w:val="000E6933"/>
    <w:rsid w:val="000E6B30"/>
    <w:rsid w:val="000E7646"/>
    <w:rsid w:val="000F0AAC"/>
    <w:rsid w:val="000F1991"/>
    <w:rsid w:val="000F2C4A"/>
    <w:rsid w:val="000F2D89"/>
    <w:rsid w:val="000F40F0"/>
    <w:rsid w:val="000F451C"/>
    <w:rsid w:val="000F6443"/>
    <w:rsid w:val="000F68B3"/>
    <w:rsid w:val="000F78BB"/>
    <w:rsid w:val="00100E08"/>
    <w:rsid w:val="001022E8"/>
    <w:rsid w:val="001027C9"/>
    <w:rsid w:val="00102A61"/>
    <w:rsid w:val="00103246"/>
    <w:rsid w:val="00106108"/>
    <w:rsid w:val="00106364"/>
    <w:rsid w:val="00106592"/>
    <w:rsid w:val="001070DD"/>
    <w:rsid w:val="00111B30"/>
    <w:rsid w:val="00115C8F"/>
    <w:rsid w:val="001226E2"/>
    <w:rsid w:val="00122805"/>
    <w:rsid w:val="001278DD"/>
    <w:rsid w:val="00132463"/>
    <w:rsid w:val="0013755B"/>
    <w:rsid w:val="0014022F"/>
    <w:rsid w:val="00140DAB"/>
    <w:rsid w:val="001509F4"/>
    <w:rsid w:val="0015208C"/>
    <w:rsid w:val="00152791"/>
    <w:rsid w:val="001527DD"/>
    <w:rsid w:val="00157B40"/>
    <w:rsid w:val="00161688"/>
    <w:rsid w:val="001643B7"/>
    <w:rsid w:val="0016760C"/>
    <w:rsid w:val="00170429"/>
    <w:rsid w:val="001710CC"/>
    <w:rsid w:val="0017172B"/>
    <w:rsid w:val="00171B80"/>
    <w:rsid w:val="0017207D"/>
    <w:rsid w:val="00172187"/>
    <w:rsid w:val="0017346D"/>
    <w:rsid w:val="0017473F"/>
    <w:rsid w:val="00177101"/>
    <w:rsid w:val="0018202A"/>
    <w:rsid w:val="00183C96"/>
    <w:rsid w:val="001844D5"/>
    <w:rsid w:val="001864E9"/>
    <w:rsid w:val="00186F7C"/>
    <w:rsid w:val="00187DEA"/>
    <w:rsid w:val="001918FC"/>
    <w:rsid w:val="00192112"/>
    <w:rsid w:val="00192A1C"/>
    <w:rsid w:val="00192C88"/>
    <w:rsid w:val="00193090"/>
    <w:rsid w:val="00193249"/>
    <w:rsid w:val="00193488"/>
    <w:rsid w:val="00194286"/>
    <w:rsid w:val="00197060"/>
    <w:rsid w:val="001A1AB6"/>
    <w:rsid w:val="001A26E4"/>
    <w:rsid w:val="001A2ADE"/>
    <w:rsid w:val="001A4CB0"/>
    <w:rsid w:val="001A592C"/>
    <w:rsid w:val="001B31AB"/>
    <w:rsid w:val="001B38C4"/>
    <w:rsid w:val="001B4944"/>
    <w:rsid w:val="001B6E78"/>
    <w:rsid w:val="001C013E"/>
    <w:rsid w:val="001C0A9F"/>
    <w:rsid w:val="001C0C93"/>
    <w:rsid w:val="001C2CEE"/>
    <w:rsid w:val="001C7335"/>
    <w:rsid w:val="001C7A19"/>
    <w:rsid w:val="001D005C"/>
    <w:rsid w:val="001D438A"/>
    <w:rsid w:val="001D4BB9"/>
    <w:rsid w:val="001D668B"/>
    <w:rsid w:val="001E0FC4"/>
    <w:rsid w:val="001E10D9"/>
    <w:rsid w:val="001E1276"/>
    <w:rsid w:val="001E1EEB"/>
    <w:rsid w:val="001E237C"/>
    <w:rsid w:val="001E339C"/>
    <w:rsid w:val="001E51FD"/>
    <w:rsid w:val="001E725B"/>
    <w:rsid w:val="001F16F2"/>
    <w:rsid w:val="001F29B9"/>
    <w:rsid w:val="001F3F90"/>
    <w:rsid w:val="001F6198"/>
    <w:rsid w:val="00203513"/>
    <w:rsid w:val="00214130"/>
    <w:rsid w:val="002174E0"/>
    <w:rsid w:val="00220DDD"/>
    <w:rsid w:val="00221F3B"/>
    <w:rsid w:val="00222BA4"/>
    <w:rsid w:val="00231839"/>
    <w:rsid w:val="002323D3"/>
    <w:rsid w:val="00234FAF"/>
    <w:rsid w:val="0023654E"/>
    <w:rsid w:val="0023721F"/>
    <w:rsid w:val="00237300"/>
    <w:rsid w:val="002400DE"/>
    <w:rsid w:val="00240D44"/>
    <w:rsid w:val="00242F2C"/>
    <w:rsid w:val="00245283"/>
    <w:rsid w:val="00250EED"/>
    <w:rsid w:val="00251B2A"/>
    <w:rsid w:val="00254645"/>
    <w:rsid w:val="00264291"/>
    <w:rsid w:val="00264A2E"/>
    <w:rsid w:val="00267BBD"/>
    <w:rsid w:val="0027206E"/>
    <w:rsid w:val="002759F7"/>
    <w:rsid w:val="00275AA3"/>
    <w:rsid w:val="00283ACA"/>
    <w:rsid w:val="00285FA6"/>
    <w:rsid w:val="00286816"/>
    <w:rsid w:val="002904CA"/>
    <w:rsid w:val="00290D21"/>
    <w:rsid w:val="002A10B2"/>
    <w:rsid w:val="002A4746"/>
    <w:rsid w:val="002A638B"/>
    <w:rsid w:val="002A728F"/>
    <w:rsid w:val="002B1A80"/>
    <w:rsid w:val="002B2FDE"/>
    <w:rsid w:val="002B3722"/>
    <w:rsid w:val="002B426B"/>
    <w:rsid w:val="002B49F8"/>
    <w:rsid w:val="002B7813"/>
    <w:rsid w:val="002C0338"/>
    <w:rsid w:val="002C4E38"/>
    <w:rsid w:val="002C5CC1"/>
    <w:rsid w:val="002C7428"/>
    <w:rsid w:val="002C7AA5"/>
    <w:rsid w:val="002D4D8F"/>
    <w:rsid w:val="002D5734"/>
    <w:rsid w:val="002D63C3"/>
    <w:rsid w:val="002D6BAF"/>
    <w:rsid w:val="002D7CC7"/>
    <w:rsid w:val="002E3E4E"/>
    <w:rsid w:val="002E4485"/>
    <w:rsid w:val="002E5643"/>
    <w:rsid w:val="002E56E1"/>
    <w:rsid w:val="002E5AF7"/>
    <w:rsid w:val="002E67E7"/>
    <w:rsid w:val="002F081E"/>
    <w:rsid w:val="00300C39"/>
    <w:rsid w:val="00301C88"/>
    <w:rsid w:val="00302CA1"/>
    <w:rsid w:val="0031018A"/>
    <w:rsid w:val="00310C29"/>
    <w:rsid w:val="00310F56"/>
    <w:rsid w:val="00313BE3"/>
    <w:rsid w:val="00320D54"/>
    <w:rsid w:val="00323B09"/>
    <w:rsid w:val="003248CA"/>
    <w:rsid w:val="003267A7"/>
    <w:rsid w:val="00327389"/>
    <w:rsid w:val="003339BE"/>
    <w:rsid w:val="00333FE6"/>
    <w:rsid w:val="00335E57"/>
    <w:rsid w:val="0034093E"/>
    <w:rsid w:val="003434F4"/>
    <w:rsid w:val="00344FE2"/>
    <w:rsid w:val="0034758A"/>
    <w:rsid w:val="00357C58"/>
    <w:rsid w:val="003631CB"/>
    <w:rsid w:val="003636B6"/>
    <w:rsid w:val="003646A2"/>
    <w:rsid w:val="003667FE"/>
    <w:rsid w:val="0036681B"/>
    <w:rsid w:val="00366FA1"/>
    <w:rsid w:val="00374C07"/>
    <w:rsid w:val="00374D3F"/>
    <w:rsid w:val="003828D3"/>
    <w:rsid w:val="003829CF"/>
    <w:rsid w:val="00385E96"/>
    <w:rsid w:val="003864ED"/>
    <w:rsid w:val="00387AE4"/>
    <w:rsid w:val="003932EE"/>
    <w:rsid w:val="00394EF2"/>
    <w:rsid w:val="00395803"/>
    <w:rsid w:val="0039673C"/>
    <w:rsid w:val="00396806"/>
    <w:rsid w:val="00396BA4"/>
    <w:rsid w:val="003A5BA7"/>
    <w:rsid w:val="003A5DFE"/>
    <w:rsid w:val="003B0BF1"/>
    <w:rsid w:val="003B0C5A"/>
    <w:rsid w:val="003B1188"/>
    <w:rsid w:val="003B1BFF"/>
    <w:rsid w:val="003B298F"/>
    <w:rsid w:val="003B589A"/>
    <w:rsid w:val="003B6015"/>
    <w:rsid w:val="003B6A71"/>
    <w:rsid w:val="003C1CD2"/>
    <w:rsid w:val="003C2F5B"/>
    <w:rsid w:val="003C5D46"/>
    <w:rsid w:val="003C5EAD"/>
    <w:rsid w:val="003D1F36"/>
    <w:rsid w:val="003D2922"/>
    <w:rsid w:val="003D401C"/>
    <w:rsid w:val="003D51A0"/>
    <w:rsid w:val="003E00A8"/>
    <w:rsid w:val="003E1BC4"/>
    <w:rsid w:val="003E5E34"/>
    <w:rsid w:val="003E5EA8"/>
    <w:rsid w:val="003E6CED"/>
    <w:rsid w:val="003E6E54"/>
    <w:rsid w:val="003E77C3"/>
    <w:rsid w:val="003F1411"/>
    <w:rsid w:val="003F1D6A"/>
    <w:rsid w:val="003F2842"/>
    <w:rsid w:val="003F5492"/>
    <w:rsid w:val="003F7416"/>
    <w:rsid w:val="003F787D"/>
    <w:rsid w:val="00400851"/>
    <w:rsid w:val="00402192"/>
    <w:rsid w:val="004024C7"/>
    <w:rsid w:val="0040389E"/>
    <w:rsid w:val="0040445F"/>
    <w:rsid w:val="00405CCA"/>
    <w:rsid w:val="00405FCB"/>
    <w:rsid w:val="0040777D"/>
    <w:rsid w:val="00410A7C"/>
    <w:rsid w:val="004113F3"/>
    <w:rsid w:val="00413618"/>
    <w:rsid w:val="00413D56"/>
    <w:rsid w:val="004161CF"/>
    <w:rsid w:val="0042133A"/>
    <w:rsid w:val="00424CCA"/>
    <w:rsid w:val="00427924"/>
    <w:rsid w:val="0043179B"/>
    <w:rsid w:val="004324E9"/>
    <w:rsid w:val="004354F6"/>
    <w:rsid w:val="004409DD"/>
    <w:rsid w:val="00440A83"/>
    <w:rsid w:val="00441080"/>
    <w:rsid w:val="0044296C"/>
    <w:rsid w:val="00442C2C"/>
    <w:rsid w:val="00442EEE"/>
    <w:rsid w:val="004438A9"/>
    <w:rsid w:val="004521B8"/>
    <w:rsid w:val="00452410"/>
    <w:rsid w:val="00452910"/>
    <w:rsid w:val="00452D6F"/>
    <w:rsid w:val="00453562"/>
    <w:rsid w:val="00453D33"/>
    <w:rsid w:val="00456C33"/>
    <w:rsid w:val="00461BD0"/>
    <w:rsid w:val="00463D93"/>
    <w:rsid w:val="004654E7"/>
    <w:rsid w:val="00466AB0"/>
    <w:rsid w:val="004735BF"/>
    <w:rsid w:val="00476FD4"/>
    <w:rsid w:val="004816F1"/>
    <w:rsid w:val="00481D4D"/>
    <w:rsid w:val="00484FAC"/>
    <w:rsid w:val="00486F4D"/>
    <w:rsid w:val="00493B1C"/>
    <w:rsid w:val="0049454F"/>
    <w:rsid w:val="00494E1A"/>
    <w:rsid w:val="004964DF"/>
    <w:rsid w:val="0049673E"/>
    <w:rsid w:val="004A1F02"/>
    <w:rsid w:val="004A25A5"/>
    <w:rsid w:val="004A555B"/>
    <w:rsid w:val="004A791A"/>
    <w:rsid w:val="004B01EF"/>
    <w:rsid w:val="004B077E"/>
    <w:rsid w:val="004B23D2"/>
    <w:rsid w:val="004B255A"/>
    <w:rsid w:val="004B3239"/>
    <w:rsid w:val="004B3B84"/>
    <w:rsid w:val="004B6354"/>
    <w:rsid w:val="004C07EA"/>
    <w:rsid w:val="004C197A"/>
    <w:rsid w:val="004C1DAB"/>
    <w:rsid w:val="004C1E1B"/>
    <w:rsid w:val="004C2DEF"/>
    <w:rsid w:val="004C47D4"/>
    <w:rsid w:val="004C59BC"/>
    <w:rsid w:val="004D08A7"/>
    <w:rsid w:val="004D0CF7"/>
    <w:rsid w:val="004D0EDC"/>
    <w:rsid w:val="004D3688"/>
    <w:rsid w:val="004D3F91"/>
    <w:rsid w:val="004D5588"/>
    <w:rsid w:val="004D5BD6"/>
    <w:rsid w:val="004D653F"/>
    <w:rsid w:val="004D6A1B"/>
    <w:rsid w:val="004D7627"/>
    <w:rsid w:val="004E25B2"/>
    <w:rsid w:val="004E358C"/>
    <w:rsid w:val="004E49E7"/>
    <w:rsid w:val="004E513E"/>
    <w:rsid w:val="004E7054"/>
    <w:rsid w:val="004F2389"/>
    <w:rsid w:val="004F35C8"/>
    <w:rsid w:val="004F422B"/>
    <w:rsid w:val="004F490D"/>
    <w:rsid w:val="004F6172"/>
    <w:rsid w:val="004F75CE"/>
    <w:rsid w:val="00501D88"/>
    <w:rsid w:val="0050245A"/>
    <w:rsid w:val="00502517"/>
    <w:rsid w:val="00505F2E"/>
    <w:rsid w:val="00506D48"/>
    <w:rsid w:val="00507581"/>
    <w:rsid w:val="005106A6"/>
    <w:rsid w:val="00510DD6"/>
    <w:rsid w:val="005169FB"/>
    <w:rsid w:val="00520299"/>
    <w:rsid w:val="005217F0"/>
    <w:rsid w:val="00523138"/>
    <w:rsid w:val="005232F8"/>
    <w:rsid w:val="00523670"/>
    <w:rsid w:val="00525B61"/>
    <w:rsid w:val="00526F2D"/>
    <w:rsid w:val="00531FBE"/>
    <w:rsid w:val="00532207"/>
    <w:rsid w:val="00534B09"/>
    <w:rsid w:val="00535444"/>
    <w:rsid w:val="00535973"/>
    <w:rsid w:val="005367DC"/>
    <w:rsid w:val="005415E5"/>
    <w:rsid w:val="0054268C"/>
    <w:rsid w:val="00543D6E"/>
    <w:rsid w:val="00544301"/>
    <w:rsid w:val="005479BD"/>
    <w:rsid w:val="00551CA3"/>
    <w:rsid w:val="00552C94"/>
    <w:rsid w:val="005539B1"/>
    <w:rsid w:val="00557496"/>
    <w:rsid w:val="00560731"/>
    <w:rsid w:val="00560A9F"/>
    <w:rsid w:val="005638E6"/>
    <w:rsid w:val="00564CDF"/>
    <w:rsid w:val="005678E8"/>
    <w:rsid w:val="00573055"/>
    <w:rsid w:val="00584710"/>
    <w:rsid w:val="00584B5A"/>
    <w:rsid w:val="0059181B"/>
    <w:rsid w:val="0059245C"/>
    <w:rsid w:val="00592ABC"/>
    <w:rsid w:val="005A3A4F"/>
    <w:rsid w:val="005A40C1"/>
    <w:rsid w:val="005A762E"/>
    <w:rsid w:val="005B3ADB"/>
    <w:rsid w:val="005B414D"/>
    <w:rsid w:val="005B519C"/>
    <w:rsid w:val="005B7953"/>
    <w:rsid w:val="005C14DD"/>
    <w:rsid w:val="005C188A"/>
    <w:rsid w:val="005C33D5"/>
    <w:rsid w:val="005C4102"/>
    <w:rsid w:val="005C4512"/>
    <w:rsid w:val="005C50E7"/>
    <w:rsid w:val="005C530C"/>
    <w:rsid w:val="005C565B"/>
    <w:rsid w:val="005C6366"/>
    <w:rsid w:val="005C6C43"/>
    <w:rsid w:val="005D06D8"/>
    <w:rsid w:val="005D3A48"/>
    <w:rsid w:val="005D40A8"/>
    <w:rsid w:val="005D4E88"/>
    <w:rsid w:val="005E06F0"/>
    <w:rsid w:val="005E0FEA"/>
    <w:rsid w:val="005E21EC"/>
    <w:rsid w:val="005E3387"/>
    <w:rsid w:val="005E51A7"/>
    <w:rsid w:val="005E5969"/>
    <w:rsid w:val="005E702C"/>
    <w:rsid w:val="005E7DFC"/>
    <w:rsid w:val="005F00FB"/>
    <w:rsid w:val="005F01DE"/>
    <w:rsid w:val="005F1CBC"/>
    <w:rsid w:val="005F30E8"/>
    <w:rsid w:val="005F3794"/>
    <w:rsid w:val="005F6C83"/>
    <w:rsid w:val="005F7378"/>
    <w:rsid w:val="00601EA7"/>
    <w:rsid w:val="00604845"/>
    <w:rsid w:val="0060514F"/>
    <w:rsid w:val="00605CDA"/>
    <w:rsid w:val="00607241"/>
    <w:rsid w:val="006072DF"/>
    <w:rsid w:val="00610F66"/>
    <w:rsid w:val="00616333"/>
    <w:rsid w:val="00616C36"/>
    <w:rsid w:val="00617403"/>
    <w:rsid w:val="006232C6"/>
    <w:rsid w:val="00624116"/>
    <w:rsid w:val="00625267"/>
    <w:rsid w:val="00626802"/>
    <w:rsid w:val="0063189D"/>
    <w:rsid w:val="006342E0"/>
    <w:rsid w:val="00636741"/>
    <w:rsid w:val="00640ACF"/>
    <w:rsid w:val="006433B3"/>
    <w:rsid w:val="00643A3E"/>
    <w:rsid w:val="00646738"/>
    <w:rsid w:val="00652CC8"/>
    <w:rsid w:val="006533F9"/>
    <w:rsid w:val="00653F39"/>
    <w:rsid w:val="00657685"/>
    <w:rsid w:val="00663063"/>
    <w:rsid w:val="006674CC"/>
    <w:rsid w:val="00670C4B"/>
    <w:rsid w:val="00671C10"/>
    <w:rsid w:val="00680204"/>
    <w:rsid w:val="00681563"/>
    <w:rsid w:val="0068328C"/>
    <w:rsid w:val="006838D8"/>
    <w:rsid w:val="006843A5"/>
    <w:rsid w:val="006853CD"/>
    <w:rsid w:val="006856F2"/>
    <w:rsid w:val="00690CCB"/>
    <w:rsid w:val="00693832"/>
    <w:rsid w:val="0069581B"/>
    <w:rsid w:val="006961E0"/>
    <w:rsid w:val="006A249C"/>
    <w:rsid w:val="006A48D0"/>
    <w:rsid w:val="006A4DEF"/>
    <w:rsid w:val="006A56FF"/>
    <w:rsid w:val="006A57F7"/>
    <w:rsid w:val="006A5A32"/>
    <w:rsid w:val="006A7DB2"/>
    <w:rsid w:val="006B7460"/>
    <w:rsid w:val="006C21DD"/>
    <w:rsid w:val="006C2DCB"/>
    <w:rsid w:val="006C5771"/>
    <w:rsid w:val="006C76C7"/>
    <w:rsid w:val="006D1059"/>
    <w:rsid w:val="006D240C"/>
    <w:rsid w:val="006D2F36"/>
    <w:rsid w:val="006D36DB"/>
    <w:rsid w:val="006D59BD"/>
    <w:rsid w:val="006D636C"/>
    <w:rsid w:val="006D6402"/>
    <w:rsid w:val="006D7FCA"/>
    <w:rsid w:val="006E24B1"/>
    <w:rsid w:val="006E39DF"/>
    <w:rsid w:val="006E557C"/>
    <w:rsid w:val="006E78BE"/>
    <w:rsid w:val="006F5B33"/>
    <w:rsid w:val="006F60F2"/>
    <w:rsid w:val="006F6810"/>
    <w:rsid w:val="00700BFE"/>
    <w:rsid w:val="007025C9"/>
    <w:rsid w:val="0071010F"/>
    <w:rsid w:val="00711FCC"/>
    <w:rsid w:val="007154D0"/>
    <w:rsid w:val="007168A2"/>
    <w:rsid w:val="00716C29"/>
    <w:rsid w:val="00716CA0"/>
    <w:rsid w:val="00722146"/>
    <w:rsid w:val="00724021"/>
    <w:rsid w:val="00725065"/>
    <w:rsid w:val="00727484"/>
    <w:rsid w:val="007357BD"/>
    <w:rsid w:val="007404EF"/>
    <w:rsid w:val="00740B58"/>
    <w:rsid w:val="00747CDC"/>
    <w:rsid w:val="00750EC1"/>
    <w:rsid w:val="007533C4"/>
    <w:rsid w:val="00760518"/>
    <w:rsid w:val="00760A8F"/>
    <w:rsid w:val="00760E7B"/>
    <w:rsid w:val="00761AD5"/>
    <w:rsid w:val="007627DC"/>
    <w:rsid w:val="00762965"/>
    <w:rsid w:val="00763C9B"/>
    <w:rsid w:val="00764071"/>
    <w:rsid w:val="0076599A"/>
    <w:rsid w:val="00770722"/>
    <w:rsid w:val="00771A64"/>
    <w:rsid w:val="007725E5"/>
    <w:rsid w:val="00773DA7"/>
    <w:rsid w:val="007809CE"/>
    <w:rsid w:val="00786908"/>
    <w:rsid w:val="0078723F"/>
    <w:rsid w:val="00787C00"/>
    <w:rsid w:val="007918A5"/>
    <w:rsid w:val="0079212C"/>
    <w:rsid w:val="00793797"/>
    <w:rsid w:val="00793B90"/>
    <w:rsid w:val="00794B44"/>
    <w:rsid w:val="00796286"/>
    <w:rsid w:val="0079665F"/>
    <w:rsid w:val="007A0535"/>
    <w:rsid w:val="007A1E7D"/>
    <w:rsid w:val="007A22E1"/>
    <w:rsid w:val="007A64FE"/>
    <w:rsid w:val="007A6809"/>
    <w:rsid w:val="007B203D"/>
    <w:rsid w:val="007B3497"/>
    <w:rsid w:val="007C0A7E"/>
    <w:rsid w:val="007C0F97"/>
    <w:rsid w:val="007C2588"/>
    <w:rsid w:val="007C69B7"/>
    <w:rsid w:val="007D040F"/>
    <w:rsid w:val="007D049A"/>
    <w:rsid w:val="007D0A20"/>
    <w:rsid w:val="007D2439"/>
    <w:rsid w:val="007D493B"/>
    <w:rsid w:val="007D517B"/>
    <w:rsid w:val="007D7D0A"/>
    <w:rsid w:val="007E0554"/>
    <w:rsid w:val="007E1101"/>
    <w:rsid w:val="007E2E04"/>
    <w:rsid w:val="007E3ADA"/>
    <w:rsid w:val="007E6C2D"/>
    <w:rsid w:val="007F1358"/>
    <w:rsid w:val="007F139A"/>
    <w:rsid w:val="007F5267"/>
    <w:rsid w:val="007F59E2"/>
    <w:rsid w:val="007F611A"/>
    <w:rsid w:val="007F76FF"/>
    <w:rsid w:val="00800A35"/>
    <w:rsid w:val="008019B0"/>
    <w:rsid w:val="00813758"/>
    <w:rsid w:val="00813850"/>
    <w:rsid w:val="00813E08"/>
    <w:rsid w:val="00814285"/>
    <w:rsid w:val="00814C6C"/>
    <w:rsid w:val="00815BC8"/>
    <w:rsid w:val="008221A4"/>
    <w:rsid w:val="00823282"/>
    <w:rsid w:val="00827140"/>
    <w:rsid w:val="0082763B"/>
    <w:rsid w:val="00831637"/>
    <w:rsid w:val="008339CF"/>
    <w:rsid w:val="00835016"/>
    <w:rsid w:val="00836491"/>
    <w:rsid w:val="00837BE3"/>
    <w:rsid w:val="00841887"/>
    <w:rsid w:val="0084372B"/>
    <w:rsid w:val="00853AD7"/>
    <w:rsid w:val="00854EA8"/>
    <w:rsid w:val="00855CFB"/>
    <w:rsid w:val="00865C12"/>
    <w:rsid w:val="00867C66"/>
    <w:rsid w:val="0087155F"/>
    <w:rsid w:val="00872230"/>
    <w:rsid w:val="008738AB"/>
    <w:rsid w:val="008753BB"/>
    <w:rsid w:val="008878AF"/>
    <w:rsid w:val="00891F5B"/>
    <w:rsid w:val="008927F0"/>
    <w:rsid w:val="00892B26"/>
    <w:rsid w:val="00895E60"/>
    <w:rsid w:val="008973BD"/>
    <w:rsid w:val="008975F6"/>
    <w:rsid w:val="008A59F4"/>
    <w:rsid w:val="008B346A"/>
    <w:rsid w:val="008B4960"/>
    <w:rsid w:val="008C1E32"/>
    <w:rsid w:val="008C25E5"/>
    <w:rsid w:val="008C3588"/>
    <w:rsid w:val="008D0618"/>
    <w:rsid w:val="008D2EE2"/>
    <w:rsid w:val="008D3772"/>
    <w:rsid w:val="008D3B4A"/>
    <w:rsid w:val="008E2FEA"/>
    <w:rsid w:val="008E3714"/>
    <w:rsid w:val="008E427F"/>
    <w:rsid w:val="008E4CDA"/>
    <w:rsid w:val="008E73B9"/>
    <w:rsid w:val="008E7DA1"/>
    <w:rsid w:val="008F02AD"/>
    <w:rsid w:val="008F093F"/>
    <w:rsid w:val="008F5F9E"/>
    <w:rsid w:val="00900A22"/>
    <w:rsid w:val="00900B44"/>
    <w:rsid w:val="0090297B"/>
    <w:rsid w:val="00902C21"/>
    <w:rsid w:val="00906387"/>
    <w:rsid w:val="009076F8"/>
    <w:rsid w:val="009113FA"/>
    <w:rsid w:val="00912305"/>
    <w:rsid w:val="00913645"/>
    <w:rsid w:val="00914B73"/>
    <w:rsid w:val="00915078"/>
    <w:rsid w:val="009213A4"/>
    <w:rsid w:val="00930B3D"/>
    <w:rsid w:val="00930D9A"/>
    <w:rsid w:val="00931AFD"/>
    <w:rsid w:val="00931BCD"/>
    <w:rsid w:val="00936E0B"/>
    <w:rsid w:val="00941EA9"/>
    <w:rsid w:val="009476F5"/>
    <w:rsid w:val="00950792"/>
    <w:rsid w:val="009629E6"/>
    <w:rsid w:val="00963127"/>
    <w:rsid w:val="00967BDE"/>
    <w:rsid w:val="0097175A"/>
    <w:rsid w:val="0097310C"/>
    <w:rsid w:val="00973575"/>
    <w:rsid w:val="0097371A"/>
    <w:rsid w:val="0098033D"/>
    <w:rsid w:val="00983FD3"/>
    <w:rsid w:val="0098535C"/>
    <w:rsid w:val="00985E8C"/>
    <w:rsid w:val="0098673B"/>
    <w:rsid w:val="00986D61"/>
    <w:rsid w:val="00990E74"/>
    <w:rsid w:val="00991F4B"/>
    <w:rsid w:val="00994A35"/>
    <w:rsid w:val="00995085"/>
    <w:rsid w:val="009A0554"/>
    <w:rsid w:val="009B0B4A"/>
    <w:rsid w:val="009B16F5"/>
    <w:rsid w:val="009B182C"/>
    <w:rsid w:val="009B4429"/>
    <w:rsid w:val="009B6A34"/>
    <w:rsid w:val="009B7DE0"/>
    <w:rsid w:val="009C07FD"/>
    <w:rsid w:val="009C543D"/>
    <w:rsid w:val="009D0CE5"/>
    <w:rsid w:val="009D1FB9"/>
    <w:rsid w:val="009D3286"/>
    <w:rsid w:val="009D383E"/>
    <w:rsid w:val="009D483B"/>
    <w:rsid w:val="009D7C8F"/>
    <w:rsid w:val="009E10C6"/>
    <w:rsid w:val="009E22C0"/>
    <w:rsid w:val="009E52E1"/>
    <w:rsid w:val="009E6759"/>
    <w:rsid w:val="009E7243"/>
    <w:rsid w:val="009F19D7"/>
    <w:rsid w:val="009F58C8"/>
    <w:rsid w:val="00A01B0B"/>
    <w:rsid w:val="00A02C25"/>
    <w:rsid w:val="00A02DAC"/>
    <w:rsid w:val="00A051F5"/>
    <w:rsid w:val="00A14187"/>
    <w:rsid w:val="00A1557E"/>
    <w:rsid w:val="00A1603F"/>
    <w:rsid w:val="00A21BEB"/>
    <w:rsid w:val="00A22903"/>
    <w:rsid w:val="00A2295F"/>
    <w:rsid w:val="00A22A49"/>
    <w:rsid w:val="00A23A69"/>
    <w:rsid w:val="00A23AA8"/>
    <w:rsid w:val="00A23EEA"/>
    <w:rsid w:val="00A24FFE"/>
    <w:rsid w:val="00A26DD2"/>
    <w:rsid w:val="00A32059"/>
    <w:rsid w:val="00A35AE8"/>
    <w:rsid w:val="00A37C01"/>
    <w:rsid w:val="00A45693"/>
    <w:rsid w:val="00A46E3A"/>
    <w:rsid w:val="00A534CA"/>
    <w:rsid w:val="00A546F4"/>
    <w:rsid w:val="00A57110"/>
    <w:rsid w:val="00A60018"/>
    <w:rsid w:val="00A650B5"/>
    <w:rsid w:val="00A665E9"/>
    <w:rsid w:val="00A66713"/>
    <w:rsid w:val="00A674F2"/>
    <w:rsid w:val="00A675D0"/>
    <w:rsid w:val="00A70D85"/>
    <w:rsid w:val="00A71760"/>
    <w:rsid w:val="00A71BD0"/>
    <w:rsid w:val="00A72B41"/>
    <w:rsid w:val="00A73269"/>
    <w:rsid w:val="00A82F82"/>
    <w:rsid w:val="00A86203"/>
    <w:rsid w:val="00A91558"/>
    <w:rsid w:val="00A92AD8"/>
    <w:rsid w:val="00A95DF5"/>
    <w:rsid w:val="00A96143"/>
    <w:rsid w:val="00A962DB"/>
    <w:rsid w:val="00AA159B"/>
    <w:rsid w:val="00AA7B75"/>
    <w:rsid w:val="00AB0CC4"/>
    <w:rsid w:val="00AB61E1"/>
    <w:rsid w:val="00AC0537"/>
    <w:rsid w:val="00AC0A67"/>
    <w:rsid w:val="00AC0DB1"/>
    <w:rsid w:val="00AC23EF"/>
    <w:rsid w:val="00AC4BF4"/>
    <w:rsid w:val="00AC64C6"/>
    <w:rsid w:val="00AD488A"/>
    <w:rsid w:val="00AD5A6B"/>
    <w:rsid w:val="00AD6203"/>
    <w:rsid w:val="00AE0476"/>
    <w:rsid w:val="00AE3FE4"/>
    <w:rsid w:val="00AE5F33"/>
    <w:rsid w:val="00AE61F0"/>
    <w:rsid w:val="00AE6DB1"/>
    <w:rsid w:val="00AE78BC"/>
    <w:rsid w:val="00AF1880"/>
    <w:rsid w:val="00AF1BE8"/>
    <w:rsid w:val="00AF21CA"/>
    <w:rsid w:val="00AF2AE1"/>
    <w:rsid w:val="00AF2C0F"/>
    <w:rsid w:val="00AF5AED"/>
    <w:rsid w:val="00AF6673"/>
    <w:rsid w:val="00AF67FA"/>
    <w:rsid w:val="00B0018F"/>
    <w:rsid w:val="00B02DB6"/>
    <w:rsid w:val="00B038F9"/>
    <w:rsid w:val="00B03E6D"/>
    <w:rsid w:val="00B03F9C"/>
    <w:rsid w:val="00B06323"/>
    <w:rsid w:val="00B07F73"/>
    <w:rsid w:val="00B101C2"/>
    <w:rsid w:val="00B115DF"/>
    <w:rsid w:val="00B11F07"/>
    <w:rsid w:val="00B14B98"/>
    <w:rsid w:val="00B16264"/>
    <w:rsid w:val="00B17715"/>
    <w:rsid w:val="00B17C92"/>
    <w:rsid w:val="00B22804"/>
    <w:rsid w:val="00B2525A"/>
    <w:rsid w:val="00B267A9"/>
    <w:rsid w:val="00B26E0A"/>
    <w:rsid w:val="00B3117B"/>
    <w:rsid w:val="00B332AF"/>
    <w:rsid w:val="00B376F9"/>
    <w:rsid w:val="00B40687"/>
    <w:rsid w:val="00B41A70"/>
    <w:rsid w:val="00B45D8A"/>
    <w:rsid w:val="00B479B8"/>
    <w:rsid w:val="00B534FB"/>
    <w:rsid w:val="00B5418A"/>
    <w:rsid w:val="00B600FC"/>
    <w:rsid w:val="00B60914"/>
    <w:rsid w:val="00B60F79"/>
    <w:rsid w:val="00B624C1"/>
    <w:rsid w:val="00B64B77"/>
    <w:rsid w:val="00B70754"/>
    <w:rsid w:val="00B716F7"/>
    <w:rsid w:val="00B72853"/>
    <w:rsid w:val="00B7305A"/>
    <w:rsid w:val="00B76433"/>
    <w:rsid w:val="00B81E18"/>
    <w:rsid w:val="00B822FE"/>
    <w:rsid w:val="00B8289E"/>
    <w:rsid w:val="00B848B4"/>
    <w:rsid w:val="00B86243"/>
    <w:rsid w:val="00B862A5"/>
    <w:rsid w:val="00B90C58"/>
    <w:rsid w:val="00B91227"/>
    <w:rsid w:val="00B944D3"/>
    <w:rsid w:val="00B9530A"/>
    <w:rsid w:val="00B963F4"/>
    <w:rsid w:val="00BA38CE"/>
    <w:rsid w:val="00BA75E3"/>
    <w:rsid w:val="00BA7F26"/>
    <w:rsid w:val="00BB1DFF"/>
    <w:rsid w:val="00BB6A6F"/>
    <w:rsid w:val="00BC08EB"/>
    <w:rsid w:val="00BC415C"/>
    <w:rsid w:val="00BC480B"/>
    <w:rsid w:val="00BC6145"/>
    <w:rsid w:val="00BD26AB"/>
    <w:rsid w:val="00BD2757"/>
    <w:rsid w:val="00BD5F51"/>
    <w:rsid w:val="00BE0627"/>
    <w:rsid w:val="00BE08DC"/>
    <w:rsid w:val="00BE0C56"/>
    <w:rsid w:val="00BE1A86"/>
    <w:rsid w:val="00BE1BA8"/>
    <w:rsid w:val="00BE4020"/>
    <w:rsid w:val="00BE4280"/>
    <w:rsid w:val="00BE4CBA"/>
    <w:rsid w:val="00BE5CEF"/>
    <w:rsid w:val="00BF15F2"/>
    <w:rsid w:val="00BF1846"/>
    <w:rsid w:val="00BF268E"/>
    <w:rsid w:val="00BF4FD9"/>
    <w:rsid w:val="00C02116"/>
    <w:rsid w:val="00C02D23"/>
    <w:rsid w:val="00C078B9"/>
    <w:rsid w:val="00C10E02"/>
    <w:rsid w:val="00C111A7"/>
    <w:rsid w:val="00C11739"/>
    <w:rsid w:val="00C1194C"/>
    <w:rsid w:val="00C15027"/>
    <w:rsid w:val="00C152DC"/>
    <w:rsid w:val="00C16277"/>
    <w:rsid w:val="00C17A5D"/>
    <w:rsid w:val="00C17B74"/>
    <w:rsid w:val="00C17D5A"/>
    <w:rsid w:val="00C24095"/>
    <w:rsid w:val="00C251D9"/>
    <w:rsid w:val="00C27E52"/>
    <w:rsid w:val="00C30A25"/>
    <w:rsid w:val="00C32D51"/>
    <w:rsid w:val="00C334D6"/>
    <w:rsid w:val="00C34705"/>
    <w:rsid w:val="00C425B8"/>
    <w:rsid w:val="00C46351"/>
    <w:rsid w:val="00C47EAD"/>
    <w:rsid w:val="00C506A5"/>
    <w:rsid w:val="00C52B94"/>
    <w:rsid w:val="00C52E88"/>
    <w:rsid w:val="00C637A9"/>
    <w:rsid w:val="00C63D64"/>
    <w:rsid w:val="00C675A5"/>
    <w:rsid w:val="00C74B36"/>
    <w:rsid w:val="00C75726"/>
    <w:rsid w:val="00C76ACD"/>
    <w:rsid w:val="00C77049"/>
    <w:rsid w:val="00C776ED"/>
    <w:rsid w:val="00C81C5F"/>
    <w:rsid w:val="00C836F7"/>
    <w:rsid w:val="00C8509C"/>
    <w:rsid w:val="00C85694"/>
    <w:rsid w:val="00C87883"/>
    <w:rsid w:val="00C92D6C"/>
    <w:rsid w:val="00C9538F"/>
    <w:rsid w:val="00CB13AA"/>
    <w:rsid w:val="00CB1BB3"/>
    <w:rsid w:val="00CB79E2"/>
    <w:rsid w:val="00CC219A"/>
    <w:rsid w:val="00CC3063"/>
    <w:rsid w:val="00CC3F90"/>
    <w:rsid w:val="00CC50E2"/>
    <w:rsid w:val="00CC7E50"/>
    <w:rsid w:val="00CD0E6B"/>
    <w:rsid w:val="00CD2963"/>
    <w:rsid w:val="00CD3198"/>
    <w:rsid w:val="00CD5927"/>
    <w:rsid w:val="00CE48B3"/>
    <w:rsid w:val="00CE6447"/>
    <w:rsid w:val="00CE72E2"/>
    <w:rsid w:val="00CF0176"/>
    <w:rsid w:val="00CF0E82"/>
    <w:rsid w:val="00CF2AB2"/>
    <w:rsid w:val="00CF7EE0"/>
    <w:rsid w:val="00D00943"/>
    <w:rsid w:val="00D01061"/>
    <w:rsid w:val="00D02331"/>
    <w:rsid w:val="00D0244E"/>
    <w:rsid w:val="00D04980"/>
    <w:rsid w:val="00D04FAB"/>
    <w:rsid w:val="00D058CF"/>
    <w:rsid w:val="00D06152"/>
    <w:rsid w:val="00D108E6"/>
    <w:rsid w:val="00D10FD6"/>
    <w:rsid w:val="00D15F6D"/>
    <w:rsid w:val="00D22BB8"/>
    <w:rsid w:val="00D233C6"/>
    <w:rsid w:val="00D23650"/>
    <w:rsid w:val="00D2495F"/>
    <w:rsid w:val="00D304BF"/>
    <w:rsid w:val="00D30E6C"/>
    <w:rsid w:val="00D312AC"/>
    <w:rsid w:val="00D34947"/>
    <w:rsid w:val="00D34D20"/>
    <w:rsid w:val="00D36651"/>
    <w:rsid w:val="00D37D8B"/>
    <w:rsid w:val="00D40155"/>
    <w:rsid w:val="00D408EE"/>
    <w:rsid w:val="00D43D84"/>
    <w:rsid w:val="00D440DF"/>
    <w:rsid w:val="00D44A91"/>
    <w:rsid w:val="00D44CCB"/>
    <w:rsid w:val="00D4628B"/>
    <w:rsid w:val="00D46413"/>
    <w:rsid w:val="00D475B8"/>
    <w:rsid w:val="00D56383"/>
    <w:rsid w:val="00D569FE"/>
    <w:rsid w:val="00D64ACB"/>
    <w:rsid w:val="00D66470"/>
    <w:rsid w:val="00D669DE"/>
    <w:rsid w:val="00D704D1"/>
    <w:rsid w:val="00D704D4"/>
    <w:rsid w:val="00D716E5"/>
    <w:rsid w:val="00D74867"/>
    <w:rsid w:val="00D76F11"/>
    <w:rsid w:val="00D81E34"/>
    <w:rsid w:val="00D82EDD"/>
    <w:rsid w:val="00D83421"/>
    <w:rsid w:val="00D845E7"/>
    <w:rsid w:val="00DA24F5"/>
    <w:rsid w:val="00DA6770"/>
    <w:rsid w:val="00DA7656"/>
    <w:rsid w:val="00DB11EB"/>
    <w:rsid w:val="00DB1DE2"/>
    <w:rsid w:val="00DB2C42"/>
    <w:rsid w:val="00DB6A58"/>
    <w:rsid w:val="00DB6EDB"/>
    <w:rsid w:val="00DB6FFD"/>
    <w:rsid w:val="00DC1931"/>
    <w:rsid w:val="00DC2A71"/>
    <w:rsid w:val="00DC381E"/>
    <w:rsid w:val="00DC4306"/>
    <w:rsid w:val="00DD1648"/>
    <w:rsid w:val="00DD3564"/>
    <w:rsid w:val="00DD544E"/>
    <w:rsid w:val="00DE0BB4"/>
    <w:rsid w:val="00DE0C90"/>
    <w:rsid w:val="00DE5C17"/>
    <w:rsid w:val="00DE5FE4"/>
    <w:rsid w:val="00DE77B7"/>
    <w:rsid w:val="00DF0185"/>
    <w:rsid w:val="00DF1008"/>
    <w:rsid w:val="00DF5414"/>
    <w:rsid w:val="00E02767"/>
    <w:rsid w:val="00E04D3B"/>
    <w:rsid w:val="00E06206"/>
    <w:rsid w:val="00E11D4B"/>
    <w:rsid w:val="00E12E12"/>
    <w:rsid w:val="00E13227"/>
    <w:rsid w:val="00E15A22"/>
    <w:rsid w:val="00E16716"/>
    <w:rsid w:val="00E220A0"/>
    <w:rsid w:val="00E2263A"/>
    <w:rsid w:val="00E228B3"/>
    <w:rsid w:val="00E22B81"/>
    <w:rsid w:val="00E230DB"/>
    <w:rsid w:val="00E23871"/>
    <w:rsid w:val="00E24604"/>
    <w:rsid w:val="00E271FD"/>
    <w:rsid w:val="00E31D5F"/>
    <w:rsid w:val="00E34361"/>
    <w:rsid w:val="00E35CDA"/>
    <w:rsid w:val="00E36C82"/>
    <w:rsid w:val="00E4305E"/>
    <w:rsid w:val="00E433B6"/>
    <w:rsid w:val="00E438B7"/>
    <w:rsid w:val="00E46280"/>
    <w:rsid w:val="00E50E8D"/>
    <w:rsid w:val="00E561FF"/>
    <w:rsid w:val="00E57348"/>
    <w:rsid w:val="00E60CA6"/>
    <w:rsid w:val="00E619B8"/>
    <w:rsid w:val="00E673AB"/>
    <w:rsid w:val="00E6740E"/>
    <w:rsid w:val="00E6788D"/>
    <w:rsid w:val="00E70AA2"/>
    <w:rsid w:val="00E71BAF"/>
    <w:rsid w:val="00E737C3"/>
    <w:rsid w:val="00E746DD"/>
    <w:rsid w:val="00E77ADE"/>
    <w:rsid w:val="00E81194"/>
    <w:rsid w:val="00E82697"/>
    <w:rsid w:val="00E86268"/>
    <w:rsid w:val="00E921F1"/>
    <w:rsid w:val="00E926E3"/>
    <w:rsid w:val="00E9578A"/>
    <w:rsid w:val="00E97E36"/>
    <w:rsid w:val="00EA03DD"/>
    <w:rsid w:val="00EA0EB1"/>
    <w:rsid w:val="00EA13AB"/>
    <w:rsid w:val="00EA2AA6"/>
    <w:rsid w:val="00EA3210"/>
    <w:rsid w:val="00EA4D90"/>
    <w:rsid w:val="00EA543A"/>
    <w:rsid w:val="00EA7AF8"/>
    <w:rsid w:val="00EB3546"/>
    <w:rsid w:val="00EB38B2"/>
    <w:rsid w:val="00EB5645"/>
    <w:rsid w:val="00EB609F"/>
    <w:rsid w:val="00EB7811"/>
    <w:rsid w:val="00EB78C9"/>
    <w:rsid w:val="00EC1DC4"/>
    <w:rsid w:val="00EC456C"/>
    <w:rsid w:val="00EC4FE4"/>
    <w:rsid w:val="00EC7F0E"/>
    <w:rsid w:val="00ED2397"/>
    <w:rsid w:val="00ED374C"/>
    <w:rsid w:val="00ED5633"/>
    <w:rsid w:val="00ED7C0E"/>
    <w:rsid w:val="00EE2E1A"/>
    <w:rsid w:val="00EE4D92"/>
    <w:rsid w:val="00EE63E2"/>
    <w:rsid w:val="00EF0B46"/>
    <w:rsid w:val="00EF24F0"/>
    <w:rsid w:val="00EF3A86"/>
    <w:rsid w:val="00EF3FF7"/>
    <w:rsid w:val="00EF47B5"/>
    <w:rsid w:val="00EF502D"/>
    <w:rsid w:val="00EF6E7A"/>
    <w:rsid w:val="00EF7840"/>
    <w:rsid w:val="00EF7F53"/>
    <w:rsid w:val="00F00489"/>
    <w:rsid w:val="00F0184D"/>
    <w:rsid w:val="00F0438F"/>
    <w:rsid w:val="00F07BA9"/>
    <w:rsid w:val="00F11593"/>
    <w:rsid w:val="00F21612"/>
    <w:rsid w:val="00F21895"/>
    <w:rsid w:val="00F225AA"/>
    <w:rsid w:val="00F24092"/>
    <w:rsid w:val="00F257D7"/>
    <w:rsid w:val="00F260A5"/>
    <w:rsid w:val="00F27E8E"/>
    <w:rsid w:val="00F344B8"/>
    <w:rsid w:val="00F35F9C"/>
    <w:rsid w:val="00F363F8"/>
    <w:rsid w:val="00F36A8B"/>
    <w:rsid w:val="00F378C3"/>
    <w:rsid w:val="00F401FA"/>
    <w:rsid w:val="00F415CE"/>
    <w:rsid w:val="00F43455"/>
    <w:rsid w:val="00F43A50"/>
    <w:rsid w:val="00F44C69"/>
    <w:rsid w:val="00F44F0E"/>
    <w:rsid w:val="00F45243"/>
    <w:rsid w:val="00F46506"/>
    <w:rsid w:val="00F46EFB"/>
    <w:rsid w:val="00F510D7"/>
    <w:rsid w:val="00F5515E"/>
    <w:rsid w:val="00F62055"/>
    <w:rsid w:val="00F627F0"/>
    <w:rsid w:val="00F633EF"/>
    <w:rsid w:val="00F65727"/>
    <w:rsid w:val="00F65F20"/>
    <w:rsid w:val="00F65F2C"/>
    <w:rsid w:val="00F755A8"/>
    <w:rsid w:val="00F75C83"/>
    <w:rsid w:val="00F817D3"/>
    <w:rsid w:val="00F81A1F"/>
    <w:rsid w:val="00F86EF5"/>
    <w:rsid w:val="00F908E9"/>
    <w:rsid w:val="00FA0063"/>
    <w:rsid w:val="00FA1164"/>
    <w:rsid w:val="00FA1A44"/>
    <w:rsid w:val="00FA2078"/>
    <w:rsid w:val="00FA48D7"/>
    <w:rsid w:val="00FA6918"/>
    <w:rsid w:val="00FA7A6F"/>
    <w:rsid w:val="00FA7FE5"/>
    <w:rsid w:val="00FB0A35"/>
    <w:rsid w:val="00FB2B7C"/>
    <w:rsid w:val="00FC02E3"/>
    <w:rsid w:val="00FC1523"/>
    <w:rsid w:val="00FC2E35"/>
    <w:rsid w:val="00FC4A99"/>
    <w:rsid w:val="00FC6A05"/>
    <w:rsid w:val="00FD02B8"/>
    <w:rsid w:val="00FD095A"/>
    <w:rsid w:val="00FD152E"/>
    <w:rsid w:val="00FD3D5B"/>
    <w:rsid w:val="00FD3D8F"/>
    <w:rsid w:val="00FD52E4"/>
    <w:rsid w:val="00FD5B23"/>
    <w:rsid w:val="00FE1170"/>
    <w:rsid w:val="00FE1423"/>
    <w:rsid w:val="00FE15DD"/>
    <w:rsid w:val="00FF352B"/>
    <w:rsid w:val="00FF38A1"/>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7D99A"/>
  <w15:docId w15:val="{697018E0-5329-4B69-84D4-D0796E72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58"/>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BF1"/>
    <w:pPr>
      <w:ind w:firstLine="720"/>
      <w:jc w:val="both"/>
    </w:pPr>
    <w:rPr>
      <w:rFonts w:ascii="HebarU" w:hAnsi="HebarU"/>
      <w:sz w:val="28"/>
      <w:szCs w:val="20"/>
    </w:rPr>
  </w:style>
  <w:style w:type="paragraph" w:styleId="BodyTextIndent2">
    <w:name w:val="Body Text Indent 2"/>
    <w:basedOn w:val="Normal"/>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rsid w:val="003B0BF1"/>
    <w:pPr>
      <w:spacing w:after="120"/>
    </w:pPr>
    <w:rPr>
      <w:sz w:val="16"/>
      <w:szCs w:val="16"/>
    </w:rPr>
  </w:style>
  <w:style w:type="paragraph" w:customStyle="1" w:styleId="CharChar">
    <w:name w:val="Знак Знак Char Char Знак Знак"/>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Char Char"/>
    <w:link w:val="Signature"/>
    <w:semiHidden/>
    <w:rsid w:val="003B0BF1"/>
    <w:rPr>
      <w:vertAlign w:val="superscript"/>
    </w:rPr>
  </w:style>
  <w:style w:type="character" w:styleId="Hyperlink">
    <w:name w:val="Hyperlink"/>
    <w:rsid w:val="00D108E6"/>
    <w:rPr>
      <w:color w:val="0000FF"/>
      <w:u w:val="single"/>
    </w:rPr>
  </w:style>
  <w:style w:type="paragraph" w:styleId="Footer">
    <w:name w:val="footer"/>
    <w:basedOn w:val="Normal"/>
    <w:rsid w:val="00F363F8"/>
    <w:pPr>
      <w:tabs>
        <w:tab w:val="center" w:pos="4703"/>
        <w:tab w:val="right" w:pos="9406"/>
      </w:tabs>
    </w:pPr>
  </w:style>
  <w:style w:type="character" w:styleId="PageNumber">
    <w:name w:val="page number"/>
    <w:basedOn w:val="DefaultParagraphFont"/>
    <w:rsid w:val="00F363F8"/>
  </w:style>
  <w:style w:type="character" w:styleId="CommentReference">
    <w:name w:val="annotation reference"/>
    <w:semiHidden/>
    <w:rsid w:val="007E3ADA"/>
    <w:rPr>
      <w:sz w:val="16"/>
      <w:szCs w:val="16"/>
    </w:rPr>
  </w:style>
  <w:style w:type="paragraph" w:styleId="CommentText">
    <w:name w:val="annotation text"/>
    <w:basedOn w:val="Normal"/>
    <w:link w:val="CommentTextChar"/>
    <w:semiHidden/>
    <w:rsid w:val="007E3ADA"/>
    <w:rPr>
      <w:sz w:val="20"/>
      <w:szCs w:val="20"/>
    </w:rPr>
  </w:style>
  <w:style w:type="paragraph" w:styleId="CommentSubject">
    <w:name w:val="annotation subject"/>
    <w:basedOn w:val="CommentText"/>
    <w:next w:val="CommentText"/>
    <w:semiHidden/>
    <w:rsid w:val="007E3ADA"/>
    <w:rPr>
      <w:b/>
      <w:bCs/>
    </w:rPr>
  </w:style>
  <w:style w:type="paragraph" w:styleId="BalloonText">
    <w:name w:val="Balloon Text"/>
    <w:basedOn w:val="Normal"/>
    <w:semiHidden/>
    <w:rsid w:val="007E3ADA"/>
    <w:rPr>
      <w:rFonts w:ascii="Tahoma" w:hAnsi="Tahoma" w:cs="Tahoma"/>
      <w:sz w:val="16"/>
      <w:szCs w:val="16"/>
    </w:rPr>
  </w:style>
  <w:style w:type="paragraph" w:customStyle="1" w:styleId="CharChar1Char">
    <w:name w:val="Char Char1 Char"/>
    <w:basedOn w:val="Normal"/>
    <w:rsid w:val="0068328C"/>
    <w:pPr>
      <w:tabs>
        <w:tab w:val="left" w:pos="709"/>
      </w:tabs>
    </w:pPr>
    <w:rPr>
      <w:rFonts w:ascii="Tahoma" w:hAnsi="Tahoma"/>
      <w:lang w:val="pl-PL" w:eastAsia="pl-PL"/>
    </w:rPr>
  </w:style>
  <w:style w:type="paragraph" w:customStyle="1" w:styleId="style0">
    <w:name w:val="style0"/>
    <w:basedOn w:val="Normal"/>
    <w:rsid w:val="00080226"/>
    <w:pPr>
      <w:ind w:firstLine="1200"/>
      <w:jc w:val="both"/>
    </w:pPr>
  </w:style>
  <w:style w:type="paragraph" w:customStyle="1" w:styleId="Style">
    <w:name w:val="Style"/>
    <w:rsid w:val="007B203D"/>
    <w:pPr>
      <w:widowControl w:val="0"/>
      <w:autoSpaceDE w:val="0"/>
      <w:autoSpaceDN w:val="0"/>
      <w:adjustRightInd w:val="0"/>
      <w:ind w:left="140" w:right="140" w:firstLine="840"/>
      <w:jc w:val="both"/>
    </w:pPr>
    <w:rPr>
      <w:sz w:val="24"/>
      <w:szCs w:val="24"/>
      <w:lang w:val="bg-BG" w:eastAsia="bg-BG"/>
    </w:rPr>
  </w:style>
  <w:style w:type="character" w:customStyle="1" w:styleId="historyitemselected1">
    <w:name w:val="historyitemselected1"/>
    <w:rsid w:val="006856F2"/>
    <w:rPr>
      <w:b/>
      <w:bCs/>
      <w:color w:val="0086C6"/>
    </w:rPr>
  </w:style>
  <w:style w:type="character" w:customStyle="1" w:styleId="samedocreference1">
    <w:name w:val="samedocreference1"/>
    <w:rsid w:val="000A0B5E"/>
    <w:rPr>
      <w:i w:val="0"/>
      <w:iCs w:val="0"/>
      <w:color w:val="8B0000"/>
      <w:u w:val="single"/>
    </w:rPr>
  </w:style>
  <w:style w:type="table" w:styleId="TableGrid">
    <w:name w:val="Table Grid"/>
    <w:basedOn w:val="TableNormal"/>
    <w:rsid w:val="0042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rsid w:val="00427924"/>
    <w:pPr>
      <w:suppressAutoHyphens/>
      <w:overflowPunct w:val="0"/>
      <w:autoSpaceDE w:val="0"/>
      <w:spacing w:before="120"/>
      <w:ind w:left="60" w:right="84"/>
      <w:jc w:val="both"/>
      <w:textAlignment w:val="baseline"/>
    </w:pPr>
    <w:rPr>
      <w:szCs w:val="20"/>
      <w:lang w:eastAsia="ar-SA"/>
    </w:rPr>
  </w:style>
  <w:style w:type="paragraph" w:styleId="NormalWeb">
    <w:name w:val="Normal (Web)"/>
    <w:basedOn w:val="Normal"/>
    <w:uiPriority w:val="99"/>
    <w:rsid w:val="001E237C"/>
    <w:pPr>
      <w:spacing w:before="100" w:beforeAutospacing="1" w:after="100" w:afterAutospacing="1"/>
    </w:pPr>
  </w:style>
  <w:style w:type="paragraph" w:customStyle="1" w:styleId="CharCharChar">
    <w:name w:val="Char Char Char"/>
    <w:basedOn w:val="Normal"/>
    <w:semiHidden/>
    <w:rsid w:val="002323D3"/>
    <w:pPr>
      <w:tabs>
        <w:tab w:val="left" w:pos="709"/>
      </w:tabs>
    </w:pPr>
    <w:rPr>
      <w:rFonts w:ascii="Futura Bk" w:hAnsi="Futura Bk"/>
      <w:sz w:val="20"/>
      <w:lang w:val="pl-PL" w:eastAsia="pl-PL"/>
    </w:rPr>
  </w:style>
  <w:style w:type="paragraph" w:customStyle="1" w:styleId="listparagraph">
    <w:name w:val="listparagraph"/>
    <w:basedOn w:val="Normal"/>
    <w:rsid w:val="001E1276"/>
    <w:pPr>
      <w:spacing w:after="200" w:line="276" w:lineRule="auto"/>
      <w:ind w:left="720"/>
    </w:pPr>
    <w:rPr>
      <w:rFonts w:ascii="Calibri" w:hAnsi="Calibri"/>
      <w:sz w:val="22"/>
      <w:szCs w:val="22"/>
    </w:rPr>
  </w:style>
  <w:style w:type="paragraph" w:styleId="ListParagraph0">
    <w:name w:val="List Paragraph"/>
    <w:basedOn w:val="Normal"/>
    <w:qFormat/>
    <w:rsid w:val="00F65727"/>
    <w:pPr>
      <w:spacing w:after="200" w:line="276" w:lineRule="auto"/>
      <w:ind w:left="720"/>
      <w:contextualSpacing/>
    </w:pPr>
    <w:rPr>
      <w:rFonts w:ascii="Calibri" w:hAnsi="Calibri"/>
      <w:sz w:val="22"/>
      <w:szCs w:val="22"/>
      <w:lang w:eastAsia="en-US"/>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rsid w:val="00FA1A44"/>
    <w:rPr>
      <w:lang w:val="bg-BG" w:eastAsia="bg-BG" w:bidi="ar-SA"/>
    </w:rPr>
  </w:style>
  <w:style w:type="paragraph" w:styleId="Signature">
    <w:name w:val="Signature"/>
    <w:aliases w:val=" Char Char3 Char Char Char Char Char Char Char Char"/>
    <w:basedOn w:val="Normal"/>
    <w:link w:val="FootnoteReference"/>
    <w:rsid w:val="00FA1A44"/>
    <w:pPr>
      <w:spacing w:after="240"/>
    </w:pPr>
    <w:rPr>
      <w:sz w:val="20"/>
      <w:szCs w:val="20"/>
      <w:vertAlign w:val="superscript"/>
      <w:lang w:val="en-US" w:eastAsia="en-US"/>
    </w:rPr>
  </w:style>
  <w:style w:type="paragraph" w:styleId="Header">
    <w:name w:val="header"/>
    <w:basedOn w:val="Normal"/>
    <w:rsid w:val="008C1E32"/>
    <w:pPr>
      <w:tabs>
        <w:tab w:val="center" w:pos="4153"/>
        <w:tab w:val="right" w:pos="8306"/>
      </w:tabs>
      <w:spacing w:after="120" w:line="360" w:lineRule="auto"/>
      <w:ind w:firstLine="720"/>
      <w:jc w:val="both"/>
    </w:pPr>
    <w:rPr>
      <w:rFonts w:ascii="Arial" w:hAnsi="Arial"/>
      <w:szCs w:val="20"/>
      <w:lang w:val="en-AU" w:eastAsia="en-US"/>
    </w:rPr>
  </w:style>
  <w:style w:type="paragraph" w:customStyle="1" w:styleId="Normal1">
    <w:name w:val="Normal1"/>
    <w:basedOn w:val="Normal"/>
    <w:rsid w:val="00EF3A86"/>
    <w:pPr>
      <w:spacing w:before="120"/>
      <w:jc w:val="both"/>
    </w:pPr>
    <w:rPr>
      <w:rFonts w:ascii="inherit" w:hAnsi="inherit"/>
    </w:rPr>
  </w:style>
  <w:style w:type="character" w:customStyle="1" w:styleId="super">
    <w:name w:val="super"/>
    <w:rsid w:val="00EF3A86"/>
    <w:rPr>
      <w:rFonts w:ascii="inherit" w:hAnsi="inherit" w:hint="default"/>
      <w:sz w:val="17"/>
      <w:szCs w:val="17"/>
    </w:rPr>
  </w:style>
  <w:style w:type="character" w:customStyle="1" w:styleId="CommentTextChar">
    <w:name w:val="Comment Text Char"/>
    <w:link w:val="CommentText"/>
    <w:semiHidden/>
    <w:locked/>
    <w:rsid w:val="000F78BB"/>
    <w:rPr>
      <w:lang w:val="bg-BG" w:eastAsia="bg-BG" w:bidi="ar-SA"/>
    </w:rPr>
  </w:style>
  <w:style w:type="character" w:customStyle="1" w:styleId="historyitem">
    <w:name w:val="historyitem"/>
    <w:basedOn w:val="DefaultParagraphFont"/>
    <w:rsid w:val="0018202A"/>
  </w:style>
  <w:style w:type="paragraph" w:styleId="Revision">
    <w:name w:val="Revision"/>
    <w:hidden/>
    <w:uiPriority w:val="99"/>
    <w:semiHidden/>
    <w:rsid w:val="00B91227"/>
    <w:rPr>
      <w:sz w:val="24"/>
      <w:szCs w:val="24"/>
      <w:lang w:val="bg-BG" w:eastAsia="bg-BG"/>
    </w:rPr>
  </w:style>
  <w:style w:type="paragraph" w:customStyle="1" w:styleId="CM1">
    <w:name w:val="CM1"/>
    <w:basedOn w:val="Default"/>
    <w:next w:val="Default"/>
    <w:uiPriority w:val="99"/>
    <w:rsid w:val="002A728F"/>
    <w:rPr>
      <w:rFonts w:ascii="EU Albertina" w:hAnsi="EU Albertina"/>
      <w:color w:val="auto"/>
      <w:lang w:val="en-US" w:eastAsia="en-US"/>
    </w:rPr>
  </w:style>
  <w:style w:type="paragraph" w:customStyle="1" w:styleId="CM3">
    <w:name w:val="CM3"/>
    <w:basedOn w:val="Default"/>
    <w:next w:val="Default"/>
    <w:uiPriority w:val="99"/>
    <w:rsid w:val="002A728F"/>
    <w:rPr>
      <w:rFonts w:ascii="EU Albertina" w:hAnsi="EU Albertin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079">
      <w:bodyDiv w:val="1"/>
      <w:marLeft w:val="0"/>
      <w:marRight w:val="0"/>
      <w:marTop w:val="0"/>
      <w:marBottom w:val="0"/>
      <w:divBdr>
        <w:top w:val="none" w:sz="0" w:space="0" w:color="auto"/>
        <w:left w:val="none" w:sz="0" w:space="0" w:color="auto"/>
        <w:bottom w:val="none" w:sz="0" w:space="0" w:color="auto"/>
        <w:right w:val="none" w:sz="0" w:space="0" w:color="auto"/>
      </w:divBdr>
    </w:div>
    <w:div w:id="53897737">
      <w:bodyDiv w:val="1"/>
      <w:marLeft w:val="0"/>
      <w:marRight w:val="0"/>
      <w:marTop w:val="0"/>
      <w:marBottom w:val="0"/>
      <w:divBdr>
        <w:top w:val="none" w:sz="0" w:space="0" w:color="auto"/>
        <w:left w:val="none" w:sz="0" w:space="0" w:color="auto"/>
        <w:bottom w:val="none" w:sz="0" w:space="0" w:color="auto"/>
        <w:right w:val="none" w:sz="0" w:space="0" w:color="auto"/>
      </w:divBdr>
    </w:div>
    <w:div w:id="68355633">
      <w:bodyDiv w:val="1"/>
      <w:marLeft w:val="0"/>
      <w:marRight w:val="0"/>
      <w:marTop w:val="0"/>
      <w:marBottom w:val="0"/>
      <w:divBdr>
        <w:top w:val="none" w:sz="0" w:space="0" w:color="auto"/>
        <w:left w:val="none" w:sz="0" w:space="0" w:color="auto"/>
        <w:bottom w:val="none" w:sz="0" w:space="0" w:color="auto"/>
        <w:right w:val="none" w:sz="0" w:space="0" w:color="auto"/>
      </w:divBdr>
    </w:div>
    <w:div w:id="97529880">
      <w:bodyDiv w:val="1"/>
      <w:marLeft w:val="0"/>
      <w:marRight w:val="0"/>
      <w:marTop w:val="0"/>
      <w:marBottom w:val="0"/>
      <w:divBdr>
        <w:top w:val="none" w:sz="0" w:space="0" w:color="auto"/>
        <w:left w:val="none" w:sz="0" w:space="0" w:color="auto"/>
        <w:bottom w:val="none" w:sz="0" w:space="0" w:color="auto"/>
        <w:right w:val="none" w:sz="0" w:space="0" w:color="auto"/>
      </w:divBdr>
      <w:divsChild>
        <w:div w:id="1326666064">
          <w:marLeft w:val="0"/>
          <w:marRight w:val="0"/>
          <w:marTop w:val="0"/>
          <w:marBottom w:val="0"/>
          <w:divBdr>
            <w:top w:val="none" w:sz="0" w:space="0" w:color="auto"/>
            <w:left w:val="none" w:sz="0" w:space="0" w:color="auto"/>
            <w:bottom w:val="none" w:sz="0" w:space="0" w:color="auto"/>
            <w:right w:val="none" w:sz="0" w:space="0" w:color="auto"/>
          </w:divBdr>
          <w:divsChild>
            <w:div w:id="1308168489">
              <w:marLeft w:val="0"/>
              <w:marRight w:val="0"/>
              <w:marTop w:val="0"/>
              <w:marBottom w:val="0"/>
              <w:divBdr>
                <w:top w:val="none" w:sz="0" w:space="0" w:color="auto"/>
                <w:left w:val="none" w:sz="0" w:space="0" w:color="auto"/>
                <w:bottom w:val="none" w:sz="0" w:space="0" w:color="auto"/>
                <w:right w:val="none" w:sz="0" w:space="0" w:color="auto"/>
              </w:divBdr>
              <w:divsChild>
                <w:div w:id="742948775">
                  <w:marLeft w:val="300"/>
                  <w:marRight w:val="150"/>
                  <w:marTop w:val="0"/>
                  <w:marBottom w:val="480"/>
                  <w:divBdr>
                    <w:top w:val="none" w:sz="0" w:space="0" w:color="auto"/>
                    <w:left w:val="none" w:sz="0" w:space="0" w:color="auto"/>
                    <w:bottom w:val="none" w:sz="0" w:space="0" w:color="auto"/>
                    <w:right w:val="none" w:sz="0" w:space="0" w:color="auto"/>
                  </w:divBdr>
                </w:div>
              </w:divsChild>
            </w:div>
          </w:divsChild>
        </w:div>
      </w:divsChild>
    </w:div>
    <w:div w:id="179322580">
      <w:bodyDiv w:val="1"/>
      <w:marLeft w:val="0"/>
      <w:marRight w:val="0"/>
      <w:marTop w:val="0"/>
      <w:marBottom w:val="0"/>
      <w:divBdr>
        <w:top w:val="none" w:sz="0" w:space="0" w:color="auto"/>
        <w:left w:val="none" w:sz="0" w:space="0" w:color="auto"/>
        <w:bottom w:val="none" w:sz="0" w:space="0" w:color="auto"/>
        <w:right w:val="none" w:sz="0" w:space="0" w:color="auto"/>
      </w:divBdr>
      <w:divsChild>
        <w:div w:id="1811751141">
          <w:marLeft w:val="0"/>
          <w:marRight w:val="0"/>
          <w:marTop w:val="75"/>
          <w:marBottom w:val="0"/>
          <w:divBdr>
            <w:top w:val="none" w:sz="0" w:space="0" w:color="auto"/>
            <w:left w:val="none" w:sz="0" w:space="0" w:color="auto"/>
            <w:bottom w:val="none" w:sz="0" w:space="0" w:color="auto"/>
            <w:right w:val="none" w:sz="0" w:space="0" w:color="auto"/>
          </w:divBdr>
          <w:divsChild>
            <w:div w:id="1274248704">
              <w:marLeft w:val="0"/>
              <w:marRight w:val="0"/>
              <w:marTop w:val="225"/>
              <w:marBottom w:val="0"/>
              <w:divBdr>
                <w:top w:val="none" w:sz="0" w:space="0" w:color="auto"/>
                <w:left w:val="none" w:sz="0" w:space="0" w:color="auto"/>
                <w:bottom w:val="none" w:sz="0" w:space="0" w:color="auto"/>
                <w:right w:val="none" w:sz="0" w:space="0" w:color="auto"/>
              </w:divBdr>
              <w:divsChild>
                <w:div w:id="15078887">
                  <w:marLeft w:val="0"/>
                  <w:marRight w:val="0"/>
                  <w:marTop w:val="150"/>
                  <w:marBottom w:val="0"/>
                  <w:divBdr>
                    <w:top w:val="none" w:sz="0" w:space="0" w:color="auto"/>
                    <w:left w:val="none" w:sz="0" w:space="0" w:color="auto"/>
                    <w:bottom w:val="none" w:sz="0" w:space="0" w:color="auto"/>
                    <w:right w:val="none" w:sz="0" w:space="0" w:color="auto"/>
                  </w:divBdr>
                  <w:divsChild>
                    <w:div w:id="1113086228">
                      <w:marLeft w:val="0"/>
                      <w:marRight w:val="0"/>
                      <w:marTop w:val="0"/>
                      <w:marBottom w:val="120"/>
                      <w:divBdr>
                        <w:top w:val="none" w:sz="0" w:space="0" w:color="auto"/>
                        <w:left w:val="none" w:sz="0" w:space="0" w:color="auto"/>
                        <w:bottom w:val="none" w:sz="0" w:space="0" w:color="auto"/>
                        <w:right w:val="none" w:sz="0" w:space="0" w:color="auto"/>
                      </w:divBdr>
                      <w:divsChild>
                        <w:div w:id="563761504">
                          <w:marLeft w:val="0"/>
                          <w:marRight w:val="0"/>
                          <w:marTop w:val="0"/>
                          <w:marBottom w:val="0"/>
                          <w:divBdr>
                            <w:top w:val="none" w:sz="0" w:space="0" w:color="auto"/>
                            <w:left w:val="none" w:sz="0" w:space="0" w:color="auto"/>
                            <w:bottom w:val="none" w:sz="0" w:space="0" w:color="auto"/>
                            <w:right w:val="none" w:sz="0" w:space="0" w:color="auto"/>
                          </w:divBdr>
                        </w:div>
                        <w:div w:id="1240363661">
                          <w:marLeft w:val="0"/>
                          <w:marRight w:val="0"/>
                          <w:marTop w:val="0"/>
                          <w:marBottom w:val="0"/>
                          <w:divBdr>
                            <w:top w:val="none" w:sz="0" w:space="0" w:color="auto"/>
                            <w:left w:val="none" w:sz="0" w:space="0" w:color="auto"/>
                            <w:bottom w:val="none" w:sz="0" w:space="0" w:color="auto"/>
                            <w:right w:val="none" w:sz="0" w:space="0" w:color="auto"/>
                          </w:divBdr>
                        </w:div>
                        <w:div w:id="1651405328">
                          <w:marLeft w:val="0"/>
                          <w:marRight w:val="0"/>
                          <w:marTop w:val="0"/>
                          <w:marBottom w:val="0"/>
                          <w:divBdr>
                            <w:top w:val="none" w:sz="0" w:space="0" w:color="auto"/>
                            <w:left w:val="none" w:sz="0" w:space="0" w:color="auto"/>
                            <w:bottom w:val="none" w:sz="0" w:space="0" w:color="auto"/>
                            <w:right w:val="none" w:sz="0" w:space="0" w:color="auto"/>
                          </w:divBdr>
                        </w:div>
                        <w:div w:id="1844734538">
                          <w:marLeft w:val="0"/>
                          <w:marRight w:val="0"/>
                          <w:marTop w:val="0"/>
                          <w:marBottom w:val="0"/>
                          <w:divBdr>
                            <w:top w:val="none" w:sz="0" w:space="0" w:color="auto"/>
                            <w:left w:val="none" w:sz="0" w:space="0" w:color="auto"/>
                            <w:bottom w:val="none" w:sz="0" w:space="0" w:color="auto"/>
                            <w:right w:val="none" w:sz="0" w:space="0" w:color="auto"/>
                          </w:divBdr>
                        </w:div>
                        <w:div w:id="18578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4486">
      <w:bodyDiv w:val="1"/>
      <w:marLeft w:val="0"/>
      <w:marRight w:val="0"/>
      <w:marTop w:val="0"/>
      <w:marBottom w:val="0"/>
      <w:divBdr>
        <w:top w:val="none" w:sz="0" w:space="0" w:color="auto"/>
        <w:left w:val="none" w:sz="0" w:space="0" w:color="auto"/>
        <w:bottom w:val="none" w:sz="0" w:space="0" w:color="auto"/>
        <w:right w:val="none" w:sz="0" w:space="0" w:color="auto"/>
      </w:divBdr>
    </w:div>
    <w:div w:id="289240822">
      <w:bodyDiv w:val="1"/>
      <w:marLeft w:val="0"/>
      <w:marRight w:val="0"/>
      <w:marTop w:val="0"/>
      <w:marBottom w:val="0"/>
      <w:divBdr>
        <w:top w:val="none" w:sz="0" w:space="0" w:color="auto"/>
        <w:left w:val="none" w:sz="0" w:space="0" w:color="auto"/>
        <w:bottom w:val="none" w:sz="0" w:space="0" w:color="auto"/>
        <w:right w:val="none" w:sz="0" w:space="0" w:color="auto"/>
      </w:divBdr>
    </w:div>
    <w:div w:id="499731959">
      <w:bodyDiv w:val="1"/>
      <w:marLeft w:val="0"/>
      <w:marRight w:val="0"/>
      <w:marTop w:val="0"/>
      <w:marBottom w:val="0"/>
      <w:divBdr>
        <w:top w:val="none" w:sz="0" w:space="0" w:color="auto"/>
        <w:left w:val="none" w:sz="0" w:space="0" w:color="auto"/>
        <w:bottom w:val="none" w:sz="0" w:space="0" w:color="auto"/>
        <w:right w:val="none" w:sz="0" w:space="0" w:color="auto"/>
      </w:divBdr>
    </w:div>
    <w:div w:id="592518268">
      <w:bodyDiv w:val="1"/>
      <w:marLeft w:val="0"/>
      <w:marRight w:val="0"/>
      <w:marTop w:val="0"/>
      <w:marBottom w:val="0"/>
      <w:divBdr>
        <w:top w:val="none" w:sz="0" w:space="0" w:color="auto"/>
        <w:left w:val="none" w:sz="0" w:space="0" w:color="auto"/>
        <w:bottom w:val="none" w:sz="0" w:space="0" w:color="auto"/>
        <w:right w:val="none" w:sz="0" w:space="0" w:color="auto"/>
      </w:divBdr>
    </w:div>
    <w:div w:id="603879459">
      <w:bodyDiv w:val="1"/>
      <w:marLeft w:val="0"/>
      <w:marRight w:val="0"/>
      <w:marTop w:val="0"/>
      <w:marBottom w:val="0"/>
      <w:divBdr>
        <w:top w:val="none" w:sz="0" w:space="0" w:color="auto"/>
        <w:left w:val="none" w:sz="0" w:space="0" w:color="auto"/>
        <w:bottom w:val="none" w:sz="0" w:space="0" w:color="auto"/>
        <w:right w:val="none" w:sz="0" w:space="0" w:color="auto"/>
      </w:divBdr>
    </w:div>
    <w:div w:id="665286546">
      <w:bodyDiv w:val="1"/>
      <w:marLeft w:val="0"/>
      <w:marRight w:val="0"/>
      <w:marTop w:val="0"/>
      <w:marBottom w:val="0"/>
      <w:divBdr>
        <w:top w:val="none" w:sz="0" w:space="0" w:color="auto"/>
        <w:left w:val="none" w:sz="0" w:space="0" w:color="auto"/>
        <w:bottom w:val="none" w:sz="0" w:space="0" w:color="auto"/>
        <w:right w:val="none" w:sz="0" w:space="0" w:color="auto"/>
      </w:divBdr>
    </w:div>
    <w:div w:id="715205277">
      <w:bodyDiv w:val="1"/>
      <w:marLeft w:val="0"/>
      <w:marRight w:val="0"/>
      <w:marTop w:val="0"/>
      <w:marBottom w:val="0"/>
      <w:divBdr>
        <w:top w:val="none" w:sz="0" w:space="0" w:color="auto"/>
        <w:left w:val="none" w:sz="0" w:space="0" w:color="auto"/>
        <w:bottom w:val="none" w:sz="0" w:space="0" w:color="auto"/>
        <w:right w:val="none" w:sz="0" w:space="0" w:color="auto"/>
      </w:divBdr>
    </w:div>
    <w:div w:id="731197310">
      <w:bodyDiv w:val="1"/>
      <w:marLeft w:val="0"/>
      <w:marRight w:val="0"/>
      <w:marTop w:val="0"/>
      <w:marBottom w:val="0"/>
      <w:divBdr>
        <w:top w:val="none" w:sz="0" w:space="0" w:color="auto"/>
        <w:left w:val="none" w:sz="0" w:space="0" w:color="auto"/>
        <w:bottom w:val="none" w:sz="0" w:space="0" w:color="auto"/>
        <w:right w:val="none" w:sz="0" w:space="0" w:color="auto"/>
      </w:divBdr>
      <w:divsChild>
        <w:div w:id="480385854">
          <w:marLeft w:val="0"/>
          <w:marRight w:val="0"/>
          <w:marTop w:val="0"/>
          <w:marBottom w:val="150"/>
          <w:divBdr>
            <w:top w:val="none" w:sz="0" w:space="0" w:color="auto"/>
            <w:left w:val="none" w:sz="0" w:space="0" w:color="auto"/>
            <w:bottom w:val="none" w:sz="0" w:space="0" w:color="auto"/>
            <w:right w:val="none" w:sz="0" w:space="0" w:color="auto"/>
          </w:divBdr>
          <w:divsChild>
            <w:div w:id="19947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7353">
      <w:bodyDiv w:val="1"/>
      <w:marLeft w:val="0"/>
      <w:marRight w:val="0"/>
      <w:marTop w:val="0"/>
      <w:marBottom w:val="0"/>
      <w:divBdr>
        <w:top w:val="none" w:sz="0" w:space="0" w:color="auto"/>
        <w:left w:val="none" w:sz="0" w:space="0" w:color="auto"/>
        <w:bottom w:val="none" w:sz="0" w:space="0" w:color="auto"/>
        <w:right w:val="none" w:sz="0" w:space="0" w:color="auto"/>
      </w:divBdr>
    </w:div>
    <w:div w:id="809056115">
      <w:bodyDiv w:val="1"/>
      <w:marLeft w:val="0"/>
      <w:marRight w:val="0"/>
      <w:marTop w:val="0"/>
      <w:marBottom w:val="0"/>
      <w:divBdr>
        <w:top w:val="none" w:sz="0" w:space="0" w:color="auto"/>
        <w:left w:val="none" w:sz="0" w:space="0" w:color="auto"/>
        <w:bottom w:val="none" w:sz="0" w:space="0" w:color="auto"/>
        <w:right w:val="none" w:sz="0" w:space="0" w:color="auto"/>
      </w:divBdr>
    </w:div>
    <w:div w:id="821386028">
      <w:bodyDiv w:val="1"/>
      <w:marLeft w:val="0"/>
      <w:marRight w:val="0"/>
      <w:marTop w:val="0"/>
      <w:marBottom w:val="0"/>
      <w:divBdr>
        <w:top w:val="none" w:sz="0" w:space="0" w:color="auto"/>
        <w:left w:val="none" w:sz="0" w:space="0" w:color="auto"/>
        <w:bottom w:val="none" w:sz="0" w:space="0" w:color="auto"/>
        <w:right w:val="none" w:sz="0" w:space="0" w:color="auto"/>
      </w:divBdr>
    </w:div>
    <w:div w:id="866985813">
      <w:bodyDiv w:val="1"/>
      <w:marLeft w:val="0"/>
      <w:marRight w:val="0"/>
      <w:marTop w:val="0"/>
      <w:marBottom w:val="0"/>
      <w:divBdr>
        <w:top w:val="none" w:sz="0" w:space="0" w:color="auto"/>
        <w:left w:val="none" w:sz="0" w:space="0" w:color="auto"/>
        <w:bottom w:val="none" w:sz="0" w:space="0" w:color="auto"/>
        <w:right w:val="none" w:sz="0" w:space="0" w:color="auto"/>
      </w:divBdr>
    </w:div>
    <w:div w:id="871914786">
      <w:bodyDiv w:val="1"/>
      <w:marLeft w:val="0"/>
      <w:marRight w:val="0"/>
      <w:marTop w:val="0"/>
      <w:marBottom w:val="0"/>
      <w:divBdr>
        <w:top w:val="none" w:sz="0" w:space="0" w:color="auto"/>
        <w:left w:val="none" w:sz="0" w:space="0" w:color="auto"/>
        <w:bottom w:val="none" w:sz="0" w:space="0" w:color="auto"/>
        <w:right w:val="none" w:sz="0" w:space="0" w:color="auto"/>
      </w:divBdr>
      <w:divsChild>
        <w:div w:id="445661163">
          <w:marLeft w:val="0"/>
          <w:marRight w:val="0"/>
          <w:marTop w:val="0"/>
          <w:marBottom w:val="150"/>
          <w:divBdr>
            <w:top w:val="none" w:sz="0" w:space="0" w:color="auto"/>
            <w:left w:val="none" w:sz="0" w:space="0" w:color="auto"/>
            <w:bottom w:val="none" w:sz="0" w:space="0" w:color="auto"/>
            <w:right w:val="none" w:sz="0" w:space="0" w:color="auto"/>
          </w:divBdr>
          <w:divsChild>
            <w:div w:id="646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1503">
      <w:bodyDiv w:val="1"/>
      <w:marLeft w:val="0"/>
      <w:marRight w:val="0"/>
      <w:marTop w:val="0"/>
      <w:marBottom w:val="0"/>
      <w:divBdr>
        <w:top w:val="none" w:sz="0" w:space="0" w:color="auto"/>
        <w:left w:val="none" w:sz="0" w:space="0" w:color="auto"/>
        <w:bottom w:val="none" w:sz="0" w:space="0" w:color="auto"/>
        <w:right w:val="none" w:sz="0" w:space="0" w:color="auto"/>
      </w:divBdr>
      <w:divsChild>
        <w:div w:id="1998219409">
          <w:marLeft w:val="0"/>
          <w:marRight w:val="0"/>
          <w:marTop w:val="0"/>
          <w:marBottom w:val="120"/>
          <w:divBdr>
            <w:top w:val="none" w:sz="0" w:space="0" w:color="auto"/>
            <w:left w:val="none" w:sz="0" w:space="0" w:color="auto"/>
            <w:bottom w:val="none" w:sz="0" w:space="0" w:color="auto"/>
            <w:right w:val="none" w:sz="0" w:space="0" w:color="auto"/>
          </w:divBdr>
          <w:divsChild>
            <w:div w:id="12624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506">
      <w:bodyDiv w:val="1"/>
      <w:marLeft w:val="0"/>
      <w:marRight w:val="0"/>
      <w:marTop w:val="0"/>
      <w:marBottom w:val="0"/>
      <w:divBdr>
        <w:top w:val="none" w:sz="0" w:space="0" w:color="auto"/>
        <w:left w:val="none" w:sz="0" w:space="0" w:color="auto"/>
        <w:bottom w:val="none" w:sz="0" w:space="0" w:color="auto"/>
        <w:right w:val="none" w:sz="0" w:space="0" w:color="auto"/>
      </w:divBdr>
    </w:div>
    <w:div w:id="1100301071">
      <w:bodyDiv w:val="1"/>
      <w:marLeft w:val="0"/>
      <w:marRight w:val="0"/>
      <w:marTop w:val="0"/>
      <w:marBottom w:val="0"/>
      <w:divBdr>
        <w:top w:val="none" w:sz="0" w:space="0" w:color="auto"/>
        <w:left w:val="none" w:sz="0" w:space="0" w:color="auto"/>
        <w:bottom w:val="none" w:sz="0" w:space="0" w:color="auto"/>
        <w:right w:val="none" w:sz="0" w:space="0" w:color="auto"/>
      </w:divBdr>
    </w:div>
    <w:div w:id="1299913298">
      <w:bodyDiv w:val="1"/>
      <w:marLeft w:val="0"/>
      <w:marRight w:val="0"/>
      <w:marTop w:val="0"/>
      <w:marBottom w:val="0"/>
      <w:divBdr>
        <w:top w:val="none" w:sz="0" w:space="0" w:color="auto"/>
        <w:left w:val="none" w:sz="0" w:space="0" w:color="auto"/>
        <w:bottom w:val="none" w:sz="0" w:space="0" w:color="auto"/>
        <w:right w:val="none" w:sz="0" w:space="0" w:color="auto"/>
      </w:divBdr>
      <w:divsChild>
        <w:div w:id="2015065148">
          <w:marLeft w:val="0"/>
          <w:marRight w:val="0"/>
          <w:marTop w:val="0"/>
          <w:marBottom w:val="150"/>
          <w:divBdr>
            <w:top w:val="none" w:sz="0" w:space="0" w:color="auto"/>
            <w:left w:val="none" w:sz="0" w:space="0" w:color="auto"/>
            <w:bottom w:val="none" w:sz="0" w:space="0" w:color="auto"/>
            <w:right w:val="none" w:sz="0" w:space="0" w:color="auto"/>
          </w:divBdr>
          <w:divsChild>
            <w:div w:id="524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1106">
      <w:bodyDiv w:val="1"/>
      <w:marLeft w:val="0"/>
      <w:marRight w:val="0"/>
      <w:marTop w:val="0"/>
      <w:marBottom w:val="0"/>
      <w:divBdr>
        <w:top w:val="none" w:sz="0" w:space="0" w:color="auto"/>
        <w:left w:val="none" w:sz="0" w:space="0" w:color="auto"/>
        <w:bottom w:val="none" w:sz="0" w:space="0" w:color="auto"/>
        <w:right w:val="none" w:sz="0" w:space="0" w:color="auto"/>
      </w:divBdr>
    </w:div>
    <w:div w:id="1428841994">
      <w:bodyDiv w:val="1"/>
      <w:marLeft w:val="0"/>
      <w:marRight w:val="0"/>
      <w:marTop w:val="0"/>
      <w:marBottom w:val="0"/>
      <w:divBdr>
        <w:top w:val="none" w:sz="0" w:space="0" w:color="auto"/>
        <w:left w:val="none" w:sz="0" w:space="0" w:color="auto"/>
        <w:bottom w:val="none" w:sz="0" w:space="0" w:color="auto"/>
        <w:right w:val="none" w:sz="0" w:space="0" w:color="auto"/>
      </w:divBdr>
    </w:div>
    <w:div w:id="1483235879">
      <w:bodyDiv w:val="1"/>
      <w:marLeft w:val="0"/>
      <w:marRight w:val="0"/>
      <w:marTop w:val="0"/>
      <w:marBottom w:val="0"/>
      <w:divBdr>
        <w:top w:val="none" w:sz="0" w:space="0" w:color="auto"/>
        <w:left w:val="none" w:sz="0" w:space="0" w:color="auto"/>
        <w:bottom w:val="none" w:sz="0" w:space="0" w:color="auto"/>
        <w:right w:val="none" w:sz="0" w:space="0" w:color="auto"/>
      </w:divBdr>
    </w:div>
    <w:div w:id="1666857078">
      <w:bodyDiv w:val="1"/>
      <w:marLeft w:val="0"/>
      <w:marRight w:val="0"/>
      <w:marTop w:val="0"/>
      <w:marBottom w:val="0"/>
      <w:divBdr>
        <w:top w:val="none" w:sz="0" w:space="0" w:color="auto"/>
        <w:left w:val="none" w:sz="0" w:space="0" w:color="auto"/>
        <w:bottom w:val="none" w:sz="0" w:space="0" w:color="auto"/>
        <w:right w:val="none" w:sz="0" w:space="0" w:color="auto"/>
      </w:divBdr>
      <w:divsChild>
        <w:div w:id="1967660910">
          <w:marLeft w:val="0"/>
          <w:marRight w:val="0"/>
          <w:marTop w:val="0"/>
          <w:marBottom w:val="150"/>
          <w:divBdr>
            <w:top w:val="none" w:sz="0" w:space="0" w:color="auto"/>
            <w:left w:val="none" w:sz="0" w:space="0" w:color="auto"/>
            <w:bottom w:val="none" w:sz="0" w:space="0" w:color="auto"/>
            <w:right w:val="none" w:sz="0" w:space="0" w:color="auto"/>
          </w:divBdr>
          <w:divsChild>
            <w:div w:id="1626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8443">
      <w:bodyDiv w:val="1"/>
      <w:marLeft w:val="0"/>
      <w:marRight w:val="0"/>
      <w:marTop w:val="0"/>
      <w:marBottom w:val="0"/>
      <w:divBdr>
        <w:top w:val="none" w:sz="0" w:space="0" w:color="auto"/>
        <w:left w:val="none" w:sz="0" w:space="0" w:color="auto"/>
        <w:bottom w:val="none" w:sz="0" w:space="0" w:color="auto"/>
        <w:right w:val="none" w:sz="0" w:space="0" w:color="auto"/>
      </w:divBdr>
    </w:div>
    <w:div w:id="1837304642">
      <w:bodyDiv w:val="1"/>
      <w:marLeft w:val="0"/>
      <w:marRight w:val="0"/>
      <w:marTop w:val="0"/>
      <w:marBottom w:val="0"/>
      <w:divBdr>
        <w:top w:val="none" w:sz="0" w:space="0" w:color="auto"/>
        <w:left w:val="none" w:sz="0" w:space="0" w:color="auto"/>
        <w:bottom w:val="none" w:sz="0" w:space="0" w:color="auto"/>
        <w:right w:val="none" w:sz="0" w:space="0" w:color="auto"/>
      </w:divBdr>
    </w:div>
    <w:div w:id="1906717647">
      <w:bodyDiv w:val="1"/>
      <w:marLeft w:val="0"/>
      <w:marRight w:val="0"/>
      <w:marTop w:val="0"/>
      <w:marBottom w:val="0"/>
      <w:divBdr>
        <w:top w:val="none" w:sz="0" w:space="0" w:color="auto"/>
        <w:left w:val="none" w:sz="0" w:space="0" w:color="auto"/>
        <w:bottom w:val="none" w:sz="0" w:space="0" w:color="auto"/>
        <w:right w:val="none" w:sz="0" w:space="0" w:color="auto"/>
      </w:divBdr>
    </w:div>
    <w:div w:id="1961185614">
      <w:bodyDiv w:val="1"/>
      <w:marLeft w:val="0"/>
      <w:marRight w:val="0"/>
      <w:marTop w:val="0"/>
      <w:marBottom w:val="0"/>
      <w:divBdr>
        <w:top w:val="none" w:sz="0" w:space="0" w:color="auto"/>
        <w:left w:val="none" w:sz="0" w:space="0" w:color="auto"/>
        <w:bottom w:val="none" w:sz="0" w:space="0" w:color="auto"/>
        <w:right w:val="none" w:sz="0" w:space="0" w:color="auto"/>
      </w:divBdr>
    </w:div>
    <w:div w:id="20615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07R153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A39C-1437-4DFD-B7D2-4E7C6664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3409</Words>
  <Characters>19435</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СХЕМА ЗА ДЪРЖАВНА ПОМОЩ</vt:lpstr>
      <vt:lpstr>        Националната агенция за приходите ще осъществи следната система от мерки за пос</vt:lpstr>
    </vt:vector>
  </TitlesOfParts>
  <Company>mzp</Company>
  <LinksUpToDate>false</LinksUpToDate>
  <CharactersWithSpaces>22799</CharactersWithSpaces>
  <SharedDoc>false</SharedDoc>
  <HLinks>
    <vt:vector size="36" baseType="variant">
      <vt:variant>
        <vt:i4>8257663</vt:i4>
      </vt:variant>
      <vt:variant>
        <vt:i4>15</vt:i4>
      </vt:variant>
      <vt:variant>
        <vt:i4>0</vt:i4>
      </vt:variant>
      <vt:variant>
        <vt:i4>5</vt:i4>
      </vt:variant>
      <vt:variant>
        <vt:lpwstr>apis://Base=APEV&amp;Celex=32007R1535&amp;Type=201/</vt:lpwstr>
      </vt:variant>
      <vt:variant>
        <vt:lpwstr/>
      </vt:variant>
      <vt:variant>
        <vt:i4>75235365</vt:i4>
      </vt:variant>
      <vt:variant>
        <vt:i4>12</vt:i4>
      </vt:variant>
      <vt:variant>
        <vt:i4>0</vt:i4>
      </vt:variant>
      <vt:variant>
        <vt:i4>5</vt:i4>
      </vt:variant>
      <vt:variant>
        <vt:lpwstr>apis://Base=NARH&amp;DocCode=40656&amp;ToPar=Art189б&amp;Type=201/</vt:lpwstr>
      </vt:variant>
      <vt:variant>
        <vt:lpwstr/>
      </vt:variant>
      <vt:variant>
        <vt:i4>4915230</vt:i4>
      </vt:variant>
      <vt:variant>
        <vt:i4>9</vt:i4>
      </vt:variant>
      <vt:variant>
        <vt:i4>0</vt:i4>
      </vt:variant>
      <vt:variant>
        <vt:i4>5</vt:i4>
      </vt:variant>
      <vt:variant>
        <vt:lpwstr>apis://Base=NARH&amp;DocCode=40640&amp;ToPar=Art28&amp;Type=201/</vt:lpwstr>
      </vt:variant>
      <vt:variant>
        <vt:lpwstr/>
      </vt:variant>
      <vt:variant>
        <vt:i4>1835051</vt:i4>
      </vt:variant>
      <vt:variant>
        <vt:i4>6</vt:i4>
      </vt:variant>
      <vt:variant>
        <vt:i4>0</vt:i4>
      </vt:variant>
      <vt:variant>
        <vt:i4>5</vt:i4>
      </vt:variant>
      <vt:variant>
        <vt:lpwstr>apis://Base=NARH&amp;DocCode=40640&amp;ToPar=Art48_Al6&amp;Type=201/</vt:lpwstr>
      </vt:variant>
      <vt:variant>
        <vt:lpwstr/>
      </vt:variant>
      <vt:variant>
        <vt:i4>8126492</vt:i4>
      </vt:variant>
      <vt:variant>
        <vt:i4>3</vt:i4>
      </vt:variant>
      <vt:variant>
        <vt:i4>0</vt:i4>
      </vt:variant>
      <vt:variant>
        <vt:i4>5</vt:i4>
      </vt:variant>
      <vt:variant>
        <vt:lpwstr>../../../pkopcheva/AppData/Local/Microsoft/Windows/Temporary Internet Files/Content.Outlook/AppData/Local/Microsoft/Windows/Temporary Internet Files/Content.Outlook/ZKPO/ЗАКОН ЗА КОРПОРАТИВНОТО ПОДОХОДНО ОБЛАГАНЕ.htm</vt:lpwstr>
      </vt:variant>
      <vt:variant>
        <vt:lpwstr>5270123#5270123</vt:lpwstr>
      </vt:variant>
      <vt:variant>
        <vt:i4>75235365</vt:i4>
      </vt:variant>
      <vt:variant>
        <vt:i4>0</vt:i4>
      </vt:variant>
      <vt:variant>
        <vt:i4>0</vt:i4>
      </vt:variant>
      <vt:variant>
        <vt:i4>5</vt:i4>
      </vt:variant>
      <vt:variant>
        <vt:lpwstr>apis://Base=NARH&amp;DocCode=40656&amp;ToPar=Art189б&amp;Type=201/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ЗА ДЪРЖАВНА ПОМОЩ</dc:title>
  <dc:creator>RYanachkov</dc:creator>
  <cp:lastModifiedBy>Katya Kostova</cp:lastModifiedBy>
  <cp:revision>12</cp:revision>
  <cp:lastPrinted>2015-03-06T13:49:00Z</cp:lastPrinted>
  <dcterms:created xsi:type="dcterms:W3CDTF">2024-01-12T12:05:00Z</dcterms:created>
  <dcterms:modified xsi:type="dcterms:W3CDTF">2024-01-16T09:03:00Z</dcterms:modified>
</cp:coreProperties>
</file>