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72"/>
      </w:tblGrid>
      <w:tr w:rsidR="00C87120" w:rsidRPr="00C10D09" w:rsidTr="0014689E">
        <w:tc>
          <w:tcPr>
            <w:tcW w:w="9616" w:type="dxa"/>
            <w:gridSpan w:val="2"/>
            <w:shd w:val="clear" w:color="auto" w:fill="D9D9D9"/>
          </w:tcPr>
          <w:p w:rsidR="00076E63" w:rsidRPr="00C10D09" w:rsidRDefault="00FE55C5" w:rsidP="006D2956">
            <w:pPr>
              <w:spacing w:before="120" w:after="120" w:line="34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10184F" w:rsidRPr="00142F97" w:rsidTr="00E507FA">
        <w:tc>
          <w:tcPr>
            <w:tcW w:w="4644" w:type="dxa"/>
          </w:tcPr>
          <w:p w:rsidR="00076E63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Институция:</w:t>
            </w:r>
          </w:p>
          <w:p w:rsidR="007026A1" w:rsidRPr="00C10D09" w:rsidRDefault="002740F7" w:rsidP="006D2956">
            <w:pPr>
              <w:spacing w:after="80" w:line="34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Министерство на земеделието</w:t>
            </w:r>
            <w:r w:rsidR="00064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и храните</w:t>
            </w:r>
          </w:p>
        </w:tc>
        <w:tc>
          <w:tcPr>
            <w:tcW w:w="4972" w:type="dxa"/>
          </w:tcPr>
          <w:p w:rsidR="00076E63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Нормативен акт:</w:t>
            </w:r>
          </w:p>
          <w:p w:rsidR="00076E63" w:rsidRPr="00C10D09" w:rsidRDefault="008D0EAD" w:rsidP="00775835">
            <w:pPr>
              <w:spacing w:after="8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bg-BG"/>
              </w:rPr>
              <w:t xml:space="preserve">Проект на Постановление </w:t>
            </w:r>
            <w:r w:rsidR="00542DF7" w:rsidRPr="00CD05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на Министерския съвет </w:t>
            </w:r>
            <w:r w:rsidRPr="00C10D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bg-BG"/>
              </w:rPr>
              <w:t xml:space="preserve">за </w:t>
            </w:r>
            <w:r w:rsidR="00064A31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bg-BG"/>
              </w:rPr>
              <w:t xml:space="preserve">изменение и допълнение на </w:t>
            </w:r>
            <w:r w:rsidR="00775835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bg-BG"/>
              </w:rPr>
              <w:t>нормативни актове на Министерския съвет</w:t>
            </w:r>
          </w:p>
        </w:tc>
      </w:tr>
      <w:tr w:rsidR="0010184F" w:rsidRPr="00C10D09" w:rsidTr="00FF137F">
        <w:tc>
          <w:tcPr>
            <w:tcW w:w="4644" w:type="dxa"/>
            <w:tcBorders>
              <w:bottom w:val="single" w:sz="18" w:space="0" w:color="auto"/>
            </w:tcBorders>
          </w:tcPr>
          <w:p w:rsidR="00076E63" w:rsidRPr="00C10D09" w:rsidRDefault="006C27D6" w:rsidP="006D2956">
            <w:pPr>
              <w:spacing w:before="60" w:after="80" w:line="34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3pt;height:39.4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4972" w:type="dxa"/>
            <w:tcBorders>
              <w:bottom w:val="single" w:sz="18" w:space="0" w:color="auto"/>
            </w:tcBorders>
          </w:tcPr>
          <w:p w:rsidR="007026A1" w:rsidRPr="00C10D09" w:rsidRDefault="006C27D6" w:rsidP="006D2956">
            <w:pPr>
              <w:spacing w:before="60" w:after="80" w:line="34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object w:dxaOrig="225" w:dyaOrig="225">
                <v:shape id="_x0000_i1062" type="#_x0000_t75" style="width:202.3pt;height:39.45pt" o:ole="">
                  <v:imagedata r:id="rId10" o:title=""/>
                </v:shape>
                <w:control r:id="rId11" w:name="OptionButton1" w:shapeid="_x0000_i1062"/>
              </w:object>
            </w:r>
          </w:p>
        </w:tc>
      </w:tr>
      <w:tr w:rsidR="0010184F" w:rsidRPr="00C10D09" w:rsidTr="00FF137F">
        <w:tc>
          <w:tcPr>
            <w:tcW w:w="4644" w:type="dxa"/>
            <w:tcBorders>
              <w:bottom w:val="nil"/>
            </w:tcBorders>
          </w:tcPr>
          <w:p w:rsidR="00AB499A" w:rsidRPr="00C10D09" w:rsidRDefault="00076E63" w:rsidP="006D2956">
            <w:pPr>
              <w:spacing w:before="120" w:after="80" w:line="34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Лиц</w:t>
            </w:r>
            <w:r w:rsidR="00AB499A"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а </w:t>
            </w: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за контакт:</w:t>
            </w:r>
            <w:r w:rsidR="0001448B"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972" w:type="dxa"/>
            <w:tcBorders>
              <w:bottom w:val="nil"/>
            </w:tcBorders>
          </w:tcPr>
          <w:p w:rsidR="00730732" w:rsidRPr="00C10D09" w:rsidRDefault="00076E63" w:rsidP="006D2956">
            <w:pPr>
              <w:spacing w:before="120" w:after="8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Телефон</w:t>
            </w:r>
            <w:r w:rsidR="00646B47"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и електронна </w:t>
            </w:r>
            <w:r w:rsidR="0060089B"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поща</w:t>
            </w: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  <w:r w:rsidR="009375AF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2DF7" w:rsidRPr="00142F97" w:rsidTr="00542DF7">
        <w:tc>
          <w:tcPr>
            <w:tcW w:w="4644" w:type="dxa"/>
            <w:tcBorders>
              <w:top w:val="nil"/>
              <w:bottom w:val="nil"/>
            </w:tcBorders>
          </w:tcPr>
          <w:p w:rsidR="00542DF7" w:rsidRPr="00C10D09" w:rsidRDefault="00CD052E" w:rsidP="006D2956">
            <w:pPr>
              <w:spacing w:before="60" w:after="80" w:line="34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Десислава Петрова </w:t>
            </w:r>
            <w:r w:rsidR="00542DF7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– директор на дирекция „Правни дейности и законодателство на Европейския съюз“</w:t>
            </w: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542DF7" w:rsidRPr="00064A31" w:rsidRDefault="00542DF7" w:rsidP="006D2956">
            <w:pPr>
              <w:spacing w:before="60" w:after="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F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телефон за връзка: 02 985 11 236</w:t>
            </w:r>
          </w:p>
          <w:p w:rsidR="00542DF7" w:rsidRPr="00D71C91" w:rsidRDefault="00542DF7" w:rsidP="006D2956">
            <w:pPr>
              <w:spacing w:after="8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F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ел</w:t>
            </w:r>
            <w:r w:rsidR="003F7D88" w:rsidRPr="003F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Pr="003F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поща: </w:t>
            </w:r>
            <w:hyperlink r:id="rId12" w:history="1">
              <w:r w:rsidR="003F7D88" w:rsidRPr="003F7D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DEPetrova@mzh.government.bg</w:t>
              </w:r>
            </w:hyperlink>
            <w:r w:rsidR="003F7D88" w:rsidRPr="00064A3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D71C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F137F" w:rsidRPr="00142F97" w:rsidTr="00542DF7">
        <w:tc>
          <w:tcPr>
            <w:tcW w:w="4644" w:type="dxa"/>
            <w:tcBorders>
              <w:top w:val="nil"/>
            </w:tcBorders>
          </w:tcPr>
          <w:p w:rsidR="00FF137F" w:rsidRPr="00C10D09" w:rsidRDefault="00DC705C" w:rsidP="006D2956">
            <w:pPr>
              <w:spacing w:before="60" w:after="80" w:line="34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Диана Филева</w:t>
            </w:r>
            <w:r w:rsidR="00FF137F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–</w:t>
            </w:r>
            <w:r w:rsidR="00064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началник на отдел „Национално законодателство“ </w:t>
            </w:r>
            <w:r w:rsidR="00FF137F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 дирекция </w:t>
            </w: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„Правни дейности и законодателство на Европейския съюз“</w:t>
            </w:r>
          </w:p>
        </w:tc>
        <w:tc>
          <w:tcPr>
            <w:tcW w:w="4972" w:type="dxa"/>
            <w:tcBorders>
              <w:top w:val="nil"/>
            </w:tcBorders>
          </w:tcPr>
          <w:p w:rsidR="00FF137F" w:rsidRPr="00C10D09" w:rsidRDefault="006B37D7" w:rsidP="006D2956">
            <w:pPr>
              <w:spacing w:before="60" w:after="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телефон за връзка: 02</w:t>
            </w:r>
            <w:r w:rsidR="008C4321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 </w:t>
            </w: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985</w:t>
            </w:r>
            <w:r w:rsidR="008C4321" w:rsidRPr="00064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11 115</w:t>
            </w:r>
          </w:p>
          <w:p w:rsidR="00FF137F" w:rsidRPr="00D71C91" w:rsidRDefault="00FF137F" w:rsidP="006D2956">
            <w:pPr>
              <w:spacing w:after="80" w:line="34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ел</w:t>
            </w:r>
            <w:r w:rsidR="003F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поща: </w:t>
            </w:r>
            <w:hyperlink r:id="rId13" w:history="1">
              <w:r w:rsidR="00D71C91" w:rsidRPr="00466B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dfileva</w:t>
              </w:r>
              <w:r w:rsidR="00D71C91" w:rsidRPr="00064A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@</w:t>
              </w:r>
              <w:r w:rsidR="00D71C91" w:rsidRPr="00466B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mzh</w:t>
              </w:r>
              <w:r w:rsidR="00D71C91" w:rsidRPr="00064A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="00D71C91" w:rsidRPr="00466B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D71C91" w:rsidRPr="00064A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D71C91" w:rsidRPr="00466B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</w:hyperlink>
            <w:r w:rsidR="00D71C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10184F" w:rsidRPr="00142F97" w:rsidTr="0014689E">
        <w:tc>
          <w:tcPr>
            <w:tcW w:w="9616" w:type="dxa"/>
            <w:gridSpan w:val="2"/>
          </w:tcPr>
          <w:p w:rsidR="00076E63" w:rsidRPr="00C10D09" w:rsidRDefault="00153866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1. </w:t>
            </w:r>
            <w:r w:rsidR="001138D1"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Проблем/</w:t>
            </w:r>
            <w:r w:rsidR="009D4DA5"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проблем</w:t>
            </w:r>
            <w:r w:rsidR="001138D1"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 за решаване</w:t>
            </w:r>
            <w:r w:rsidR="00076E63"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: </w:t>
            </w:r>
          </w:p>
          <w:p w:rsidR="00303E07" w:rsidRDefault="006A19D9" w:rsidP="006D2956">
            <w:pPr>
              <w:spacing w:before="120" w:after="0" w:line="348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Предприемане на действия за изпълнение на Решен</w:t>
            </w:r>
            <w:r w:rsidR="00064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ието на Народното събрание от 06.06.2023</w:t>
            </w: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г. за приемане на структура на Министерския съвет на Република Българи</w:t>
            </w:r>
            <w:r w:rsidR="00031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я (</w:t>
            </w:r>
            <w:proofErr w:type="spellStart"/>
            <w:r w:rsidR="00031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обн</w:t>
            </w:r>
            <w:proofErr w:type="spellEnd"/>
            <w:r w:rsidR="00031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., ДВ, бр. 50 от 2023</w:t>
            </w:r>
            <w:r w:rsidR="00064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г.), с което Министерството на земеделието е преобразувано в Министерство на земеделието и храните и подобряване на административния капацитет в областта на хидромелиорациите.</w:t>
            </w:r>
          </w:p>
          <w:p w:rsidR="00EC326C" w:rsidRPr="00C10D09" w:rsidRDefault="00EC326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F51F3E" w:rsidRPr="00C10D09" w:rsidRDefault="007421B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1.1. </w:t>
            </w:r>
            <w:r w:rsidR="00F51F3E" w:rsidRPr="00C10D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142F97" w:rsidRDefault="00DA2D2C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Народното събрание прие Решение за приемане на структура на Министерския съвет на Република България (</w:t>
            </w:r>
            <w:proofErr w:type="spellStart"/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обн</w:t>
            </w:r>
            <w:proofErr w:type="spellEnd"/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="00516A14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ДВ, бр.</w:t>
            </w:r>
            <w:r w:rsidR="00D47943" w:rsidRPr="00064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031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50 от 2023</w:t>
            </w:r>
            <w:r w:rsidR="00516A14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</w:t>
            </w:r>
            <w:r w:rsidR="00064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). Съгласно т. 3 от цитираното решение</w:t>
            </w:r>
            <w:r w:rsidRPr="00064A3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64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Министерството на земеделието </w:t>
            </w: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 преобразува в Министерство на земеделието</w:t>
            </w:r>
            <w:r w:rsidR="00064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храните</w:t>
            </w: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="000E7309" w:rsidRPr="00064A3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AB4CCA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Министерството е администрацията, която подпомага министъра на земеделието</w:t>
            </w:r>
            <w:r w:rsidR="00064A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  <w:r w:rsidR="00AB4CCA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осъществява функциите си в съответствие с Устройствен правилник и друг</w:t>
            </w:r>
            <w:r w:rsidR="00BF6C00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подзаконови нормативни актове </w:t>
            </w:r>
            <w:r w:rsidR="00C4558F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</w:t>
            </w:r>
            <w:r w:rsidR="00BF6C00" w:rsidRPr="00064A3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BF6C00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постановления, правилници, наредби и тарифи</w:t>
            </w:r>
            <w:r w:rsidR="00C4558F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AB4CCA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приети от </w:t>
            </w:r>
            <w:r w:rsidR="006A19D9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r w:rsidR="00AB4CCA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инистерския съвет.</w:t>
            </w:r>
            <w:r w:rsidR="00C62373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Навсякъде в подзаконовите нормативни актове на Министерския съвет думи</w:t>
            </w:r>
            <w:r w:rsidR="00064A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 „Министерство на земеделието</w:t>
            </w:r>
            <w:r w:rsidR="00C62373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или</w:t>
            </w:r>
            <w:r w:rsidR="00C62373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CC2345"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Министерство на земеделието, храните и горите</w:t>
            </w:r>
            <w:r w:rsid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CC2345"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62373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ще се заменят с </w:t>
            </w:r>
            <w:r w:rsidR="0069290A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C62373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Министерство на земеделието</w:t>
            </w:r>
            <w:r w:rsidR="00064A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  <w:r w:rsidR="0069290A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“, </w:t>
            </w:r>
            <w:r w:rsid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 </w:t>
            </w:r>
            <w:r w:rsidR="0069290A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„министъра </w:t>
            </w:r>
            <w:r w:rsidR="00064A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земеделието</w:t>
            </w:r>
            <w:r w:rsidR="0069290A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C62373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или „министъра на земеделието, храните и горите“ </w:t>
            </w:r>
            <w:r w:rsidR="00C62373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се заменят</w:t>
            </w:r>
            <w:r w:rsidR="0069290A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„министъра на земеделието</w:t>
            </w:r>
            <w:r w:rsidR="00064A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  <w:r w:rsidR="0069290A" w:rsidRPr="00C10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“.</w:t>
            </w:r>
            <w:r w:rsidR="001A49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142F97" w:rsidRDefault="000312E1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следващо място са необходими промени в 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политика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свързана с дейностите по експлоатация, изграждане, реконструкция и модернизация на </w:t>
            </w:r>
            <w:proofErr w:type="spellStart"/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водностопанските</w:t>
            </w:r>
            <w:proofErr w:type="spellEnd"/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системи и съоръжения, за 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хидромелиоративни системи и съоръжения и за предпазване от вредното въздействие на водите извъ</w:t>
            </w:r>
            <w:r w:rsid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 границите на населените места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която</w:t>
            </w:r>
            <w:r w:rsidR="00142F97" w:rsidRPr="00142F97">
              <w:rPr>
                <w:lang w:val="bg-BG"/>
              </w:rPr>
              <w:t xml:space="preserve"> 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 осъществява от министъра на земеделието и храните</w:t>
            </w:r>
            <w:r w:rsid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Съгласно чл. 13, ал. 1. т. 1 и т.</w:t>
            </w:r>
            <w:r w:rsidR="001A49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 от Закона за водите, на министерство на земеделието и храните са предоставени за управление </w:t>
            </w:r>
            <w:proofErr w:type="spellStart"/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системи и съоръжения, публична държавна собственост – 19 бр. комплексни и значимите язовири и системите и съоръженията за предпазване от вредното въздействие на водите, изградени с държавни средства </w:t>
            </w:r>
            <w:r w:rsidR="000C39B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защитни диги, корекции на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реки и отводнителните системи.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Министерство</w:t>
            </w:r>
            <w:r w:rsidR="000C39B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земеделието и храните и търговските дружества и предприятия, чийто </w:t>
            </w:r>
            <w:proofErr w:type="spellStart"/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принципал</w:t>
            </w:r>
            <w:proofErr w:type="spellEnd"/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 министерството, са предоставени права за управление на общо 629 язовира, както следва:</w:t>
            </w:r>
          </w:p>
          <w:p w:rsidR="00142F97" w:rsidRPr="00561354" w:rsidRDefault="00142F97" w:rsidP="006D295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 бр. комплексни и значими язовири;</w:t>
            </w:r>
          </w:p>
          <w:p w:rsidR="00142F97" w:rsidRPr="00561354" w:rsidRDefault="00142F97" w:rsidP="006D295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6 бр. </w:t>
            </w:r>
            <w:proofErr w:type="spellStart"/>
            <w:r w:rsidRP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ретензионни</w:t>
            </w:r>
            <w:proofErr w:type="spellEnd"/>
            <w:r w:rsidRP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142F97" w:rsidRPr="00561354" w:rsidRDefault="00142F97" w:rsidP="006D295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155 бр</w:t>
            </w:r>
            <w:r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на </w:t>
            </w:r>
            <w:r w:rsidR="00561354"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„Напоителни системи“</w:t>
            </w:r>
            <w:r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ЕАД</w:t>
            </w:r>
            <w:r w:rsidRP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142F97" w:rsidRPr="00561354" w:rsidRDefault="00142F97" w:rsidP="006D295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432 бр. на </w:t>
            </w:r>
            <w:r w:rsid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 w:rsidRP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Земинвест</w:t>
            </w:r>
            <w:proofErr w:type="spellEnd"/>
            <w:r w:rsid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ЕАД;</w:t>
            </w:r>
          </w:p>
          <w:p w:rsidR="00142F97" w:rsidRPr="00561354" w:rsidRDefault="00142F97" w:rsidP="006D295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 бр. на горските предприятия.</w:t>
            </w:r>
          </w:p>
          <w:p w:rsidR="00142F97" w:rsidRPr="00142F97" w:rsidRDefault="000312E1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зовирите имат изключително значение в извънредни ситуации.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становяването и модерниз</w:t>
            </w:r>
            <w:r w:rsid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цията на съществуващата хидромелиоративна инфраструктура ще бъде важен елемент за намаляване на произтичащите от изменението на климата рискове по отношение на производителността, устойчивото развитие на селското стопанство и управлението на земята. Очакваните продължителни периоди на засушаване, в съчетание с все по-чести и по-тежки наводнения, ще доведат до нарастваща несигурност на селскостопанската дейност в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Република 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България. В тези условия напоителната инфраструктура ще се използва за задоволяването на нарасналите нужди на селскостопанските култури от вода, докато инфраструктурата за отводняване и за защита от наводнения, както и корекциите на реки биха осигурили защита на обработваемата земя от вредните въздействия, свързани с климатичните рискове. По този начин хидромелиоративният сектор ще генерира значителни ползи както за селскостопанската общност, така и за по-широки кръгове от обществото.</w:t>
            </w:r>
          </w:p>
          <w:p w:rsidR="00142F97" w:rsidRPr="00142F97" w:rsidRDefault="000312E1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Постановление № 95 </w:t>
            </w:r>
            <w:r w:rsidR="00561354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Министерския съвет</w:t>
            </w:r>
            <w:r w:rsid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2010 г.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proofErr w:type="spellStart"/>
            <w:r w:rsid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ДВ</w:t>
            </w:r>
            <w:r w:rsid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бр. 41 от 2010 г.)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 закрива И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зпълнителната агенция по хидромелиорации към министъра на земеделието и храните с обща численост 84 щатни бройки, и се създава дирекция „Хидромелиорации“ </w:t>
            </w:r>
            <w:r w:rsidR="00561354"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r w:rsidR="005613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инистерството на земеделието и храните (МЗХ)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11 щатни бройки. 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През 2014 г. е подписано Споразумение за предоставяне на консултантски услуги за укрепване на конкурентоспособността на селското стопанство и изготвяне на </w:t>
            </w:r>
            <w:proofErr w:type="spellStart"/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проектостратегии</w:t>
            </w:r>
            <w:proofErr w:type="spellEnd"/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устойчиво управление в хидромелиоративния сектор и опазване от вредното въздействие на водите между Министерството на земеделието и храните на Република България и Международната банка за възстановяване и развитие. В рамките на Споразуме</w:t>
            </w:r>
            <w:r w:rsidR="000312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нието, Банката изготвя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документи, чиято цел е преструктуриране и повишаване на ефективността на отрасъл хидромелиорации в </w:t>
            </w:r>
            <w:r w:rsidR="000312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Република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България. Разработен е проект на Обща стратегия за управление и развитие на хидромелиорациите и защита от вредното въздействие на водите до 2030 г.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С Постановление № 25 </w:t>
            </w:r>
            <w:r w:rsidR="00561354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Министерския съвет </w:t>
            </w:r>
            <w:r w:rsidR="000312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2016 г.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изменение и допълнение на Устройствения правилник на Министерството на земеделието и храните, дирекция „Хидромелиорации“ се преобразува в дирекция „Хидромелиорации, инвестиционна политика и концесии“.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Общата стратегия за управление и развитие на хидромелиорациите и защита от вредното въздействие на водите до 2030 г. е приета с Решение № 688 на Министерския съвет от 2016 г. Стратегията очертава пътя към ефективно и постепенно възстановяване на достъпа до съществуващи напоителни и отводнителни услуги като предпоставка за възстановяване на разходите и ефективно използване на водата в селското стопанство.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Изпълнението на определените краткосрочни и средносрочни мерки в Стратегията показва, че то е на незадоволително ниво. Приети са изменения и допълнения в Закона за сдруженията за напояване, регламентиращи извършването на услугата „Доставяне на вода за напояване”. Приета е Методика за</w:t>
            </w:r>
            <w:r w:rsidR="000312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определяне цената на услугата „доставяне на вода за напояване“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(П</w:t>
            </w:r>
            <w:r w:rsidR="007C6A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остановление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 147</w:t>
            </w:r>
            <w:r w:rsidR="007C6A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Министерския съвет от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2018 г.) 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Съгласно Общата Стратегия за управление и развитие на хидромелиорациите и защита от вредното в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ъздействие на водите д</w:t>
            </w:r>
            <w:r w:rsidR="000312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ирекция „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Хидромелиорации, ин</w:t>
            </w:r>
            <w:r w:rsidR="000312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вестиционна политика и концесии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“ </w:t>
            </w:r>
            <w:r w:rsidR="007D5C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МЗХ е звеното, натоварено с изпълнението на секторната стратегия, което следва да осигури надзора на целия процес на правни и институционални реформи., както и с основната си роля, свързана с разработване на политики, изготвяне на законодателни предложения и управление на правните и институционални въпроси, както и да подсили капацитета си за изпълнение на Стратегията. </w:t>
            </w:r>
          </w:p>
          <w:p w:rsidR="00142F97" w:rsidRPr="00142F97" w:rsidRDefault="000312E1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Постановление № 258 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Министерския съвет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2017 г. за изменение и допълнение на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нормативни актове на Министерския съвет (</w:t>
            </w:r>
            <w:proofErr w:type="spellStart"/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ДВ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бр. 94 от 2017 г.)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дирекция „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Хидромелиорации, ин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вестиционна политика и концесии“ става „Инвестиции и управление на собствеността“, а специален отдел за хидромелиорации се създава в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дирекция „Обща политика в областта на хидромелиорациите и рибарството“.</w:t>
            </w:r>
          </w:p>
          <w:p w:rsidR="00142F97" w:rsidRPr="00142F97" w:rsidRDefault="000312E1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Постановление № 260 </w:t>
            </w:r>
            <w:r w:rsidR="00943F48"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Министерския съвет </w:t>
            </w:r>
            <w:r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="00142F97"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2019 г. е приет </w:t>
            </w:r>
            <w:r w:rsidR="00943F48"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Устройствен правилник на Министерството на земеделието, храните и горите (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 на МЗХГ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proofErr w:type="spellStart"/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ДВ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бр. 82 от 2019 г.)</w:t>
            </w:r>
            <w:r w:rsidR="00142F97"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и се създава сега съществуващата дирекция „Стопански дейности, инвестиции и хидромелиорации“.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Функционалните компетентности на дирекция „Стопански дейности, инвестиции и хидромелиорации“ (СДИХ) са определени в чл. 22 </w:t>
            </w:r>
            <w:r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="00943F48"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 на МЗХГ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Числеността на служителите на дирекция СДИХ е 28 щатни бройки, в т.ч. директор и се състои от два отдела, както следва:</w:t>
            </w:r>
          </w:p>
          <w:p w:rsid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отдел  „Стопански дейности“ – (19 щ. бр.)</w:t>
            </w:r>
          </w:p>
          <w:p w:rsid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•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отдел „Инвестиции, концесии и хидромелиорации“ – (8 щ. бр.)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който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изготвя, участва в разработването и съгласува проекти на нормативни актове, които са свързани с хидромелиорациите и комплексното използване на водните ресурси; разработва и участва в разработването на стратегии, програми и проекти за изграждане, ремонт и поддържане на хидромелиоративния фонд с цел ефективно използване на водите за напояване; извършва технико-икономически оценки за състоянието и използваемостта на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хидромелиоративния фонд, участва при разработването на инвестиционни проекти и програми за развитието му и провежда технико-икономически съвет за разглеждане, приемане и одобряване на </w:t>
            </w:r>
            <w:proofErr w:type="spellStart"/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прединвестиционни</w:t>
            </w:r>
            <w:proofErr w:type="spellEnd"/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проучвания и проектни разработки от инвестиционното проектиране за обектите от хидромелиоративната инфраструктура; предлага за включване в бюджетната прогноза на министерството средствата съгласно 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чл. 10, ал. 1 </w:t>
            </w:r>
            <w:r w:rsidR="00CC2345"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УП на МЗХГ</w:t>
            </w:r>
            <w:r w:rsidR="00943F48"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изпълнява дейностите по чл. 13, ал. 3 от Методиката за определяне размера на несправедливата финансова тежест въз основа на нетните разходи, п</w:t>
            </w:r>
            <w:r w:rsid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онесени от търговско дружество „Напоителни системи“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ЕАД, на което със закон е възложено извършването на обществена услуга за защита от вредното въздействие на водите на територията на цялата страна; събира и предоставя информация на комисията, определена със заповед на министъра, която приема ежегодно отчет за направените разходи при извършване на обществена услуга за защита от вре</w:t>
            </w:r>
            <w:r w:rsid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дното въздействие на водите от „Напоителни системи“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ЕАД, съгласно Закона за водите; подпомага министъра при упражняване на функциите му на надзорен орган съгласно Закона за сдружения за напояване за правен, финансов и технически надзор върху дейността на сдруженията и поддържа регистър на сдруженията за напояване.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Националната програма за развитие БЪЛГАРИЯ 2030</w:t>
            </w:r>
            <w:r w:rsid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91236" w:rsidRP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приета с Протокол № 67 на Министерския съвет от 02.12.2020 г.</w:t>
            </w:r>
            <w:r w:rsidR="00ED56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(т. 25)</w:t>
            </w:r>
            <w:r w:rsid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 предвижда чрез комплекс от дейности, насочени към инвестиции в хидромелиорациите, да се подобрят и развият системите за напояване и отводняване на земеделските земи във връзка с адаптирането на земеделието към климатичните промени. Предвижданата реконструкция и модернизация на хидромелиоративната инфраструктура се очаква да подобри използването на водните ресурси посредством въвеждане на нови технологии, реално да намали загубите и потреблението на вода в селското стопанство, да доведе до нарастване на поливните площи и до подобряване на ефективността на поливните процеси, да допринесе за опазване на земеделските земи от вредното въздействие на водите и предотвратяване на риска от бедствия. 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Разработването на дългосрочна визия за поливното земеделие отдавна е осъзнато като необходимост и в тази връзка ръководството на МЗХ предвижда преразглеждане и актуализиране на Общата стратегия за управление и развитие на хидромелиорациите и защита от вредното въздействие на водите във вид, ефективен и приложим по отношение политиките за стопанисване, поддръжка, управление и експлоатация на хидромелиоративния фонд за доставка на вода за напояване, тъй като в  процеса на изпълнението й са отбелязани съществени предизвикателства и са установени съществуващи рискове, затруднения и недостатъци. За предприемането на тези действия възниква необходимостта от актуализиране баланса на поливните площи в 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Република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България. За целта следва да бъде инициирано възлагане на ново преброяване на поливните площи. Последното преброяване на поливни площи е извършено 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през 1999</w:t>
            </w:r>
            <w:r w:rsidR="00ED56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г, утвърдено с Р</w:t>
            </w:r>
            <w:r w:rsidR="00ED56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ешение № 512на 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r w:rsidR="00ED56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инистерския съвет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2000 г. 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изпълнение на горепосочените дейности се налага изводът, че за подобряване на ефективността на управлението на хидромелиорациите, е необходимо да се предприемат мерки за повишаване на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административния капацитет в МЗХ в разглежданата област, вкл. относно вътрешната организация, координация на работа и управление на персонала.</w:t>
            </w:r>
          </w:p>
          <w:p w:rsidR="00142F97" w:rsidRPr="00142F97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През последните години при извършени промени в УП на МЗХ, постепенно се овакантяват длъжности на служители с дългогодишен трудов и служебен стаж, притежаващи изисквания за професионален опит, необходим за нормалното обезпечаване на основните функционални задължения. Към настоящия момент, от съществуващата дирекция „Хидромелиорации“, в </w:t>
            </w:r>
            <w:r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отдел </w:t>
            </w:r>
            <w:r w:rsidR="00ED565F" w:rsidRP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„Инвестиции, концесии и хидромелиорации“ </w:t>
            </w: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са останали едва двама експерти, като настоящата численост и професионална квалификация на служителите в отдела е крайно недостатъчна за изпълнение на дейностите ефективно, качествено и в срок. </w:t>
            </w:r>
          </w:p>
          <w:p w:rsidR="00AB4CCA" w:rsidRPr="00C10D09" w:rsidRDefault="00142F97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42F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цел повишаване административния капацитет и предвид спецификата на дейността и компетентностите, които следва да притежават служителите за изпълнение на основните дейности, е необходимо да се привлекат необходимия брой експерти с образование по хидромелиоративно и хидротехническо строителство, геодезия и земеустройство.</w:t>
            </w:r>
            <w:r w:rsid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Предвижда се създаването на нова дирекция „Хидромелиорации“ с численост от 15 щатни бройки.</w:t>
            </w:r>
            <w:r w:rsidR="00991236">
              <w:t xml:space="preserve"> </w:t>
            </w:r>
            <w:r w:rsidR="00991236" w:rsidRP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Досегашния</w:t>
            </w:r>
            <w:r w:rsidR="00991236">
              <w:rPr>
                <w:lang w:val="bg-BG"/>
              </w:rPr>
              <w:t xml:space="preserve"> </w:t>
            </w:r>
            <w:r w:rsidR="00991236" w:rsidRP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отдел „Инвестиции,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концесии и хидромелиорации“ включва 8 щатни бройки. </w:t>
            </w:r>
            <w:r w:rsid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съответствие с § 16 от 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991236" w:rsidRP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ходни и з</w:t>
            </w:r>
            <w:r w:rsidR="00A51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аключителни разпоредби </w:t>
            </w:r>
            <w:r w:rsid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към З</w:t>
            </w:r>
            <w:r w:rsidR="00991236" w:rsidRP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акон</w:t>
            </w:r>
            <w:r w:rsidR="00A51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за изменение и допълнение на З</w:t>
            </w:r>
            <w:r w:rsidR="00991236" w:rsidRPr="009912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акона за администрацията</w:t>
            </w:r>
            <w:r w:rsidR="00A51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proofErr w:type="spellStart"/>
            <w:r w:rsidR="00ED56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ED56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ДВ, бр. 15 от 2012 г</w:t>
            </w:r>
            <w:r w:rsidR="00BB794F" w:rsidRP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="00BB794F" w:rsidRP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51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новата дирекция ще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 осигурят 5</w:t>
            </w:r>
            <w:r w:rsidR="00064A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щатни бройки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които в момента са свободни</w:t>
            </w:r>
            <w:r w:rsidR="00064A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="00CC23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служба</w:t>
            </w:r>
            <w:r w:rsidR="00064A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съвети в земеделието и </w:t>
            </w:r>
            <w:r w:rsidR="00A51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1 щатна бройки</w:t>
            </w:r>
            <w:r w:rsidR="00064A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37E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дирекция </w:t>
            </w:r>
            <w:r w:rsidR="00A51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937E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Идентификация на земеделските парцели</w:t>
            </w:r>
            <w:r w:rsidR="00A51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937E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дирекция</w:t>
            </w:r>
            <w:r w:rsidR="00BB79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„Правни дейности и законодателство на Европейския съюз</w:t>
            </w:r>
            <w:r w:rsidR="00A51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“ </w:t>
            </w:r>
            <w:r w:rsidR="00ED56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A51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министерството</w:t>
            </w:r>
            <w:r w:rsidR="00937E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C326C" w:rsidRPr="00C10D09" w:rsidRDefault="00EC326C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DF7188" w:rsidRPr="00C10D09" w:rsidRDefault="00F51F3E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</w:t>
            </w:r>
            <w:r w:rsidR="00B41901" w:rsidRPr="00C10D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ции между няколко органа и др</w:t>
            </w:r>
            <w:r w:rsidR="00E31B4A" w:rsidRPr="00C10D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.)</w:t>
            </w:r>
            <w:r w:rsidR="00B5430D" w:rsidRPr="00C10D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:rsidR="00303E07" w:rsidRDefault="00B41901" w:rsidP="006D2956">
            <w:pPr>
              <w:spacing w:after="0"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Проблемът не може да се реши в рамките на </w:t>
            </w:r>
            <w:r w:rsidR="00C338D6" w:rsidRPr="00C1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действащата нормативна уредба или </w:t>
            </w:r>
            <w:r w:rsidRPr="00C1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чрез про</w:t>
            </w:r>
            <w:r w:rsidR="00DC705C" w:rsidRPr="00C1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мяна</w:t>
            </w:r>
            <w:r w:rsidR="00AB4CCA" w:rsidRPr="00C1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 организацията на работа, </w:t>
            </w:r>
            <w:r w:rsidR="0093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тъй като устройството и функциите на администрацията се уреждат с нормативни актове.</w:t>
            </w:r>
          </w:p>
          <w:p w:rsidR="00937E51" w:rsidRPr="00064A31" w:rsidRDefault="00937E51" w:rsidP="006D2956">
            <w:pPr>
              <w:spacing w:after="0"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727FF3" w:rsidRPr="00C10D09" w:rsidRDefault="00F51F3E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1.3. Посочете защо действащата нормативна</w:t>
            </w:r>
            <w:r w:rsidR="00646B47" w:rsidRPr="00C10D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рамка не позволява решаване на </w:t>
            </w:r>
            <w:r w:rsidRPr="00C10D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проблема/проблемите.</w:t>
            </w:r>
            <w:r w:rsidR="004B1A70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645856" w:rsidRPr="00C10D09" w:rsidRDefault="00883C82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Приета е нова структура на Министерския съвет и действащите нормативни актове, (постановления, правилници, тарифи, наредби</w:t>
            </w:r>
            <w:r w:rsidRPr="00064A3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приети от Министерския съвет), които уреждат</w:t>
            </w:r>
            <w:r w:rsidRPr="00064A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функциите на министерството и правомощията на министъра </w:t>
            </w:r>
            <w:r w:rsidR="00937E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необходимо да се актуализират, а повишаването на административния капацитет в областта на хидромелиорациите следва да се уреди нормативно.</w:t>
            </w:r>
          </w:p>
          <w:p w:rsidR="00303E07" w:rsidRPr="00C10D09" w:rsidRDefault="00303E07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F51F3E" w:rsidRPr="00C10D09" w:rsidRDefault="00F51F3E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3F3882" w:rsidRPr="00C10D09" w:rsidRDefault="003948DA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Не се налагат действия, произтичащи от нормативни актове от по-висока степен или актове от правото на </w:t>
            </w:r>
            <w:r w:rsidR="00133AB9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Европейския съюз</w:t>
            </w:r>
            <w:r w:rsidR="00646B47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:rsidR="00303E07" w:rsidRPr="00C10D09" w:rsidRDefault="00303E07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DF7188" w:rsidRPr="00C10D09" w:rsidRDefault="00F51F3E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3F3882" w:rsidRDefault="00C1621B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извършвани послед</w:t>
            </w:r>
            <w:r w:rsidR="00DF7188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ващи оценки на нормативния акт,</w:t>
            </w:r>
            <w:r w:rsidR="00DF7188" w:rsidRPr="00C1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DF7188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както и анализи за изпълнението на политиката.</w:t>
            </w:r>
          </w:p>
          <w:p w:rsidR="00F30AAC" w:rsidRPr="00C10D09" w:rsidRDefault="00F30AA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184F" w:rsidRPr="00142F97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240" w:after="80" w:line="34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2</w:t>
            </w: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</w:t>
            </w: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Цели:</w:t>
            </w:r>
          </w:p>
          <w:p w:rsidR="0002129F" w:rsidRPr="00C10D09" w:rsidRDefault="0002129F" w:rsidP="006D2956">
            <w:pPr>
              <w:spacing w:before="60" w:after="8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Цел 1</w:t>
            </w:r>
            <w:r w:rsidR="00A67DB5"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A67DB5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8D0EAD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Привеждане</w:t>
            </w:r>
            <w:r w:rsidR="00883C82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нормативните актов</w:t>
            </w:r>
            <w:r w:rsidR="008D0EAD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е, приети от Министерския съвет</w:t>
            </w:r>
            <w:r w:rsidR="00883C82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съответствие с новата структура на Министерския съвет</w:t>
            </w:r>
            <w:r w:rsidR="00A67DB5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A76357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F30AAC" w:rsidRPr="00C10D09" w:rsidRDefault="0002129F" w:rsidP="006D2956">
            <w:pPr>
              <w:spacing w:before="60" w:after="8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2</w:t>
            </w:r>
            <w:r w:rsidR="00A67DB5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17F73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937E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Повишаване на административния капацитет в областта на хидромелиорациите</w:t>
            </w:r>
            <w:r w:rsidR="00FA2BAE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117F73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10184F" w:rsidRPr="00142F97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240" w:after="0" w:line="34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3. </w:t>
            </w:r>
            <w:r w:rsidR="007108A0"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</w:t>
            </w: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а</w:t>
            </w:r>
            <w:r w:rsidR="00E653D3"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интересовани</w:t>
            </w:r>
            <w:r w:rsidRPr="00C10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страни: </w:t>
            </w:r>
          </w:p>
          <w:p w:rsidR="006A3215" w:rsidRPr="00C10D09" w:rsidRDefault="001E1EF1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Министерски</w:t>
            </w:r>
            <w:r w:rsidR="006A3215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съвет </w:t>
            </w:r>
            <w:r w:rsidR="00FA2BAE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Република България</w:t>
            </w:r>
          </w:p>
          <w:p w:rsidR="00790365" w:rsidRDefault="00790365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</w:t>
            </w:r>
            <w:r w:rsid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</w:p>
          <w:p w:rsidR="00227323" w:rsidRPr="00C10D09" w:rsidRDefault="00227323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Национална служба за съвети в земеделието</w:t>
            </w:r>
          </w:p>
          <w:p w:rsidR="00FA2BAE" w:rsidRPr="00C10D09" w:rsidRDefault="00FA2BAE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Косвено заинтересовани страни</w:t>
            </w:r>
          </w:p>
          <w:p w:rsidR="00645856" w:rsidRPr="00C10D09" w:rsidRDefault="0064585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Други административни органи и администрации</w:t>
            </w:r>
          </w:p>
          <w:p w:rsidR="00645856" w:rsidRPr="00C10D09" w:rsidRDefault="00883C82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Физически и юридически лица </w:t>
            </w:r>
            <w:r w:rsidR="00645856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като потребители на административни услуги</w:t>
            </w:r>
          </w:p>
          <w:p w:rsidR="00F30AAC" w:rsidRPr="00C10D09" w:rsidRDefault="005B7762" w:rsidP="006D2956">
            <w:pPr>
              <w:spacing w:before="60" w:after="80" w:line="348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всички потенциални заинтересовани страни</w:t>
            </w:r>
            <w:r w:rsidR="00DF7188"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>/групи заинтересовани страни (в рамките на процеса по извършване на частичната предварителна оценка на въздействието и/или при обществените консултации по чл. 26 от Закона за нормативните актове), върху които предложенията ще окажат</w:t>
            </w:r>
            <w:r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пряко или косве</w:t>
            </w:r>
            <w:r w:rsidR="00AE4E4F"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>но въздействие (бизнес в дадена</w:t>
            </w:r>
            <w:r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област/всички предприемачи, неправителствени организации, граждани/техни представители, държавни органи</w:t>
            </w:r>
            <w:r w:rsidR="00DF7188"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>/общини и</w:t>
            </w:r>
            <w:r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др.).</w:t>
            </w:r>
          </w:p>
        </w:tc>
      </w:tr>
      <w:tr w:rsidR="0010184F" w:rsidRPr="00142F97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240" w:after="80" w:line="34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10184F" w:rsidRPr="00142F97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 </w:t>
            </w: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Без действие“:</w:t>
            </w:r>
          </w:p>
          <w:p w:rsidR="00076E63" w:rsidRPr="00C10D09" w:rsidRDefault="00076E63" w:rsidP="00EB622B">
            <w:pPr>
              <w:widowControl w:val="0"/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4B1A70" w:rsidRDefault="004B1A70" w:rsidP="006D2956">
            <w:pPr>
              <w:pStyle w:val="ListParagraph"/>
              <w:widowControl w:val="0"/>
              <w:spacing w:after="0" w:line="348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Вариантът „Без действие“ се характеризира с </w:t>
            </w:r>
            <w:proofErr w:type="spellStart"/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непредприемане</w:t>
            </w:r>
            <w:proofErr w:type="spellEnd"/>
            <w:r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никакви действия. Ще продължи да има действаща нормативна уредба, която не съответства на приет</w:t>
            </w:r>
            <w:r w:rsidR="00A76357" w:rsidRPr="00C1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ите структурни промени в изпълнителната власт</w:t>
            </w:r>
            <w:r w:rsidR="00227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а административния капацитет в областта на хидромелиорациите ще остане на същото ниво.</w:t>
            </w:r>
          </w:p>
          <w:p w:rsidR="00BB794F" w:rsidRPr="00C10D09" w:rsidRDefault="00BB794F" w:rsidP="00EB622B">
            <w:pPr>
              <w:pStyle w:val="ListParagraph"/>
              <w:widowControl w:val="0"/>
              <w:spacing w:after="0" w:line="348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076E63" w:rsidRPr="00C10D09" w:rsidRDefault="00076E63" w:rsidP="00EB622B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ED6408" w:rsidRPr="00C10D09" w:rsidRDefault="00727FF3" w:rsidP="00EB622B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</w:t>
            </w:r>
            <w:r w:rsidR="00ED6408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положителни въздействия</w:t>
            </w:r>
            <w:r w:rsidR="00894EF6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C35A64" w:rsidRPr="00C10D09" w:rsidRDefault="0051369A" w:rsidP="00EB622B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F30AAC" w:rsidRPr="00C10D09" w:rsidRDefault="00B66CC3" w:rsidP="00EB622B">
            <w:pPr>
              <w:pStyle w:val="ListParagraph"/>
              <w:spacing w:after="0" w:line="348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Няма да има нормативно основание </w:t>
            </w:r>
            <w:r w:rsidR="00645856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промени в наименованието и организацията на работа на администрацията.</w:t>
            </w:r>
          </w:p>
          <w:p w:rsidR="00076E63" w:rsidRPr="00C10D09" w:rsidRDefault="00076E63" w:rsidP="00EB622B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DC2E29" w:rsidRPr="00C10D09" w:rsidRDefault="00076E63" w:rsidP="00EB622B">
            <w:pPr>
              <w:spacing w:after="0" w:line="34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2D4B84" w:rsidRPr="00C10D09" w:rsidRDefault="00BC6B19" w:rsidP="00EB622B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въздействие върху малки и средни предприятия</w:t>
            </w:r>
            <w:r w:rsidR="006B2FC6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 </w:t>
            </w:r>
          </w:p>
          <w:p w:rsidR="00DC2E29" w:rsidRPr="00C10D09" w:rsidRDefault="00076E63" w:rsidP="006D2956">
            <w:pPr>
              <w:spacing w:before="120" w:after="0" w:line="34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:rsidR="00076E63" w:rsidRPr="00C10D09" w:rsidRDefault="00727FF3" w:rsidP="006D2956">
            <w:pPr>
              <w:spacing w:after="0" w:line="34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идентифицирана</w:t>
            </w:r>
            <w:r w:rsidR="00DC2E29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административна тежест. </w:t>
            </w:r>
          </w:p>
          <w:p w:rsidR="00F04B4E" w:rsidRPr="00C10D09" w:rsidRDefault="00F04B4E" w:rsidP="006D2956">
            <w:pPr>
              <w:pBdr>
                <w:bottom w:val="single" w:sz="4" w:space="1" w:color="auto"/>
              </w:pBdr>
              <w:spacing w:after="0" w:line="348" w:lineRule="auto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</w:p>
          <w:p w:rsidR="00727FF3" w:rsidRPr="00C10D09" w:rsidRDefault="00E44DE0" w:rsidP="006D2956">
            <w:pPr>
              <w:spacing w:before="24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 „</w:t>
            </w:r>
            <w:r w:rsidR="00FA2BAE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</w:t>
            </w:r>
            <w:r w:rsidR="00645856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Постановление </w:t>
            </w:r>
            <w:r w:rsidR="007421B6" w:rsidRPr="00CD0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Министерския съвет </w:t>
            </w:r>
            <w:r w:rsidR="00645856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 w:rsidR="008D0EAD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27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изменение и допълнение</w:t>
            </w:r>
            <w:r w:rsidR="008D0EAD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</w:t>
            </w:r>
            <w:r w:rsidR="0077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нормативни актове на Министерския съвет“</w:t>
            </w:r>
          </w:p>
          <w:p w:rsidR="00070655" w:rsidRDefault="00522C62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Този вариант ще доведе до </w:t>
            </w:r>
            <w:r w:rsidR="001663C2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осигуряване на съответствие на нормативната рамка с новите структурни промени в централната администрация на изпълнителната власт</w:t>
            </w:r>
            <w:r w:rsidR="007F056C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69290A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бъде </w:t>
            </w:r>
            <w:r w:rsid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изменен и допълнен </w:t>
            </w:r>
            <w:r w:rsidR="0069290A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</w:t>
            </w:r>
            <w:r w:rsid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ия</w:t>
            </w:r>
            <w:r w:rsidR="0069290A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правилник на Министерство</w:t>
            </w:r>
            <w:r w:rsidR="00180626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69290A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земеделието, </w:t>
            </w:r>
            <w:r w:rsid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храните и горите, </w:t>
            </w:r>
            <w:r w:rsidR="0069290A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в други подзаконови нормативни актове – постановления, правилници, наредби и тарифи</w:t>
            </w:r>
            <w:r w:rsid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(около 70 на брой)</w:t>
            </w:r>
            <w:r w:rsidR="0069290A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приети от Министерския съвет, които имат отношение към функционалната компетентност на министерството и правомощията на министъра думите „Министерство на земеделието, храните и горите“</w:t>
            </w:r>
            <w:r w:rsid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или „Министерство на земеделието“</w:t>
            </w:r>
            <w:r w:rsidR="0069290A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се заменят с „Министерство на земеделието</w:t>
            </w:r>
            <w:r w:rsid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  <w:r w:rsidR="0069290A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“, </w:t>
            </w:r>
            <w:r w:rsid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</w:t>
            </w:r>
            <w:r w:rsidR="0069290A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„министъра на</w:t>
            </w:r>
            <w:r w:rsid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земеделието, храните и горите“</w:t>
            </w:r>
            <w:r w:rsid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„министъра на земеделието“ </w:t>
            </w:r>
            <w:r w:rsidR="0069290A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замен</w:t>
            </w:r>
            <w:r w:rsid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ят с „министъра на </w:t>
            </w:r>
            <w:r w:rsidR="00227323" w:rsidRPr="00CC23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земеделието</w:t>
            </w:r>
            <w:r w:rsidR="006D2956" w:rsidRPr="00CC23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  <w:r w:rsid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“.</w:t>
            </w:r>
          </w:p>
          <w:p w:rsidR="00991236" w:rsidRPr="00991236" w:rsidRDefault="00991236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Предвижда се създаването на една нова дирекция „Хидромелиорации“ с 15 щатни бройки, като се преструктурира съществуващата дирекция „Стопански дейност</w:t>
            </w:r>
            <w:r w:rsid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и, инвестиции и хидромелиорации“</w:t>
            </w:r>
            <w:r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численост от 28 щатни бройки. Дирекцията ще осъществява функции за регулиране на дейностите по напояване, отводняване, предпазване от заливане, защита от ерозивното влияние на водите извън населените места и подпомагане на </w:t>
            </w:r>
            <w:r w:rsidR="006D295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министъра </w:t>
            </w:r>
            <w:r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земеделието и храните при провеждане на инвестиционната политика в областта на хидромелиорациите, както и учредяване на сдруженията за напояване и упражняване надзор върху дейността им, и ще даде възможността за назначаване на експерти, притежаващи необходимия професионален опит за изпълнение на основните функции.</w:t>
            </w:r>
          </w:p>
          <w:p w:rsidR="00991236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Новата дирекция „Хидромелиорации“ ще бъде структурирана в два отдела и ще осъществява следните функции: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подпомага министъра при разработването, координирането и провеждането на държавната политика в областта на напояването;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контролира изпълнението на дейностите по напояване на земеделските земи;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участва в разработването на проекти на нормативни актове в областта на хидромелиорациите и комплексното използване на водните ресурси;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4.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организира и координира дейността по разработване на планове, проекти и програми за развитие на хидромелиорациите, включително за изграждане, ремонт и поддържане на хидромелиоративните обекти за напояване, с цел ефективно използване на водите за напояване; 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поддържа база данни на хидромелиоративните обекти за напояване;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6.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участва в разработването на националния </w:t>
            </w:r>
            <w:proofErr w:type="spellStart"/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план и в съставянето на водните и </w:t>
            </w:r>
            <w:proofErr w:type="spellStart"/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водностопанските</w:t>
            </w:r>
            <w:proofErr w:type="spellEnd"/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баланси на страната в частта им, свързана с напояването;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7.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предлага възлагането на доклади за оценка на въздействието върху околната среда и други екологични анализи при изграждането и ремонта на хидромелиоративни обекти за напояване;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8.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организира извършването на технико-икономически оценки за състоянието и използваемостта и участва при разработването на инвестиционни проекти и програми за развитие на хидромелиоративните обекти за напояване и при разглеждането им в експертния технико-икономически съвет; 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9.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организира провеждането на технико-икономически съвет за разглеждане, приемане и одобряване на предварителни (</w:t>
            </w:r>
            <w:proofErr w:type="spellStart"/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прединвестиционни</w:t>
            </w:r>
            <w:proofErr w:type="spellEnd"/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 проучвания и проектни разработки от инвестиционното проектиране за обектите за напояване от хидромелиоративната инфраструктура;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подпомага министъра при упражняване на функциите му на надзорен орган съгласно Закона за сдружения за напояване (ЗСН); 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11.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създава и поддържа регистър на сдруженията за напояване по ЗСН;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12.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дава становища по придобиването и отнемането от сдруженията за напояване на правото на ползване върху обектите от хидромелиоративната инфраструктура и обслужващата техника на територията на сдружението, включена в имуществото на еднолични търговски дружества с държавно имущество;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13.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извършва дейности при осъществяване на концесионната политика в областта на земеделието;</w:t>
            </w:r>
          </w:p>
          <w:p w:rsidR="00BB794F" w:rsidRPr="00BB794F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14.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поддържа досиета на язовирите, предоставени за управление на  министерството по чл.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13, ал. 1, т. 1 от ЗВ.“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BB794F" w:rsidRPr="00991236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15.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контролира извършването на охраната на комплексните и значими язовири – публична държавна собственост на министерството.</w:t>
            </w:r>
          </w:p>
          <w:p w:rsidR="00991236" w:rsidRPr="00991236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16.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предлага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хидромелиоративни обекти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включване в инвестиционната програма на министерството за проектиране, изгра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ждане, ремонт и реконструкция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991236" w:rsidRPr="00991236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17.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изпълнява дейности по Правилника за организацията и дейността на Междуведомствената комисия за възстановяване и подпомагане към МС;</w:t>
            </w:r>
          </w:p>
          <w:p w:rsidR="00991236" w:rsidRPr="00991236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18.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организира и контролира упражняването на инвеститорски контрол и строителен надзор върху обектите на министерството, включително върху финансираните от Междуведомствената комисия за възстановяване и подпомагане към МС обекти на министерството;</w:t>
            </w:r>
          </w:p>
          <w:p w:rsidR="00991236" w:rsidRPr="00991236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19.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поддържа база данни на обектите за предпазване от вредното въздействие на водите – публична държавна собственост;</w:t>
            </w:r>
          </w:p>
          <w:p w:rsidR="00991236" w:rsidRPr="00991236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20.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организира извършването на технико-икономически оценки за състоянието и използваемостта и участва при разработването на инвестиционни проекти и програми за развитие на хидромелиоративния фонд и при разглеждането им в експертния технико-икономически съвет; </w:t>
            </w:r>
          </w:p>
          <w:p w:rsidR="00991236" w:rsidRPr="00991236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21.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организира провеждането на технико-икономически съвет за разглеждане, приемане и одобряване на предварителни (</w:t>
            </w:r>
            <w:proofErr w:type="spellStart"/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прединвестиционни</w:t>
            </w:r>
            <w:proofErr w:type="spellEnd"/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 проучвания и проектни разработки от инвестиционното проектиране за обектите от хидромелиоративната инфраструктура;</w:t>
            </w:r>
          </w:p>
          <w:p w:rsidR="00991236" w:rsidRPr="00991236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22.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предлага за включване в бюджетната прогноза на министерството средствата съгласно чл. 10, ал. 1 от Методиката за определяне размера на несправедливата финансова тежест въз основа на нетните разходи, п</w:t>
            </w:r>
            <w:r w:rsidR="006D2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онесени от търговско дружество „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Напоителни системи</w:t>
            </w:r>
            <w:r w:rsidR="006D2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“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ЕАД, на което със закон е възложено задължението за извършване на обществена услуга за защита от вредното въздействие на водите на територията на цялата страна, приета с Постановление № 364 на Министерския съвет от 2014 г. (ДВ, бр. 94 от 2014 г.);</w:t>
            </w:r>
          </w:p>
          <w:p w:rsidR="006D2956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23.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изпълнява дейностите по чл. 13, ал. 3 от Методиката за определяне размера на несправедливата финансова тежест въз основа на нетните разходи, понесени от тъ</w:t>
            </w:r>
            <w:r w:rsidR="006D2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рговско дружество „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Напоителни системи</w:t>
            </w:r>
            <w:r w:rsidR="006D2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ЕАД, на което със закон е възложено задължението за извършване на обществена услуга за защита от вредното въздействие на водите на територията на цялата страна;</w:t>
            </w:r>
          </w:p>
          <w:p w:rsidR="006D2956" w:rsidRDefault="00BB794F" w:rsidP="00EB622B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24.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събира и предоставя информация на комисията, определена със заповед на министъра, която съгласно изискванията на § 4б, ал. 1 и 2 от преходните и заключителните разпоредби на Закона за водите приема ежегодно отчет за направените разходи при извършване на обществена услуга за защита от вредното въздействие н</w:t>
            </w:r>
            <w:r w:rsidR="006D2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водите от „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Напоителни системи</w:t>
            </w:r>
            <w:r w:rsidR="006D2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ЕАД;</w:t>
            </w:r>
          </w:p>
          <w:p w:rsidR="00991236" w:rsidRPr="00991236" w:rsidRDefault="00BB794F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25. </w:t>
            </w:r>
            <w:r w:rsidR="00991236" w:rsidRPr="00991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съдейства при издаване на актове за собственост на обектите за предпазване от вредното въздействие на водите и на комплексните и значими язовири – публична държавна собственост на министерството.</w:t>
            </w:r>
          </w:p>
          <w:p w:rsidR="00227323" w:rsidRPr="00991236" w:rsidRDefault="00227323" w:rsidP="006D2956">
            <w:pPr>
              <w:shd w:val="clear" w:color="auto" w:fill="FFFFFF"/>
              <w:tabs>
                <w:tab w:val="left" w:pos="993"/>
              </w:tabs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89220E" w:rsidRPr="00C10D09" w:rsidRDefault="00FB5ED6" w:rsidP="006D2956">
            <w:pPr>
              <w:widowControl w:val="0"/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6A19D9" w:rsidRDefault="006A19D9" w:rsidP="006D2956">
            <w:pPr>
              <w:widowControl w:val="0"/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приемането на постановлението ще се осигури</w:t>
            </w:r>
            <w:r w:rsidR="00303E07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изпълнение на Решен</w:t>
            </w:r>
            <w:r w:rsid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ието на Народното събрание от 06.06.2023</w:t>
            </w:r>
            <w:r w:rsidR="00303E07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г.,</w:t>
            </w: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промяна в наименованието на </w:t>
            </w:r>
            <w:r w:rsidR="00303E07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министерството и длъжността на министъра и</w:t>
            </w: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подобряване организацията на работа</w:t>
            </w:r>
            <w:r w:rsidR="00A511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 в областта на хидромелиорациите.</w:t>
            </w:r>
            <w:r w:rsidR="00303E07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BB794F" w:rsidRPr="00C10D09" w:rsidRDefault="00BB794F" w:rsidP="006D2956">
            <w:pPr>
              <w:widowControl w:val="0"/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ът от дейности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който ще организира новата дирекция „Хидромелиорации“ ще подобри и развие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системите за напояване и отводняване на земеделските земи във връзка с адаптирането на земеделието към климатичните промени. Предвижданата реконструкция и модернизация на хидромелиоративната инфраструктура се очаква да подобри използването на водните ресурси посредством въвеждане на нови технологии, реално да намали загубите и потреблението на вода в селското стопанство, да доведе до нарастване на поливните площи и до подобряване на ефективността на поливните процеси, да допринесе за опазване на земеделските земи от вредното въздействие на водите и предотвратяване на риска от бедствия.</w:t>
            </w:r>
          </w:p>
          <w:p w:rsidR="00E44DE0" w:rsidRPr="00C10D09" w:rsidRDefault="00E44DE0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CC6C60" w:rsidRPr="00C10D09" w:rsidRDefault="0033763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5F3B14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отрицателни въздействия.</w:t>
            </w:r>
          </w:p>
          <w:p w:rsidR="00E44DE0" w:rsidRPr="00C10D09" w:rsidRDefault="00E44DE0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Специфични въздействия:</w:t>
            </w:r>
          </w:p>
          <w:p w:rsidR="00E44DE0" w:rsidRPr="00C10D09" w:rsidRDefault="00E44DE0" w:rsidP="006D2956">
            <w:pPr>
              <w:spacing w:before="120" w:after="0" w:line="34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5F30CE" w:rsidRPr="00C10D09" w:rsidRDefault="003821B0" w:rsidP="006D2956">
            <w:pPr>
              <w:spacing w:after="0" w:line="34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въздействие върху малки и средни предприятия</w:t>
            </w:r>
          </w:p>
          <w:p w:rsidR="00E44DE0" w:rsidRPr="00C10D09" w:rsidRDefault="00E44DE0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:rsidR="00F30AAC" w:rsidRDefault="0033763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идентифицирана административна тежест.</w:t>
            </w:r>
          </w:p>
          <w:p w:rsidR="00EB622B" w:rsidRPr="006D2956" w:rsidRDefault="00EB622B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0184F" w:rsidRPr="00C10D09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24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CC6C60" w:rsidRDefault="00064387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A67DB5" w:rsidRPr="00C10D09" w:rsidRDefault="00A67DB5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2280"/>
              <w:gridCol w:w="1973"/>
              <w:gridCol w:w="2126"/>
            </w:tblGrid>
            <w:tr w:rsidR="00A67DB5" w:rsidRPr="00C10D09" w:rsidTr="001B7978">
              <w:trPr>
                <w:trHeight w:val="517"/>
                <w:jc w:val="center"/>
              </w:trPr>
              <w:tc>
                <w:tcPr>
                  <w:tcW w:w="31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A67DB5" w:rsidRPr="00C10D09" w:rsidRDefault="00A67DB5" w:rsidP="006D2956">
                  <w:pPr>
                    <w:spacing w:after="0" w:line="348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7DB5" w:rsidRPr="00C10D09" w:rsidRDefault="00A67DB5" w:rsidP="006D2956">
                  <w:pPr>
                    <w:spacing w:after="0" w:line="348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1</w:t>
                  </w:r>
                </w:p>
                <w:p w:rsidR="00A67DB5" w:rsidRPr="00C10D09" w:rsidRDefault="00A67DB5" w:rsidP="006D2956">
                  <w:pPr>
                    <w:spacing w:after="0" w:line="348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7DB5" w:rsidRPr="00C10D09" w:rsidRDefault="00A67DB5" w:rsidP="006D2956">
                  <w:pPr>
                    <w:spacing w:after="0" w:line="348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2</w:t>
                  </w:r>
                </w:p>
              </w:tc>
            </w:tr>
            <w:tr w:rsidR="00A67DB5" w:rsidRPr="00C10D09" w:rsidTr="001B7978">
              <w:trPr>
                <w:trHeight w:val="851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48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Ефективност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spacing w:after="0" w:line="348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Висока </w:t>
                  </w:r>
                </w:p>
              </w:tc>
            </w:tr>
            <w:tr w:rsidR="00A67DB5" w:rsidRPr="00C10D09" w:rsidTr="001B7978">
              <w:trPr>
                <w:trHeight w:val="851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48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spacing w:after="0" w:line="348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Цел 2: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Висока </w:t>
                  </w:r>
                </w:p>
              </w:tc>
            </w:tr>
            <w:tr w:rsidR="00A67DB5" w:rsidRPr="00C10D09" w:rsidTr="001B7978">
              <w:trPr>
                <w:trHeight w:val="851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48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Ефикасност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spacing w:after="0" w:line="348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Висока </w:t>
                  </w:r>
                </w:p>
              </w:tc>
            </w:tr>
            <w:tr w:rsidR="00A67DB5" w:rsidRPr="00C10D09" w:rsidTr="001B7978">
              <w:trPr>
                <w:trHeight w:val="851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48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spacing w:after="0" w:line="348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>Цел 2: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A67DB5" w:rsidRPr="00C10D09" w:rsidTr="001B7978">
              <w:trPr>
                <w:trHeight w:val="851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48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spacing w:after="0" w:line="348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A67DB5" w:rsidRPr="00C10D09" w:rsidTr="001B7978">
              <w:trPr>
                <w:trHeight w:val="851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48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spacing w:after="0" w:line="348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Цел 2: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C10D09" w:rsidRDefault="00A67DB5" w:rsidP="006D295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48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10D09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</w:tbl>
          <w:p w:rsidR="004F39D7" w:rsidRPr="00C10D09" w:rsidRDefault="004F39D7" w:rsidP="006D2956">
            <w:pPr>
              <w:spacing w:before="60" w:after="80" w:line="348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  <w:p w:rsidR="001A566B" w:rsidRPr="00C10D09" w:rsidRDefault="001A566B" w:rsidP="006D2956">
            <w:pPr>
              <w:spacing w:before="60" w:after="80" w:line="348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10184F" w:rsidRPr="00227323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:rsidR="00C4558F" w:rsidRPr="00C10D09" w:rsidRDefault="0036713B" w:rsidP="00775835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A95597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076E63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6A19D9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„Приемане на Постановление</w:t>
            </w:r>
            <w:r w:rsidR="006A19D9" w:rsidRPr="00C10D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  <w:t xml:space="preserve"> </w:t>
            </w:r>
            <w:r w:rsidR="00180626" w:rsidRPr="00CD0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Министерския съвет </w:t>
            </w:r>
            <w:r w:rsidR="008D0EAD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 </w:t>
            </w:r>
            <w:r w:rsidR="00227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изменение и допълнение на</w:t>
            </w:r>
            <w:r w:rsidR="0077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нормативни актове на Министерския съвет</w:t>
            </w:r>
            <w:r w:rsidR="008D0EAD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BB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</w:tr>
      <w:tr w:rsidR="0010184F" w:rsidRPr="00C10D09" w:rsidTr="0014689E">
        <w:tc>
          <w:tcPr>
            <w:tcW w:w="9616" w:type="dxa"/>
            <w:gridSpan w:val="2"/>
          </w:tcPr>
          <w:p w:rsidR="00337636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C10D09" w:rsidRDefault="006C27D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4" type="#_x0000_t75" style="width:108pt;height:18pt" o:ole="">
                  <v:imagedata r:id="rId14" o:title=""/>
                </v:shape>
                <w:control r:id="rId15" w:name="OptionButton3" w:shapeid="_x0000_i1064"/>
              </w:object>
            </w:r>
          </w:p>
          <w:p w:rsidR="00076E63" w:rsidRPr="00C10D09" w:rsidRDefault="006C27D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6" type="#_x0000_t75" style="width:108pt;height:18pt" o:ole="">
                  <v:imagedata r:id="rId16" o:title=""/>
                </v:shape>
                <w:control r:id="rId17" w:name="OptionButton4" w:shapeid="_x0000_i1066"/>
              </w:object>
            </w:r>
          </w:p>
          <w:p w:rsidR="00303E07" w:rsidRPr="00C10D09" w:rsidRDefault="006C27D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068" type="#_x0000_t75" style="width:108pt;height:18pt" o:ole="">
                  <v:imagedata r:id="rId18" o:title=""/>
                </v:shape>
                <w:control r:id="rId19" w:name="OptionButton5" w:shapeid="_x0000_i1068"/>
              </w:object>
            </w:r>
          </w:p>
        </w:tc>
      </w:tr>
      <w:tr w:rsidR="0010184F" w:rsidRPr="00142F97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6.2. Създават ли се нови/засягат ли се съществуващи </w:t>
            </w:r>
            <w:r w:rsidR="00B722F7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C10D09" w:rsidRDefault="006C27D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0" type="#_x0000_t75" style="width:108pt;height:18pt" o:ole="">
                  <v:imagedata r:id="rId20" o:title=""/>
                </v:shape>
                <w:control r:id="rId21" w:name="OptionButton16" w:shapeid="_x0000_i1070"/>
              </w:object>
            </w:r>
          </w:p>
          <w:p w:rsidR="00337636" w:rsidRPr="00C10D09" w:rsidRDefault="006C27D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2" type="#_x0000_t75" style="width:108pt;height:18pt" o:ole="">
                  <v:imagedata r:id="rId22" o:title=""/>
                </v:shape>
                <w:control r:id="rId23" w:name="OptionButton17" w:shapeid="_x0000_i1072"/>
              </w:object>
            </w:r>
          </w:p>
          <w:p w:rsidR="00303E07" w:rsidRPr="00C10D09" w:rsidRDefault="00303E07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62427C" w:rsidRPr="00EC326C" w:rsidRDefault="00EC326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1.1. </w:t>
            </w:r>
            <w:r w:rsidR="00C4558F" w:rsidRPr="00EC326C">
              <w:rPr>
                <w:rFonts w:ascii="Times New Roman" w:eastAsia="Times New Roman" w:hAnsi="Times New Roman" w:cs="Times New Roman"/>
                <w:i/>
                <w:lang w:val="bg-BG"/>
              </w:rPr>
              <w:t>Изборът следва да</w:t>
            </w:r>
            <w:r w:rsidR="00303E07" w:rsidRPr="00EC326C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</w:t>
            </w:r>
            <w:r w:rsidR="0062427C" w:rsidRPr="00EC326C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е </w:t>
            </w:r>
            <w:proofErr w:type="spellStart"/>
            <w:r w:rsidR="0062427C" w:rsidRPr="00EC326C">
              <w:rPr>
                <w:rFonts w:ascii="Times New Roman" w:eastAsia="Times New Roman" w:hAnsi="Times New Roman" w:cs="Times New Roman"/>
                <w:i/>
                <w:lang w:val="bg-BG"/>
              </w:rPr>
              <w:t>съотносим</w:t>
            </w:r>
            <w:proofErr w:type="spellEnd"/>
            <w:r w:rsidR="0062427C" w:rsidRPr="00EC326C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с посочените специфични въздействия на избрания вариант.</w:t>
            </w:r>
          </w:p>
          <w:p w:rsidR="00EC326C" w:rsidRPr="00EC326C" w:rsidRDefault="00EC326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62427C" w:rsidRPr="00C10D09" w:rsidRDefault="0062427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1.2. В случай че се предвижда създаване нов регулаторен режим, посочете неговия вид (за стопанска дейност: лицензионен, </w:t>
            </w:r>
            <w:r w:rsidRPr="00C10D09">
              <w:rPr>
                <w:rFonts w:ascii="Times New Roman" w:eastAsia="Times New Roman" w:hAnsi="Times New Roman" w:cs="Times New Roman"/>
                <w:lang w:val="bg-BG"/>
              </w:rPr>
              <w:t>регистрационен</w:t>
            </w:r>
            <w:r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>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62427C" w:rsidRPr="00C10D09" w:rsidRDefault="0062427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</w:t>
            </w:r>
            <w:r w:rsidR="00FA2BAE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нов</w:t>
            </w:r>
            <w:r w:rsidR="00FA2BAE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регулаторни</w:t>
            </w: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режим</w:t>
            </w:r>
            <w:r w:rsidR="00FA2BAE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03E07" w:rsidRPr="00C10D09" w:rsidRDefault="00303E07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62427C" w:rsidRDefault="0062427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EC326C" w:rsidRPr="00C10D09" w:rsidRDefault="00EC326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62427C" w:rsidRDefault="0062427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F566FD" w:rsidRPr="00C10D09" w:rsidRDefault="00F566FD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62427C" w:rsidRPr="00C10D09" w:rsidRDefault="0062427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62427C" w:rsidRPr="00C10D09" w:rsidRDefault="0062427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</w:t>
            </w:r>
            <w:r w:rsidR="006A19D9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</w:t>
            </w:r>
            <w:r w:rsidR="00FA2BAE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AE35A7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се налага да бъде </w:t>
            </w:r>
            <w:proofErr w:type="spellStart"/>
            <w:r w:rsidR="00AE35A7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</w:t>
            </w:r>
            <w:proofErr w:type="spellEnd"/>
            <w:r w:rsidR="00BD13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реда на</w:t>
            </w:r>
            <w:r w:rsidR="00227323" w:rsidRPr="00227323">
              <w:rPr>
                <w:lang w:val="bg-BG"/>
              </w:rPr>
              <w:t xml:space="preserve"> </w:t>
            </w:r>
            <w:r w:rsidR="00227323" w:rsidRP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Директива (ЕС) 2015/1535 на Европейския парламент и на Съвета от 9 септември 2015 година</w:t>
            </w:r>
            <w:r w:rsidR="006D2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227323" w:rsidRPr="002273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установяваща процедура за предоставянето на информация в сферата на техническите регламенти и правила относно услугите на информационното общество</w:t>
            </w:r>
            <w:r w:rsidR="00BD13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03E07" w:rsidRPr="00C10D09" w:rsidRDefault="00303E07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</w:p>
          <w:p w:rsidR="0062427C" w:rsidRPr="00C10D09" w:rsidRDefault="0062427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C4558F" w:rsidRPr="00C10D09" w:rsidRDefault="0062427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изменят регулаторни режими или административни услуги.</w:t>
            </w:r>
          </w:p>
          <w:p w:rsidR="00303E07" w:rsidRPr="00C10D09" w:rsidRDefault="00303E07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0184F" w:rsidRPr="00C10D09" w:rsidTr="0014689E">
        <w:tc>
          <w:tcPr>
            <w:tcW w:w="9616" w:type="dxa"/>
            <w:gridSpan w:val="2"/>
          </w:tcPr>
          <w:p w:rsidR="00337636" w:rsidRPr="00C10D09" w:rsidRDefault="00076E63" w:rsidP="006D2956">
            <w:pPr>
              <w:spacing w:before="120" w:after="0" w:line="34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C10D09" w:rsidRDefault="006C27D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074" type="#_x0000_t75" style="width:108pt;height:18pt" o:ole="">
                  <v:imagedata r:id="rId20" o:title=""/>
                </v:shape>
                <w:control r:id="rId24" w:name="OptionButton18" w:shapeid="_x0000_i1074"/>
              </w:object>
            </w:r>
          </w:p>
          <w:p w:rsidR="0099051D" w:rsidRPr="00C10D09" w:rsidRDefault="006C27D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6" type="#_x0000_t75" style="width:108pt;height:18pt" o:ole="">
                  <v:imagedata r:id="rId22" o:title=""/>
                </v:shape>
                <w:control r:id="rId25" w:name="OptionButton19" w:shapeid="_x0000_i1076"/>
              </w:object>
            </w:r>
          </w:p>
        </w:tc>
      </w:tr>
      <w:tr w:rsidR="0010184F" w:rsidRPr="00C10D09" w:rsidTr="0014689E">
        <w:tc>
          <w:tcPr>
            <w:tcW w:w="9616" w:type="dxa"/>
            <w:gridSpan w:val="2"/>
          </w:tcPr>
          <w:p w:rsidR="00337636" w:rsidRPr="00C10D09" w:rsidRDefault="00076E63" w:rsidP="006D2956">
            <w:pPr>
              <w:spacing w:before="120" w:after="0" w:line="34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6.4. По какъв начин </w:t>
            </w:r>
            <w:r w:rsidR="00FF7077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="00064CC7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(МСП)(включително по отделните проблеми)?</w:t>
            </w:r>
          </w:p>
          <w:p w:rsidR="00076E63" w:rsidRPr="00C10D09" w:rsidRDefault="006C27D6" w:rsidP="006D2956">
            <w:pPr>
              <w:spacing w:after="0" w:line="348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>
                <v:shape id="_x0000_i1078" type="#_x0000_t75" style="width:259.7pt;height:18pt" o:ole="">
                  <v:imagedata r:id="rId26" o:title=""/>
                </v:shape>
                <w:control r:id="rId27" w:name="OptionButton6" w:shapeid="_x0000_i1078"/>
              </w:object>
            </w:r>
          </w:p>
          <w:p w:rsidR="00880220" w:rsidRPr="00C10D09" w:rsidRDefault="006C27D6" w:rsidP="006D2956">
            <w:pPr>
              <w:spacing w:after="0" w:line="348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10D09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>
                <v:shape id="_x0000_i1080" type="#_x0000_t75" style="width:161.15pt;height:18pt" o:ole="">
                  <v:imagedata r:id="rId28" o:title=""/>
                </v:shape>
                <w:control r:id="rId29" w:name="OptionButton7" w:shapeid="_x0000_i1080"/>
              </w:object>
            </w:r>
          </w:p>
        </w:tc>
      </w:tr>
      <w:tr w:rsidR="0010184F" w:rsidRPr="00C10D09" w:rsidTr="0014689E">
        <w:tc>
          <w:tcPr>
            <w:tcW w:w="9616" w:type="dxa"/>
            <w:gridSpan w:val="2"/>
          </w:tcPr>
          <w:p w:rsidR="00337636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EC326C" w:rsidRDefault="00024C1A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337636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880220" w:rsidRPr="00C10D09" w:rsidRDefault="00880220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0184F" w:rsidRPr="00142F97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120" w:after="0" w:line="34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99051D" w:rsidRPr="00C10D09" w:rsidRDefault="006C27D6" w:rsidP="00775835">
            <w:pPr>
              <w:spacing w:after="12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2" type="#_x0000_t75" style="width:498.85pt;height:18pt" o:ole="">
                  <v:imagedata r:id="rId30" o:title=""/>
                </v:shape>
                <w:control r:id="rId31" w:name="OptionButton13" w:shapeid="_x0000_i1082"/>
              </w:object>
            </w:r>
            <w:r w:rsidRPr="00C10D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084" type="#_x0000_t75" style="width:502.3pt;height:18pt" o:ole="">
                  <v:imagedata r:id="rId32" o:title=""/>
                </v:shape>
                <w:control r:id="rId33" w:name="OptionButton15" w:shapeid="_x0000_i1084"/>
              </w:object>
            </w:r>
            <w:r w:rsidR="006A19D9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Постановление </w:t>
            </w:r>
            <w:r w:rsidR="00180626" w:rsidRPr="00CD052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Министерския съвет </w:t>
            </w:r>
            <w:r w:rsidR="006A19D9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="00BD13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изменение и допълнение на</w:t>
            </w:r>
            <w:r w:rsidR="008D0EAD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758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нормативни актове на Министерския съвет ще бъде </w:t>
            </w:r>
            <w:r w:rsidR="00D82CFB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публикуван на интернет страницата на Министерство</w:t>
            </w:r>
            <w:r w:rsidR="006D2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D82CFB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земеделието</w:t>
            </w:r>
            <w:r w:rsidR="00BD13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  <w:r w:rsidR="00D82CFB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 Портала за обществен</w:t>
            </w:r>
            <w:r w:rsidR="002F55A4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консултац</w:t>
            </w:r>
            <w:r w:rsidR="00A54B18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ии за срок от </w:t>
            </w:r>
            <w:r w:rsidR="0099051D" w:rsidRPr="00064A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</w:t>
            </w:r>
            <w:r w:rsidR="004C200D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F55A4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дни</w:t>
            </w:r>
            <w:r w:rsidR="0099051D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E1025B" w:rsidRPr="00064A31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10184F" w:rsidRPr="00C10D09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C10D09" w:rsidRDefault="006C27D6" w:rsidP="006D2956">
            <w:pPr>
              <w:spacing w:after="0" w:line="348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>
                <v:shape id="_x0000_i1086" type="#_x0000_t75" style="width:108pt;height:18pt" o:ole="">
                  <v:imagedata r:id="rId20" o:title=""/>
                </v:shape>
                <w:control r:id="rId34" w:name="OptionButton9" w:shapeid="_x0000_i1086"/>
              </w:object>
            </w:r>
          </w:p>
          <w:p w:rsidR="00692518" w:rsidRPr="00C10D09" w:rsidRDefault="006C27D6" w:rsidP="006D2956">
            <w:pPr>
              <w:spacing w:after="0" w:line="348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10D09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>
                <v:shape id="_x0000_i1088" type="#_x0000_t75" style="width:108pt;height:18pt" o:ole="">
                  <v:imagedata r:id="rId22" o:title=""/>
                </v:shape>
                <w:control r:id="rId35" w:name="OptionButton10" w:shapeid="_x0000_i1088"/>
              </w:object>
            </w:r>
          </w:p>
        </w:tc>
      </w:tr>
      <w:tr w:rsidR="0010184F" w:rsidRPr="00C10D09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C10D09" w:rsidRDefault="006C27D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90" type="#_x0000_t75" style="width:108pt;height:18pt" o:ole="">
                  <v:imagedata r:id="rId20" o:title=""/>
                </v:shape>
                <w:control r:id="rId36" w:name="OptionButton20" w:shapeid="_x0000_i1090"/>
              </w:object>
            </w:r>
          </w:p>
          <w:p w:rsidR="00B25608" w:rsidRDefault="006C27D6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92" type="#_x0000_t75" style="width:108pt;height:18pt" o:ole="">
                  <v:imagedata r:id="rId22" o:title=""/>
                </v:shape>
                <w:control r:id="rId37" w:name="OptionButton21" w:shapeid="_x0000_i1092"/>
              </w:object>
            </w:r>
          </w:p>
          <w:p w:rsidR="00EB622B" w:rsidRPr="00C10D09" w:rsidRDefault="00EB622B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E1A4B" w:rsidRPr="00C10D09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60777E" w:rsidRPr="00C10D09" w:rsidRDefault="00BB794F" w:rsidP="006D2956">
            <w:pPr>
              <w:spacing w:after="0" w:line="34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Списък с подзаконовите нормативни актове, приети от Министерския съвет, в които</w:t>
            </w:r>
            <w:r>
              <w:t xml:space="preserve"> 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думите „Министерство на земеделието, храните и горите“ или „Министерство на земеделието“ ще се заменят с „Министерство на земеделието и храните“, а „министъра на земеделието, храните и горите“ и „министъра на земеделието“ ще се заменят с „министъра на земеделието</w:t>
            </w:r>
            <w:r w:rsidR="006D2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D2956" w:rsidRPr="00CC23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храните</w:t>
            </w:r>
            <w:r w:rsidRPr="00BB79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“.</w:t>
            </w:r>
          </w:p>
        </w:tc>
      </w:tr>
      <w:tr w:rsidR="00BE1A4B" w:rsidRPr="00C10D09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60777E" w:rsidRPr="00C10D09" w:rsidRDefault="00187838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076E63" w:rsidRPr="00C10D09" w:rsidTr="0014689E">
        <w:tc>
          <w:tcPr>
            <w:tcW w:w="9616" w:type="dxa"/>
            <w:gridSpan w:val="2"/>
          </w:tcPr>
          <w:p w:rsidR="00076E63" w:rsidRPr="00C10D09" w:rsidRDefault="00076E63" w:rsidP="006D2956">
            <w:pPr>
              <w:spacing w:before="120"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5F30CE" w:rsidRDefault="005F5068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 и длъжност:</w:t>
            </w:r>
            <w:r w:rsidR="00730732" w:rsidRPr="00C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CD052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Десислава Петрова</w:t>
            </w:r>
            <w:r w:rsidR="00FA2BAE" w:rsidRPr="00C10D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FA2BAE" w:rsidRPr="00C10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 директор на дирекция „Правни дейности и законодателство на Европейския съюз“</w:t>
            </w:r>
          </w:p>
          <w:p w:rsidR="00BD139E" w:rsidRPr="00BD139E" w:rsidRDefault="00DE6C05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Дата: 04</w:t>
            </w:r>
            <w:r w:rsidR="0077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.12</w:t>
            </w:r>
            <w:r w:rsidR="00BD139E" w:rsidRPr="00BD1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.2023 г.</w:t>
            </w:r>
          </w:p>
          <w:p w:rsidR="00BD139E" w:rsidRPr="00BD139E" w:rsidRDefault="00BD139E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D1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</w:p>
          <w:p w:rsidR="00BD139E" w:rsidRPr="00C10D09" w:rsidRDefault="00BD139E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A41A54" w:rsidRDefault="004400A2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pict>
                <v:shape id="_x0000_i1059" type="#_x0000_t75" alt="Microsoft Office Signature Line..." style="width:192pt;height:96.85pt">
                  <v:imagedata r:id="rId38" o:title=""/>
                  <o:lock v:ext="edit" ungrouping="t" rotation="t" cropping="t" verticies="t" text="t" grouping="t"/>
                  <o:signatureline v:ext="edit" id="{67F1F82F-80DB-4EC7-ADC5-CBD07271568F}" provid="{00000000-0000-0000-0000-000000000000}" o:suggestedsigner="Десислава Петрова" o:suggestedsigner2="Директор на дирекция ПДЗЕС" issignatureline="t"/>
                </v:shape>
              </w:pict>
            </w:r>
            <w:bookmarkEnd w:id="0"/>
            <w:r w:rsidR="00BD1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30AAC" w:rsidRPr="00C10D09" w:rsidRDefault="00F30AAC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EA4592" w:rsidRPr="00C10D09" w:rsidRDefault="00EA4592" w:rsidP="006D2956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E16D01" w:rsidRDefault="00E16D01" w:rsidP="006D2956">
      <w:pPr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EB622B" w:rsidRDefault="00EB622B" w:rsidP="006D2956">
      <w:pPr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EB622B" w:rsidRPr="00C10D09" w:rsidRDefault="00EB622B" w:rsidP="006D2956">
      <w:pPr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sectPr w:rsidR="00EB622B" w:rsidRPr="00C10D09" w:rsidSect="009E69A9">
      <w:headerReference w:type="even" r:id="rId39"/>
      <w:footerReference w:type="default" r:id="rId40"/>
      <w:pgSz w:w="11906" w:h="16838" w:code="9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8A" w:rsidRDefault="0081048A">
      <w:pPr>
        <w:spacing w:after="0" w:line="240" w:lineRule="auto"/>
      </w:pPr>
      <w:r>
        <w:separator/>
      </w:r>
    </w:p>
  </w:endnote>
  <w:endnote w:type="continuationSeparator" w:id="0">
    <w:p w:rsidR="0081048A" w:rsidRDefault="0081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8A" w:rsidRPr="0014689E" w:rsidRDefault="006C27D6" w:rsidP="0014689E">
    <w:pPr>
      <w:pStyle w:val="Footer"/>
      <w:jc w:val="right"/>
      <w:rPr>
        <w:rFonts w:ascii="Times New Roman" w:hAnsi="Times New Roman"/>
        <w:sz w:val="20"/>
        <w:szCs w:val="20"/>
      </w:rPr>
    </w:pPr>
    <w:r w:rsidRPr="0014689E">
      <w:rPr>
        <w:rFonts w:ascii="Times New Roman" w:hAnsi="Times New Roman"/>
        <w:sz w:val="20"/>
        <w:szCs w:val="20"/>
      </w:rPr>
      <w:fldChar w:fldCharType="begin"/>
    </w:r>
    <w:r w:rsidR="0081048A" w:rsidRPr="0014689E">
      <w:rPr>
        <w:rFonts w:ascii="Times New Roman" w:hAnsi="Times New Roman"/>
        <w:sz w:val="20"/>
        <w:szCs w:val="20"/>
      </w:rPr>
      <w:instrText xml:space="preserve"> PAGE   \* MERGEFORMAT </w:instrText>
    </w:r>
    <w:r w:rsidRPr="0014689E">
      <w:rPr>
        <w:rFonts w:ascii="Times New Roman" w:hAnsi="Times New Roman"/>
        <w:sz w:val="20"/>
        <w:szCs w:val="20"/>
      </w:rPr>
      <w:fldChar w:fldCharType="separate"/>
    </w:r>
    <w:r w:rsidR="00DE6C05">
      <w:rPr>
        <w:rFonts w:ascii="Times New Roman" w:hAnsi="Times New Roman"/>
        <w:noProof/>
        <w:sz w:val="20"/>
        <w:szCs w:val="20"/>
      </w:rPr>
      <w:t>14</w:t>
    </w:r>
    <w:r w:rsidRPr="0014689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8A" w:rsidRDefault="0081048A">
      <w:pPr>
        <w:spacing w:after="0" w:line="240" w:lineRule="auto"/>
      </w:pPr>
      <w:r>
        <w:separator/>
      </w:r>
    </w:p>
  </w:footnote>
  <w:footnote w:type="continuationSeparator" w:id="0">
    <w:p w:rsidR="0081048A" w:rsidRDefault="0081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8A" w:rsidRDefault="006C27D6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04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48A">
      <w:rPr>
        <w:rStyle w:val="PageNumber"/>
        <w:noProof/>
      </w:rPr>
      <w:t>9</w:t>
    </w:r>
    <w:r>
      <w:rPr>
        <w:rStyle w:val="PageNumber"/>
      </w:rPr>
      <w:fldChar w:fldCharType="end"/>
    </w:r>
  </w:p>
  <w:p w:rsidR="0081048A" w:rsidRDefault="00810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66D"/>
    <w:multiLevelType w:val="hybridMultilevel"/>
    <w:tmpl w:val="3246F07C"/>
    <w:lvl w:ilvl="0" w:tplc="B43035B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4" w:hanging="360"/>
      </w:pPr>
    </w:lvl>
    <w:lvl w:ilvl="2" w:tplc="0402001B" w:tentative="1">
      <w:start w:val="1"/>
      <w:numFmt w:val="lowerRoman"/>
      <w:lvlText w:val="%3."/>
      <w:lvlJc w:val="right"/>
      <w:pPr>
        <w:ind w:left="2254" w:hanging="180"/>
      </w:pPr>
    </w:lvl>
    <w:lvl w:ilvl="3" w:tplc="0402000F" w:tentative="1">
      <w:start w:val="1"/>
      <w:numFmt w:val="decimal"/>
      <w:lvlText w:val="%4."/>
      <w:lvlJc w:val="left"/>
      <w:pPr>
        <w:ind w:left="2974" w:hanging="360"/>
      </w:pPr>
    </w:lvl>
    <w:lvl w:ilvl="4" w:tplc="04020019" w:tentative="1">
      <w:start w:val="1"/>
      <w:numFmt w:val="lowerLetter"/>
      <w:lvlText w:val="%5."/>
      <w:lvlJc w:val="left"/>
      <w:pPr>
        <w:ind w:left="3694" w:hanging="360"/>
      </w:pPr>
    </w:lvl>
    <w:lvl w:ilvl="5" w:tplc="0402001B" w:tentative="1">
      <w:start w:val="1"/>
      <w:numFmt w:val="lowerRoman"/>
      <w:lvlText w:val="%6."/>
      <w:lvlJc w:val="right"/>
      <w:pPr>
        <w:ind w:left="4414" w:hanging="180"/>
      </w:pPr>
    </w:lvl>
    <w:lvl w:ilvl="6" w:tplc="0402000F" w:tentative="1">
      <w:start w:val="1"/>
      <w:numFmt w:val="decimal"/>
      <w:lvlText w:val="%7."/>
      <w:lvlJc w:val="left"/>
      <w:pPr>
        <w:ind w:left="5134" w:hanging="360"/>
      </w:pPr>
    </w:lvl>
    <w:lvl w:ilvl="7" w:tplc="04020019" w:tentative="1">
      <w:start w:val="1"/>
      <w:numFmt w:val="lowerLetter"/>
      <w:lvlText w:val="%8."/>
      <w:lvlJc w:val="left"/>
      <w:pPr>
        <w:ind w:left="5854" w:hanging="360"/>
      </w:pPr>
    </w:lvl>
    <w:lvl w:ilvl="8" w:tplc="0402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18E4DCA"/>
    <w:multiLevelType w:val="hybridMultilevel"/>
    <w:tmpl w:val="D8361F30"/>
    <w:lvl w:ilvl="0" w:tplc="82125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3170"/>
    <w:multiLevelType w:val="multilevel"/>
    <w:tmpl w:val="89DE7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D5665"/>
    <w:multiLevelType w:val="multilevel"/>
    <w:tmpl w:val="5882FD0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8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15F9B"/>
    <w:multiLevelType w:val="hybridMultilevel"/>
    <w:tmpl w:val="359E5CB4"/>
    <w:lvl w:ilvl="0" w:tplc="0402000F">
      <w:start w:val="1"/>
      <w:numFmt w:val="decimal"/>
      <w:lvlText w:val="%1."/>
      <w:lvlJc w:val="left"/>
      <w:pPr>
        <w:ind w:left="1174" w:hanging="360"/>
      </w:pPr>
    </w:lvl>
    <w:lvl w:ilvl="1" w:tplc="04020019" w:tentative="1">
      <w:start w:val="1"/>
      <w:numFmt w:val="lowerLetter"/>
      <w:lvlText w:val="%2."/>
      <w:lvlJc w:val="left"/>
      <w:pPr>
        <w:ind w:left="1894" w:hanging="360"/>
      </w:pPr>
    </w:lvl>
    <w:lvl w:ilvl="2" w:tplc="0402001B" w:tentative="1">
      <w:start w:val="1"/>
      <w:numFmt w:val="lowerRoman"/>
      <w:lvlText w:val="%3."/>
      <w:lvlJc w:val="right"/>
      <w:pPr>
        <w:ind w:left="2614" w:hanging="180"/>
      </w:pPr>
    </w:lvl>
    <w:lvl w:ilvl="3" w:tplc="0402000F" w:tentative="1">
      <w:start w:val="1"/>
      <w:numFmt w:val="decimal"/>
      <w:lvlText w:val="%4."/>
      <w:lvlJc w:val="left"/>
      <w:pPr>
        <w:ind w:left="3334" w:hanging="360"/>
      </w:pPr>
    </w:lvl>
    <w:lvl w:ilvl="4" w:tplc="04020019" w:tentative="1">
      <w:start w:val="1"/>
      <w:numFmt w:val="lowerLetter"/>
      <w:lvlText w:val="%5."/>
      <w:lvlJc w:val="left"/>
      <w:pPr>
        <w:ind w:left="4054" w:hanging="360"/>
      </w:pPr>
    </w:lvl>
    <w:lvl w:ilvl="5" w:tplc="0402001B" w:tentative="1">
      <w:start w:val="1"/>
      <w:numFmt w:val="lowerRoman"/>
      <w:lvlText w:val="%6."/>
      <w:lvlJc w:val="right"/>
      <w:pPr>
        <w:ind w:left="4774" w:hanging="180"/>
      </w:pPr>
    </w:lvl>
    <w:lvl w:ilvl="6" w:tplc="0402000F" w:tentative="1">
      <w:start w:val="1"/>
      <w:numFmt w:val="decimal"/>
      <w:lvlText w:val="%7."/>
      <w:lvlJc w:val="left"/>
      <w:pPr>
        <w:ind w:left="5494" w:hanging="360"/>
      </w:pPr>
    </w:lvl>
    <w:lvl w:ilvl="7" w:tplc="04020019" w:tentative="1">
      <w:start w:val="1"/>
      <w:numFmt w:val="lowerLetter"/>
      <w:lvlText w:val="%8."/>
      <w:lvlJc w:val="left"/>
      <w:pPr>
        <w:ind w:left="6214" w:hanging="360"/>
      </w:pPr>
    </w:lvl>
    <w:lvl w:ilvl="8" w:tplc="040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3E2141E5"/>
    <w:multiLevelType w:val="hybridMultilevel"/>
    <w:tmpl w:val="5BB253BC"/>
    <w:lvl w:ilvl="0" w:tplc="CB2035F2">
      <w:numFmt w:val="bullet"/>
      <w:lvlText w:val="-"/>
      <w:lvlJc w:val="left"/>
      <w:pPr>
        <w:ind w:left="124" w:hanging="140"/>
      </w:pPr>
      <w:rPr>
        <w:rFonts w:ascii="Liberation Serif" w:eastAsia="Liberation Serif" w:hAnsi="Liberation Serif" w:cs="Liberation Serif" w:hint="default"/>
        <w:spacing w:val="-7"/>
        <w:w w:val="100"/>
        <w:sz w:val="24"/>
        <w:szCs w:val="24"/>
        <w:lang w:val="bg-BG" w:eastAsia="en-US" w:bidi="ar-SA"/>
      </w:rPr>
    </w:lvl>
    <w:lvl w:ilvl="1" w:tplc="EEF85B52">
      <w:numFmt w:val="bullet"/>
      <w:lvlText w:val="•"/>
      <w:lvlJc w:val="left"/>
      <w:pPr>
        <w:ind w:left="1030" w:hanging="140"/>
      </w:pPr>
      <w:rPr>
        <w:rFonts w:hint="default"/>
        <w:lang w:val="bg-BG" w:eastAsia="en-US" w:bidi="ar-SA"/>
      </w:rPr>
    </w:lvl>
    <w:lvl w:ilvl="2" w:tplc="DB8AFD92">
      <w:numFmt w:val="bullet"/>
      <w:lvlText w:val="•"/>
      <w:lvlJc w:val="left"/>
      <w:pPr>
        <w:ind w:left="1941" w:hanging="140"/>
      </w:pPr>
      <w:rPr>
        <w:rFonts w:hint="default"/>
        <w:lang w:val="bg-BG" w:eastAsia="en-US" w:bidi="ar-SA"/>
      </w:rPr>
    </w:lvl>
    <w:lvl w:ilvl="3" w:tplc="8738F234">
      <w:numFmt w:val="bullet"/>
      <w:lvlText w:val="•"/>
      <w:lvlJc w:val="left"/>
      <w:pPr>
        <w:ind w:left="2851" w:hanging="140"/>
      </w:pPr>
      <w:rPr>
        <w:rFonts w:hint="default"/>
        <w:lang w:val="bg-BG" w:eastAsia="en-US" w:bidi="ar-SA"/>
      </w:rPr>
    </w:lvl>
    <w:lvl w:ilvl="4" w:tplc="7ED8C4A6">
      <w:numFmt w:val="bullet"/>
      <w:lvlText w:val="•"/>
      <w:lvlJc w:val="left"/>
      <w:pPr>
        <w:ind w:left="3762" w:hanging="140"/>
      </w:pPr>
      <w:rPr>
        <w:rFonts w:hint="default"/>
        <w:lang w:val="bg-BG" w:eastAsia="en-US" w:bidi="ar-SA"/>
      </w:rPr>
    </w:lvl>
    <w:lvl w:ilvl="5" w:tplc="B518E7EA">
      <w:numFmt w:val="bullet"/>
      <w:lvlText w:val="•"/>
      <w:lvlJc w:val="left"/>
      <w:pPr>
        <w:ind w:left="4673" w:hanging="140"/>
      </w:pPr>
      <w:rPr>
        <w:rFonts w:hint="default"/>
        <w:lang w:val="bg-BG" w:eastAsia="en-US" w:bidi="ar-SA"/>
      </w:rPr>
    </w:lvl>
    <w:lvl w:ilvl="6" w:tplc="AA18D14C">
      <w:numFmt w:val="bullet"/>
      <w:lvlText w:val="•"/>
      <w:lvlJc w:val="left"/>
      <w:pPr>
        <w:ind w:left="5583" w:hanging="140"/>
      </w:pPr>
      <w:rPr>
        <w:rFonts w:hint="default"/>
        <w:lang w:val="bg-BG" w:eastAsia="en-US" w:bidi="ar-SA"/>
      </w:rPr>
    </w:lvl>
    <w:lvl w:ilvl="7" w:tplc="E2DED9D0">
      <w:numFmt w:val="bullet"/>
      <w:lvlText w:val="•"/>
      <w:lvlJc w:val="left"/>
      <w:pPr>
        <w:ind w:left="6494" w:hanging="140"/>
      </w:pPr>
      <w:rPr>
        <w:rFonts w:hint="default"/>
        <w:lang w:val="bg-BG" w:eastAsia="en-US" w:bidi="ar-SA"/>
      </w:rPr>
    </w:lvl>
    <w:lvl w:ilvl="8" w:tplc="C414D37C">
      <w:numFmt w:val="bullet"/>
      <w:lvlText w:val="•"/>
      <w:lvlJc w:val="left"/>
      <w:pPr>
        <w:ind w:left="7404" w:hanging="140"/>
      </w:pPr>
      <w:rPr>
        <w:rFonts w:hint="default"/>
        <w:lang w:val="bg-BG" w:eastAsia="en-US" w:bidi="ar-SA"/>
      </w:rPr>
    </w:lvl>
  </w:abstractNum>
  <w:abstractNum w:abstractNumId="11" w15:restartNumberingAfterBreak="0">
    <w:nsid w:val="3EB61355"/>
    <w:multiLevelType w:val="multilevel"/>
    <w:tmpl w:val="93861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12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13" w15:restartNumberingAfterBreak="0">
    <w:nsid w:val="3FAD20F1"/>
    <w:multiLevelType w:val="hybridMultilevel"/>
    <w:tmpl w:val="1062CCA2"/>
    <w:lvl w:ilvl="0" w:tplc="DDCA4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6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F13D6"/>
    <w:multiLevelType w:val="hybridMultilevel"/>
    <w:tmpl w:val="45ECC81A"/>
    <w:lvl w:ilvl="0" w:tplc="0D42E48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2E04919"/>
    <w:multiLevelType w:val="hybridMultilevel"/>
    <w:tmpl w:val="FD32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2" w15:restartNumberingAfterBreak="0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2"/>
  </w:num>
  <w:num w:numId="4">
    <w:abstractNumId w:val="15"/>
  </w:num>
  <w:num w:numId="5">
    <w:abstractNumId w:val="14"/>
  </w:num>
  <w:num w:numId="6">
    <w:abstractNumId w:val="6"/>
  </w:num>
  <w:num w:numId="7">
    <w:abstractNumId w:val="7"/>
  </w:num>
  <w:num w:numId="8">
    <w:abstractNumId w:val="16"/>
  </w:num>
  <w:num w:numId="9">
    <w:abstractNumId w:val="8"/>
  </w:num>
  <w:num w:numId="10">
    <w:abstractNumId w:val="22"/>
  </w:num>
  <w:num w:numId="11">
    <w:abstractNumId w:val="18"/>
  </w:num>
  <w:num w:numId="12">
    <w:abstractNumId w:val="4"/>
  </w:num>
  <w:num w:numId="13">
    <w:abstractNumId w:val="19"/>
  </w:num>
  <w:num w:numId="14">
    <w:abstractNumId w:val="3"/>
  </w:num>
  <w:num w:numId="15">
    <w:abstractNumId w:val="10"/>
  </w:num>
  <w:num w:numId="16">
    <w:abstractNumId w:val="13"/>
  </w:num>
  <w:num w:numId="17">
    <w:abstractNumId w:val="2"/>
  </w:num>
  <w:num w:numId="18">
    <w:abstractNumId w:val="1"/>
  </w:num>
  <w:num w:numId="19">
    <w:abstractNumId w:val="17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18C"/>
    <w:rsid w:val="00002C2B"/>
    <w:rsid w:val="000035BD"/>
    <w:rsid w:val="00004B97"/>
    <w:rsid w:val="0001448B"/>
    <w:rsid w:val="00015CD1"/>
    <w:rsid w:val="000200F4"/>
    <w:rsid w:val="0002067B"/>
    <w:rsid w:val="0002129F"/>
    <w:rsid w:val="00022F9C"/>
    <w:rsid w:val="00023C31"/>
    <w:rsid w:val="00024C1A"/>
    <w:rsid w:val="00026C12"/>
    <w:rsid w:val="000312E1"/>
    <w:rsid w:val="000327A0"/>
    <w:rsid w:val="00036D6F"/>
    <w:rsid w:val="000413D2"/>
    <w:rsid w:val="000421D9"/>
    <w:rsid w:val="00042D08"/>
    <w:rsid w:val="00042D0E"/>
    <w:rsid w:val="00045EB0"/>
    <w:rsid w:val="0004787D"/>
    <w:rsid w:val="0006247F"/>
    <w:rsid w:val="00064387"/>
    <w:rsid w:val="00064A31"/>
    <w:rsid w:val="00064CC7"/>
    <w:rsid w:val="00070655"/>
    <w:rsid w:val="00072989"/>
    <w:rsid w:val="00076869"/>
    <w:rsid w:val="00076E63"/>
    <w:rsid w:val="00077A7E"/>
    <w:rsid w:val="00092A3B"/>
    <w:rsid w:val="00097917"/>
    <w:rsid w:val="000A040C"/>
    <w:rsid w:val="000A1BC7"/>
    <w:rsid w:val="000A2E06"/>
    <w:rsid w:val="000A547B"/>
    <w:rsid w:val="000B1A54"/>
    <w:rsid w:val="000B5B79"/>
    <w:rsid w:val="000B70EA"/>
    <w:rsid w:val="000C39BD"/>
    <w:rsid w:val="000C6A9B"/>
    <w:rsid w:val="000D232E"/>
    <w:rsid w:val="000D3E35"/>
    <w:rsid w:val="000D4EFA"/>
    <w:rsid w:val="000E1B5E"/>
    <w:rsid w:val="000E6183"/>
    <w:rsid w:val="000E7309"/>
    <w:rsid w:val="000F3382"/>
    <w:rsid w:val="000F5DB5"/>
    <w:rsid w:val="001006F8"/>
    <w:rsid w:val="00100875"/>
    <w:rsid w:val="0010184F"/>
    <w:rsid w:val="001138D1"/>
    <w:rsid w:val="00117E3B"/>
    <w:rsid w:val="00117F73"/>
    <w:rsid w:val="0012101E"/>
    <w:rsid w:val="001217A2"/>
    <w:rsid w:val="00125E95"/>
    <w:rsid w:val="0012768E"/>
    <w:rsid w:val="00133AB9"/>
    <w:rsid w:val="00135827"/>
    <w:rsid w:val="00137518"/>
    <w:rsid w:val="00140381"/>
    <w:rsid w:val="00142F97"/>
    <w:rsid w:val="00145412"/>
    <w:rsid w:val="0014689E"/>
    <w:rsid w:val="00152E12"/>
    <w:rsid w:val="00153866"/>
    <w:rsid w:val="00153946"/>
    <w:rsid w:val="001573BE"/>
    <w:rsid w:val="0015791B"/>
    <w:rsid w:val="00157C07"/>
    <w:rsid w:val="001612A5"/>
    <w:rsid w:val="001663C2"/>
    <w:rsid w:val="00170F1F"/>
    <w:rsid w:val="00180626"/>
    <w:rsid w:val="001816CC"/>
    <w:rsid w:val="00182641"/>
    <w:rsid w:val="001866CA"/>
    <w:rsid w:val="00187562"/>
    <w:rsid w:val="00187838"/>
    <w:rsid w:val="00194D2B"/>
    <w:rsid w:val="001A22EA"/>
    <w:rsid w:val="001A3FAC"/>
    <w:rsid w:val="001A4961"/>
    <w:rsid w:val="001A566B"/>
    <w:rsid w:val="001B79CA"/>
    <w:rsid w:val="001D5357"/>
    <w:rsid w:val="001D7365"/>
    <w:rsid w:val="001D7CEC"/>
    <w:rsid w:val="001D7D70"/>
    <w:rsid w:val="001E0D0D"/>
    <w:rsid w:val="001E1EF1"/>
    <w:rsid w:val="001E24F6"/>
    <w:rsid w:val="001E2C26"/>
    <w:rsid w:val="001E3F62"/>
    <w:rsid w:val="001E44FB"/>
    <w:rsid w:val="001E61E5"/>
    <w:rsid w:val="001E62F4"/>
    <w:rsid w:val="001E7153"/>
    <w:rsid w:val="001F43DC"/>
    <w:rsid w:val="001F6E7A"/>
    <w:rsid w:val="00203088"/>
    <w:rsid w:val="00207AB9"/>
    <w:rsid w:val="00227323"/>
    <w:rsid w:val="00231609"/>
    <w:rsid w:val="00236E5D"/>
    <w:rsid w:val="0024193F"/>
    <w:rsid w:val="00244D23"/>
    <w:rsid w:val="002740F7"/>
    <w:rsid w:val="00280600"/>
    <w:rsid w:val="00291E82"/>
    <w:rsid w:val="00296F7A"/>
    <w:rsid w:val="002A1A99"/>
    <w:rsid w:val="002A52B2"/>
    <w:rsid w:val="002A5895"/>
    <w:rsid w:val="002A7CED"/>
    <w:rsid w:val="002B07AD"/>
    <w:rsid w:val="002B4DFF"/>
    <w:rsid w:val="002B6135"/>
    <w:rsid w:val="002B742C"/>
    <w:rsid w:val="002C643B"/>
    <w:rsid w:val="002C7124"/>
    <w:rsid w:val="002D1E2B"/>
    <w:rsid w:val="002D2E98"/>
    <w:rsid w:val="002D4B84"/>
    <w:rsid w:val="002E3011"/>
    <w:rsid w:val="002E39B8"/>
    <w:rsid w:val="002F55A4"/>
    <w:rsid w:val="002F619F"/>
    <w:rsid w:val="002F72BB"/>
    <w:rsid w:val="002F73E7"/>
    <w:rsid w:val="00300E5F"/>
    <w:rsid w:val="00303E07"/>
    <w:rsid w:val="00313C40"/>
    <w:rsid w:val="003172E4"/>
    <w:rsid w:val="0032070B"/>
    <w:rsid w:val="00320C65"/>
    <w:rsid w:val="00321F23"/>
    <w:rsid w:val="003341D7"/>
    <w:rsid w:val="00337130"/>
    <w:rsid w:val="00337636"/>
    <w:rsid w:val="00337B12"/>
    <w:rsid w:val="00340230"/>
    <w:rsid w:val="00342883"/>
    <w:rsid w:val="003450DB"/>
    <w:rsid w:val="00345531"/>
    <w:rsid w:val="0034619C"/>
    <w:rsid w:val="00346754"/>
    <w:rsid w:val="00347FA3"/>
    <w:rsid w:val="00354E95"/>
    <w:rsid w:val="00360451"/>
    <w:rsid w:val="0036219A"/>
    <w:rsid w:val="0036263D"/>
    <w:rsid w:val="00362EB2"/>
    <w:rsid w:val="00364FFC"/>
    <w:rsid w:val="003669F8"/>
    <w:rsid w:val="0036713B"/>
    <w:rsid w:val="00370625"/>
    <w:rsid w:val="003821B0"/>
    <w:rsid w:val="003948DA"/>
    <w:rsid w:val="00394BAC"/>
    <w:rsid w:val="003A2655"/>
    <w:rsid w:val="003A4AD9"/>
    <w:rsid w:val="003B05D4"/>
    <w:rsid w:val="003B1556"/>
    <w:rsid w:val="003B1E81"/>
    <w:rsid w:val="003B32B7"/>
    <w:rsid w:val="003B7EA3"/>
    <w:rsid w:val="003C071D"/>
    <w:rsid w:val="003C113F"/>
    <w:rsid w:val="003C124D"/>
    <w:rsid w:val="003C5FAD"/>
    <w:rsid w:val="003D2E16"/>
    <w:rsid w:val="003E0A07"/>
    <w:rsid w:val="003E1512"/>
    <w:rsid w:val="003E1D9D"/>
    <w:rsid w:val="003F3882"/>
    <w:rsid w:val="003F41B5"/>
    <w:rsid w:val="003F60B4"/>
    <w:rsid w:val="003F643C"/>
    <w:rsid w:val="003F7D88"/>
    <w:rsid w:val="004018B2"/>
    <w:rsid w:val="004076B8"/>
    <w:rsid w:val="004112D9"/>
    <w:rsid w:val="00414BFD"/>
    <w:rsid w:val="00415BE4"/>
    <w:rsid w:val="004160B2"/>
    <w:rsid w:val="00416A64"/>
    <w:rsid w:val="00425749"/>
    <w:rsid w:val="00430318"/>
    <w:rsid w:val="00430C91"/>
    <w:rsid w:val="00434A36"/>
    <w:rsid w:val="004400A2"/>
    <w:rsid w:val="00444229"/>
    <w:rsid w:val="00446845"/>
    <w:rsid w:val="00446E6A"/>
    <w:rsid w:val="0044787F"/>
    <w:rsid w:val="004518FE"/>
    <w:rsid w:val="00451AF0"/>
    <w:rsid w:val="00451FD9"/>
    <w:rsid w:val="00455C43"/>
    <w:rsid w:val="00473162"/>
    <w:rsid w:val="00473586"/>
    <w:rsid w:val="00473728"/>
    <w:rsid w:val="00473FA5"/>
    <w:rsid w:val="00474FE9"/>
    <w:rsid w:val="00476670"/>
    <w:rsid w:val="004768AF"/>
    <w:rsid w:val="00477D06"/>
    <w:rsid w:val="0048283A"/>
    <w:rsid w:val="0048577E"/>
    <w:rsid w:val="004910F7"/>
    <w:rsid w:val="004942BD"/>
    <w:rsid w:val="00494DD3"/>
    <w:rsid w:val="004A3BDF"/>
    <w:rsid w:val="004A5578"/>
    <w:rsid w:val="004B11A5"/>
    <w:rsid w:val="004B1A70"/>
    <w:rsid w:val="004C0E2B"/>
    <w:rsid w:val="004C200D"/>
    <w:rsid w:val="004C2853"/>
    <w:rsid w:val="004C394F"/>
    <w:rsid w:val="004C7124"/>
    <w:rsid w:val="004C761A"/>
    <w:rsid w:val="004D4B75"/>
    <w:rsid w:val="004D53B5"/>
    <w:rsid w:val="004D6F89"/>
    <w:rsid w:val="004E348E"/>
    <w:rsid w:val="004E3C53"/>
    <w:rsid w:val="004E4FD6"/>
    <w:rsid w:val="004F1553"/>
    <w:rsid w:val="004F1C8E"/>
    <w:rsid w:val="004F39D7"/>
    <w:rsid w:val="004F3BF2"/>
    <w:rsid w:val="004F4C4F"/>
    <w:rsid w:val="00503482"/>
    <w:rsid w:val="00512211"/>
    <w:rsid w:val="00512BE8"/>
    <w:rsid w:val="0051369A"/>
    <w:rsid w:val="00513AA8"/>
    <w:rsid w:val="00516A14"/>
    <w:rsid w:val="005208C1"/>
    <w:rsid w:val="00522C62"/>
    <w:rsid w:val="005255E1"/>
    <w:rsid w:val="005305F7"/>
    <w:rsid w:val="005307D5"/>
    <w:rsid w:val="005331FC"/>
    <w:rsid w:val="005345A1"/>
    <w:rsid w:val="00535458"/>
    <w:rsid w:val="00542AB3"/>
    <w:rsid w:val="00542BAC"/>
    <w:rsid w:val="00542DF7"/>
    <w:rsid w:val="00543CAA"/>
    <w:rsid w:val="00546B52"/>
    <w:rsid w:val="00553228"/>
    <w:rsid w:val="005569E7"/>
    <w:rsid w:val="00561354"/>
    <w:rsid w:val="00561689"/>
    <w:rsid w:val="00561B77"/>
    <w:rsid w:val="005650C3"/>
    <w:rsid w:val="00565A4D"/>
    <w:rsid w:val="0056797A"/>
    <w:rsid w:val="00571EB2"/>
    <w:rsid w:val="0057304E"/>
    <w:rsid w:val="00573C38"/>
    <w:rsid w:val="005806ED"/>
    <w:rsid w:val="0058089E"/>
    <w:rsid w:val="00581701"/>
    <w:rsid w:val="00583163"/>
    <w:rsid w:val="0058482B"/>
    <w:rsid w:val="00590143"/>
    <w:rsid w:val="00590DBC"/>
    <w:rsid w:val="005941B2"/>
    <w:rsid w:val="005954B3"/>
    <w:rsid w:val="00596A27"/>
    <w:rsid w:val="005A21CE"/>
    <w:rsid w:val="005A654B"/>
    <w:rsid w:val="005B7762"/>
    <w:rsid w:val="005C167B"/>
    <w:rsid w:val="005C68B4"/>
    <w:rsid w:val="005D0211"/>
    <w:rsid w:val="005D686D"/>
    <w:rsid w:val="005F30CE"/>
    <w:rsid w:val="005F3B14"/>
    <w:rsid w:val="005F4B6D"/>
    <w:rsid w:val="005F5068"/>
    <w:rsid w:val="005F5AD9"/>
    <w:rsid w:val="005F5C54"/>
    <w:rsid w:val="0060089B"/>
    <w:rsid w:val="00600E07"/>
    <w:rsid w:val="00604A22"/>
    <w:rsid w:val="00606179"/>
    <w:rsid w:val="00607240"/>
    <w:rsid w:val="0060777E"/>
    <w:rsid w:val="00612129"/>
    <w:rsid w:val="00622936"/>
    <w:rsid w:val="00622E33"/>
    <w:rsid w:val="0062427C"/>
    <w:rsid w:val="00626FEF"/>
    <w:rsid w:val="006301CC"/>
    <w:rsid w:val="006402F3"/>
    <w:rsid w:val="00643B02"/>
    <w:rsid w:val="00645856"/>
    <w:rsid w:val="00646B47"/>
    <w:rsid w:val="0065411B"/>
    <w:rsid w:val="00660EF9"/>
    <w:rsid w:val="00663E1A"/>
    <w:rsid w:val="0066611C"/>
    <w:rsid w:val="00667EB9"/>
    <w:rsid w:val="00676472"/>
    <w:rsid w:val="00682D4A"/>
    <w:rsid w:val="00685A1A"/>
    <w:rsid w:val="00685A6E"/>
    <w:rsid w:val="00686666"/>
    <w:rsid w:val="00691DD5"/>
    <w:rsid w:val="00692518"/>
    <w:rsid w:val="0069290A"/>
    <w:rsid w:val="00693CE4"/>
    <w:rsid w:val="0069471E"/>
    <w:rsid w:val="006A19D9"/>
    <w:rsid w:val="006A3215"/>
    <w:rsid w:val="006A5B27"/>
    <w:rsid w:val="006A5C0F"/>
    <w:rsid w:val="006B247A"/>
    <w:rsid w:val="006B2FC6"/>
    <w:rsid w:val="006B37D7"/>
    <w:rsid w:val="006C22D8"/>
    <w:rsid w:val="006C27D6"/>
    <w:rsid w:val="006C3402"/>
    <w:rsid w:val="006C5776"/>
    <w:rsid w:val="006C5F59"/>
    <w:rsid w:val="006D0F64"/>
    <w:rsid w:val="006D2956"/>
    <w:rsid w:val="006D7984"/>
    <w:rsid w:val="006E3AF1"/>
    <w:rsid w:val="006E5DDA"/>
    <w:rsid w:val="006F2565"/>
    <w:rsid w:val="006F2F81"/>
    <w:rsid w:val="006F46D9"/>
    <w:rsid w:val="006F637C"/>
    <w:rsid w:val="007026A1"/>
    <w:rsid w:val="007049F4"/>
    <w:rsid w:val="0070576B"/>
    <w:rsid w:val="007074DC"/>
    <w:rsid w:val="007078F7"/>
    <w:rsid w:val="007108A0"/>
    <w:rsid w:val="00710976"/>
    <w:rsid w:val="00714211"/>
    <w:rsid w:val="00715D5D"/>
    <w:rsid w:val="00716395"/>
    <w:rsid w:val="00720729"/>
    <w:rsid w:val="00727FF3"/>
    <w:rsid w:val="00730732"/>
    <w:rsid w:val="0073596A"/>
    <w:rsid w:val="007419CB"/>
    <w:rsid w:val="007421B6"/>
    <w:rsid w:val="00743E50"/>
    <w:rsid w:val="00744E16"/>
    <w:rsid w:val="0074571C"/>
    <w:rsid w:val="00747443"/>
    <w:rsid w:val="00750A58"/>
    <w:rsid w:val="00750B33"/>
    <w:rsid w:val="0075438D"/>
    <w:rsid w:val="00754CE4"/>
    <w:rsid w:val="00761975"/>
    <w:rsid w:val="00764703"/>
    <w:rsid w:val="00765197"/>
    <w:rsid w:val="00765C4A"/>
    <w:rsid w:val="00766A4E"/>
    <w:rsid w:val="00771589"/>
    <w:rsid w:val="00772B1B"/>
    <w:rsid w:val="00775835"/>
    <w:rsid w:val="0078311F"/>
    <w:rsid w:val="0078672B"/>
    <w:rsid w:val="007868A1"/>
    <w:rsid w:val="00790365"/>
    <w:rsid w:val="007912E0"/>
    <w:rsid w:val="00793908"/>
    <w:rsid w:val="00795EAE"/>
    <w:rsid w:val="007A31F2"/>
    <w:rsid w:val="007A32FA"/>
    <w:rsid w:val="007A3D63"/>
    <w:rsid w:val="007A5209"/>
    <w:rsid w:val="007A67C3"/>
    <w:rsid w:val="007B3599"/>
    <w:rsid w:val="007B5735"/>
    <w:rsid w:val="007C6A1F"/>
    <w:rsid w:val="007C737E"/>
    <w:rsid w:val="007D0CD8"/>
    <w:rsid w:val="007D36D0"/>
    <w:rsid w:val="007D4339"/>
    <w:rsid w:val="007D5C6F"/>
    <w:rsid w:val="007D7302"/>
    <w:rsid w:val="007E07E3"/>
    <w:rsid w:val="007E2574"/>
    <w:rsid w:val="007E3E5B"/>
    <w:rsid w:val="007E5B5F"/>
    <w:rsid w:val="007F056C"/>
    <w:rsid w:val="007F238F"/>
    <w:rsid w:val="0081048A"/>
    <w:rsid w:val="0081072E"/>
    <w:rsid w:val="00830A29"/>
    <w:rsid w:val="00836C4B"/>
    <w:rsid w:val="00843258"/>
    <w:rsid w:val="00850465"/>
    <w:rsid w:val="00855B8C"/>
    <w:rsid w:val="00860E40"/>
    <w:rsid w:val="00860E7A"/>
    <w:rsid w:val="008727E0"/>
    <w:rsid w:val="00872AEE"/>
    <w:rsid w:val="0087387B"/>
    <w:rsid w:val="00876966"/>
    <w:rsid w:val="00880220"/>
    <w:rsid w:val="00881BBC"/>
    <w:rsid w:val="00883C82"/>
    <w:rsid w:val="00884B0F"/>
    <w:rsid w:val="00886267"/>
    <w:rsid w:val="00887E70"/>
    <w:rsid w:val="0089220E"/>
    <w:rsid w:val="008924FA"/>
    <w:rsid w:val="00892FBF"/>
    <w:rsid w:val="00894EF6"/>
    <w:rsid w:val="008977FA"/>
    <w:rsid w:val="008A58C4"/>
    <w:rsid w:val="008B4961"/>
    <w:rsid w:val="008B750A"/>
    <w:rsid w:val="008C4321"/>
    <w:rsid w:val="008C44E6"/>
    <w:rsid w:val="008C473B"/>
    <w:rsid w:val="008D0EAD"/>
    <w:rsid w:val="008D20FE"/>
    <w:rsid w:val="008D58FA"/>
    <w:rsid w:val="008D5B3F"/>
    <w:rsid w:val="008E0DF3"/>
    <w:rsid w:val="008E1854"/>
    <w:rsid w:val="008E4813"/>
    <w:rsid w:val="008E4CE7"/>
    <w:rsid w:val="008E60A6"/>
    <w:rsid w:val="008F2E37"/>
    <w:rsid w:val="008F7292"/>
    <w:rsid w:val="009034F4"/>
    <w:rsid w:val="00907397"/>
    <w:rsid w:val="00913563"/>
    <w:rsid w:val="009309E7"/>
    <w:rsid w:val="009333C4"/>
    <w:rsid w:val="00933A9C"/>
    <w:rsid w:val="009375AF"/>
    <w:rsid w:val="00937E51"/>
    <w:rsid w:val="00940843"/>
    <w:rsid w:val="0094317C"/>
    <w:rsid w:val="00943F48"/>
    <w:rsid w:val="00944CB8"/>
    <w:rsid w:val="0095104C"/>
    <w:rsid w:val="009546F1"/>
    <w:rsid w:val="0095668D"/>
    <w:rsid w:val="00961037"/>
    <w:rsid w:val="00963D6F"/>
    <w:rsid w:val="00963FD0"/>
    <w:rsid w:val="00973466"/>
    <w:rsid w:val="009742C7"/>
    <w:rsid w:val="00976606"/>
    <w:rsid w:val="009832E3"/>
    <w:rsid w:val="0099051D"/>
    <w:rsid w:val="00991236"/>
    <w:rsid w:val="00995361"/>
    <w:rsid w:val="00996179"/>
    <w:rsid w:val="009A0746"/>
    <w:rsid w:val="009B13A5"/>
    <w:rsid w:val="009B22E7"/>
    <w:rsid w:val="009B44A8"/>
    <w:rsid w:val="009C0A26"/>
    <w:rsid w:val="009C6CE0"/>
    <w:rsid w:val="009D12A9"/>
    <w:rsid w:val="009D4DA5"/>
    <w:rsid w:val="009E20F7"/>
    <w:rsid w:val="009E425F"/>
    <w:rsid w:val="009E69A9"/>
    <w:rsid w:val="00A053EF"/>
    <w:rsid w:val="00A066E6"/>
    <w:rsid w:val="00A13FB6"/>
    <w:rsid w:val="00A16BDF"/>
    <w:rsid w:val="00A203FB"/>
    <w:rsid w:val="00A235A4"/>
    <w:rsid w:val="00A2759E"/>
    <w:rsid w:val="00A312D1"/>
    <w:rsid w:val="00A31BAF"/>
    <w:rsid w:val="00A3383D"/>
    <w:rsid w:val="00A339BA"/>
    <w:rsid w:val="00A35CCC"/>
    <w:rsid w:val="00A41A54"/>
    <w:rsid w:val="00A46A11"/>
    <w:rsid w:val="00A5013C"/>
    <w:rsid w:val="00A511FB"/>
    <w:rsid w:val="00A537CE"/>
    <w:rsid w:val="00A54B18"/>
    <w:rsid w:val="00A54C1C"/>
    <w:rsid w:val="00A5516D"/>
    <w:rsid w:val="00A67DB5"/>
    <w:rsid w:val="00A71E06"/>
    <w:rsid w:val="00A7228C"/>
    <w:rsid w:val="00A7352B"/>
    <w:rsid w:val="00A73A18"/>
    <w:rsid w:val="00A76357"/>
    <w:rsid w:val="00A84E10"/>
    <w:rsid w:val="00A93EEB"/>
    <w:rsid w:val="00A95597"/>
    <w:rsid w:val="00A97B51"/>
    <w:rsid w:val="00AA30A6"/>
    <w:rsid w:val="00AA6606"/>
    <w:rsid w:val="00AB1166"/>
    <w:rsid w:val="00AB499A"/>
    <w:rsid w:val="00AB4CCA"/>
    <w:rsid w:val="00AC0FEC"/>
    <w:rsid w:val="00AC1A15"/>
    <w:rsid w:val="00AC1ADF"/>
    <w:rsid w:val="00AC743F"/>
    <w:rsid w:val="00AD346E"/>
    <w:rsid w:val="00AD78F8"/>
    <w:rsid w:val="00AE35A7"/>
    <w:rsid w:val="00AE4E4F"/>
    <w:rsid w:val="00AE61C3"/>
    <w:rsid w:val="00AE6C57"/>
    <w:rsid w:val="00AE7F89"/>
    <w:rsid w:val="00AF03EC"/>
    <w:rsid w:val="00AF0845"/>
    <w:rsid w:val="00AF0C3A"/>
    <w:rsid w:val="00AF1D8D"/>
    <w:rsid w:val="00AF29AC"/>
    <w:rsid w:val="00AF48F6"/>
    <w:rsid w:val="00B132C1"/>
    <w:rsid w:val="00B1728F"/>
    <w:rsid w:val="00B244D1"/>
    <w:rsid w:val="00B25263"/>
    <w:rsid w:val="00B25608"/>
    <w:rsid w:val="00B27B14"/>
    <w:rsid w:val="00B33BED"/>
    <w:rsid w:val="00B35970"/>
    <w:rsid w:val="00B41901"/>
    <w:rsid w:val="00B53257"/>
    <w:rsid w:val="00B5430D"/>
    <w:rsid w:val="00B550C8"/>
    <w:rsid w:val="00B572AA"/>
    <w:rsid w:val="00B61253"/>
    <w:rsid w:val="00B62B22"/>
    <w:rsid w:val="00B66CC3"/>
    <w:rsid w:val="00B66FC9"/>
    <w:rsid w:val="00B67070"/>
    <w:rsid w:val="00B71267"/>
    <w:rsid w:val="00B71888"/>
    <w:rsid w:val="00B71D50"/>
    <w:rsid w:val="00B722F7"/>
    <w:rsid w:val="00B76453"/>
    <w:rsid w:val="00B83497"/>
    <w:rsid w:val="00B83E1E"/>
    <w:rsid w:val="00B91283"/>
    <w:rsid w:val="00B93BC2"/>
    <w:rsid w:val="00BA5D30"/>
    <w:rsid w:val="00BA63C8"/>
    <w:rsid w:val="00BB1E97"/>
    <w:rsid w:val="00BB4C3A"/>
    <w:rsid w:val="00BB794F"/>
    <w:rsid w:val="00BC5FFF"/>
    <w:rsid w:val="00BC6B19"/>
    <w:rsid w:val="00BC7446"/>
    <w:rsid w:val="00BD139E"/>
    <w:rsid w:val="00BD20DC"/>
    <w:rsid w:val="00BE1A4B"/>
    <w:rsid w:val="00BE29B0"/>
    <w:rsid w:val="00BE35C5"/>
    <w:rsid w:val="00BE3825"/>
    <w:rsid w:val="00BE5CA2"/>
    <w:rsid w:val="00BE718E"/>
    <w:rsid w:val="00BF3FED"/>
    <w:rsid w:val="00BF6C00"/>
    <w:rsid w:val="00C02F30"/>
    <w:rsid w:val="00C10D09"/>
    <w:rsid w:val="00C1621B"/>
    <w:rsid w:val="00C16BF4"/>
    <w:rsid w:val="00C33798"/>
    <w:rsid w:val="00C338D6"/>
    <w:rsid w:val="00C35A64"/>
    <w:rsid w:val="00C40BCF"/>
    <w:rsid w:val="00C435D9"/>
    <w:rsid w:val="00C440EA"/>
    <w:rsid w:val="00C4558F"/>
    <w:rsid w:val="00C51AE7"/>
    <w:rsid w:val="00C54D43"/>
    <w:rsid w:val="00C5506E"/>
    <w:rsid w:val="00C552E9"/>
    <w:rsid w:val="00C607BC"/>
    <w:rsid w:val="00C62373"/>
    <w:rsid w:val="00C6248A"/>
    <w:rsid w:val="00C627B5"/>
    <w:rsid w:val="00C7152E"/>
    <w:rsid w:val="00C84E98"/>
    <w:rsid w:val="00C87012"/>
    <w:rsid w:val="00C87120"/>
    <w:rsid w:val="00C93DF1"/>
    <w:rsid w:val="00C97159"/>
    <w:rsid w:val="00CA0369"/>
    <w:rsid w:val="00CA56EE"/>
    <w:rsid w:val="00CB38B6"/>
    <w:rsid w:val="00CC2345"/>
    <w:rsid w:val="00CC3CEC"/>
    <w:rsid w:val="00CC3E88"/>
    <w:rsid w:val="00CC6C60"/>
    <w:rsid w:val="00CC71E4"/>
    <w:rsid w:val="00CD052E"/>
    <w:rsid w:val="00CD3FEB"/>
    <w:rsid w:val="00CD7D87"/>
    <w:rsid w:val="00CE01A5"/>
    <w:rsid w:val="00CE52CD"/>
    <w:rsid w:val="00CF127D"/>
    <w:rsid w:val="00CF1900"/>
    <w:rsid w:val="00CF3310"/>
    <w:rsid w:val="00D030B0"/>
    <w:rsid w:val="00D17073"/>
    <w:rsid w:val="00D211FD"/>
    <w:rsid w:val="00D21D68"/>
    <w:rsid w:val="00D33362"/>
    <w:rsid w:val="00D36B47"/>
    <w:rsid w:val="00D410EE"/>
    <w:rsid w:val="00D467B4"/>
    <w:rsid w:val="00D47943"/>
    <w:rsid w:val="00D51226"/>
    <w:rsid w:val="00D51464"/>
    <w:rsid w:val="00D52B91"/>
    <w:rsid w:val="00D53DFC"/>
    <w:rsid w:val="00D63CC9"/>
    <w:rsid w:val="00D67643"/>
    <w:rsid w:val="00D71C91"/>
    <w:rsid w:val="00D752E2"/>
    <w:rsid w:val="00D80821"/>
    <w:rsid w:val="00D82CFB"/>
    <w:rsid w:val="00D82CFD"/>
    <w:rsid w:val="00D86C05"/>
    <w:rsid w:val="00D874BE"/>
    <w:rsid w:val="00D925CD"/>
    <w:rsid w:val="00D956B1"/>
    <w:rsid w:val="00DA16C9"/>
    <w:rsid w:val="00DA2D2C"/>
    <w:rsid w:val="00DA3091"/>
    <w:rsid w:val="00DA4075"/>
    <w:rsid w:val="00DA461D"/>
    <w:rsid w:val="00DA66FB"/>
    <w:rsid w:val="00DB50F6"/>
    <w:rsid w:val="00DB5149"/>
    <w:rsid w:val="00DB6E73"/>
    <w:rsid w:val="00DC2E29"/>
    <w:rsid w:val="00DC3D68"/>
    <w:rsid w:val="00DC60E6"/>
    <w:rsid w:val="00DC705C"/>
    <w:rsid w:val="00DD0FDC"/>
    <w:rsid w:val="00DD146C"/>
    <w:rsid w:val="00DD1846"/>
    <w:rsid w:val="00DD67F0"/>
    <w:rsid w:val="00DE162E"/>
    <w:rsid w:val="00DE6B19"/>
    <w:rsid w:val="00DE6C05"/>
    <w:rsid w:val="00DE795C"/>
    <w:rsid w:val="00DE7CD6"/>
    <w:rsid w:val="00DF0878"/>
    <w:rsid w:val="00DF2D10"/>
    <w:rsid w:val="00DF3265"/>
    <w:rsid w:val="00DF3915"/>
    <w:rsid w:val="00DF4CF1"/>
    <w:rsid w:val="00DF52FA"/>
    <w:rsid w:val="00DF5AE4"/>
    <w:rsid w:val="00DF7188"/>
    <w:rsid w:val="00E020BA"/>
    <w:rsid w:val="00E1025B"/>
    <w:rsid w:val="00E126C0"/>
    <w:rsid w:val="00E16D01"/>
    <w:rsid w:val="00E203A0"/>
    <w:rsid w:val="00E214FE"/>
    <w:rsid w:val="00E31B4A"/>
    <w:rsid w:val="00E352D8"/>
    <w:rsid w:val="00E35599"/>
    <w:rsid w:val="00E4074C"/>
    <w:rsid w:val="00E439AF"/>
    <w:rsid w:val="00E44DE0"/>
    <w:rsid w:val="00E46AB5"/>
    <w:rsid w:val="00E477B3"/>
    <w:rsid w:val="00E507FA"/>
    <w:rsid w:val="00E50918"/>
    <w:rsid w:val="00E51957"/>
    <w:rsid w:val="00E521F2"/>
    <w:rsid w:val="00E5266F"/>
    <w:rsid w:val="00E53D21"/>
    <w:rsid w:val="00E57E9E"/>
    <w:rsid w:val="00E615E8"/>
    <w:rsid w:val="00E653D3"/>
    <w:rsid w:val="00E65509"/>
    <w:rsid w:val="00E65A33"/>
    <w:rsid w:val="00E73029"/>
    <w:rsid w:val="00E7662C"/>
    <w:rsid w:val="00E86637"/>
    <w:rsid w:val="00E93016"/>
    <w:rsid w:val="00EA0D85"/>
    <w:rsid w:val="00EA1A0E"/>
    <w:rsid w:val="00EA4592"/>
    <w:rsid w:val="00EB5464"/>
    <w:rsid w:val="00EB622B"/>
    <w:rsid w:val="00EB7DBD"/>
    <w:rsid w:val="00EC24AD"/>
    <w:rsid w:val="00EC30E9"/>
    <w:rsid w:val="00EC326C"/>
    <w:rsid w:val="00EC3B78"/>
    <w:rsid w:val="00EC57E3"/>
    <w:rsid w:val="00EC7498"/>
    <w:rsid w:val="00ED3AC6"/>
    <w:rsid w:val="00ED565F"/>
    <w:rsid w:val="00ED6158"/>
    <w:rsid w:val="00ED6408"/>
    <w:rsid w:val="00EE419E"/>
    <w:rsid w:val="00F03446"/>
    <w:rsid w:val="00F038BC"/>
    <w:rsid w:val="00F04343"/>
    <w:rsid w:val="00F04B4E"/>
    <w:rsid w:val="00F124F9"/>
    <w:rsid w:val="00F16598"/>
    <w:rsid w:val="00F16E3F"/>
    <w:rsid w:val="00F235C6"/>
    <w:rsid w:val="00F30AAC"/>
    <w:rsid w:val="00F33A76"/>
    <w:rsid w:val="00F34D13"/>
    <w:rsid w:val="00F458B3"/>
    <w:rsid w:val="00F47F6F"/>
    <w:rsid w:val="00F51681"/>
    <w:rsid w:val="00F51A4A"/>
    <w:rsid w:val="00F51F3E"/>
    <w:rsid w:val="00F523AB"/>
    <w:rsid w:val="00F54C96"/>
    <w:rsid w:val="00F566FD"/>
    <w:rsid w:val="00F57146"/>
    <w:rsid w:val="00F60107"/>
    <w:rsid w:val="00F6117C"/>
    <w:rsid w:val="00F6260D"/>
    <w:rsid w:val="00F64B24"/>
    <w:rsid w:val="00F6621A"/>
    <w:rsid w:val="00F71D05"/>
    <w:rsid w:val="00F80318"/>
    <w:rsid w:val="00F80D81"/>
    <w:rsid w:val="00F8508C"/>
    <w:rsid w:val="00F86E71"/>
    <w:rsid w:val="00F87765"/>
    <w:rsid w:val="00F87F7B"/>
    <w:rsid w:val="00F924B5"/>
    <w:rsid w:val="00F966EE"/>
    <w:rsid w:val="00F97AFA"/>
    <w:rsid w:val="00FA2BAE"/>
    <w:rsid w:val="00FA4175"/>
    <w:rsid w:val="00FB157B"/>
    <w:rsid w:val="00FB31DD"/>
    <w:rsid w:val="00FB344E"/>
    <w:rsid w:val="00FB5ED6"/>
    <w:rsid w:val="00FC00DE"/>
    <w:rsid w:val="00FC4097"/>
    <w:rsid w:val="00FD2173"/>
    <w:rsid w:val="00FE0702"/>
    <w:rsid w:val="00FE55C5"/>
    <w:rsid w:val="00FE67F5"/>
    <w:rsid w:val="00FF0D55"/>
    <w:rsid w:val="00FF1228"/>
    <w:rsid w:val="00FF137F"/>
    <w:rsid w:val="00FF31A9"/>
    <w:rsid w:val="00FF3FB0"/>
    <w:rsid w:val="00FF515A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901EDC4"/>
  <w15:docId w15:val="{DAE66C6E-2D4F-442F-A6E1-51098CC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22B"/>
  </w:style>
  <w:style w:type="paragraph" w:styleId="Heading1">
    <w:name w:val="heading 1"/>
    <w:basedOn w:val="Normal"/>
    <w:next w:val="Normal"/>
    <w:link w:val="Heading1Char"/>
    <w:uiPriority w:val="9"/>
    <w:qFormat/>
    <w:rsid w:val="00EB6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2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2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2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2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2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  <w:style w:type="paragraph" w:customStyle="1" w:styleId="TableParagraph">
    <w:name w:val="Table Paragraph"/>
    <w:basedOn w:val="Normal"/>
    <w:uiPriority w:val="1"/>
    <w:rsid w:val="00D17073"/>
    <w:pPr>
      <w:widowControl w:val="0"/>
      <w:autoSpaceDE w:val="0"/>
      <w:autoSpaceDN w:val="0"/>
      <w:spacing w:after="0" w:line="240" w:lineRule="auto"/>
      <w:ind w:left="124"/>
    </w:pPr>
    <w:rPr>
      <w:rFonts w:ascii="Liberation Serif" w:eastAsia="Liberation Serif" w:hAnsi="Liberation Serif" w:cs="Liberation Serif"/>
      <w:lang w:val="bg-BG"/>
    </w:rPr>
  </w:style>
  <w:style w:type="paragraph" w:customStyle="1" w:styleId="Char">
    <w:name w:val="Char"/>
    <w:basedOn w:val="Normal"/>
    <w:autoRedefine/>
    <w:rsid w:val="003A4AD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EB622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22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22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2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2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22B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2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22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22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2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62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22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22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622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B622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B622B"/>
    <w:rPr>
      <w:i/>
      <w:iCs/>
      <w:color w:val="auto"/>
    </w:rPr>
  </w:style>
  <w:style w:type="paragraph" w:styleId="NoSpacing">
    <w:name w:val="No Spacing"/>
    <w:uiPriority w:val="1"/>
    <w:qFormat/>
    <w:rsid w:val="00EB62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B622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22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22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22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B622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B622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B622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B622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B622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2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fileva@mzh.government.bg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header" Target="header1.xml"/><Relationship Id="rId21" Type="http://schemas.openxmlformats.org/officeDocument/2006/relationships/control" Target="activeX/activeX6.xml"/><Relationship Id="rId34" Type="http://schemas.openxmlformats.org/officeDocument/2006/relationships/control" Target="activeX/activeX1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7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5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DEPetrova@mzh.government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Hijj0yGsjlh1CbSO6HlHspmt3rvUL1a3pXDDnMfNoEc=</DigestValue>
    </Reference>
    <Reference Type="http://www.w3.org/2000/09/xmldsig#Object" URI="#idOfficeObject">
      <DigestMethod Algorithm="http://www.w3.org/2001/04/xmlenc#sha256"/>
      <DigestValue>RLw/9CKkdKvhQlJEkvh7G7wNJOag6BaesuIRE22P3dk=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BiSeCYLebRFDJ4At+4Je7jdw2navfJ9eN5pqx5nNj3Y=</DigestValue>
    </Reference>
    <Reference Type="http://www.w3.org/2000/09/xmldsig#Object" URI="#idValidSigLnImg">
      <DigestMethod Algorithm="http://www.w3.org/2001/04/xmlenc#sha256"/>
      <DigestValue>4aWezXl6ZPBmtjaWygbK9J6c+d0zj3J1/2+MrR7udb4=</DigestValue>
    </Reference>
    <Reference Type="http://www.w3.org/2000/09/xmldsig#Object" URI="#idInvalidSigLnImg">
      <DigestMethod Algorithm="http://www.w3.org/2001/04/xmlenc#sha256"/>
      <DigestValue>E1BV732smiXPmjHMPLO2L2jY3Q5uvIXoVYTNAGtZOQI=</DigestValue>
    </Reference>
  </SignedInfo>
  <SignatureValue>lym7NK5J6slmqG8pOz+YiVCQKMCqgi0wPzMHSDUwln++2lvRKnqu2HJ/Rq+RFnBrv+cifYjXvgJ7
Idc/AlrcTIkU8cT5wUJKWdlGhRlQx+hB1YcxbOesNbefOOwmmIz8EpEMjQH1qaSSL6kViabEotlD
Y83GwRSJWIy7DYTmNrH1RRZ5YXil1sTo7IZWJ2WBNqlFUVliFMp5KHVinjaIfq7WBLYyJmEvudof
DAQOYBZmVG/7y3t8wUMwLONKSAJuCEUxjbq/JRqnG+1uLRv41sd3CA6+1uev9QeU7q/m4XXG5bFC
SUskxKoy+6JNl6nU+n7SEavJyzhHXLloFu7ARg==</SignatureValue>
  <KeyInfo>
    <X509Data>
      <X509Certificate>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hUMbuaplzD0fq9y6R4QJ/ATVyw8r94ZFWUTQVylvdM4=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qoCpLzfJ6Nv9KtfMIc0MoYs3bdnrcXWB1lC0CK0Hk8Q=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ifmtEIf3oH0NbTi9NlkaW6Y0aKz6ob5OtoyMf9WFcus=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BvvkF4eRks2aIol0UPOgih6bcQPAuxs0gbU7EO7A+Tg=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gISr4YRMiRVDbTmFIriImTjZjcaybcLogbcapo5gQGw=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JLFIqV8JrtWBJjFUBweWvq9BDp9eZwliFM6iHld1DRQ=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+9Nnr4lMNFonrr8AKnlrzs74G0GFk0NeVkjW9bb4zbs=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RiQJ+PpT33qAXfQb3rv34plotaoNd1djFvU6/2vQhPA=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WB67rgXuHzUSZdjkFnJ/p454hM3NsKUV90+dPlofLWU=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UqARmNkt9rKfcJDGNl/z+UReomJ/rXVD9793c5UA3eU=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Jn58MOa0fjrtGNx39lKae6iOofiw1Hs5VVblJdUn/WA=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a0IgMn2DXLH6OH3q9UWEPqCDD/B8/yQSYVusPfGqLwg=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NzrVRtM0Rg+PFQ+z+gY9ee9ZeRMd/j7KJ7GOVkzTJ6M=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bYjpStZbPSw1Zcw/nHHrajs99mssTbJ8UnGlAJmi9/8=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9DO97qq4nUia1BNK8RvlqSxr7155STp7diiccXZaEH8=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AgOGB3WH37mvEFveRqXdQlu2fa7fdbgjWCmyjZvro7c=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oFZEk84N3yPT+hZWOsQPvo5WdctsWg6IrexObjo4Gis=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vAo/NClXDd8UKEHOFXpNB0tbPny33gKuQ2A5oQJe2j4=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QvZ5YK+D6ln51SPTDO1K09o+Wo7vcPb8UVaWYGJ4OC4=</DigestValue>
      </Reference>
      <Reference URI="/word/endnotes.xml?ContentType=application/vnd.openxmlformats-officedocument.wordprocessingml.endnotes+xml">
        <DigestMethod Algorithm="http://www.w3.org/2001/04/xmlenc#sha256"/>
        <DigestValue>Mujbg8l6RjLFi9jHLL2FRmg2HTaHI29i4Go0hmY6tNE=</DigestValue>
      </Reference>
      <Reference URI="/word/fontTable.xml?ContentType=application/vnd.openxmlformats-officedocument.wordprocessingml.fontTable+xml">
        <DigestMethod Algorithm="http://www.w3.org/2001/04/xmlenc#sha256"/>
        <DigestValue>eAd3ttiT18J7fEqaeqO29SWsiOSjxvJk15MTnWRal3s=</DigestValue>
      </Reference>
      <Reference URI="/word/footer1.xml?ContentType=application/vnd.openxmlformats-officedocument.wordprocessingml.footer+xml">
        <DigestMethod Algorithm="http://www.w3.org/2001/04/xmlenc#sha256"/>
        <DigestValue>j0CkO/wOTt6JdY9/QDfId5C4OeA0iHgXyekSyq1rNj4=</DigestValue>
      </Reference>
      <Reference URI="/word/footnotes.xml?ContentType=application/vnd.openxmlformats-officedocument.wordprocessingml.footnotes+xml">
        <DigestMethod Algorithm="http://www.w3.org/2001/04/xmlenc#sha256"/>
        <DigestValue>UFa86tU3GR+IABNG85uO6XBPovI7x1FuwBkVkw8mldg=</DigestValue>
      </Reference>
      <Reference URI="/word/header1.xml?ContentType=application/vnd.openxmlformats-officedocument.wordprocessingml.header+xml">
        <DigestMethod Algorithm="http://www.w3.org/2001/04/xmlenc#sha256"/>
        <DigestValue>mCtIQp7DcaPyUfOZ28mQs5bvJNFxYKS1NZFInxi4mqg=</DigestValue>
      </Reference>
      <Reference URI="/word/media/image1.wmf?ContentType=image/x-wmf">
        <DigestMethod Algorithm="http://www.w3.org/2001/04/xmlenc#sha256"/>
        <DigestValue>8NouwT8WMN4BWj6dTBGf8tDSKLllaKsInBYdXkYFjSo=</DigestValue>
      </Reference>
      <Reference URI="/word/media/image10.wmf?ContentType=image/x-wmf">
        <DigestMethod Algorithm="http://www.w3.org/2001/04/xmlenc#sha256"/>
        <DigestValue>xZiN/S4NSgG9lw0aaSxiyz+30+md6D+Go5UrCR3jYoc=</DigestValue>
      </Reference>
      <Reference URI="/word/media/image11.wmf?ContentType=image/x-wmf">
        <DigestMethod Algorithm="http://www.w3.org/2001/04/xmlenc#sha256"/>
        <DigestValue>5wNC7eBNGjQcHwgb+HnnOAMKtm7Q3/np2bMsbOXInys=</DigestValue>
      </Reference>
      <Reference URI="/word/media/image12.emf?ContentType=image/x-emf">
        <DigestMethod Algorithm="http://www.w3.org/2001/04/xmlenc#sha256"/>
        <DigestValue>43kCv9P9uRBx8o7T2L75MCApm0urfnkaUrccRAyGqB0=</DigestValue>
      </Reference>
      <Reference URI="/word/media/image2.wmf?ContentType=image/x-wmf">
        <DigestMethod Algorithm="http://www.w3.org/2001/04/xmlenc#sha256"/>
        <DigestValue>H0oopzEFDJ28NewvdL2xdApkli6ewbjgsJsg3kP4PWQ=</DigestValue>
      </Reference>
      <Reference URI="/word/media/image3.wmf?ContentType=image/x-wmf">
        <DigestMethod Algorithm="http://www.w3.org/2001/04/xmlenc#sha256"/>
        <DigestValue>5rimCWd7TwNet4vBKV8w8wugwQnBoJq+53QRJSwyZcY=</DigestValue>
      </Reference>
      <Reference URI="/word/media/image4.wmf?ContentType=image/x-wmf">
        <DigestMethod Algorithm="http://www.w3.org/2001/04/xmlenc#sha256"/>
        <DigestValue>GtU3NeHPcytG9QezEJMhWMUhyBt8cg8+CdGhRtW8tRM=</DigestValue>
      </Reference>
      <Reference URI="/word/media/image5.wmf?ContentType=image/x-wmf">
        <DigestMethod Algorithm="http://www.w3.org/2001/04/xmlenc#sha256"/>
        <DigestValue>LIuIiEhHITdT0VnkfHZ1hpMlPK59WQwwLBGRDvkqkO8=</DigestValue>
      </Reference>
      <Reference URI="/word/media/image6.wmf?ContentType=image/x-wmf">
        <DigestMethod Algorithm="http://www.w3.org/2001/04/xmlenc#sha256"/>
        <DigestValue>bgdvInb/C2duTb7hi4/j7CBXMxskC9IVPXkE+Qb6fdE=</DigestValue>
      </Reference>
      <Reference URI="/word/media/image7.wmf?ContentType=image/x-wmf">
        <DigestMethod Algorithm="http://www.w3.org/2001/04/xmlenc#sha256"/>
        <DigestValue>DrRvk3GaxOXvxaccstaXdkGgOahSrbqcf4pRpQpGdJQ=</DigestValue>
      </Reference>
      <Reference URI="/word/media/image8.wmf?ContentType=image/x-wmf">
        <DigestMethod Algorithm="http://www.w3.org/2001/04/xmlenc#sha256"/>
        <DigestValue>agCyG/XBBJb/U+MuYJfLiPokXpBbXkWE6/Dr4k1i4KM=</DigestValue>
      </Reference>
      <Reference URI="/word/media/image9.wmf?ContentType=image/x-wmf">
        <DigestMethod Algorithm="http://www.w3.org/2001/04/xmlenc#sha256"/>
        <DigestValue>N3DEa9G1mrbTlIUzh8uS9bdeUM0ZwFtTL8hs/CpfnAE=</DigestValue>
      </Reference>
      <Reference URI="/word/numbering.xml?ContentType=application/vnd.openxmlformats-officedocument.wordprocessingml.numbering+xml">
        <DigestMethod Algorithm="http://www.w3.org/2001/04/xmlenc#sha256"/>
        <DigestValue>2WxnE/xbohmnSILMK343e8xF7M03AyauwwDdnio8Ly0=</DigestValue>
      </Reference>
      <Reference URI="/word/settings.xml?ContentType=application/vnd.openxmlformats-officedocument.wordprocessingml.settings+xml">
        <DigestMethod Algorithm="http://www.w3.org/2001/04/xmlenc#sha256"/>
        <DigestValue>hVBhaiGY85IKkkpYFGuqomShZmj7hcrZd02M/92b+dc=</DigestValue>
      </Reference>
      <Reference URI="/word/styles.xml?ContentType=application/vnd.openxmlformats-officedocument.wordprocessingml.styles+xml">
        <DigestMethod Algorithm="http://www.w3.org/2001/04/xmlenc#sha256"/>
        <DigestValue>PUD1k9iVhGh+1ofNNq7YWNJoAIUafd4SWBqiUM22l6M=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Har5xm9jl70W+b8CiD7lIQgJXk8otLgZhGuJGgGUWv0=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2023-12-04T07:10:15Z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{67F1F82F-80DB-4EC7-ADC5-CBD07271568F}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2023-12-04T07:10:15Z</xd:SigningTime>
          <xd:SigningCertificate>
            <xd:Cert>
              <xd:CertDigest>
                <DigestMethod Algorithm="http://www.w3.org/2001/04/xmlenc#sha256"/>
                <DigestValue>cHH/ccmDeXEt9hVfv/DYxV8JqwXIqwet6JFdwXAW8+M=</DigestValue>
              </xd:CertDigest>
              <xd:IssuerSerial>
                <X509IssuerName>C=BG, L=Sofia, O=Information Services JSC, OID.2.5.4.97=NTRBG-831641791, CN=StampIT Global Qualified CA</X509IssuerName>
                <X509SerialNumber>5355973197029987815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p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AHY7BLQIAAGTfsn36fwAA8Czmui0CAADQbkCl+n8AAAAAAAAAAAAAAU/qffp/AAACAAAAAAAAAAIAAAAAAAAAAAAAAAAAAAAAAAAAAAAAAKbLG9BaLAAAEFroui0CAAAgoAzGLQIAAAAAAAAAAAAAMHrZwC0CAAA4fy81AAAAAOD///8AAAAABgAAAAAAAAADAAAAAAAAAFx+LzVCAAAAsH4vNUIAAADRzRal+n8AAAAAAAAAAAAAUOtFpQAAAAAAAAAAAAAAAAuKun36fwAAMHrZwC0CAACrMhql+n8AAAB+LzVCAAAAsH4vNUIAAAAAAAAAAAAAAAAAAABkdgAIAAAAACUAAAAMAAAAAwAAABgAAAAMAAAAAAAAAhIAAAAMAAAAAQAAABYAAAAMAAAACAAAAFQAAABUAAAACgAAACcAAAAeAAAASgAAAAEAAABVFdlBewnZ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HAAAABcAAAAAQAAAFUV2UF7CdlBCgAAAFAAAAARAAAATAAAAAAAAAAAAAAAAAAAAP//////////cAAAABQENQRBBDgEQQQ7BDAEMgQwBCAAHwQ1BEIEQAQ+BDIEMAQAAAgAAAAGAAAABQAAAAcAAAAFAAAABgAAAAYAAAAGAAAABgAAAAMAAAAIAAAABgAAAAU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</Object>
  <Object Id="idInvalidSigLnImg">AQAAAGwAAAAAAAAAAAAAAP8AAAB/AAAAAAAAAAAAAAAjGwAAkQ0AACBFTUYAAAEAU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rQEAAAAAAADFAQAAAAAAANBuQKX6fwAAAAAAAAAAAAACAAAC+n8AAKAdnMEtAgAArQEAAAAAAAAAAAAAAAAAAAAAAAAAAAAAxi8b0FosAAABBAAF+n8AAK0BAAAAAAAAAAAAAAAAAAAwetnALQIAABijLzUAAAAA9f///wAAAAAJAAAAAAAAAAEAAAAAAAAAPKIvNUIAAACQoi81QgAAANHNFqX6fwAAAAAAAAAAAABQ60WlAAAAAAAAAAAAAAAAAQQABfp/AAAwetnALQIAAKsyGqX6fwAA4KEvNUIAAACQoi81QgAAAAAAAAAAAAAAAAAAAGR2AAgAAAAAJQAAAAwAAAABAAAAGAAAAAwAAAD/AAACEgAAAAwAAAABAAAAHgAAABgAAAAiAAAABAAAAHoAAAARAAAAJQAAAAwAAAABAAAAVAAAALQAAAAjAAAABAAAAHgAAAAQAAAAAQAAAFUV2UF7Cd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LzVCAAAAEEAlp/p/AAAJAAAAAQAAANBuQKX6fwAAAAAAAAAAAAAjhEV++n8AANCiDrMtAgAAAAAAAAAAAAAAAAAAAAAAAAAAAAAAAAAAdlAb0FosAAAAAAAAAAAAAP////8tAgAAAAAAAAAAAAAwetnALQIAAFDkLzUAAAAA0GG1wS0CAAAHAAAAAAAAAIDE2cAtAgAAjOMvNUIAAADg4y81QgAAANHNFqX6fwAAHgAAAAAAAABinB6YAAAAAB4AAAAAAAAAMOb8vi0CAAAwetnALQIAAKsyGqX6fwAAMOMvNUIAAADg4y81Q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B2OwS0CAABk37J9+n8AAPAs5rotAgAA0G5Apfp/AAAAAAAAAAAAAAFP6n36fwAAAgAAAAAAAAACAAAAAAAAAAAAAAAAAAAAAAAAAAAAAACmyxvQWiwAABBa6LotAgAAIKAMxi0CAAAAAAAAAAAAADB62cAtAgAAOH8vNQAAAADg////AAAAAAYAAAAAAAAAAwAAAAAAAABcfi81QgAAALB+LzVCAAAA0c0Wpfp/AAAAAAAAAAAAAFDrRaUAAAAAAAAAAAAAAAALirp9+n8AADB62cAtAgAAqzIapfp/AAAAfi81QgAAALB+LzVC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DQbkCl+n8AAAAAAAAAAAAAoVupp/p/AAAAAA2zLQIAAJl8LzVCAAAAAAAAAAAAAAAAAAAAAAAAAEbKG9BaLAAAAAAAAAAAAAAw9SbELQIAAAAAAAAAAAAAMHrZwC0CAACYfi81AAAAAPD///8AAAAACQAAAAAAAAAEAAAAAAAAALx9LzVCAAAAEH4vNUIAAADRzRal+n8AAAAAAAAAAAAAUOtFpQAAAAAAAAAAAAAAAIDE2cAtAgAAMHrZwC0CAACrMhql+n8AAGB9LzVCAAAAEH4vNUIAAAAQVCXGLQIAAAAAAABkdgAIAAAAACUAAAAMAAAABAAAABgAAAAMAAAAAAAAAhIAAAAMAAAAAQAAAB4AAAAYAAAAKQAAADMAAAAvAAAASAAAACUAAAAMAAAABAAAAFQAAABUAAAAKgAAADMAAAAtAAAARwAAAAEAAABVFdlBewnZ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wAAAAXAAAAAEAAABVFdlBewnZQQoAAABQAAAAEQAAAEwAAAAAAAAAAAAAAAAAAAD//////////3AAAAAUBDUEQQQ4BEEEOwQwBDIEMAQgAB8ENQRCBEAEPgQyBDAEAAAIAAAABgAAAAUAAAAHAAAABQAAAAYAAAAGAAAABgAAAAYAAAADAAAACAAAAAYAAAAFAAAABw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3966-BBFB-4FFA-ADB5-006963C4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4281</Words>
  <Characters>24405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Desislava E. Petrova</cp:lastModifiedBy>
  <cp:revision>3</cp:revision>
  <cp:lastPrinted>2022-03-31T16:16:00Z</cp:lastPrinted>
  <dcterms:created xsi:type="dcterms:W3CDTF">2023-12-04T07:10:00Z</dcterms:created>
  <dcterms:modified xsi:type="dcterms:W3CDTF">2023-12-04T07:10:00Z</dcterms:modified>
</cp:coreProperties>
</file>