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0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702"/>
      </w:tblGrid>
      <w:tr w:rsidR="00C975B4" w:rsidRPr="00F413E2" w:rsidTr="00B37E49">
        <w:trPr>
          <w:trHeight w:val="1883"/>
          <w:jc w:val="center"/>
        </w:trPr>
        <w:tc>
          <w:tcPr>
            <w:tcW w:w="15702" w:type="dxa"/>
            <w:shd w:val="clear" w:color="auto" w:fill="BDD6EE"/>
          </w:tcPr>
          <w:p w:rsidR="00C975B4" w:rsidRPr="004674B8" w:rsidRDefault="00CD02E0" w:rsidP="00725FD9">
            <w:pPr>
              <w:tabs>
                <w:tab w:val="left" w:pos="2190"/>
              </w:tabs>
              <w:spacing w:before="120" w:line="360" w:lineRule="auto"/>
              <w:jc w:val="center"/>
              <w:rPr>
                <w:rFonts w:ascii="Verdana" w:hAnsi="Verdana"/>
                <w:b/>
                <w:spacing w:val="50"/>
              </w:rPr>
            </w:pPr>
            <w:r w:rsidRPr="004674B8">
              <w:rPr>
                <w:rFonts w:ascii="Verdana" w:hAnsi="Verdana"/>
                <w:b/>
                <w:spacing w:val="50"/>
              </w:rPr>
              <w:t>СПРАВКА</w:t>
            </w:r>
          </w:p>
          <w:p w:rsidR="00E220AD" w:rsidRPr="002C65BA" w:rsidRDefault="0076058A" w:rsidP="00717C17">
            <w:pPr>
              <w:spacing w:line="360" w:lineRule="auto"/>
              <w:ind w:left="284" w:right="284"/>
              <w:jc w:val="center"/>
              <w:rPr>
                <w:rFonts w:ascii="Verdana" w:hAnsi="Verdana"/>
                <w:b/>
                <w:sz w:val="20"/>
                <w:szCs w:val="20"/>
                <w:lang w:val="ru-RU" w:eastAsia="en-US"/>
              </w:rPr>
            </w:pPr>
            <w:r w:rsidRPr="002C65BA">
              <w:rPr>
                <w:rFonts w:ascii="Verdana" w:hAnsi="Verdana"/>
                <w:b/>
                <w:sz w:val="20"/>
                <w:szCs w:val="20"/>
              </w:rPr>
              <w:t xml:space="preserve">ЗА ОТРАЗЯВАНЕ НА ПОСТЪПИЛИТЕ ПРЕДЛОЖЕНИЯ И СТАНОВИЩА ОТ ОБЩЕСТВЕНАТА КОНСУЛТАЦИЯ ПО </w:t>
            </w:r>
            <w:r w:rsidRPr="002C65BA">
              <w:rPr>
                <w:rFonts w:ascii="Verdana" w:hAnsi="Verdana"/>
                <w:b/>
                <w:sz w:val="20"/>
                <w:szCs w:val="20"/>
                <w:lang w:val="ru-RU" w:eastAsia="en-US"/>
              </w:rPr>
              <w:t xml:space="preserve">ПРОЕКТА НА </w:t>
            </w:r>
            <w:r w:rsidR="00717C17" w:rsidRPr="00717C17">
              <w:rPr>
                <w:rFonts w:ascii="Verdana" w:hAnsi="Verdana"/>
                <w:b/>
                <w:sz w:val="20"/>
                <w:szCs w:val="20"/>
                <w:lang w:val="ru-RU" w:eastAsia="en-US"/>
              </w:rPr>
              <w:t>НАРЕДБА ЗА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r>
    </w:tbl>
    <w:p w:rsidR="00230821" w:rsidRDefault="00230821">
      <w:pPr>
        <w:rPr>
          <w:rFonts w:ascii="Verdana" w:hAnsi="Verdana"/>
          <w:sz w:val="10"/>
          <w:szCs w:val="10"/>
        </w:rPr>
      </w:pPr>
    </w:p>
    <w:tbl>
      <w:tblPr>
        <w:tblW w:w="15735" w:type="dxa"/>
        <w:tblInd w:w="-318"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568"/>
        <w:gridCol w:w="2924"/>
        <w:gridCol w:w="5865"/>
        <w:gridCol w:w="1931"/>
        <w:gridCol w:w="4447"/>
      </w:tblGrid>
      <w:tr w:rsidR="00B37E49" w:rsidRPr="0030788E" w:rsidTr="004E559D">
        <w:trPr>
          <w:tblHeader/>
        </w:trPr>
        <w:tc>
          <w:tcPr>
            <w:tcW w:w="568" w:type="dxa"/>
            <w:tcBorders>
              <w:bottom w:val="single" w:sz="18" w:space="0" w:color="2E74B5"/>
            </w:tcBorders>
            <w:shd w:val="clear" w:color="auto" w:fill="DEEAF6"/>
            <w:vAlign w:val="center"/>
          </w:tcPr>
          <w:p w:rsidR="00B37E49" w:rsidRPr="0030788E" w:rsidRDefault="00B37E49" w:rsidP="001633B1">
            <w:pPr>
              <w:tabs>
                <w:tab w:val="left" w:pos="192"/>
              </w:tabs>
              <w:jc w:val="center"/>
              <w:rPr>
                <w:rFonts w:ascii="Verdana" w:hAnsi="Verdana"/>
                <w:b/>
                <w:sz w:val="18"/>
                <w:szCs w:val="18"/>
              </w:rPr>
            </w:pPr>
            <w:r w:rsidRPr="0030788E">
              <w:rPr>
                <w:rFonts w:ascii="Verdana" w:hAnsi="Verdana"/>
                <w:b/>
                <w:sz w:val="18"/>
                <w:szCs w:val="18"/>
              </w:rPr>
              <w:t>№</w:t>
            </w:r>
          </w:p>
        </w:tc>
        <w:tc>
          <w:tcPr>
            <w:tcW w:w="2924" w:type="dxa"/>
            <w:tcBorders>
              <w:bottom w:val="single" w:sz="18" w:space="0" w:color="2E74B5"/>
            </w:tcBorders>
            <w:shd w:val="clear" w:color="auto" w:fill="DEEAF6"/>
            <w:vAlign w:val="center"/>
          </w:tcPr>
          <w:p w:rsidR="00B37E49" w:rsidRPr="0030788E" w:rsidRDefault="00B37E49" w:rsidP="001633B1">
            <w:pPr>
              <w:spacing w:before="60"/>
              <w:jc w:val="center"/>
              <w:rPr>
                <w:rFonts w:ascii="Verdana" w:hAnsi="Verdana"/>
                <w:b/>
                <w:sz w:val="18"/>
                <w:szCs w:val="18"/>
              </w:rPr>
            </w:pPr>
            <w:r w:rsidRPr="0030788E">
              <w:rPr>
                <w:rFonts w:ascii="Verdana" w:hAnsi="Verdana"/>
                <w:b/>
                <w:sz w:val="18"/>
                <w:szCs w:val="18"/>
              </w:rPr>
              <w:t>Организация/</w:t>
            </w:r>
            <w:r>
              <w:rPr>
                <w:rFonts w:ascii="Verdana" w:hAnsi="Verdana"/>
                <w:b/>
                <w:sz w:val="18"/>
                <w:szCs w:val="18"/>
              </w:rPr>
              <w:br/>
            </w:r>
            <w:r w:rsidRPr="0030788E">
              <w:rPr>
                <w:rFonts w:ascii="Verdana" w:hAnsi="Verdana"/>
                <w:b/>
                <w:sz w:val="18"/>
                <w:szCs w:val="18"/>
              </w:rPr>
              <w:t>потребител</w:t>
            </w:r>
          </w:p>
          <w:p w:rsidR="00B37E49" w:rsidRPr="00AE686B" w:rsidRDefault="00B37E49" w:rsidP="001633B1">
            <w:pPr>
              <w:spacing w:after="40"/>
              <w:jc w:val="center"/>
              <w:rPr>
                <w:rFonts w:ascii="Verdana" w:hAnsi="Verdana"/>
                <w:b/>
                <w:sz w:val="14"/>
                <w:szCs w:val="14"/>
              </w:rPr>
            </w:pPr>
            <w:r w:rsidRPr="00AE686B">
              <w:rPr>
                <w:rFonts w:ascii="Verdana" w:hAnsi="Verdana"/>
                <w:b/>
                <w:sz w:val="14"/>
                <w:szCs w:val="14"/>
              </w:rPr>
              <w:t>(вкл. начина на получаване на предложението)</w:t>
            </w:r>
          </w:p>
        </w:tc>
        <w:tc>
          <w:tcPr>
            <w:tcW w:w="5865" w:type="dxa"/>
            <w:tcBorders>
              <w:bottom w:val="single" w:sz="18" w:space="0" w:color="2E74B5"/>
            </w:tcBorders>
            <w:shd w:val="clear" w:color="auto" w:fill="DEEAF6"/>
            <w:vAlign w:val="center"/>
          </w:tcPr>
          <w:p w:rsidR="00B37E49" w:rsidRPr="0030788E" w:rsidRDefault="00B37E49" w:rsidP="001633B1">
            <w:pPr>
              <w:jc w:val="center"/>
              <w:rPr>
                <w:rFonts w:ascii="Verdana" w:hAnsi="Verdana"/>
                <w:b/>
                <w:sz w:val="18"/>
                <w:szCs w:val="18"/>
              </w:rPr>
            </w:pPr>
            <w:r w:rsidRPr="0030788E">
              <w:rPr>
                <w:rFonts w:ascii="Verdana" w:hAnsi="Verdana"/>
                <w:b/>
                <w:sz w:val="18"/>
                <w:szCs w:val="18"/>
              </w:rPr>
              <w:t>Предложения и становища</w:t>
            </w:r>
          </w:p>
        </w:tc>
        <w:tc>
          <w:tcPr>
            <w:tcW w:w="1931" w:type="dxa"/>
            <w:tcBorders>
              <w:bottom w:val="single" w:sz="18" w:space="0" w:color="2E74B5"/>
            </w:tcBorders>
            <w:shd w:val="clear" w:color="auto" w:fill="DEEAF6"/>
            <w:vAlign w:val="center"/>
          </w:tcPr>
          <w:p w:rsidR="00B37E49" w:rsidRPr="0030788E" w:rsidRDefault="00B37E49" w:rsidP="001633B1">
            <w:pPr>
              <w:jc w:val="center"/>
              <w:rPr>
                <w:rFonts w:ascii="Verdana" w:hAnsi="Verdana"/>
                <w:b/>
                <w:sz w:val="18"/>
                <w:szCs w:val="18"/>
              </w:rPr>
            </w:pPr>
            <w:r w:rsidRPr="0030788E">
              <w:rPr>
                <w:rFonts w:ascii="Verdana" w:hAnsi="Verdana"/>
                <w:b/>
                <w:sz w:val="18"/>
                <w:szCs w:val="18"/>
              </w:rPr>
              <w:t>Приети/</w:t>
            </w:r>
          </w:p>
          <w:p w:rsidR="00B37E49" w:rsidRPr="0030788E" w:rsidRDefault="00B37E49" w:rsidP="001633B1">
            <w:pPr>
              <w:jc w:val="center"/>
              <w:rPr>
                <w:rFonts w:ascii="Verdana" w:hAnsi="Verdana"/>
                <w:b/>
                <w:sz w:val="18"/>
                <w:szCs w:val="18"/>
              </w:rPr>
            </w:pPr>
            <w:r w:rsidRPr="0030788E">
              <w:rPr>
                <w:rFonts w:ascii="Verdana" w:hAnsi="Verdana"/>
                <w:b/>
                <w:sz w:val="18"/>
                <w:szCs w:val="18"/>
              </w:rPr>
              <w:t>неприети</w:t>
            </w:r>
          </w:p>
        </w:tc>
        <w:tc>
          <w:tcPr>
            <w:tcW w:w="4447" w:type="dxa"/>
            <w:tcBorders>
              <w:bottom w:val="single" w:sz="18" w:space="0" w:color="2E74B5"/>
            </w:tcBorders>
            <w:shd w:val="clear" w:color="auto" w:fill="DEEAF6"/>
            <w:vAlign w:val="center"/>
          </w:tcPr>
          <w:p w:rsidR="00B37E49" w:rsidRPr="0030788E" w:rsidRDefault="00B37E49" w:rsidP="001633B1">
            <w:pPr>
              <w:jc w:val="center"/>
              <w:rPr>
                <w:rFonts w:ascii="Verdana" w:hAnsi="Verdana"/>
                <w:sz w:val="18"/>
                <w:szCs w:val="18"/>
              </w:rPr>
            </w:pPr>
            <w:r w:rsidRPr="0030788E">
              <w:rPr>
                <w:rFonts w:ascii="Verdana" w:hAnsi="Verdana"/>
                <w:b/>
                <w:sz w:val="18"/>
                <w:szCs w:val="18"/>
              </w:rPr>
              <w:t>Мотиви</w:t>
            </w:r>
          </w:p>
        </w:tc>
      </w:tr>
      <w:tr w:rsidR="004E559D" w:rsidRPr="0030788E" w:rsidTr="008F0C06">
        <w:trPr>
          <w:trHeight w:val="200"/>
        </w:trPr>
        <w:tc>
          <w:tcPr>
            <w:tcW w:w="568" w:type="dxa"/>
            <w:tcBorders>
              <w:bottom w:val="nil"/>
            </w:tcBorders>
            <w:shd w:val="clear" w:color="auto" w:fill="auto"/>
          </w:tcPr>
          <w:p w:rsidR="004E559D" w:rsidRPr="006C0D43" w:rsidRDefault="004E559D" w:rsidP="006C0D43">
            <w:pPr>
              <w:pStyle w:val="ListParagraph"/>
              <w:numPr>
                <w:ilvl w:val="0"/>
                <w:numId w:val="32"/>
              </w:numPr>
              <w:tabs>
                <w:tab w:val="left" w:pos="192"/>
              </w:tabs>
              <w:spacing w:before="80" w:after="40"/>
              <w:jc w:val="center"/>
              <w:rPr>
                <w:rFonts w:ascii="Verdana" w:hAnsi="Verdana"/>
                <w:b/>
                <w:sz w:val="20"/>
                <w:szCs w:val="20"/>
              </w:rPr>
            </w:pPr>
          </w:p>
        </w:tc>
        <w:tc>
          <w:tcPr>
            <w:tcW w:w="2924" w:type="dxa"/>
            <w:vMerge w:val="restart"/>
            <w:shd w:val="clear" w:color="auto" w:fill="auto"/>
          </w:tcPr>
          <w:p w:rsidR="004E559D" w:rsidRPr="00701CD0" w:rsidRDefault="004E559D" w:rsidP="00701CD0">
            <w:pPr>
              <w:spacing w:before="80" w:after="40"/>
              <w:rPr>
                <w:rFonts w:ascii="Verdana" w:hAnsi="Verdana"/>
                <w:b/>
                <w:sz w:val="20"/>
                <w:szCs w:val="20"/>
                <w:lang w:val="ru-RU"/>
              </w:rPr>
            </w:pPr>
            <w:r>
              <w:rPr>
                <w:rFonts w:ascii="Verdana" w:hAnsi="Verdana"/>
                <w:b/>
                <w:sz w:val="20"/>
                <w:szCs w:val="20"/>
              </w:rPr>
              <w:t>Н</w:t>
            </w:r>
            <w:r w:rsidRPr="00954AB8">
              <w:rPr>
                <w:rFonts w:ascii="Verdana" w:hAnsi="Verdana"/>
                <w:b/>
                <w:sz w:val="20"/>
                <w:szCs w:val="20"/>
                <w:lang w:val="ru-RU"/>
              </w:rPr>
              <w:t>ационална а</w:t>
            </w:r>
            <w:r>
              <w:rPr>
                <w:rFonts w:ascii="Verdana" w:hAnsi="Verdana"/>
                <w:b/>
                <w:sz w:val="20"/>
                <w:szCs w:val="20"/>
                <w:lang w:val="ru-RU"/>
              </w:rPr>
              <w:t xml:space="preserve">социация на зърнопроизводителите </w:t>
            </w:r>
            <w:r w:rsidRPr="00216225">
              <w:rPr>
                <w:rFonts w:ascii="Verdana" w:hAnsi="Verdana"/>
                <w:sz w:val="20"/>
                <w:szCs w:val="20"/>
                <w:lang w:val="ru-RU"/>
              </w:rPr>
              <w:t>(Получено по електронен път на 10.11.2023 г.)</w:t>
            </w:r>
          </w:p>
        </w:tc>
        <w:tc>
          <w:tcPr>
            <w:tcW w:w="5865" w:type="dxa"/>
            <w:tcBorders>
              <w:bottom w:val="nil"/>
            </w:tcBorders>
            <w:shd w:val="clear" w:color="auto" w:fill="auto"/>
          </w:tcPr>
          <w:p w:rsidR="004E559D" w:rsidRPr="006A34CB" w:rsidRDefault="004E559D" w:rsidP="00954AB8">
            <w:pPr>
              <w:jc w:val="both"/>
              <w:rPr>
                <w:rFonts w:ascii="Verdana" w:hAnsi="Verdana"/>
                <w:sz w:val="20"/>
                <w:szCs w:val="20"/>
                <w:lang w:val="ru-RU"/>
              </w:rPr>
            </w:pPr>
            <w:r w:rsidRPr="00954AB8">
              <w:rPr>
                <w:rFonts w:ascii="Verdana" w:hAnsi="Verdana"/>
                <w:sz w:val="20"/>
                <w:szCs w:val="20"/>
                <w:lang w:val="ru-RU"/>
              </w:rPr>
              <w:t>По отношение § 1 т. 48 и 49:</w:t>
            </w:r>
          </w:p>
        </w:tc>
        <w:tc>
          <w:tcPr>
            <w:tcW w:w="1931" w:type="dxa"/>
            <w:tcBorders>
              <w:bottom w:val="nil"/>
            </w:tcBorders>
            <w:shd w:val="clear" w:color="auto" w:fill="auto"/>
          </w:tcPr>
          <w:p w:rsidR="004E559D" w:rsidRPr="006A34CB" w:rsidRDefault="004E559D" w:rsidP="001633B1">
            <w:pPr>
              <w:spacing w:before="80" w:after="40"/>
              <w:rPr>
                <w:rFonts w:ascii="Verdana" w:hAnsi="Verdana"/>
                <w:sz w:val="20"/>
                <w:szCs w:val="20"/>
              </w:rPr>
            </w:pPr>
          </w:p>
        </w:tc>
        <w:tc>
          <w:tcPr>
            <w:tcW w:w="4447" w:type="dxa"/>
            <w:tcBorders>
              <w:bottom w:val="nil"/>
            </w:tcBorders>
            <w:shd w:val="clear" w:color="auto" w:fill="auto"/>
          </w:tcPr>
          <w:p w:rsidR="004E559D" w:rsidRPr="0030788E" w:rsidRDefault="004E559D" w:rsidP="001633B1">
            <w:pPr>
              <w:spacing w:before="80" w:after="40"/>
              <w:rPr>
                <w:rFonts w:ascii="Verdana" w:hAnsi="Verdana"/>
                <w:sz w:val="20"/>
                <w:szCs w:val="20"/>
              </w:rPr>
            </w:pPr>
          </w:p>
        </w:tc>
      </w:tr>
      <w:tr w:rsidR="009802F2" w:rsidRPr="0030788E" w:rsidTr="008F0C06">
        <w:trPr>
          <w:trHeight w:val="200"/>
        </w:trPr>
        <w:tc>
          <w:tcPr>
            <w:tcW w:w="568" w:type="dxa"/>
            <w:tcBorders>
              <w:top w:val="nil"/>
              <w:bottom w:val="nil"/>
            </w:tcBorders>
            <w:shd w:val="clear" w:color="auto" w:fill="auto"/>
          </w:tcPr>
          <w:p w:rsidR="009802F2" w:rsidRPr="004E559D" w:rsidRDefault="009802F2" w:rsidP="009802F2">
            <w:pPr>
              <w:tabs>
                <w:tab w:val="left" w:pos="192"/>
              </w:tabs>
              <w:spacing w:before="80" w:after="40"/>
              <w:jc w:val="center"/>
              <w:rPr>
                <w:rFonts w:ascii="Verdana" w:hAnsi="Verdana"/>
                <w:b/>
                <w:sz w:val="20"/>
                <w:szCs w:val="20"/>
              </w:rPr>
            </w:pPr>
          </w:p>
        </w:tc>
        <w:tc>
          <w:tcPr>
            <w:tcW w:w="2924" w:type="dxa"/>
            <w:vMerge/>
            <w:tcBorders>
              <w:bottom w:val="nil"/>
            </w:tcBorders>
            <w:shd w:val="clear" w:color="auto" w:fill="auto"/>
          </w:tcPr>
          <w:p w:rsidR="009802F2" w:rsidRPr="00B72BD4" w:rsidRDefault="009802F2" w:rsidP="009802F2">
            <w:pPr>
              <w:spacing w:before="80" w:after="40"/>
              <w:rPr>
                <w:rFonts w:ascii="Verdana" w:hAnsi="Verdana"/>
                <w:sz w:val="20"/>
                <w:szCs w:val="20"/>
                <w:lang w:val="ru-RU"/>
              </w:rPr>
            </w:pPr>
          </w:p>
        </w:tc>
        <w:tc>
          <w:tcPr>
            <w:tcW w:w="5865" w:type="dxa"/>
            <w:tcBorders>
              <w:top w:val="nil"/>
              <w:bottom w:val="nil"/>
            </w:tcBorders>
            <w:shd w:val="clear" w:color="auto" w:fill="auto"/>
          </w:tcPr>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 xml:space="preserve">НАЗ счита, че разписаните текстове в § 1 т. 48 и т. 49 за разясняването на понятията „несъответствие“ и „неубедителни доказателства за несъответствие“ имат идентично значение.  </w:t>
            </w:r>
          </w:p>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48. „Несъответствие“ е резултат от системата на мониторинг на площ, кодиран в „червен“ цвят, за наличие на убедителни доказателства за несъответствие между декларираните данни и данните, получени като резултат от автоматизираните процедури от наблюдението на системата за дадено монитируемо условие за допустимост.</w:t>
            </w:r>
          </w:p>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49. „Неубедителни доказателства за несъответствие“ е резултат от системата на мониторинг на площ, кодиран в „жълт“ цвят, за наличие на ясни и конкретни доказателства за несъответствие между декларираните данни и данните, получени като резултат от автоматизирани процедури от наблюдението на системата за дадено монитируемо условие за допустимост.“</w:t>
            </w:r>
          </w:p>
        </w:tc>
        <w:tc>
          <w:tcPr>
            <w:tcW w:w="1931" w:type="dxa"/>
            <w:tcBorders>
              <w:top w:val="nil"/>
              <w:bottom w:val="nil"/>
            </w:tcBorders>
            <w:shd w:val="clear" w:color="auto" w:fill="auto"/>
          </w:tcPr>
          <w:p w:rsidR="009802F2" w:rsidRPr="00954AB8" w:rsidRDefault="009802F2" w:rsidP="009802F2">
            <w:pPr>
              <w:spacing w:before="80" w:after="40"/>
              <w:rPr>
                <w:rFonts w:ascii="Verdana" w:hAnsi="Verdana"/>
                <w:color w:val="FF0000"/>
                <w:sz w:val="20"/>
                <w:szCs w:val="20"/>
              </w:rPr>
            </w:pPr>
            <w:r w:rsidRPr="008D6DC9">
              <w:rPr>
                <w:rFonts w:ascii="Verdana" w:hAnsi="Verdana"/>
                <w:color w:val="000000" w:themeColor="text1"/>
                <w:sz w:val="20"/>
                <w:szCs w:val="20"/>
              </w:rPr>
              <w:t>Приема се по принцип.</w:t>
            </w:r>
          </w:p>
        </w:tc>
        <w:tc>
          <w:tcPr>
            <w:tcW w:w="4447" w:type="dxa"/>
            <w:tcBorders>
              <w:top w:val="nil"/>
              <w:bottom w:val="nil"/>
            </w:tcBorders>
            <w:shd w:val="clear" w:color="auto" w:fill="auto"/>
          </w:tcPr>
          <w:p w:rsidR="009802F2" w:rsidRPr="0030788E" w:rsidRDefault="009802F2" w:rsidP="00483C29">
            <w:pPr>
              <w:spacing w:before="80" w:after="40"/>
              <w:jc w:val="both"/>
              <w:rPr>
                <w:rFonts w:ascii="Verdana" w:hAnsi="Verdana"/>
                <w:sz w:val="20"/>
                <w:szCs w:val="20"/>
              </w:rPr>
            </w:pPr>
            <w:r w:rsidRPr="009802F2">
              <w:rPr>
                <w:rFonts w:ascii="Verdana" w:hAnsi="Verdana"/>
                <w:sz w:val="20"/>
                <w:szCs w:val="20"/>
              </w:rPr>
              <w:t>Текстът е променен в съответствие с предложение на Държавен фонд „Земеделие“.</w:t>
            </w:r>
          </w:p>
        </w:tc>
      </w:tr>
      <w:tr w:rsidR="00B37E49" w:rsidRPr="0030788E" w:rsidTr="004E559D">
        <w:trPr>
          <w:trHeight w:val="200"/>
        </w:trPr>
        <w:tc>
          <w:tcPr>
            <w:tcW w:w="568" w:type="dxa"/>
            <w:tcBorders>
              <w:top w:val="nil"/>
              <w:bottom w:val="nil"/>
            </w:tcBorders>
            <w:shd w:val="clear" w:color="auto" w:fill="auto"/>
          </w:tcPr>
          <w:p w:rsidR="00B37E49" w:rsidRPr="004E559D" w:rsidRDefault="00B37E49" w:rsidP="004E559D">
            <w:pPr>
              <w:tabs>
                <w:tab w:val="left" w:pos="192"/>
              </w:tabs>
              <w:spacing w:before="80" w:after="40"/>
              <w:jc w:val="center"/>
              <w:rPr>
                <w:rFonts w:ascii="Verdana" w:hAnsi="Verdana"/>
                <w:b/>
                <w:sz w:val="20"/>
                <w:szCs w:val="20"/>
              </w:rPr>
            </w:pPr>
          </w:p>
        </w:tc>
        <w:tc>
          <w:tcPr>
            <w:tcW w:w="2924" w:type="dxa"/>
            <w:tcBorders>
              <w:top w:val="nil"/>
              <w:bottom w:val="nil"/>
            </w:tcBorders>
            <w:shd w:val="clear" w:color="auto" w:fill="auto"/>
          </w:tcPr>
          <w:p w:rsidR="00B37E49" w:rsidRPr="00B72BD4" w:rsidRDefault="00B37E49" w:rsidP="001633B1">
            <w:pPr>
              <w:spacing w:before="80" w:after="40"/>
              <w:rPr>
                <w:rFonts w:ascii="Verdana" w:hAnsi="Verdana"/>
                <w:sz w:val="20"/>
                <w:szCs w:val="20"/>
                <w:lang w:val="ru-RU"/>
              </w:rPr>
            </w:pPr>
          </w:p>
        </w:tc>
        <w:tc>
          <w:tcPr>
            <w:tcW w:w="5865" w:type="dxa"/>
            <w:tcBorders>
              <w:top w:val="nil"/>
              <w:bottom w:val="nil"/>
            </w:tcBorders>
            <w:shd w:val="clear" w:color="auto" w:fill="auto"/>
          </w:tcPr>
          <w:p w:rsidR="00B37E49" w:rsidRPr="006A34CB" w:rsidRDefault="00954AB8" w:rsidP="00954AB8">
            <w:pPr>
              <w:jc w:val="both"/>
              <w:rPr>
                <w:rFonts w:ascii="Verdana" w:hAnsi="Verdana"/>
                <w:sz w:val="20"/>
                <w:szCs w:val="20"/>
                <w:lang w:val="ru-RU"/>
              </w:rPr>
            </w:pPr>
            <w:r w:rsidRPr="00954AB8">
              <w:rPr>
                <w:rFonts w:ascii="Verdana" w:hAnsi="Verdana"/>
                <w:sz w:val="20"/>
                <w:szCs w:val="20"/>
                <w:lang w:val="ru-RU"/>
              </w:rPr>
              <w:t xml:space="preserve">По отношение на т. 49 не е рационално понятието „неубедителни доказателства за несъответствие“ да се пояснява с „наличие на ясни и конкретни доказателства за несъответствие“, липсва логика и се стига до противоречие. НАЗ предлага </w:t>
            </w:r>
            <w:r w:rsidRPr="00954AB8">
              <w:rPr>
                <w:rFonts w:ascii="Verdana" w:hAnsi="Verdana"/>
                <w:sz w:val="20"/>
                <w:szCs w:val="20"/>
                <w:lang w:val="ru-RU"/>
              </w:rPr>
              <w:lastRenderedPageBreak/>
              <w:t>пояснението да бъде прецизирано, например: „наличие на недостатъчно ясни и конкретни доказателства за несъответствие“ или „наличие на противоречиви/неизяснени доказателства за несъответствие“.</w:t>
            </w:r>
          </w:p>
        </w:tc>
        <w:tc>
          <w:tcPr>
            <w:tcW w:w="1931" w:type="dxa"/>
            <w:tcBorders>
              <w:top w:val="nil"/>
              <w:bottom w:val="nil"/>
            </w:tcBorders>
            <w:shd w:val="clear" w:color="auto" w:fill="auto"/>
          </w:tcPr>
          <w:p w:rsidR="00B37E49" w:rsidRPr="006A34CB" w:rsidRDefault="00B37E49" w:rsidP="001633B1">
            <w:pPr>
              <w:spacing w:before="80" w:after="40"/>
              <w:rPr>
                <w:rFonts w:ascii="Verdana" w:hAnsi="Verdana"/>
                <w:sz w:val="20"/>
                <w:szCs w:val="20"/>
              </w:rPr>
            </w:pPr>
          </w:p>
        </w:tc>
        <w:tc>
          <w:tcPr>
            <w:tcW w:w="4447" w:type="dxa"/>
            <w:tcBorders>
              <w:top w:val="nil"/>
              <w:bottom w:val="nil"/>
            </w:tcBorders>
            <w:shd w:val="clear" w:color="auto" w:fill="auto"/>
          </w:tcPr>
          <w:p w:rsidR="00B37E49" w:rsidRPr="0030788E" w:rsidRDefault="00B37E49" w:rsidP="001633B1">
            <w:pPr>
              <w:spacing w:before="80" w:after="40"/>
              <w:rPr>
                <w:rFonts w:ascii="Verdana" w:hAnsi="Verdana"/>
                <w:sz w:val="20"/>
                <w:szCs w:val="20"/>
              </w:rPr>
            </w:pPr>
          </w:p>
        </w:tc>
      </w:tr>
      <w:tr w:rsidR="009802F2" w:rsidRPr="0030788E" w:rsidTr="004E559D">
        <w:trPr>
          <w:trHeight w:val="200"/>
        </w:trPr>
        <w:tc>
          <w:tcPr>
            <w:tcW w:w="568" w:type="dxa"/>
            <w:tcBorders>
              <w:top w:val="nil"/>
              <w:bottom w:val="nil"/>
            </w:tcBorders>
            <w:shd w:val="clear" w:color="auto" w:fill="auto"/>
          </w:tcPr>
          <w:p w:rsidR="009802F2" w:rsidRPr="004E559D" w:rsidRDefault="009802F2" w:rsidP="009802F2">
            <w:pPr>
              <w:tabs>
                <w:tab w:val="left" w:pos="192"/>
              </w:tabs>
              <w:spacing w:before="80" w:after="40"/>
              <w:jc w:val="center"/>
              <w:rPr>
                <w:rFonts w:ascii="Verdana" w:hAnsi="Verdana"/>
                <w:b/>
                <w:sz w:val="20"/>
                <w:szCs w:val="20"/>
              </w:rPr>
            </w:pPr>
          </w:p>
        </w:tc>
        <w:tc>
          <w:tcPr>
            <w:tcW w:w="2924" w:type="dxa"/>
            <w:tcBorders>
              <w:top w:val="nil"/>
              <w:bottom w:val="nil"/>
            </w:tcBorders>
            <w:shd w:val="clear" w:color="auto" w:fill="auto"/>
          </w:tcPr>
          <w:p w:rsidR="009802F2" w:rsidRPr="00B72BD4" w:rsidRDefault="009802F2" w:rsidP="009802F2">
            <w:pPr>
              <w:spacing w:before="80" w:after="40"/>
              <w:rPr>
                <w:rFonts w:ascii="Verdana" w:hAnsi="Verdana"/>
                <w:sz w:val="20"/>
                <w:szCs w:val="20"/>
                <w:lang w:val="ru-RU"/>
              </w:rPr>
            </w:pPr>
          </w:p>
        </w:tc>
        <w:tc>
          <w:tcPr>
            <w:tcW w:w="5865" w:type="dxa"/>
            <w:tcBorders>
              <w:top w:val="nil"/>
              <w:bottom w:val="nil"/>
            </w:tcBorders>
            <w:shd w:val="clear" w:color="auto" w:fill="auto"/>
          </w:tcPr>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По отношение на чл. 55, ал. 3:</w:t>
            </w:r>
          </w:p>
          <w:p w:rsidR="009802F2" w:rsidRPr="0027125E" w:rsidRDefault="009802F2" w:rsidP="009802F2">
            <w:pPr>
              <w:jc w:val="both"/>
              <w:rPr>
                <w:rFonts w:ascii="Verdana" w:hAnsi="Verdana"/>
                <w:sz w:val="20"/>
                <w:szCs w:val="20"/>
                <w:lang w:val="ru-RU"/>
              </w:rPr>
            </w:pPr>
            <w:r w:rsidRPr="00954AB8">
              <w:rPr>
                <w:rFonts w:ascii="Verdana" w:hAnsi="Verdana"/>
                <w:sz w:val="20"/>
                <w:szCs w:val="20"/>
                <w:lang w:val="ru-RU"/>
              </w:rPr>
              <w:t>В чл. 55, ал. 3 е предвидено, че опожарени площи, за които е установен пожар, възникнал извън парцела и/или пожар от топлинно самозапалване или друго природно явление се считат за допустими, в случай че събитието е доказано от орган за пожарната и аварийната безопасност.</w:t>
            </w:r>
          </w:p>
        </w:tc>
        <w:tc>
          <w:tcPr>
            <w:tcW w:w="1931" w:type="dxa"/>
            <w:tcBorders>
              <w:top w:val="nil"/>
              <w:bottom w:val="nil"/>
            </w:tcBorders>
            <w:shd w:val="clear" w:color="auto" w:fill="auto"/>
          </w:tcPr>
          <w:p w:rsidR="009802F2" w:rsidRPr="00954AB8" w:rsidRDefault="009802F2" w:rsidP="009802F2">
            <w:pPr>
              <w:spacing w:before="80" w:after="40"/>
              <w:rPr>
                <w:rFonts w:ascii="Verdana" w:hAnsi="Verdana"/>
                <w:color w:val="FF0000"/>
                <w:sz w:val="20"/>
                <w:szCs w:val="20"/>
              </w:rPr>
            </w:pPr>
            <w:r w:rsidRPr="008D6DC9">
              <w:rPr>
                <w:rFonts w:ascii="Verdana" w:hAnsi="Verdana"/>
                <w:color w:val="000000" w:themeColor="text1"/>
                <w:sz w:val="20"/>
                <w:szCs w:val="20"/>
              </w:rPr>
              <w:t>Приема се по принцип.</w:t>
            </w:r>
          </w:p>
        </w:tc>
        <w:tc>
          <w:tcPr>
            <w:tcW w:w="4447" w:type="dxa"/>
            <w:tcBorders>
              <w:top w:val="nil"/>
              <w:bottom w:val="nil"/>
            </w:tcBorders>
            <w:shd w:val="clear" w:color="auto" w:fill="auto"/>
          </w:tcPr>
          <w:p w:rsidR="009802F2" w:rsidRPr="0030788E" w:rsidRDefault="009802F2" w:rsidP="009802F2">
            <w:pPr>
              <w:spacing w:before="80" w:after="40"/>
              <w:jc w:val="both"/>
              <w:rPr>
                <w:rFonts w:ascii="Verdana" w:hAnsi="Verdana"/>
                <w:sz w:val="20"/>
                <w:szCs w:val="20"/>
              </w:rPr>
            </w:pPr>
            <w:r w:rsidRPr="009802F2">
              <w:rPr>
                <w:rFonts w:ascii="Verdana" w:hAnsi="Verdana"/>
                <w:sz w:val="20"/>
                <w:szCs w:val="20"/>
              </w:rPr>
              <w:t>Предложението ще бъде отразено при следващо изменение и допълнение на цитираните нормативни актове.</w:t>
            </w:r>
          </w:p>
        </w:tc>
      </w:tr>
      <w:tr w:rsidR="009802F2" w:rsidRPr="0030788E" w:rsidTr="004E559D">
        <w:trPr>
          <w:trHeight w:val="200"/>
        </w:trPr>
        <w:tc>
          <w:tcPr>
            <w:tcW w:w="568" w:type="dxa"/>
            <w:vMerge w:val="restart"/>
            <w:tcBorders>
              <w:top w:val="nil"/>
            </w:tcBorders>
            <w:shd w:val="clear" w:color="auto" w:fill="auto"/>
          </w:tcPr>
          <w:p w:rsidR="009802F2" w:rsidRPr="004E559D" w:rsidRDefault="009802F2" w:rsidP="009802F2">
            <w:pPr>
              <w:tabs>
                <w:tab w:val="left" w:pos="192"/>
              </w:tabs>
              <w:spacing w:before="80" w:after="40"/>
              <w:jc w:val="center"/>
              <w:rPr>
                <w:rFonts w:ascii="Verdana" w:hAnsi="Verdana"/>
                <w:b/>
                <w:sz w:val="20"/>
                <w:szCs w:val="20"/>
              </w:rPr>
            </w:pPr>
          </w:p>
        </w:tc>
        <w:tc>
          <w:tcPr>
            <w:tcW w:w="2924" w:type="dxa"/>
            <w:vMerge w:val="restart"/>
            <w:tcBorders>
              <w:top w:val="nil"/>
            </w:tcBorders>
            <w:shd w:val="clear" w:color="auto" w:fill="auto"/>
          </w:tcPr>
          <w:p w:rsidR="009802F2" w:rsidRPr="00B72BD4" w:rsidRDefault="009802F2" w:rsidP="009802F2">
            <w:pPr>
              <w:spacing w:before="80" w:after="40"/>
              <w:rPr>
                <w:rFonts w:ascii="Verdana" w:hAnsi="Verdana"/>
                <w:sz w:val="20"/>
                <w:szCs w:val="20"/>
                <w:lang w:val="ru-RU"/>
              </w:rPr>
            </w:pPr>
          </w:p>
        </w:tc>
        <w:tc>
          <w:tcPr>
            <w:tcW w:w="5865" w:type="dxa"/>
            <w:tcBorders>
              <w:top w:val="nil"/>
              <w:bottom w:val="nil"/>
            </w:tcBorders>
            <w:shd w:val="clear" w:color="auto" w:fill="auto"/>
          </w:tcPr>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От друга страна, в Наредба № 4 от 30 март 2023 г. за условията и реда за подаване на заявления за подпомагане по интервенции за подпомагане на площ и за животни в чл. 19 е предвиден ред за уведомяване на ДФЗ-РА от страна на кандидата, но само в случаите на форсмажорно обстоятелство, както следва:</w:t>
            </w:r>
          </w:p>
          <w:p w:rsidR="009802F2" w:rsidRPr="0027125E" w:rsidRDefault="009802F2" w:rsidP="009802F2">
            <w:pPr>
              <w:jc w:val="both"/>
              <w:rPr>
                <w:rFonts w:ascii="Verdana" w:hAnsi="Verdana"/>
                <w:sz w:val="20"/>
                <w:szCs w:val="20"/>
                <w:lang w:val="ru-RU"/>
              </w:rPr>
            </w:pPr>
            <w:r w:rsidRPr="00954AB8">
              <w:rPr>
                <w:rFonts w:ascii="Verdana" w:hAnsi="Verdana"/>
                <w:sz w:val="20"/>
                <w:szCs w:val="20"/>
                <w:lang w:val="ru-RU"/>
              </w:rPr>
              <w:t xml:space="preserve">Чл. 19. При настъпване на форсмажорно събитие кандидатът за подпомагане упълномощено от него лице или негов наследник уведомява ДФЗ за наличието му в срок до 15 работни дни от датата на прекратяване на фактическото събитие, с изключение на случаите на смърт на бенефициента, в които уведомяването се извършва от наследника в срок, в който е в състояние да направи това, но не по-късно от една година от датата на смъртта. Кандидатът, негов наследник и/или упълномощено от кандидата лице попълва чрез СЕУ или в ОПСМП на ДФЗ формуляр заедно с декларация, с която се задължава да представи документ, доказващ форсмажорното обстоятелство и за началната и крайната му дата, издаден от оторизираната за това </w:t>
            </w:r>
            <w:r w:rsidRPr="00954AB8">
              <w:rPr>
                <w:rFonts w:ascii="Verdana" w:hAnsi="Verdana"/>
                <w:sz w:val="20"/>
                <w:szCs w:val="20"/>
                <w:lang w:val="ru-RU"/>
              </w:rPr>
              <w:lastRenderedPageBreak/>
              <w:t>институция.</w:t>
            </w:r>
          </w:p>
        </w:tc>
        <w:tc>
          <w:tcPr>
            <w:tcW w:w="1931" w:type="dxa"/>
            <w:tcBorders>
              <w:top w:val="nil"/>
              <w:bottom w:val="nil"/>
            </w:tcBorders>
            <w:shd w:val="clear" w:color="auto" w:fill="auto"/>
          </w:tcPr>
          <w:p w:rsidR="009802F2" w:rsidRPr="00841034" w:rsidRDefault="009802F2" w:rsidP="009802F2">
            <w:pPr>
              <w:spacing w:before="80" w:after="40"/>
              <w:rPr>
                <w:rFonts w:ascii="Verdana" w:hAnsi="Verdana"/>
                <w:sz w:val="20"/>
                <w:szCs w:val="20"/>
                <w:lang w:val="ru-RU"/>
              </w:rPr>
            </w:pPr>
          </w:p>
        </w:tc>
        <w:tc>
          <w:tcPr>
            <w:tcW w:w="4447" w:type="dxa"/>
            <w:tcBorders>
              <w:top w:val="nil"/>
              <w:bottom w:val="nil"/>
            </w:tcBorders>
            <w:shd w:val="clear" w:color="auto" w:fill="auto"/>
          </w:tcPr>
          <w:p w:rsidR="009802F2" w:rsidRPr="00841034" w:rsidRDefault="009802F2" w:rsidP="009802F2">
            <w:pPr>
              <w:spacing w:before="80" w:after="40"/>
              <w:jc w:val="both"/>
              <w:rPr>
                <w:rFonts w:ascii="Verdana" w:hAnsi="Verdana"/>
                <w:sz w:val="20"/>
                <w:szCs w:val="20"/>
                <w:lang w:val="ru-RU"/>
              </w:rPr>
            </w:pPr>
          </w:p>
        </w:tc>
      </w:tr>
      <w:tr w:rsidR="009802F2" w:rsidRPr="0030788E" w:rsidTr="00332FA4">
        <w:trPr>
          <w:trHeight w:val="200"/>
        </w:trPr>
        <w:tc>
          <w:tcPr>
            <w:tcW w:w="568" w:type="dxa"/>
            <w:vMerge/>
            <w:shd w:val="clear" w:color="auto" w:fill="auto"/>
          </w:tcPr>
          <w:p w:rsidR="009802F2" w:rsidRPr="000C00DF" w:rsidRDefault="009802F2" w:rsidP="009802F2">
            <w:pPr>
              <w:pStyle w:val="ListParagraph"/>
              <w:numPr>
                <w:ilvl w:val="0"/>
                <w:numId w:val="29"/>
              </w:numPr>
              <w:tabs>
                <w:tab w:val="left" w:pos="192"/>
              </w:tabs>
              <w:spacing w:before="80" w:after="40"/>
              <w:ind w:left="0"/>
              <w:jc w:val="center"/>
              <w:rPr>
                <w:rFonts w:ascii="Verdana" w:hAnsi="Verdana"/>
                <w:b/>
                <w:sz w:val="20"/>
                <w:szCs w:val="20"/>
              </w:rPr>
            </w:pPr>
          </w:p>
        </w:tc>
        <w:tc>
          <w:tcPr>
            <w:tcW w:w="2924" w:type="dxa"/>
            <w:vMerge/>
            <w:shd w:val="clear" w:color="auto" w:fill="auto"/>
          </w:tcPr>
          <w:p w:rsidR="009802F2" w:rsidRPr="00B72BD4" w:rsidRDefault="009802F2" w:rsidP="009802F2">
            <w:pPr>
              <w:spacing w:before="80" w:after="40"/>
              <w:rPr>
                <w:rFonts w:ascii="Verdana" w:hAnsi="Verdana"/>
                <w:sz w:val="20"/>
                <w:szCs w:val="20"/>
                <w:lang w:val="ru-RU"/>
              </w:rPr>
            </w:pPr>
          </w:p>
        </w:tc>
        <w:tc>
          <w:tcPr>
            <w:tcW w:w="5865" w:type="dxa"/>
            <w:tcBorders>
              <w:top w:val="nil"/>
              <w:bottom w:val="nil"/>
            </w:tcBorders>
            <w:shd w:val="clear" w:color="auto" w:fill="auto"/>
          </w:tcPr>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В същата Наредба 4 формулировката за форсмажорни обстоятелства не обхваща „природно явление“, а само „тежко природно бедствие или тежко метеорологично събитие“, а също така не обхваща и хипотезата за възникнал пожар извън заявения парцел.</w:t>
            </w:r>
          </w:p>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3. „Форсмажорни обстоятелства“ са:</w:t>
            </w:r>
          </w:p>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а) тежко природно бедствие или тежко метеорологично събитие, които са засегнали стопанството;</w:t>
            </w:r>
          </w:p>
          <w:p w:rsidR="009802F2" w:rsidRPr="0027125E" w:rsidRDefault="009802F2" w:rsidP="009802F2">
            <w:pPr>
              <w:jc w:val="both"/>
              <w:rPr>
                <w:rFonts w:ascii="Verdana" w:hAnsi="Verdana"/>
                <w:sz w:val="20"/>
                <w:szCs w:val="20"/>
                <w:lang w:val="ru-RU"/>
              </w:rPr>
            </w:pPr>
            <w:r w:rsidRPr="00954AB8">
              <w:rPr>
                <w:rFonts w:ascii="Verdana" w:hAnsi="Verdana"/>
                <w:sz w:val="20"/>
                <w:szCs w:val="20"/>
                <w:lang w:val="ru-RU"/>
              </w:rPr>
              <w:t>От цитираните по-горе формулировки е видно, че пожари по чл. 55, ал. 3, т. 2, буква б) от НАРЕДБА № 3 от 10 март 2023 г. са извън обхвата на форсмажорни събития съгласно НАРЕДБА № 4 от 30 март 2023 г. и за тях не се прилага предвиденият ред за форсмажорни обстоятелства.</w:t>
            </w:r>
          </w:p>
        </w:tc>
        <w:tc>
          <w:tcPr>
            <w:tcW w:w="1931" w:type="dxa"/>
            <w:tcBorders>
              <w:top w:val="nil"/>
              <w:bottom w:val="nil"/>
            </w:tcBorders>
            <w:shd w:val="clear" w:color="auto" w:fill="auto"/>
          </w:tcPr>
          <w:p w:rsidR="009802F2" w:rsidRPr="007F3109" w:rsidRDefault="009802F2" w:rsidP="009802F2">
            <w:pPr>
              <w:spacing w:before="80" w:after="40"/>
              <w:rPr>
                <w:rFonts w:ascii="Verdana" w:hAnsi="Verdana"/>
                <w:sz w:val="20"/>
                <w:szCs w:val="20"/>
              </w:rPr>
            </w:pPr>
          </w:p>
        </w:tc>
        <w:tc>
          <w:tcPr>
            <w:tcW w:w="4447" w:type="dxa"/>
            <w:tcBorders>
              <w:top w:val="nil"/>
              <w:bottom w:val="nil"/>
            </w:tcBorders>
            <w:shd w:val="clear" w:color="auto" w:fill="auto"/>
          </w:tcPr>
          <w:p w:rsidR="009802F2" w:rsidRPr="0030788E" w:rsidRDefault="009802F2" w:rsidP="009802F2">
            <w:pPr>
              <w:spacing w:before="80" w:after="40"/>
              <w:jc w:val="both"/>
              <w:rPr>
                <w:rFonts w:ascii="Verdana" w:hAnsi="Verdana"/>
                <w:sz w:val="20"/>
                <w:szCs w:val="20"/>
              </w:rPr>
            </w:pPr>
          </w:p>
        </w:tc>
      </w:tr>
      <w:tr w:rsidR="009802F2" w:rsidRPr="0030788E" w:rsidTr="00332FA4">
        <w:trPr>
          <w:trHeight w:val="200"/>
        </w:trPr>
        <w:tc>
          <w:tcPr>
            <w:tcW w:w="568" w:type="dxa"/>
            <w:vMerge/>
            <w:shd w:val="clear" w:color="auto" w:fill="auto"/>
          </w:tcPr>
          <w:p w:rsidR="009802F2" w:rsidRPr="000C00DF" w:rsidRDefault="009802F2" w:rsidP="009802F2">
            <w:pPr>
              <w:pStyle w:val="ListParagraph"/>
              <w:numPr>
                <w:ilvl w:val="0"/>
                <w:numId w:val="29"/>
              </w:numPr>
              <w:tabs>
                <w:tab w:val="left" w:pos="192"/>
              </w:tabs>
              <w:spacing w:before="80" w:after="40"/>
              <w:ind w:left="0"/>
              <w:jc w:val="center"/>
              <w:rPr>
                <w:rFonts w:ascii="Verdana" w:hAnsi="Verdana"/>
                <w:b/>
                <w:sz w:val="20"/>
                <w:szCs w:val="20"/>
              </w:rPr>
            </w:pPr>
          </w:p>
        </w:tc>
        <w:tc>
          <w:tcPr>
            <w:tcW w:w="2924" w:type="dxa"/>
            <w:vMerge/>
            <w:shd w:val="clear" w:color="auto" w:fill="auto"/>
          </w:tcPr>
          <w:p w:rsidR="009802F2" w:rsidRPr="00B72BD4" w:rsidRDefault="009802F2" w:rsidP="009802F2">
            <w:pPr>
              <w:spacing w:before="80" w:after="40"/>
              <w:rPr>
                <w:rFonts w:ascii="Verdana" w:hAnsi="Verdana"/>
                <w:sz w:val="20"/>
                <w:szCs w:val="20"/>
                <w:lang w:val="ru-RU"/>
              </w:rPr>
            </w:pPr>
          </w:p>
        </w:tc>
        <w:tc>
          <w:tcPr>
            <w:tcW w:w="5865" w:type="dxa"/>
            <w:tcBorders>
              <w:top w:val="nil"/>
            </w:tcBorders>
            <w:shd w:val="clear" w:color="auto" w:fill="auto"/>
          </w:tcPr>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Във връзка с гореизложеното и с оглед създаване на ясен административен ред за прилагане на чл. 55, ал. 3 от НАРЕДБА № 3 от 10 март 2023 г., НАЗ предлага прецизиране на текст относно срок и ред за предоставяне на документи, издадени от орган за пожарната и аварийната безопасност, както следва:</w:t>
            </w:r>
          </w:p>
          <w:p w:rsidR="009802F2" w:rsidRPr="00954AB8" w:rsidRDefault="009802F2" w:rsidP="009802F2">
            <w:pPr>
              <w:jc w:val="both"/>
              <w:rPr>
                <w:rFonts w:ascii="Verdana" w:hAnsi="Verdana"/>
                <w:sz w:val="20"/>
                <w:szCs w:val="20"/>
                <w:lang w:val="ru-RU"/>
              </w:rPr>
            </w:pPr>
            <w:r w:rsidRPr="00954AB8">
              <w:rPr>
                <w:rFonts w:ascii="Verdana" w:hAnsi="Verdana"/>
                <w:sz w:val="20"/>
                <w:szCs w:val="20"/>
                <w:lang w:val="ru-RU"/>
              </w:rPr>
              <w:t>Създава се нова алинея четвърта към чл. 55:</w:t>
            </w:r>
          </w:p>
          <w:p w:rsidR="009802F2" w:rsidRPr="006A34CB" w:rsidRDefault="009802F2" w:rsidP="009802F2">
            <w:pPr>
              <w:jc w:val="both"/>
              <w:rPr>
                <w:rFonts w:ascii="Verdana" w:hAnsi="Verdana"/>
                <w:sz w:val="20"/>
                <w:szCs w:val="20"/>
                <w:lang w:val="ru-RU"/>
              </w:rPr>
            </w:pPr>
            <w:r w:rsidRPr="00954AB8">
              <w:rPr>
                <w:rFonts w:ascii="Verdana" w:hAnsi="Verdana"/>
                <w:sz w:val="20"/>
                <w:szCs w:val="20"/>
                <w:lang w:val="ru-RU"/>
              </w:rPr>
              <w:t xml:space="preserve">При настъпване на събитие по чл. 55, ал. 3, т. 2, буква Б, кандидатът за подпомагане или упълномощено от него лице или негов наследник уведомява ДФЗ за настъпилото събитие в срок до 15 работни дни от датата на издаване на официален документ от орган за пожарната и аварийната безопасност. В случай на смърт на бенефициента, уведомяването се извършва от наследника в срок, в който е в състояние да направи това, но не по-късно от една година от датата на смъртта. Кандидатът, </w:t>
            </w:r>
            <w:r w:rsidRPr="00954AB8">
              <w:rPr>
                <w:rFonts w:ascii="Verdana" w:hAnsi="Verdana"/>
                <w:sz w:val="20"/>
                <w:szCs w:val="20"/>
                <w:lang w:val="ru-RU"/>
              </w:rPr>
              <w:lastRenderedPageBreak/>
              <w:t>негов наследник и/или упълномощено от кандидата лице предоставя чрез СЕУ или в ОПСМП на ДФЗ документ, доказващ настъпилите обстоятелства, издаден от орган за пожарната и аварийната безопасност.</w:t>
            </w:r>
          </w:p>
        </w:tc>
        <w:tc>
          <w:tcPr>
            <w:tcW w:w="1931" w:type="dxa"/>
            <w:tcBorders>
              <w:top w:val="nil"/>
            </w:tcBorders>
            <w:shd w:val="clear" w:color="auto" w:fill="auto"/>
          </w:tcPr>
          <w:p w:rsidR="009802F2" w:rsidRPr="007F3109" w:rsidRDefault="009802F2" w:rsidP="009802F2">
            <w:pPr>
              <w:spacing w:before="80" w:after="40"/>
              <w:rPr>
                <w:rFonts w:ascii="Verdana" w:hAnsi="Verdana"/>
                <w:sz w:val="20"/>
                <w:szCs w:val="20"/>
                <w:lang w:val="ru-RU"/>
              </w:rPr>
            </w:pPr>
          </w:p>
        </w:tc>
        <w:tc>
          <w:tcPr>
            <w:tcW w:w="4447" w:type="dxa"/>
            <w:tcBorders>
              <w:top w:val="nil"/>
            </w:tcBorders>
            <w:shd w:val="clear" w:color="auto" w:fill="auto"/>
          </w:tcPr>
          <w:p w:rsidR="009802F2" w:rsidRPr="007F3109" w:rsidRDefault="009802F2" w:rsidP="009802F2">
            <w:pPr>
              <w:spacing w:before="80" w:after="40"/>
              <w:jc w:val="both"/>
              <w:rPr>
                <w:rFonts w:ascii="Verdana" w:hAnsi="Verdana"/>
                <w:sz w:val="20"/>
                <w:szCs w:val="20"/>
                <w:lang w:val="ru-RU"/>
              </w:rPr>
            </w:pPr>
          </w:p>
        </w:tc>
      </w:tr>
    </w:tbl>
    <w:p w:rsidR="001765E7" w:rsidRPr="00BE3F35" w:rsidRDefault="001765E7" w:rsidP="009339E1">
      <w:pPr>
        <w:spacing w:line="360" w:lineRule="auto"/>
        <w:ind w:left="284"/>
        <w:rPr>
          <w:rFonts w:ascii="Verdana" w:hAnsi="Verdana"/>
          <w:b/>
          <w:bCs/>
          <w:caps/>
          <w:sz w:val="20"/>
          <w:szCs w:val="20"/>
        </w:rPr>
      </w:pPr>
      <w:bookmarkStart w:id="0" w:name="_GoBack"/>
      <w:bookmarkEnd w:id="0"/>
    </w:p>
    <w:sectPr w:rsidR="001765E7" w:rsidRPr="00BE3F35" w:rsidSect="00205CE1">
      <w:footerReference w:type="even" r:id="rId8"/>
      <w:footerReference w:type="default" r:id="rId9"/>
      <w:headerReference w:type="first" r:id="rId10"/>
      <w:pgSz w:w="16838" w:h="11906" w:orient="landscape" w:code="9"/>
      <w:pgMar w:top="147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A0" w:rsidRDefault="00D361A0">
      <w:r>
        <w:separator/>
      </w:r>
    </w:p>
  </w:endnote>
  <w:endnote w:type="continuationSeparator" w:id="0">
    <w:p w:rsidR="00D361A0" w:rsidRDefault="00D3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FA" w:rsidRDefault="008869F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9FA" w:rsidRDefault="008869F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8869FA" w:rsidRPr="00AF12B7" w:rsidRDefault="008869F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D941E4">
          <w:rPr>
            <w:noProof/>
            <w:sz w:val="18"/>
            <w:szCs w:val="18"/>
          </w:rPr>
          <w:t>3</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A0" w:rsidRDefault="00D361A0">
      <w:r>
        <w:separator/>
      </w:r>
    </w:p>
  </w:footnote>
  <w:footnote w:type="continuationSeparator" w:id="0">
    <w:p w:rsidR="00D361A0" w:rsidRDefault="00D3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B8" w:rsidRPr="004674B8" w:rsidRDefault="004674B8"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Класификация на информацията:</w:t>
    </w:r>
  </w:p>
  <w:p w:rsidR="004674B8" w:rsidRPr="004674B8" w:rsidRDefault="004674B8"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Ниво 0, TLP-</w:t>
    </w:r>
    <w:r w:rsidRPr="004674B8">
      <w:rPr>
        <w:rFonts w:ascii="Verdana" w:hAnsi="Verdana"/>
        <w:sz w:val="18"/>
        <w:szCs w:val="18"/>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988377E"/>
    <w:multiLevelType w:val="hybridMultilevel"/>
    <w:tmpl w:val="35822DC6"/>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62E2F"/>
    <w:multiLevelType w:val="hybridMultilevel"/>
    <w:tmpl w:val="4258BE9A"/>
    <w:lvl w:ilvl="0" w:tplc="CFB25E7C">
      <w:start w:val="1"/>
      <w:numFmt w:val="bullet"/>
      <w:lvlText w:val=""/>
      <w:lvlJc w:val="left"/>
      <w:pPr>
        <w:ind w:left="1429" w:hanging="360"/>
      </w:pPr>
      <w:rPr>
        <w:rFonts w:ascii="Wingdings" w:hAnsi="Wingdings" w:hint="default"/>
        <w:lang w:val="ru-RU"/>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0"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3"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4" w15:restartNumberingAfterBreak="0">
    <w:nsid w:val="393E2C3A"/>
    <w:multiLevelType w:val="singleLevel"/>
    <w:tmpl w:val="CF882D90"/>
    <w:lvl w:ilvl="0">
      <w:start w:val="1"/>
      <w:numFmt w:val="russianLower"/>
      <w:lvlText w:val="%1)"/>
      <w:lvlJc w:val="left"/>
    </w:lvl>
  </w:abstractNum>
  <w:abstractNum w:abstractNumId="15" w15:restartNumberingAfterBreak="0">
    <w:nsid w:val="3BC37A8C"/>
    <w:multiLevelType w:val="singleLevel"/>
    <w:tmpl w:val="596280AA"/>
    <w:lvl w:ilvl="0">
      <w:start w:val="3"/>
      <w:numFmt w:val="russianLower"/>
      <w:lvlText w:val="%1)"/>
      <w:lvlJc w:val="left"/>
    </w:lvl>
  </w:abstractNum>
  <w:abstractNum w:abstractNumId="16"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E4483"/>
    <w:multiLevelType w:val="multilevel"/>
    <w:tmpl w:val="4B602C48"/>
    <w:lvl w:ilvl="0">
      <w:start w:val="1"/>
      <w:numFmt w:val="decimal"/>
      <w:suff w:val="space"/>
      <w:lvlText w:val="%1."/>
      <w:lvlJc w:val="right"/>
      <w:pPr>
        <w:ind w:left="170" w:firstLine="17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9"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4"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62B2A"/>
    <w:multiLevelType w:val="multilevel"/>
    <w:tmpl w:val="C9C6560E"/>
    <w:lvl w:ilvl="0">
      <w:start w:val="2"/>
      <w:numFmt w:val="bullet"/>
      <w:suff w:val="space"/>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E6F2F"/>
    <w:multiLevelType w:val="multilevel"/>
    <w:tmpl w:val="E5349FAA"/>
    <w:lvl w:ilvl="0">
      <w:start w:val="1"/>
      <w:numFmt w:val="bullet"/>
      <w:suff w:val="space"/>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8" w15:restartNumberingAfterBreak="0">
    <w:nsid w:val="659C6E51"/>
    <w:multiLevelType w:val="hybridMultilevel"/>
    <w:tmpl w:val="BAD87274"/>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30"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31"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DDB144A"/>
    <w:multiLevelType w:val="multilevel"/>
    <w:tmpl w:val="D42C4B20"/>
    <w:lvl w:ilvl="0">
      <w:start w:val="1"/>
      <w:numFmt w:val="decimal"/>
      <w:suff w:val="space"/>
      <w:lvlText w:val="%1."/>
      <w:lvlJc w:val="right"/>
      <w:pPr>
        <w:ind w:left="170"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8"/>
  </w:num>
  <w:num w:numId="3">
    <w:abstractNumId w:val="31"/>
  </w:num>
  <w:num w:numId="4">
    <w:abstractNumId w:val="34"/>
  </w:num>
  <w:num w:numId="5">
    <w:abstractNumId w:val="22"/>
  </w:num>
  <w:num w:numId="6">
    <w:abstractNumId w:val="11"/>
  </w:num>
  <w:num w:numId="7">
    <w:abstractNumId w:val="24"/>
  </w:num>
  <w:num w:numId="8">
    <w:abstractNumId w:val="32"/>
  </w:num>
  <w:num w:numId="9">
    <w:abstractNumId w:val="7"/>
  </w:num>
  <w:num w:numId="10">
    <w:abstractNumId w:val="14"/>
  </w:num>
  <w:num w:numId="11">
    <w:abstractNumId w:val="15"/>
  </w:num>
  <w:num w:numId="12">
    <w:abstractNumId w:val="10"/>
  </w:num>
  <w:num w:numId="13">
    <w:abstractNumId w:val="6"/>
  </w:num>
  <w:num w:numId="14">
    <w:abstractNumId w:val="16"/>
  </w:num>
  <w:num w:numId="15">
    <w:abstractNumId w:val="17"/>
  </w:num>
  <w:num w:numId="16">
    <w:abstractNumId w:val="30"/>
  </w:num>
  <w:num w:numId="17">
    <w:abstractNumId w:val="1"/>
  </w:num>
  <w:num w:numId="18">
    <w:abstractNumId w:val="12"/>
  </w:num>
  <w:num w:numId="19">
    <w:abstractNumId w:val="27"/>
  </w:num>
  <w:num w:numId="20">
    <w:abstractNumId w:val="20"/>
  </w:num>
  <w:num w:numId="21">
    <w:abstractNumId w:val="2"/>
  </w:num>
  <w:num w:numId="22">
    <w:abstractNumId w:val="29"/>
  </w:num>
  <w:num w:numId="23">
    <w:abstractNumId w:val="0"/>
  </w:num>
  <w:num w:numId="24">
    <w:abstractNumId w:val="13"/>
  </w:num>
  <w:num w:numId="25">
    <w:abstractNumId w:val="23"/>
  </w:num>
  <w:num w:numId="26">
    <w:abstractNumId w:val="4"/>
  </w:num>
  <w:num w:numId="27">
    <w:abstractNumId w:val="19"/>
  </w:num>
  <w:num w:numId="28">
    <w:abstractNumId w:val="9"/>
  </w:num>
  <w:num w:numId="29">
    <w:abstractNumId w:val="33"/>
  </w:num>
  <w:num w:numId="30">
    <w:abstractNumId w:val="5"/>
  </w:num>
  <w:num w:numId="31">
    <w:abstractNumId w:val="26"/>
  </w:num>
  <w:num w:numId="32">
    <w:abstractNumId w:val="18"/>
  </w:num>
  <w:num w:numId="33">
    <w:abstractNumId w:val="28"/>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6C4"/>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41C8"/>
    <w:rsid w:val="00075594"/>
    <w:rsid w:val="0007570E"/>
    <w:rsid w:val="000757FC"/>
    <w:rsid w:val="000769B1"/>
    <w:rsid w:val="0008079F"/>
    <w:rsid w:val="00081D6F"/>
    <w:rsid w:val="00082171"/>
    <w:rsid w:val="000836C6"/>
    <w:rsid w:val="00084700"/>
    <w:rsid w:val="0008525A"/>
    <w:rsid w:val="00085345"/>
    <w:rsid w:val="00086434"/>
    <w:rsid w:val="000902D1"/>
    <w:rsid w:val="00090401"/>
    <w:rsid w:val="000932F1"/>
    <w:rsid w:val="000937D4"/>
    <w:rsid w:val="00093F30"/>
    <w:rsid w:val="000946DC"/>
    <w:rsid w:val="00094AB2"/>
    <w:rsid w:val="000953A8"/>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EFE"/>
    <w:rsid w:val="000C036A"/>
    <w:rsid w:val="000C0D7A"/>
    <w:rsid w:val="000C1697"/>
    <w:rsid w:val="000C46A7"/>
    <w:rsid w:val="000C5247"/>
    <w:rsid w:val="000C5E61"/>
    <w:rsid w:val="000C6233"/>
    <w:rsid w:val="000C65D0"/>
    <w:rsid w:val="000D0414"/>
    <w:rsid w:val="000D1E2E"/>
    <w:rsid w:val="000D2F9F"/>
    <w:rsid w:val="000D31EF"/>
    <w:rsid w:val="000D3F6C"/>
    <w:rsid w:val="000D3F7C"/>
    <w:rsid w:val="000D4198"/>
    <w:rsid w:val="000E0BDA"/>
    <w:rsid w:val="000E145B"/>
    <w:rsid w:val="000E3570"/>
    <w:rsid w:val="000E38E0"/>
    <w:rsid w:val="000E6A80"/>
    <w:rsid w:val="000F02C5"/>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995"/>
    <w:rsid w:val="00116FC6"/>
    <w:rsid w:val="001171CC"/>
    <w:rsid w:val="001201A9"/>
    <w:rsid w:val="00120ABA"/>
    <w:rsid w:val="00121BA5"/>
    <w:rsid w:val="001251BE"/>
    <w:rsid w:val="00125F9E"/>
    <w:rsid w:val="001311AD"/>
    <w:rsid w:val="00131D33"/>
    <w:rsid w:val="00131DA5"/>
    <w:rsid w:val="001333AE"/>
    <w:rsid w:val="00133A14"/>
    <w:rsid w:val="001345AD"/>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2248"/>
    <w:rsid w:val="00165EA7"/>
    <w:rsid w:val="001668E1"/>
    <w:rsid w:val="00167D39"/>
    <w:rsid w:val="00167F77"/>
    <w:rsid w:val="00170505"/>
    <w:rsid w:val="0017183E"/>
    <w:rsid w:val="00172CCB"/>
    <w:rsid w:val="001736EE"/>
    <w:rsid w:val="00175004"/>
    <w:rsid w:val="001765E7"/>
    <w:rsid w:val="00177AA6"/>
    <w:rsid w:val="00177CAC"/>
    <w:rsid w:val="00177D2B"/>
    <w:rsid w:val="001808B4"/>
    <w:rsid w:val="0018509E"/>
    <w:rsid w:val="0019192E"/>
    <w:rsid w:val="00192D6A"/>
    <w:rsid w:val="001948B0"/>
    <w:rsid w:val="00195AD0"/>
    <w:rsid w:val="00195DA3"/>
    <w:rsid w:val="00196671"/>
    <w:rsid w:val="001A02C9"/>
    <w:rsid w:val="001A0680"/>
    <w:rsid w:val="001A1452"/>
    <w:rsid w:val="001A29AE"/>
    <w:rsid w:val="001A3975"/>
    <w:rsid w:val="001A3D29"/>
    <w:rsid w:val="001A4E1F"/>
    <w:rsid w:val="001B344A"/>
    <w:rsid w:val="001B4CD8"/>
    <w:rsid w:val="001C23BF"/>
    <w:rsid w:val="001C5BF3"/>
    <w:rsid w:val="001C6E95"/>
    <w:rsid w:val="001D0D81"/>
    <w:rsid w:val="001D23F0"/>
    <w:rsid w:val="001D2756"/>
    <w:rsid w:val="001D362A"/>
    <w:rsid w:val="001D60F3"/>
    <w:rsid w:val="001E13F5"/>
    <w:rsid w:val="001E174B"/>
    <w:rsid w:val="001E317C"/>
    <w:rsid w:val="001E4FB9"/>
    <w:rsid w:val="001E4FE9"/>
    <w:rsid w:val="001E4FEC"/>
    <w:rsid w:val="001E57C0"/>
    <w:rsid w:val="001E64F2"/>
    <w:rsid w:val="001F0567"/>
    <w:rsid w:val="001F0866"/>
    <w:rsid w:val="001F1BB7"/>
    <w:rsid w:val="001F1F60"/>
    <w:rsid w:val="001F22A3"/>
    <w:rsid w:val="001F2736"/>
    <w:rsid w:val="001F314D"/>
    <w:rsid w:val="001F4710"/>
    <w:rsid w:val="001F6BC2"/>
    <w:rsid w:val="001F718C"/>
    <w:rsid w:val="00200292"/>
    <w:rsid w:val="0020103A"/>
    <w:rsid w:val="00201455"/>
    <w:rsid w:val="00201739"/>
    <w:rsid w:val="0020584E"/>
    <w:rsid w:val="00205CE1"/>
    <w:rsid w:val="00206678"/>
    <w:rsid w:val="0020716E"/>
    <w:rsid w:val="00210233"/>
    <w:rsid w:val="0021035B"/>
    <w:rsid w:val="00212D43"/>
    <w:rsid w:val="0021436C"/>
    <w:rsid w:val="00214427"/>
    <w:rsid w:val="00214B75"/>
    <w:rsid w:val="00215178"/>
    <w:rsid w:val="00216225"/>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3C04"/>
    <w:rsid w:val="002348DC"/>
    <w:rsid w:val="00235708"/>
    <w:rsid w:val="0023576F"/>
    <w:rsid w:val="002366C8"/>
    <w:rsid w:val="002369C8"/>
    <w:rsid w:val="002375B3"/>
    <w:rsid w:val="0023770C"/>
    <w:rsid w:val="00237A17"/>
    <w:rsid w:val="00241F4C"/>
    <w:rsid w:val="00243442"/>
    <w:rsid w:val="002440AF"/>
    <w:rsid w:val="0024444A"/>
    <w:rsid w:val="00245B94"/>
    <w:rsid w:val="00245FCD"/>
    <w:rsid w:val="002472CF"/>
    <w:rsid w:val="0024734A"/>
    <w:rsid w:val="002500BD"/>
    <w:rsid w:val="002536A8"/>
    <w:rsid w:val="00254CE4"/>
    <w:rsid w:val="002552EF"/>
    <w:rsid w:val="00257983"/>
    <w:rsid w:val="00260E4E"/>
    <w:rsid w:val="00260F55"/>
    <w:rsid w:val="002614AB"/>
    <w:rsid w:val="002632C1"/>
    <w:rsid w:val="00263E76"/>
    <w:rsid w:val="002640E1"/>
    <w:rsid w:val="00264B95"/>
    <w:rsid w:val="0027125E"/>
    <w:rsid w:val="0027210E"/>
    <w:rsid w:val="00272EE3"/>
    <w:rsid w:val="00273219"/>
    <w:rsid w:val="00273678"/>
    <w:rsid w:val="00273CAC"/>
    <w:rsid w:val="0027620A"/>
    <w:rsid w:val="002804CF"/>
    <w:rsid w:val="002808F3"/>
    <w:rsid w:val="002820C6"/>
    <w:rsid w:val="00282A08"/>
    <w:rsid w:val="00283263"/>
    <w:rsid w:val="002854C9"/>
    <w:rsid w:val="002900C5"/>
    <w:rsid w:val="00290725"/>
    <w:rsid w:val="00291E9B"/>
    <w:rsid w:val="002939DA"/>
    <w:rsid w:val="00293CA6"/>
    <w:rsid w:val="0029482B"/>
    <w:rsid w:val="00295B2B"/>
    <w:rsid w:val="002961A2"/>
    <w:rsid w:val="002964C1"/>
    <w:rsid w:val="00297BBB"/>
    <w:rsid w:val="00297DB0"/>
    <w:rsid w:val="002A0706"/>
    <w:rsid w:val="002A0A9B"/>
    <w:rsid w:val="002A0C5D"/>
    <w:rsid w:val="002A3B76"/>
    <w:rsid w:val="002A50DD"/>
    <w:rsid w:val="002A5290"/>
    <w:rsid w:val="002A59D9"/>
    <w:rsid w:val="002A5A11"/>
    <w:rsid w:val="002A67D5"/>
    <w:rsid w:val="002A7C77"/>
    <w:rsid w:val="002B15C2"/>
    <w:rsid w:val="002B2268"/>
    <w:rsid w:val="002B2A08"/>
    <w:rsid w:val="002B4A91"/>
    <w:rsid w:val="002C03AF"/>
    <w:rsid w:val="002C1BB7"/>
    <w:rsid w:val="002C2EEA"/>
    <w:rsid w:val="002C3BA2"/>
    <w:rsid w:val="002C475B"/>
    <w:rsid w:val="002C5123"/>
    <w:rsid w:val="002C5843"/>
    <w:rsid w:val="002C65BA"/>
    <w:rsid w:val="002C7F10"/>
    <w:rsid w:val="002D083C"/>
    <w:rsid w:val="002D18C0"/>
    <w:rsid w:val="002D18C3"/>
    <w:rsid w:val="002D2176"/>
    <w:rsid w:val="002D4904"/>
    <w:rsid w:val="002D629F"/>
    <w:rsid w:val="002E0082"/>
    <w:rsid w:val="002E03DD"/>
    <w:rsid w:val="002E4664"/>
    <w:rsid w:val="002E4EDB"/>
    <w:rsid w:val="002E537C"/>
    <w:rsid w:val="002E57D4"/>
    <w:rsid w:val="002E5E3F"/>
    <w:rsid w:val="002E6ADF"/>
    <w:rsid w:val="002E73FF"/>
    <w:rsid w:val="002F0752"/>
    <w:rsid w:val="002F49F3"/>
    <w:rsid w:val="002F4AF6"/>
    <w:rsid w:val="002F7B2A"/>
    <w:rsid w:val="003009B2"/>
    <w:rsid w:val="00300B99"/>
    <w:rsid w:val="00300D63"/>
    <w:rsid w:val="003034CD"/>
    <w:rsid w:val="003039A5"/>
    <w:rsid w:val="003041CC"/>
    <w:rsid w:val="00306298"/>
    <w:rsid w:val="003069CF"/>
    <w:rsid w:val="00312FB3"/>
    <w:rsid w:val="00314B98"/>
    <w:rsid w:val="00314F63"/>
    <w:rsid w:val="003154C2"/>
    <w:rsid w:val="00316618"/>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40212"/>
    <w:rsid w:val="00341C1E"/>
    <w:rsid w:val="00341F5C"/>
    <w:rsid w:val="00344138"/>
    <w:rsid w:val="00345060"/>
    <w:rsid w:val="00345B9F"/>
    <w:rsid w:val="00346856"/>
    <w:rsid w:val="00351063"/>
    <w:rsid w:val="00351EC7"/>
    <w:rsid w:val="00352461"/>
    <w:rsid w:val="003555CD"/>
    <w:rsid w:val="00356131"/>
    <w:rsid w:val="00360CF8"/>
    <w:rsid w:val="003628A2"/>
    <w:rsid w:val="003640F0"/>
    <w:rsid w:val="003645F1"/>
    <w:rsid w:val="00364B97"/>
    <w:rsid w:val="00367DA5"/>
    <w:rsid w:val="0037191E"/>
    <w:rsid w:val="00371937"/>
    <w:rsid w:val="003737F2"/>
    <w:rsid w:val="00377A96"/>
    <w:rsid w:val="00377FE2"/>
    <w:rsid w:val="003827A6"/>
    <w:rsid w:val="00382966"/>
    <w:rsid w:val="003845BB"/>
    <w:rsid w:val="00384B8B"/>
    <w:rsid w:val="00387130"/>
    <w:rsid w:val="00387162"/>
    <w:rsid w:val="003903E2"/>
    <w:rsid w:val="00390D8E"/>
    <w:rsid w:val="0039116F"/>
    <w:rsid w:val="00395655"/>
    <w:rsid w:val="003A060F"/>
    <w:rsid w:val="003A374D"/>
    <w:rsid w:val="003A48EE"/>
    <w:rsid w:val="003A7841"/>
    <w:rsid w:val="003B23E6"/>
    <w:rsid w:val="003B4449"/>
    <w:rsid w:val="003B5BFA"/>
    <w:rsid w:val="003B629A"/>
    <w:rsid w:val="003C0119"/>
    <w:rsid w:val="003C12C5"/>
    <w:rsid w:val="003C1F1E"/>
    <w:rsid w:val="003C2DC3"/>
    <w:rsid w:val="003C3996"/>
    <w:rsid w:val="003C557F"/>
    <w:rsid w:val="003C563D"/>
    <w:rsid w:val="003C5C7B"/>
    <w:rsid w:val="003C7D91"/>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7815"/>
    <w:rsid w:val="00414F26"/>
    <w:rsid w:val="00415D7B"/>
    <w:rsid w:val="00417315"/>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4FDE"/>
    <w:rsid w:val="00435BAC"/>
    <w:rsid w:val="004361F2"/>
    <w:rsid w:val="004376C2"/>
    <w:rsid w:val="004427B2"/>
    <w:rsid w:val="00442824"/>
    <w:rsid w:val="004444E8"/>
    <w:rsid w:val="004444F4"/>
    <w:rsid w:val="00446865"/>
    <w:rsid w:val="00446B9E"/>
    <w:rsid w:val="00446EC1"/>
    <w:rsid w:val="00450BCC"/>
    <w:rsid w:val="0045180F"/>
    <w:rsid w:val="00452217"/>
    <w:rsid w:val="00453C28"/>
    <w:rsid w:val="00453E7F"/>
    <w:rsid w:val="00453E85"/>
    <w:rsid w:val="004546B0"/>
    <w:rsid w:val="00455D0B"/>
    <w:rsid w:val="00456843"/>
    <w:rsid w:val="004604F1"/>
    <w:rsid w:val="00461920"/>
    <w:rsid w:val="004646DE"/>
    <w:rsid w:val="004674B8"/>
    <w:rsid w:val="0046759A"/>
    <w:rsid w:val="00467C52"/>
    <w:rsid w:val="00470D89"/>
    <w:rsid w:val="004713FE"/>
    <w:rsid w:val="004719B1"/>
    <w:rsid w:val="0047261C"/>
    <w:rsid w:val="004739BA"/>
    <w:rsid w:val="004739E7"/>
    <w:rsid w:val="004741D2"/>
    <w:rsid w:val="00475298"/>
    <w:rsid w:val="00483378"/>
    <w:rsid w:val="00483594"/>
    <w:rsid w:val="00483C29"/>
    <w:rsid w:val="00487E51"/>
    <w:rsid w:val="00490845"/>
    <w:rsid w:val="00493B7A"/>
    <w:rsid w:val="004942CA"/>
    <w:rsid w:val="0049486D"/>
    <w:rsid w:val="00495A4A"/>
    <w:rsid w:val="00496618"/>
    <w:rsid w:val="004972E2"/>
    <w:rsid w:val="004A0A82"/>
    <w:rsid w:val="004A207E"/>
    <w:rsid w:val="004A27CC"/>
    <w:rsid w:val="004A285F"/>
    <w:rsid w:val="004A55AC"/>
    <w:rsid w:val="004A5E2A"/>
    <w:rsid w:val="004A6AE4"/>
    <w:rsid w:val="004A70C4"/>
    <w:rsid w:val="004B047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5FF9"/>
    <w:rsid w:val="004D7CF3"/>
    <w:rsid w:val="004E0260"/>
    <w:rsid w:val="004E16EE"/>
    <w:rsid w:val="004E3F53"/>
    <w:rsid w:val="004E4897"/>
    <w:rsid w:val="004E559D"/>
    <w:rsid w:val="004E6D10"/>
    <w:rsid w:val="004F09FD"/>
    <w:rsid w:val="004F11C4"/>
    <w:rsid w:val="004F17EA"/>
    <w:rsid w:val="004F219E"/>
    <w:rsid w:val="004F275F"/>
    <w:rsid w:val="004F2B1B"/>
    <w:rsid w:val="004F4B94"/>
    <w:rsid w:val="004F5BEA"/>
    <w:rsid w:val="004F70FF"/>
    <w:rsid w:val="004F77AB"/>
    <w:rsid w:val="004F7953"/>
    <w:rsid w:val="0050084D"/>
    <w:rsid w:val="00501E0F"/>
    <w:rsid w:val="00501E65"/>
    <w:rsid w:val="00504D1C"/>
    <w:rsid w:val="00506006"/>
    <w:rsid w:val="005061E4"/>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24B9"/>
    <w:rsid w:val="00543E05"/>
    <w:rsid w:val="005462B1"/>
    <w:rsid w:val="00550BC0"/>
    <w:rsid w:val="005525EA"/>
    <w:rsid w:val="005531AA"/>
    <w:rsid w:val="00554B28"/>
    <w:rsid w:val="00554CC1"/>
    <w:rsid w:val="00560A43"/>
    <w:rsid w:val="00563FA3"/>
    <w:rsid w:val="005644C8"/>
    <w:rsid w:val="00564500"/>
    <w:rsid w:val="00564E98"/>
    <w:rsid w:val="00565E93"/>
    <w:rsid w:val="00566018"/>
    <w:rsid w:val="00572F83"/>
    <w:rsid w:val="00573E06"/>
    <w:rsid w:val="005778C6"/>
    <w:rsid w:val="00577AC1"/>
    <w:rsid w:val="005818DD"/>
    <w:rsid w:val="00583A7E"/>
    <w:rsid w:val="005840B0"/>
    <w:rsid w:val="00586A0B"/>
    <w:rsid w:val="00586CF4"/>
    <w:rsid w:val="005913D0"/>
    <w:rsid w:val="00591B69"/>
    <w:rsid w:val="00593FD2"/>
    <w:rsid w:val="00597BAA"/>
    <w:rsid w:val="00597D5D"/>
    <w:rsid w:val="005A1896"/>
    <w:rsid w:val="005A224A"/>
    <w:rsid w:val="005A28D2"/>
    <w:rsid w:val="005A338B"/>
    <w:rsid w:val="005A3AC5"/>
    <w:rsid w:val="005A3BFE"/>
    <w:rsid w:val="005A407D"/>
    <w:rsid w:val="005A4A9A"/>
    <w:rsid w:val="005A5DAE"/>
    <w:rsid w:val="005A6A09"/>
    <w:rsid w:val="005A6C42"/>
    <w:rsid w:val="005B19E3"/>
    <w:rsid w:val="005B1C24"/>
    <w:rsid w:val="005B6646"/>
    <w:rsid w:val="005B7002"/>
    <w:rsid w:val="005C2DFD"/>
    <w:rsid w:val="005C43C6"/>
    <w:rsid w:val="005C4BE7"/>
    <w:rsid w:val="005C61F4"/>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630F"/>
    <w:rsid w:val="005F69DF"/>
    <w:rsid w:val="0060094C"/>
    <w:rsid w:val="00600B63"/>
    <w:rsid w:val="00601137"/>
    <w:rsid w:val="006040E1"/>
    <w:rsid w:val="006047B5"/>
    <w:rsid w:val="006047CE"/>
    <w:rsid w:val="0060491C"/>
    <w:rsid w:val="00604A61"/>
    <w:rsid w:val="00610231"/>
    <w:rsid w:val="006124CF"/>
    <w:rsid w:val="00617D55"/>
    <w:rsid w:val="00617F06"/>
    <w:rsid w:val="006222B2"/>
    <w:rsid w:val="006240D8"/>
    <w:rsid w:val="00624738"/>
    <w:rsid w:val="00626132"/>
    <w:rsid w:val="00630B4C"/>
    <w:rsid w:val="006310A1"/>
    <w:rsid w:val="006317AC"/>
    <w:rsid w:val="0063318F"/>
    <w:rsid w:val="00633884"/>
    <w:rsid w:val="00634DDD"/>
    <w:rsid w:val="006361E3"/>
    <w:rsid w:val="00636320"/>
    <w:rsid w:val="00636689"/>
    <w:rsid w:val="0063730A"/>
    <w:rsid w:val="00637FB0"/>
    <w:rsid w:val="00641DE7"/>
    <w:rsid w:val="00641EF4"/>
    <w:rsid w:val="00642470"/>
    <w:rsid w:val="00642D90"/>
    <w:rsid w:val="00645DFC"/>
    <w:rsid w:val="0065019C"/>
    <w:rsid w:val="00653E67"/>
    <w:rsid w:val="00656642"/>
    <w:rsid w:val="00656BDA"/>
    <w:rsid w:val="0066109E"/>
    <w:rsid w:val="00661A0C"/>
    <w:rsid w:val="00662188"/>
    <w:rsid w:val="00662BFF"/>
    <w:rsid w:val="00663337"/>
    <w:rsid w:val="006662D4"/>
    <w:rsid w:val="006712A6"/>
    <w:rsid w:val="00671910"/>
    <w:rsid w:val="00671E4E"/>
    <w:rsid w:val="00673257"/>
    <w:rsid w:val="0067456E"/>
    <w:rsid w:val="00675133"/>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40E7"/>
    <w:rsid w:val="00694141"/>
    <w:rsid w:val="006941C8"/>
    <w:rsid w:val="00697863"/>
    <w:rsid w:val="006A0CE3"/>
    <w:rsid w:val="006A0D8A"/>
    <w:rsid w:val="006A237D"/>
    <w:rsid w:val="006A343F"/>
    <w:rsid w:val="006A36D7"/>
    <w:rsid w:val="006A3AD5"/>
    <w:rsid w:val="006A512F"/>
    <w:rsid w:val="006A5395"/>
    <w:rsid w:val="006A6D9B"/>
    <w:rsid w:val="006A70E2"/>
    <w:rsid w:val="006B054D"/>
    <w:rsid w:val="006B0FEE"/>
    <w:rsid w:val="006B1D26"/>
    <w:rsid w:val="006B20EC"/>
    <w:rsid w:val="006B4070"/>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46A3"/>
    <w:rsid w:val="006E4DC3"/>
    <w:rsid w:val="006E52C5"/>
    <w:rsid w:val="006E58C1"/>
    <w:rsid w:val="006E7B3B"/>
    <w:rsid w:val="006F282A"/>
    <w:rsid w:val="006F33DD"/>
    <w:rsid w:val="006F35F8"/>
    <w:rsid w:val="006F4526"/>
    <w:rsid w:val="006F5502"/>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54E"/>
    <w:rsid w:val="00714423"/>
    <w:rsid w:val="00715FC7"/>
    <w:rsid w:val="007160B3"/>
    <w:rsid w:val="00716B72"/>
    <w:rsid w:val="00717394"/>
    <w:rsid w:val="00717743"/>
    <w:rsid w:val="00717C17"/>
    <w:rsid w:val="007201DC"/>
    <w:rsid w:val="00720625"/>
    <w:rsid w:val="0072098B"/>
    <w:rsid w:val="00721291"/>
    <w:rsid w:val="00723D89"/>
    <w:rsid w:val="00724DC0"/>
    <w:rsid w:val="00725FD9"/>
    <w:rsid w:val="007261CF"/>
    <w:rsid w:val="0072791E"/>
    <w:rsid w:val="00731B88"/>
    <w:rsid w:val="00732DEB"/>
    <w:rsid w:val="007362EB"/>
    <w:rsid w:val="00736B76"/>
    <w:rsid w:val="00736C03"/>
    <w:rsid w:val="007377F2"/>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6242"/>
    <w:rsid w:val="00756290"/>
    <w:rsid w:val="00756A19"/>
    <w:rsid w:val="0076058A"/>
    <w:rsid w:val="0076108C"/>
    <w:rsid w:val="00761B5E"/>
    <w:rsid w:val="0076408A"/>
    <w:rsid w:val="007645C5"/>
    <w:rsid w:val="0076648E"/>
    <w:rsid w:val="007701A2"/>
    <w:rsid w:val="00773DD9"/>
    <w:rsid w:val="00774BE7"/>
    <w:rsid w:val="00775304"/>
    <w:rsid w:val="00776A84"/>
    <w:rsid w:val="00777754"/>
    <w:rsid w:val="00777B84"/>
    <w:rsid w:val="007806A8"/>
    <w:rsid w:val="00781306"/>
    <w:rsid w:val="00781635"/>
    <w:rsid w:val="007836C8"/>
    <w:rsid w:val="007851BB"/>
    <w:rsid w:val="00790ADA"/>
    <w:rsid w:val="007934F1"/>
    <w:rsid w:val="00794229"/>
    <w:rsid w:val="00795A1B"/>
    <w:rsid w:val="00795F47"/>
    <w:rsid w:val="007970F0"/>
    <w:rsid w:val="007971F3"/>
    <w:rsid w:val="00797C76"/>
    <w:rsid w:val="007A1BCA"/>
    <w:rsid w:val="007A30DD"/>
    <w:rsid w:val="007A3401"/>
    <w:rsid w:val="007A4157"/>
    <w:rsid w:val="007B1141"/>
    <w:rsid w:val="007B24F7"/>
    <w:rsid w:val="007B3D33"/>
    <w:rsid w:val="007B47A9"/>
    <w:rsid w:val="007B4CFC"/>
    <w:rsid w:val="007B5C10"/>
    <w:rsid w:val="007B6D83"/>
    <w:rsid w:val="007B6FFE"/>
    <w:rsid w:val="007C0484"/>
    <w:rsid w:val="007C2423"/>
    <w:rsid w:val="007C393A"/>
    <w:rsid w:val="007C6C8E"/>
    <w:rsid w:val="007D09DC"/>
    <w:rsid w:val="007D4566"/>
    <w:rsid w:val="007D6B06"/>
    <w:rsid w:val="007D6FD8"/>
    <w:rsid w:val="007D76D7"/>
    <w:rsid w:val="007E11C0"/>
    <w:rsid w:val="007E249E"/>
    <w:rsid w:val="007E4DF7"/>
    <w:rsid w:val="007E5ED7"/>
    <w:rsid w:val="007E6242"/>
    <w:rsid w:val="007E633B"/>
    <w:rsid w:val="007E6AD6"/>
    <w:rsid w:val="007F130B"/>
    <w:rsid w:val="007F135A"/>
    <w:rsid w:val="007F1CED"/>
    <w:rsid w:val="007F3109"/>
    <w:rsid w:val="007F4563"/>
    <w:rsid w:val="007F48FB"/>
    <w:rsid w:val="007F5275"/>
    <w:rsid w:val="00800079"/>
    <w:rsid w:val="0080232E"/>
    <w:rsid w:val="00803CA0"/>
    <w:rsid w:val="008053FB"/>
    <w:rsid w:val="008059AC"/>
    <w:rsid w:val="00807EF1"/>
    <w:rsid w:val="008125C1"/>
    <w:rsid w:val="00812789"/>
    <w:rsid w:val="00813EBF"/>
    <w:rsid w:val="00816EA1"/>
    <w:rsid w:val="00817D17"/>
    <w:rsid w:val="00821662"/>
    <w:rsid w:val="00824BA3"/>
    <w:rsid w:val="00825F4B"/>
    <w:rsid w:val="00826F86"/>
    <w:rsid w:val="00827624"/>
    <w:rsid w:val="00827C86"/>
    <w:rsid w:val="00831124"/>
    <w:rsid w:val="00831D3C"/>
    <w:rsid w:val="00831E9A"/>
    <w:rsid w:val="008327F5"/>
    <w:rsid w:val="00833124"/>
    <w:rsid w:val="0083397B"/>
    <w:rsid w:val="0083418B"/>
    <w:rsid w:val="008360A1"/>
    <w:rsid w:val="008360E0"/>
    <w:rsid w:val="0083623B"/>
    <w:rsid w:val="00841034"/>
    <w:rsid w:val="00841854"/>
    <w:rsid w:val="00842C8D"/>
    <w:rsid w:val="008434D2"/>
    <w:rsid w:val="00844CC3"/>
    <w:rsid w:val="00845BC3"/>
    <w:rsid w:val="00846E8D"/>
    <w:rsid w:val="008476BF"/>
    <w:rsid w:val="00847CFC"/>
    <w:rsid w:val="008508D5"/>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73A5"/>
    <w:rsid w:val="00881967"/>
    <w:rsid w:val="008835B5"/>
    <w:rsid w:val="0088605D"/>
    <w:rsid w:val="008869FA"/>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B48E6"/>
    <w:rsid w:val="008B5558"/>
    <w:rsid w:val="008B6A6F"/>
    <w:rsid w:val="008C01F4"/>
    <w:rsid w:val="008C0503"/>
    <w:rsid w:val="008C09DD"/>
    <w:rsid w:val="008C1503"/>
    <w:rsid w:val="008C4A55"/>
    <w:rsid w:val="008C4E10"/>
    <w:rsid w:val="008C5E5E"/>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71"/>
    <w:rsid w:val="008F35DB"/>
    <w:rsid w:val="008F39D3"/>
    <w:rsid w:val="008F4969"/>
    <w:rsid w:val="008F5129"/>
    <w:rsid w:val="008F540F"/>
    <w:rsid w:val="008F6393"/>
    <w:rsid w:val="008F6748"/>
    <w:rsid w:val="009010E9"/>
    <w:rsid w:val="00901E19"/>
    <w:rsid w:val="00901F49"/>
    <w:rsid w:val="00902FF9"/>
    <w:rsid w:val="00904B60"/>
    <w:rsid w:val="00905EB8"/>
    <w:rsid w:val="00905F3A"/>
    <w:rsid w:val="009066B0"/>
    <w:rsid w:val="0090679B"/>
    <w:rsid w:val="0090782D"/>
    <w:rsid w:val="00912765"/>
    <w:rsid w:val="00913A84"/>
    <w:rsid w:val="0091523F"/>
    <w:rsid w:val="0091558A"/>
    <w:rsid w:val="009167F2"/>
    <w:rsid w:val="00917058"/>
    <w:rsid w:val="00923C45"/>
    <w:rsid w:val="00924F7D"/>
    <w:rsid w:val="009258F9"/>
    <w:rsid w:val="0092693D"/>
    <w:rsid w:val="00927F32"/>
    <w:rsid w:val="0093024B"/>
    <w:rsid w:val="00931102"/>
    <w:rsid w:val="009312BE"/>
    <w:rsid w:val="00932D4A"/>
    <w:rsid w:val="009339E1"/>
    <w:rsid w:val="00936B7F"/>
    <w:rsid w:val="00937544"/>
    <w:rsid w:val="009415CD"/>
    <w:rsid w:val="0094334A"/>
    <w:rsid w:val="00943E2F"/>
    <w:rsid w:val="00944EC7"/>
    <w:rsid w:val="00950B0F"/>
    <w:rsid w:val="00950B10"/>
    <w:rsid w:val="00952D0A"/>
    <w:rsid w:val="00953FD7"/>
    <w:rsid w:val="00954732"/>
    <w:rsid w:val="00954AB8"/>
    <w:rsid w:val="009551F9"/>
    <w:rsid w:val="00956BD2"/>
    <w:rsid w:val="0096092A"/>
    <w:rsid w:val="00962715"/>
    <w:rsid w:val="00963058"/>
    <w:rsid w:val="009634F8"/>
    <w:rsid w:val="00963AE2"/>
    <w:rsid w:val="00963E96"/>
    <w:rsid w:val="009644BD"/>
    <w:rsid w:val="00966C16"/>
    <w:rsid w:val="00966D12"/>
    <w:rsid w:val="00972F4C"/>
    <w:rsid w:val="00975F5E"/>
    <w:rsid w:val="00977612"/>
    <w:rsid w:val="009802F2"/>
    <w:rsid w:val="009827FE"/>
    <w:rsid w:val="00983B09"/>
    <w:rsid w:val="00984646"/>
    <w:rsid w:val="00984CA4"/>
    <w:rsid w:val="0098541A"/>
    <w:rsid w:val="00987752"/>
    <w:rsid w:val="00990860"/>
    <w:rsid w:val="00990E6F"/>
    <w:rsid w:val="00990FC4"/>
    <w:rsid w:val="00991FDD"/>
    <w:rsid w:val="00992009"/>
    <w:rsid w:val="00992B9B"/>
    <w:rsid w:val="0099450E"/>
    <w:rsid w:val="0099513B"/>
    <w:rsid w:val="00995D64"/>
    <w:rsid w:val="009965B4"/>
    <w:rsid w:val="00996B48"/>
    <w:rsid w:val="00996FBD"/>
    <w:rsid w:val="009A1269"/>
    <w:rsid w:val="009A19C4"/>
    <w:rsid w:val="009A453C"/>
    <w:rsid w:val="009B1744"/>
    <w:rsid w:val="009B1EE9"/>
    <w:rsid w:val="009B3DAC"/>
    <w:rsid w:val="009B568A"/>
    <w:rsid w:val="009C08B5"/>
    <w:rsid w:val="009C4545"/>
    <w:rsid w:val="009C4DFC"/>
    <w:rsid w:val="009D0944"/>
    <w:rsid w:val="009D281A"/>
    <w:rsid w:val="009D4D71"/>
    <w:rsid w:val="009D6D2E"/>
    <w:rsid w:val="009D753B"/>
    <w:rsid w:val="009E0CEB"/>
    <w:rsid w:val="009E206F"/>
    <w:rsid w:val="009E60E1"/>
    <w:rsid w:val="009E63B6"/>
    <w:rsid w:val="009E6C5E"/>
    <w:rsid w:val="009E7717"/>
    <w:rsid w:val="009E7FF1"/>
    <w:rsid w:val="009F142B"/>
    <w:rsid w:val="009F23CB"/>
    <w:rsid w:val="009F399F"/>
    <w:rsid w:val="009F5722"/>
    <w:rsid w:val="009F7176"/>
    <w:rsid w:val="00A02072"/>
    <w:rsid w:val="00A0334B"/>
    <w:rsid w:val="00A04A98"/>
    <w:rsid w:val="00A05A91"/>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50CD4"/>
    <w:rsid w:val="00A52FAE"/>
    <w:rsid w:val="00A53909"/>
    <w:rsid w:val="00A54A4A"/>
    <w:rsid w:val="00A5623C"/>
    <w:rsid w:val="00A57A10"/>
    <w:rsid w:val="00A57F06"/>
    <w:rsid w:val="00A600FC"/>
    <w:rsid w:val="00A6068D"/>
    <w:rsid w:val="00A606F7"/>
    <w:rsid w:val="00A60884"/>
    <w:rsid w:val="00A610CB"/>
    <w:rsid w:val="00A63BA3"/>
    <w:rsid w:val="00A643D6"/>
    <w:rsid w:val="00A64DC1"/>
    <w:rsid w:val="00A65FDC"/>
    <w:rsid w:val="00A6623B"/>
    <w:rsid w:val="00A669EE"/>
    <w:rsid w:val="00A67068"/>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B2360"/>
    <w:rsid w:val="00AB33F2"/>
    <w:rsid w:val="00AB5812"/>
    <w:rsid w:val="00AB5BFC"/>
    <w:rsid w:val="00AB66D3"/>
    <w:rsid w:val="00AB7845"/>
    <w:rsid w:val="00AC135D"/>
    <w:rsid w:val="00AC2072"/>
    <w:rsid w:val="00AC40DC"/>
    <w:rsid w:val="00AC4ECB"/>
    <w:rsid w:val="00AD3F9D"/>
    <w:rsid w:val="00AD42EA"/>
    <w:rsid w:val="00AD4746"/>
    <w:rsid w:val="00AD5010"/>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73A4"/>
    <w:rsid w:val="00B00BAD"/>
    <w:rsid w:val="00B00DA4"/>
    <w:rsid w:val="00B035F4"/>
    <w:rsid w:val="00B03860"/>
    <w:rsid w:val="00B04D19"/>
    <w:rsid w:val="00B05A10"/>
    <w:rsid w:val="00B0677C"/>
    <w:rsid w:val="00B0691A"/>
    <w:rsid w:val="00B07C49"/>
    <w:rsid w:val="00B10FCB"/>
    <w:rsid w:val="00B11252"/>
    <w:rsid w:val="00B1153E"/>
    <w:rsid w:val="00B1358E"/>
    <w:rsid w:val="00B145B3"/>
    <w:rsid w:val="00B152AE"/>
    <w:rsid w:val="00B15A62"/>
    <w:rsid w:val="00B16649"/>
    <w:rsid w:val="00B17C41"/>
    <w:rsid w:val="00B17FDB"/>
    <w:rsid w:val="00B24B51"/>
    <w:rsid w:val="00B2577E"/>
    <w:rsid w:val="00B26069"/>
    <w:rsid w:val="00B2760F"/>
    <w:rsid w:val="00B31B92"/>
    <w:rsid w:val="00B320D9"/>
    <w:rsid w:val="00B32135"/>
    <w:rsid w:val="00B321D4"/>
    <w:rsid w:val="00B32676"/>
    <w:rsid w:val="00B330B9"/>
    <w:rsid w:val="00B33559"/>
    <w:rsid w:val="00B341A3"/>
    <w:rsid w:val="00B3495F"/>
    <w:rsid w:val="00B34AF6"/>
    <w:rsid w:val="00B34CBF"/>
    <w:rsid w:val="00B3632A"/>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4471"/>
    <w:rsid w:val="00B65B84"/>
    <w:rsid w:val="00B67AE2"/>
    <w:rsid w:val="00B7272A"/>
    <w:rsid w:val="00B728C8"/>
    <w:rsid w:val="00B72D31"/>
    <w:rsid w:val="00B73133"/>
    <w:rsid w:val="00B74629"/>
    <w:rsid w:val="00B75F90"/>
    <w:rsid w:val="00B8036D"/>
    <w:rsid w:val="00B803D5"/>
    <w:rsid w:val="00B82C78"/>
    <w:rsid w:val="00B84A5C"/>
    <w:rsid w:val="00B87124"/>
    <w:rsid w:val="00B922C5"/>
    <w:rsid w:val="00B92D10"/>
    <w:rsid w:val="00B930F9"/>
    <w:rsid w:val="00B93671"/>
    <w:rsid w:val="00B93841"/>
    <w:rsid w:val="00B948D2"/>
    <w:rsid w:val="00B94908"/>
    <w:rsid w:val="00B95598"/>
    <w:rsid w:val="00BA302B"/>
    <w:rsid w:val="00BA34A2"/>
    <w:rsid w:val="00BA3657"/>
    <w:rsid w:val="00BA4635"/>
    <w:rsid w:val="00BA478A"/>
    <w:rsid w:val="00BA66F5"/>
    <w:rsid w:val="00BA726F"/>
    <w:rsid w:val="00BB5958"/>
    <w:rsid w:val="00BC09A4"/>
    <w:rsid w:val="00BC2111"/>
    <w:rsid w:val="00BC61FD"/>
    <w:rsid w:val="00BC6272"/>
    <w:rsid w:val="00BD0FA0"/>
    <w:rsid w:val="00BD0FD6"/>
    <w:rsid w:val="00BD284B"/>
    <w:rsid w:val="00BD2B98"/>
    <w:rsid w:val="00BD2F6E"/>
    <w:rsid w:val="00BD7382"/>
    <w:rsid w:val="00BD7BD3"/>
    <w:rsid w:val="00BE0D0E"/>
    <w:rsid w:val="00BE0D4F"/>
    <w:rsid w:val="00BE1037"/>
    <w:rsid w:val="00BE379A"/>
    <w:rsid w:val="00BE395D"/>
    <w:rsid w:val="00BE3F35"/>
    <w:rsid w:val="00BE4037"/>
    <w:rsid w:val="00BE482D"/>
    <w:rsid w:val="00BE5DB7"/>
    <w:rsid w:val="00BE6BFB"/>
    <w:rsid w:val="00BF0159"/>
    <w:rsid w:val="00BF1BAE"/>
    <w:rsid w:val="00BF3308"/>
    <w:rsid w:val="00BF4B9B"/>
    <w:rsid w:val="00BF5709"/>
    <w:rsid w:val="00BF5B8B"/>
    <w:rsid w:val="00BF5D30"/>
    <w:rsid w:val="00BF6075"/>
    <w:rsid w:val="00BF6D71"/>
    <w:rsid w:val="00C00CF3"/>
    <w:rsid w:val="00C01B41"/>
    <w:rsid w:val="00C02FA6"/>
    <w:rsid w:val="00C03495"/>
    <w:rsid w:val="00C039E1"/>
    <w:rsid w:val="00C104FE"/>
    <w:rsid w:val="00C118F2"/>
    <w:rsid w:val="00C11946"/>
    <w:rsid w:val="00C1385A"/>
    <w:rsid w:val="00C20CDA"/>
    <w:rsid w:val="00C20DC3"/>
    <w:rsid w:val="00C216FA"/>
    <w:rsid w:val="00C221F5"/>
    <w:rsid w:val="00C2421A"/>
    <w:rsid w:val="00C24BED"/>
    <w:rsid w:val="00C274E7"/>
    <w:rsid w:val="00C278DE"/>
    <w:rsid w:val="00C27D33"/>
    <w:rsid w:val="00C31286"/>
    <w:rsid w:val="00C31A5B"/>
    <w:rsid w:val="00C32478"/>
    <w:rsid w:val="00C34C0E"/>
    <w:rsid w:val="00C35EF2"/>
    <w:rsid w:val="00C403B4"/>
    <w:rsid w:val="00C406DE"/>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66AF"/>
    <w:rsid w:val="00C711DA"/>
    <w:rsid w:val="00C71863"/>
    <w:rsid w:val="00C718DA"/>
    <w:rsid w:val="00C72BBA"/>
    <w:rsid w:val="00C73873"/>
    <w:rsid w:val="00C75FCC"/>
    <w:rsid w:val="00C80322"/>
    <w:rsid w:val="00C8433A"/>
    <w:rsid w:val="00C85C00"/>
    <w:rsid w:val="00C86431"/>
    <w:rsid w:val="00C87262"/>
    <w:rsid w:val="00C907DB"/>
    <w:rsid w:val="00C91224"/>
    <w:rsid w:val="00C9316D"/>
    <w:rsid w:val="00C9387E"/>
    <w:rsid w:val="00C948FD"/>
    <w:rsid w:val="00C975B4"/>
    <w:rsid w:val="00C97FB9"/>
    <w:rsid w:val="00CA031B"/>
    <w:rsid w:val="00CA155E"/>
    <w:rsid w:val="00CA1E20"/>
    <w:rsid w:val="00CA2E10"/>
    <w:rsid w:val="00CA3668"/>
    <w:rsid w:val="00CA3D9D"/>
    <w:rsid w:val="00CA6A60"/>
    <w:rsid w:val="00CA7999"/>
    <w:rsid w:val="00CB14EE"/>
    <w:rsid w:val="00CB28AF"/>
    <w:rsid w:val="00CB4E0C"/>
    <w:rsid w:val="00CB6814"/>
    <w:rsid w:val="00CB7797"/>
    <w:rsid w:val="00CB7943"/>
    <w:rsid w:val="00CC0DD8"/>
    <w:rsid w:val="00CC233B"/>
    <w:rsid w:val="00CC749B"/>
    <w:rsid w:val="00CD02E0"/>
    <w:rsid w:val="00CD056E"/>
    <w:rsid w:val="00CD0B50"/>
    <w:rsid w:val="00CD1405"/>
    <w:rsid w:val="00CD518F"/>
    <w:rsid w:val="00CE192F"/>
    <w:rsid w:val="00CE2A7F"/>
    <w:rsid w:val="00CE3610"/>
    <w:rsid w:val="00CE5CE6"/>
    <w:rsid w:val="00CF00CF"/>
    <w:rsid w:val="00CF24CD"/>
    <w:rsid w:val="00CF2922"/>
    <w:rsid w:val="00CF3D00"/>
    <w:rsid w:val="00CF4046"/>
    <w:rsid w:val="00CF4EF2"/>
    <w:rsid w:val="00CF5221"/>
    <w:rsid w:val="00CF5822"/>
    <w:rsid w:val="00CF5841"/>
    <w:rsid w:val="00CF5A9B"/>
    <w:rsid w:val="00CF61A2"/>
    <w:rsid w:val="00CF6672"/>
    <w:rsid w:val="00D01B92"/>
    <w:rsid w:val="00D03870"/>
    <w:rsid w:val="00D03A5F"/>
    <w:rsid w:val="00D03C40"/>
    <w:rsid w:val="00D049A7"/>
    <w:rsid w:val="00D04F6A"/>
    <w:rsid w:val="00D07E6A"/>
    <w:rsid w:val="00D11E74"/>
    <w:rsid w:val="00D11FEB"/>
    <w:rsid w:val="00D13DED"/>
    <w:rsid w:val="00D144A4"/>
    <w:rsid w:val="00D15823"/>
    <w:rsid w:val="00D20423"/>
    <w:rsid w:val="00D20698"/>
    <w:rsid w:val="00D20F99"/>
    <w:rsid w:val="00D22308"/>
    <w:rsid w:val="00D22435"/>
    <w:rsid w:val="00D23711"/>
    <w:rsid w:val="00D25823"/>
    <w:rsid w:val="00D2649F"/>
    <w:rsid w:val="00D2742F"/>
    <w:rsid w:val="00D309E0"/>
    <w:rsid w:val="00D34D79"/>
    <w:rsid w:val="00D361A0"/>
    <w:rsid w:val="00D36CA4"/>
    <w:rsid w:val="00D37896"/>
    <w:rsid w:val="00D400D4"/>
    <w:rsid w:val="00D4181C"/>
    <w:rsid w:val="00D41A30"/>
    <w:rsid w:val="00D469E3"/>
    <w:rsid w:val="00D47ACD"/>
    <w:rsid w:val="00D50A41"/>
    <w:rsid w:val="00D52ABB"/>
    <w:rsid w:val="00D5313C"/>
    <w:rsid w:val="00D532DC"/>
    <w:rsid w:val="00D53C2C"/>
    <w:rsid w:val="00D53C62"/>
    <w:rsid w:val="00D6078A"/>
    <w:rsid w:val="00D62F5A"/>
    <w:rsid w:val="00D63557"/>
    <w:rsid w:val="00D63B71"/>
    <w:rsid w:val="00D63E4A"/>
    <w:rsid w:val="00D63E9B"/>
    <w:rsid w:val="00D6455A"/>
    <w:rsid w:val="00D71C75"/>
    <w:rsid w:val="00D76AAD"/>
    <w:rsid w:val="00D76DCC"/>
    <w:rsid w:val="00D8241E"/>
    <w:rsid w:val="00D82A70"/>
    <w:rsid w:val="00D82B55"/>
    <w:rsid w:val="00D83702"/>
    <w:rsid w:val="00D838C4"/>
    <w:rsid w:val="00D8516E"/>
    <w:rsid w:val="00D85B99"/>
    <w:rsid w:val="00D863D3"/>
    <w:rsid w:val="00D86E6E"/>
    <w:rsid w:val="00D941E4"/>
    <w:rsid w:val="00D96355"/>
    <w:rsid w:val="00D9659F"/>
    <w:rsid w:val="00D96BC4"/>
    <w:rsid w:val="00D96DF5"/>
    <w:rsid w:val="00D97D6D"/>
    <w:rsid w:val="00DA01F4"/>
    <w:rsid w:val="00DA0F8B"/>
    <w:rsid w:val="00DA2103"/>
    <w:rsid w:val="00DA4C8E"/>
    <w:rsid w:val="00DA704B"/>
    <w:rsid w:val="00DB1EB6"/>
    <w:rsid w:val="00DB4FE0"/>
    <w:rsid w:val="00DB5EFB"/>
    <w:rsid w:val="00DB75E1"/>
    <w:rsid w:val="00DC60E2"/>
    <w:rsid w:val="00DC61A2"/>
    <w:rsid w:val="00DD0B73"/>
    <w:rsid w:val="00DD139E"/>
    <w:rsid w:val="00DD4DA6"/>
    <w:rsid w:val="00DD5BC5"/>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6F8B"/>
    <w:rsid w:val="00DF72F3"/>
    <w:rsid w:val="00E00230"/>
    <w:rsid w:val="00E003B7"/>
    <w:rsid w:val="00E00442"/>
    <w:rsid w:val="00E015B8"/>
    <w:rsid w:val="00E02445"/>
    <w:rsid w:val="00E02F88"/>
    <w:rsid w:val="00E043C4"/>
    <w:rsid w:val="00E047E9"/>
    <w:rsid w:val="00E04CF7"/>
    <w:rsid w:val="00E0521D"/>
    <w:rsid w:val="00E067C5"/>
    <w:rsid w:val="00E074E3"/>
    <w:rsid w:val="00E12CA3"/>
    <w:rsid w:val="00E13B7B"/>
    <w:rsid w:val="00E13C9A"/>
    <w:rsid w:val="00E142EC"/>
    <w:rsid w:val="00E146EF"/>
    <w:rsid w:val="00E158DF"/>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7313"/>
    <w:rsid w:val="00E47E16"/>
    <w:rsid w:val="00E52B88"/>
    <w:rsid w:val="00E53B43"/>
    <w:rsid w:val="00E53BC4"/>
    <w:rsid w:val="00E54558"/>
    <w:rsid w:val="00E55296"/>
    <w:rsid w:val="00E5760E"/>
    <w:rsid w:val="00E603BE"/>
    <w:rsid w:val="00E61871"/>
    <w:rsid w:val="00E61C1E"/>
    <w:rsid w:val="00E61E3D"/>
    <w:rsid w:val="00E61F16"/>
    <w:rsid w:val="00E6244B"/>
    <w:rsid w:val="00E65C58"/>
    <w:rsid w:val="00E66186"/>
    <w:rsid w:val="00E6688E"/>
    <w:rsid w:val="00E67755"/>
    <w:rsid w:val="00E67830"/>
    <w:rsid w:val="00E67A45"/>
    <w:rsid w:val="00E721A2"/>
    <w:rsid w:val="00E72CDA"/>
    <w:rsid w:val="00E76BD1"/>
    <w:rsid w:val="00E77098"/>
    <w:rsid w:val="00E7793E"/>
    <w:rsid w:val="00E7794B"/>
    <w:rsid w:val="00E77A8F"/>
    <w:rsid w:val="00E804F0"/>
    <w:rsid w:val="00E845EB"/>
    <w:rsid w:val="00E8474D"/>
    <w:rsid w:val="00E87046"/>
    <w:rsid w:val="00E87FB2"/>
    <w:rsid w:val="00E932E8"/>
    <w:rsid w:val="00E9569E"/>
    <w:rsid w:val="00E959BD"/>
    <w:rsid w:val="00E96851"/>
    <w:rsid w:val="00E96C91"/>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59D0"/>
    <w:rsid w:val="00EB648A"/>
    <w:rsid w:val="00EB6C95"/>
    <w:rsid w:val="00EB6E90"/>
    <w:rsid w:val="00EB71B3"/>
    <w:rsid w:val="00EC103F"/>
    <w:rsid w:val="00EC10EC"/>
    <w:rsid w:val="00EC18A9"/>
    <w:rsid w:val="00EC1E11"/>
    <w:rsid w:val="00EC25F1"/>
    <w:rsid w:val="00EC2608"/>
    <w:rsid w:val="00EC2DD4"/>
    <w:rsid w:val="00EC2FD2"/>
    <w:rsid w:val="00EC388A"/>
    <w:rsid w:val="00EC3C48"/>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A79"/>
    <w:rsid w:val="00F05DE8"/>
    <w:rsid w:val="00F06310"/>
    <w:rsid w:val="00F12F9E"/>
    <w:rsid w:val="00F138D2"/>
    <w:rsid w:val="00F15297"/>
    <w:rsid w:val="00F20732"/>
    <w:rsid w:val="00F21CF6"/>
    <w:rsid w:val="00F22802"/>
    <w:rsid w:val="00F228CA"/>
    <w:rsid w:val="00F23427"/>
    <w:rsid w:val="00F25518"/>
    <w:rsid w:val="00F26EAA"/>
    <w:rsid w:val="00F30D37"/>
    <w:rsid w:val="00F334DB"/>
    <w:rsid w:val="00F37E2C"/>
    <w:rsid w:val="00F413E2"/>
    <w:rsid w:val="00F426EE"/>
    <w:rsid w:val="00F43176"/>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6176E"/>
    <w:rsid w:val="00F61E91"/>
    <w:rsid w:val="00F73987"/>
    <w:rsid w:val="00F75DFC"/>
    <w:rsid w:val="00F7694A"/>
    <w:rsid w:val="00F80721"/>
    <w:rsid w:val="00F80CD3"/>
    <w:rsid w:val="00F80FDF"/>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6A0"/>
    <w:rsid w:val="00FA2D8D"/>
    <w:rsid w:val="00FA3B4C"/>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AFDB-3441-4539-97E5-15EFE00B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5063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2023-07-21T11:50:00Z</dcterms:created>
  <dcterms:modified xsi:type="dcterms:W3CDTF">2023-11-13T15:43:00Z</dcterms:modified>
</cp:coreProperties>
</file>