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AFE" w:rsidRPr="007D0AFE" w:rsidRDefault="007D0AFE" w:rsidP="000B6AE5">
      <w:pPr>
        <w:widowControl w:val="0"/>
        <w:autoSpaceDE w:val="0"/>
        <w:autoSpaceDN w:val="0"/>
        <w:adjustRightInd w:val="0"/>
        <w:ind w:left="283"/>
        <w:rPr>
          <w:rFonts w:ascii="Verdana" w:hAnsi="Verdana" w:cs="Verdana"/>
          <w:bCs/>
          <w:smallCaps/>
          <w:sz w:val="18"/>
          <w:szCs w:val="18"/>
        </w:rPr>
      </w:pPr>
    </w:p>
    <w:p w:rsidR="007D0AFE" w:rsidRDefault="007D0AFE" w:rsidP="007D0AFE">
      <w:pPr>
        <w:rPr>
          <w:rFonts w:ascii="Verdana" w:hAnsi="Verdana"/>
          <w:sz w:val="20"/>
          <w:szCs w:val="20"/>
        </w:rPr>
      </w:pPr>
    </w:p>
    <w:p w:rsidR="00F83AFD" w:rsidRDefault="00F83AFD" w:rsidP="007D0AFE">
      <w:pPr>
        <w:rPr>
          <w:rFonts w:ascii="Verdana" w:hAnsi="Verdana"/>
          <w:sz w:val="20"/>
          <w:szCs w:val="20"/>
        </w:rPr>
      </w:pPr>
    </w:p>
    <w:p w:rsidR="00F83AFD" w:rsidRDefault="00F83AFD" w:rsidP="007D0AFE">
      <w:pPr>
        <w:rPr>
          <w:rFonts w:ascii="Verdana" w:hAnsi="Verdana"/>
          <w:sz w:val="20"/>
          <w:szCs w:val="20"/>
        </w:rPr>
      </w:pPr>
    </w:p>
    <w:p w:rsidR="00F83AFD" w:rsidRPr="007D0AFE" w:rsidRDefault="00F83AFD" w:rsidP="007D0AFE">
      <w:pPr>
        <w:rPr>
          <w:rFonts w:ascii="Verdana" w:hAnsi="Verdana"/>
          <w:sz w:val="20"/>
          <w:szCs w:val="20"/>
        </w:rPr>
      </w:pPr>
    </w:p>
    <w:tbl>
      <w:tblPr>
        <w:tblW w:w="15650" w:type="dxa"/>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7D0AFE" w:rsidRPr="007D0AFE" w:rsidTr="007D0AFE">
        <w:trPr>
          <w:trHeight w:val="958"/>
        </w:trPr>
        <w:tc>
          <w:tcPr>
            <w:tcW w:w="15650" w:type="dxa"/>
            <w:shd w:val="clear" w:color="auto" w:fill="BDD6EE"/>
          </w:tcPr>
          <w:p w:rsidR="007D0AFE" w:rsidRPr="007D0AFE" w:rsidRDefault="007D0AFE" w:rsidP="005937CF">
            <w:pPr>
              <w:tabs>
                <w:tab w:val="left" w:pos="2190"/>
              </w:tabs>
              <w:spacing w:before="120" w:after="120" w:line="360" w:lineRule="auto"/>
              <w:ind w:left="283" w:right="283"/>
              <w:jc w:val="center"/>
              <w:rPr>
                <w:rFonts w:ascii="Verdana" w:hAnsi="Verdana"/>
                <w:b/>
                <w:sz w:val="20"/>
                <w:szCs w:val="20"/>
              </w:rPr>
            </w:pPr>
            <w:r w:rsidRPr="007D0AFE">
              <w:rPr>
                <w:rFonts w:ascii="Verdana" w:hAnsi="Verdana"/>
                <w:b/>
                <w:spacing w:val="70"/>
              </w:rPr>
              <w:t>СПРАВКА</w:t>
            </w:r>
            <w:r>
              <w:rPr>
                <w:rFonts w:ascii="Verdana" w:hAnsi="Verdana"/>
                <w:b/>
                <w:spacing w:val="70"/>
              </w:rPr>
              <w:br/>
            </w:r>
            <w:r w:rsidRPr="007D0AFE">
              <w:rPr>
                <w:rFonts w:ascii="Verdana" w:hAnsi="Verdana"/>
                <w:b/>
                <w:sz w:val="20"/>
                <w:szCs w:val="20"/>
              </w:rPr>
              <w:t xml:space="preserve">ЗА ОТРАЗЯВАНЕ НА ПОСТЪПИЛИТЕ ПРЕДЛОЖЕНИЯ И СТАНОВИЩА ОТ ОБЩЕСТВЕНИТЕ КОНСУЛТАЦИИ ПО ПРОЕКТА НА </w:t>
            </w:r>
            <w:r w:rsidR="005937CF" w:rsidRPr="005937CF">
              <w:rPr>
                <w:rFonts w:ascii="Verdana" w:hAnsi="Verdana"/>
                <w:b/>
                <w:sz w:val="20"/>
                <w:szCs w:val="20"/>
              </w:rPr>
              <w:t>НАРЕДБА ЗА ИЗМЕНЕНИЕ НА НАРЕДБА № 14 ОТ 2023 Г. ЗА УСЛОВИЯТА И РЕДА ЗА ПРЕДОСТАВЯНЕ НА ФИНАНСОВА ПОМОЩ ПО ИНТЕРВЕНЦИИТЕ В ЛОЗАРО-ВИНАРСКИЯ СЕКТОР, ВКЛЮЧЕНИ В СТРАТЕГИЧЕСКИЯ ПЛАН ЗА РАЗВИТИЕ НА ЗЕМЕДЕЛИЕТО И СЕЛСКИТЕ РАЙОНИ ЗА ПЕРИОДА 2023 – 2027 ГОДИНА</w:t>
            </w:r>
          </w:p>
        </w:tc>
      </w:tr>
    </w:tbl>
    <w:p w:rsidR="007D0AFE" w:rsidRPr="007D0AFE" w:rsidRDefault="007D0AFE" w:rsidP="007D0AFE">
      <w:pPr>
        <w:ind w:left="283" w:right="283"/>
        <w:rPr>
          <w:rFonts w:ascii="Verdana" w:hAnsi="Verdana"/>
        </w:rPr>
      </w:pPr>
    </w:p>
    <w:tbl>
      <w:tblPr>
        <w:tblW w:w="15650"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3030"/>
        <w:gridCol w:w="5475"/>
        <w:gridCol w:w="1896"/>
        <w:gridCol w:w="4627"/>
      </w:tblGrid>
      <w:tr w:rsidR="007D0AFE" w:rsidRPr="007D0AFE" w:rsidTr="00C81633">
        <w:trPr>
          <w:tblHeader/>
        </w:trPr>
        <w:tc>
          <w:tcPr>
            <w:tcW w:w="622" w:type="dxa"/>
            <w:tcBorders>
              <w:top w:val="single" w:sz="24" w:space="0" w:color="2E74B5"/>
              <w:left w:val="single" w:sz="24" w:space="0" w:color="2E74B5"/>
              <w:bottom w:val="single" w:sz="24" w:space="0" w:color="2E74B5"/>
              <w:right w:val="single" w:sz="12" w:space="0" w:color="2E74B5"/>
            </w:tcBorders>
            <w:shd w:val="clear" w:color="auto" w:fill="DEEAF6"/>
            <w:vAlign w:val="center"/>
          </w:tcPr>
          <w:p w:rsidR="007D0AFE" w:rsidRPr="007D0AFE" w:rsidRDefault="007D0AFE" w:rsidP="004F669B">
            <w:pPr>
              <w:tabs>
                <w:tab w:val="left" w:pos="192"/>
              </w:tabs>
              <w:jc w:val="center"/>
              <w:rPr>
                <w:rFonts w:ascii="Verdana" w:hAnsi="Verdana"/>
                <w:b/>
                <w:sz w:val="18"/>
                <w:szCs w:val="18"/>
              </w:rPr>
            </w:pPr>
            <w:r w:rsidRPr="007D0AFE">
              <w:rPr>
                <w:rFonts w:ascii="Verdana" w:hAnsi="Verdana"/>
                <w:b/>
                <w:sz w:val="18"/>
                <w:szCs w:val="18"/>
              </w:rPr>
              <w:t>№</w:t>
            </w:r>
          </w:p>
        </w:tc>
        <w:tc>
          <w:tcPr>
            <w:tcW w:w="3030" w:type="dxa"/>
            <w:tcBorders>
              <w:top w:val="single" w:sz="24" w:space="0" w:color="2E74B5"/>
              <w:left w:val="single" w:sz="12" w:space="0" w:color="2E74B5"/>
              <w:bottom w:val="single" w:sz="24" w:space="0" w:color="2E74B5"/>
              <w:right w:val="single" w:sz="12" w:space="0" w:color="2E74B5"/>
            </w:tcBorders>
            <w:shd w:val="clear" w:color="auto" w:fill="DEEAF6"/>
            <w:vAlign w:val="center"/>
          </w:tcPr>
          <w:p w:rsidR="007D0AFE" w:rsidRPr="007D0AFE" w:rsidRDefault="007D0AFE" w:rsidP="004F669B">
            <w:pPr>
              <w:spacing w:before="60"/>
              <w:jc w:val="center"/>
              <w:rPr>
                <w:rFonts w:ascii="Verdana" w:hAnsi="Verdana"/>
                <w:b/>
                <w:sz w:val="18"/>
                <w:szCs w:val="18"/>
              </w:rPr>
            </w:pPr>
            <w:r w:rsidRPr="007D0AFE">
              <w:rPr>
                <w:rFonts w:ascii="Verdana" w:hAnsi="Verdana"/>
                <w:b/>
                <w:sz w:val="18"/>
                <w:szCs w:val="18"/>
              </w:rPr>
              <w:t>Организация/потребител</w:t>
            </w:r>
          </w:p>
          <w:p w:rsidR="007D0AFE" w:rsidRPr="007D0AFE" w:rsidRDefault="007D0AFE" w:rsidP="004F669B">
            <w:pPr>
              <w:spacing w:after="40"/>
              <w:jc w:val="center"/>
              <w:rPr>
                <w:rFonts w:ascii="Verdana" w:hAnsi="Verdana"/>
                <w:b/>
                <w:sz w:val="13"/>
                <w:szCs w:val="13"/>
              </w:rPr>
            </w:pPr>
            <w:r w:rsidRPr="007D0AFE">
              <w:rPr>
                <w:rFonts w:ascii="Verdana" w:hAnsi="Verdana"/>
                <w:b/>
                <w:sz w:val="13"/>
                <w:szCs w:val="13"/>
              </w:rPr>
              <w:t>(вкл. начина на получаване на предложението)</w:t>
            </w:r>
          </w:p>
        </w:tc>
        <w:tc>
          <w:tcPr>
            <w:tcW w:w="5475" w:type="dxa"/>
            <w:tcBorders>
              <w:top w:val="single" w:sz="24" w:space="0" w:color="2E74B5"/>
              <w:left w:val="single" w:sz="12" w:space="0" w:color="2E74B5"/>
              <w:bottom w:val="single" w:sz="24" w:space="0" w:color="2E74B5"/>
              <w:right w:val="single" w:sz="12" w:space="0" w:color="2E74B5"/>
            </w:tcBorders>
            <w:shd w:val="clear" w:color="auto" w:fill="DEEAF6"/>
            <w:vAlign w:val="center"/>
          </w:tcPr>
          <w:p w:rsidR="007D0AFE" w:rsidRPr="007D0AFE" w:rsidRDefault="007D0AFE" w:rsidP="004F669B">
            <w:pPr>
              <w:jc w:val="center"/>
              <w:rPr>
                <w:rFonts w:ascii="Verdana" w:hAnsi="Verdana"/>
                <w:b/>
                <w:sz w:val="18"/>
                <w:szCs w:val="18"/>
              </w:rPr>
            </w:pPr>
            <w:r w:rsidRPr="007D0AFE">
              <w:rPr>
                <w:rFonts w:ascii="Verdana" w:hAnsi="Verdana"/>
                <w:b/>
                <w:sz w:val="18"/>
                <w:szCs w:val="18"/>
              </w:rPr>
              <w:t>Предложения и становища</w:t>
            </w:r>
          </w:p>
        </w:tc>
        <w:tc>
          <w:tcPr>
            <w:tcW w:w="1896" w:type="dxa"/>
            <w:tcBorders>
              <w:top w:val="single" w:sz="24" w:space="0" w:color="2E74B5"/>
              <w:left w:val="single" w:sz="12" w:space="0" w:color="2E74B5"/>
              <w:bottom w:val="single" w:sz="24" w:space="0" w:color="2E74B5"/>
              <w:right w:val="single" w:sz="12" w:space="0" w:color="2E74B5"/>
            </w:tcBorders>
            <w:shd w:val="clear" w:color="auto" w:fill="DEEAF6"/>
            <w:vAlign w:val="center"/>
          </w:tcPr>
          <w:p w:rsidR="007D0AFE" w:rsidRPr="007D0AFE" w:rsidRDefault="007D0AFE" w:rsidP="004F669B">
            <w:pPr>
              <w:jc w:val="center"/>
              <w:rPr>
                <w:rFonts w:ascii="Verdana" w:hAnsi="Verdana"/>
                <w:b/>
                <w:sz w:val="18"/>
                <w:szCs w:val="18"/>
              </w:rPr>
            </w:pPr>
            <w:r w:rsidRPr="007D0AFE">
              <w:rPr>
                <w:rFonts w:ascii="Verdana" w:hAnsi="Verdana"/>
                <w:b/>
                <w:sz w:val="18"/>
                <w:szCs w:val="18"/>
              </w:rPr>
              <w:t>Приети/</w:t>
            </w:r>
          </w:p>
          <w:p w:rsidR="007D0AFE" w:rsidRPr="007D0AFE" w:rsidRDefault="007D0AFE" w:rsidP="004F669B">
            <w:pPr>
              <w:jc w:val="center"/>
              <w:rPr>
                <w:rFonts w:ascii="Verdana" w:hAnsi="Verdana"/>
                <w:b/>
                <w:sz w:val="18"/>
                <w:szCs w:val="18"/>
              </w:rPr>
            </w:pPr>
            <w:r w:rsidRPr="007D0AFE">
              <w:rPr>
                <w:rFonts w:ascii="Verdana" w:hAnsi="Verdana"/>
                <w:b/>
                <w:sz w:val="18"/>
                <w:szCs w:val="18"/>
              </w:rPr>
              <w:t>неприети</w:t>
            </w:r>
          </w:p>
        </w:tc>
        <w:tc>
          <w:tcPr>
            <w:tcW w:w="4627" w:type="dxa"/>
            <w:tcBorders>
              <w:top w:val="single" w:sz="24" w:space="0" w:color="2E74B5"/>
              <w:left w:val="single" w:sz="12" w:space="0" w:color="2E74B5"/>
              <w:bottom w:val="single" w:sz="24" w:space="0" w:color="2E74B5"/>
              <w:right w:val="single" w:sz="24" w:space="0" w:color="2E74B5"/>
            </w:tcBorders>
            <w:shd w:val="clear" w:color="auto" w:fill="DEEAF6"/>
            <w:vAlign w:val="center"/>
          </w:tcPr>
          <w:p w:rsidR="007D0AFE" w:rsidRPr="007D0AFE" w:rsidRDefault="007D0AFE" w:rsidP="004F669B">
            <w:pPr>
              <w:jc w:val="center"/>
              <w:rPr>
                <w:rFonts w:ascii="Verdana" w:hAnsi="Verdana"/>
                <w:sz w:val="18"/>
                <w:szCs w:val="18"/>
              </w:rPr>
            </w:pPr>
            <w:r w:rsidRPr="007D0AFE">
              <w:rPr>
                <w:rFonts w:ascii="Verdana" w:hAnsi="Verdana"/>
                <w:b/>
                <w:sz w:val="18"/>
                <w:szCs w:val="18"/>
              </w:rPr>
              <w:t>Мотиви</w:t>
            </w:r>
          </w:p>
        </w:tc>
      </w:tr>
      <w:tr w:rsidR="00D33B01" w:rsidRPr="007D0AFE" w:rsidTr="00C81633">
        <w:trPr>
          <w:trHeight w:val="596"/>
        </w:trPr>
        <w:tc>
          <w:tcPr>
            <w:tcW w:w="622" w:type="dxa"/>
            <w:vMerge w:val="restart"/>
            <w:tcBorders>
              <w:top w:val="single" w:sz="24" w:space="0" w:color="2E74B5"/>
              <w:left w:val="single" w:sz="24" w:space="0" w:color="2E74B5"/>
              <w:bottom w:val="single" w:sz="18" w:space="0" w:color="2E74B5"/>
              <w:right w:val="single" w:sz="12" w:space="0" w:color="2E74B5"/>
            </w:tcBorders>
            <w:shd w:val="clear" w:color="auto" w:fill="auto"/>
          </w:tcPr>
          <w:p w:rsidR="00D33B01" w:rsidRPr="007D0AFE" w:rsidRDefault="00D33B01" w:rsidP="004F669B">
            <w:pPr>
              <w:pStyle w:val="ListParagraph"/>
              <w:numPr>
                <w:ilvl w:val="0"/>
                <w:numId w:val="6"/>
              </w:numPr>
              <w:tabs>
                <w:tab w:val="left" w:pos="192"/>
              </w:tabs>
              <w:jc w:val="center"/>
              <w:rPr>
                <w:rFonts w:ascii="Verdana" w:hAnsi="Verdana"/>
                <w:b/>
                <w:sz w:val="22"/>
                <w:szCs w:val="22"/>
              </w:rPr>
            </w:pPr>
          </w:p>
        </w:tc>
        <w:tc>
          <w:tcPr>
            <w:tcW w:w="3030" w:type="dxa"/>
            <w:vMerge w:val="restart"/>
            <w:tcBorders>
              <w:top w:val="single" w:sz="24" w:space="0" w:color="2E74B5"/>
              <w:left w:val="single" w:sz="12" w:space="0" w:color="2E74B5"/>
              <w:bottom w:val="single" w:sz="18" w:space="0" w:color="2E74B5"/>
              <w:right w:val="single" w:sz="18" w:space="0" w:color="2E74B5"/>
            </w:tcBorders>
            <w:shd w:val="clear" w:color="auto" w:fill="auto"/>
          </w:tcPr>
          <w:p w:rsidR="00D33B01" w:rsidRPr="006F44E4" w:rsidRDefault="00D33B01" w:rsidP="006F44E4">
            <w:pPr>
              <w:rPr>
                <w:rFonts w:ascii="Verdana" w:hAnsi="Verdana"/>
                <w:bCs/>
                <w:sz w:val="20"/>
                <w:szCs w:val="20"/>
              </w:rPr>
            </w:pPr>
            <w:r w:rsidRPr="006F44E4">
              <w:rPr>
                <w:rFonts w:ascii="Verdana" w:hAnsi="Verdana"/>
                <w:bCs/>
                <w:sz w:val="20"/>
                <w:szCs w:val="20"/>
              </w:rPr>
              <w:t>Tzviatkov</w:t>
            </w:r>
          </w:p>
          <w:p w:rsidR="00D33B01" w:rsidRPr="007D0AFE" w:rsidRDefault="00D33B01" w:rsidP="006F44E4">
            <w:pPr>
              <w:rPr>
                <w:rFonts w:ascii="Verdana" w:hAnsi="Verdana"/>
                <w:b/>
                <w:sz w:val="22"/>
                <w:szCs w:val="22"/>
              </w:rPr>
            </w:pPr>
            <w:r w:rsidRPr="006F44E4">
              <w:rPr>
                <w:rFonts w:ascii="Verdana" w:hAnsi="Verdana"/>
                <w:bCs/>
                <w:sz w:val="20"/>
                <w:szCs w:val="20"/>
              </w:rPr>
              <w:t>от Портала за общест-вени</w:t>
            </w:r>
            <w:r>
              <w:rPr>
                <w:rFonts w:ascii="Verdana" w:hAnsi="Verdana"/>
                <w:bCs/>
                <w:sz w:val="20"/>
                <w:szCs w:val="20"/>
              </w:rPr>
              <w:t xml:space="preserve"> консултации – публикувано на 31 октомври</w:t>
            </w:r>
            <w:r w:rsidRPr="006F44E4">
              <w:rPr>
                <w:rFonts w:ascii="Verdana" w:hAnsi="Verdana"/>
                <w:bCs/>
                <w:sz w:val="20"/>
                <w:szCs w:val="20"/>
              </w:rPr>
              <w:t xml:space="preserve"> 2023 г.</w:t>
            </w:r>
            <w:r w:rsidRPr="00DD088C">
              <w:rPr>
                <w:bCs/>
                <w:sz w:val="23"/>
                <w:szCs w:val="23"/>
              </w:rPr>
              <w:t xml:space="preserve">  </w:t>
            </w:r>
          </w:p>
        </w:tc>
        <w:tc>
          <w:tcPr>
            <w:tcW w:w="5475" w:type="dxa"/>
            <w:vMerge w:val="restart"/>
            <w:tcBorders>
              <w:top w:val="single" w:sz="24" w:space="0" w:color="2E74B5"/>
              <w:left w:val="single" w:sz="18" w:space="0" w:color="2E74B5"/>
              <w:right w:val="single" w:sz="12" w:space="0" w:color="2E74B5"/>
            </w:tcBorders>
            <w:shd w:val="clear" w:color="auto" w:fill="auto"/>
          </w:tcPr>
          <w:p w:rsidR="00D33B01" w:rsidRPr="00D33B01" w:rsidRDefault="00D33B01" w:rsidP="007373D7">
            <w:pPr>
              <w:jc w:val="both"/>
              <w:rPr>
                <w:rFonts w:ascii="Verdana" w:hAnsi="Verdana"/>
                <w:sz w:val="20"/>
                <w:szCs w:val="20"/>
              </w:rPr>
            </w:pPr>
            <w:r w:rsidRPr="00D33B01">
              <w:rPr>
                <w:rFonts w:ascii="Verdana" w:hAnsi="Verdana"/>
                <w:sz w:val="20"/>
                <w:szCs w:val="20"/>
              </w:rPr>
              <w:t>Предложение</w:t>
            </w:r>
          </w:p>
          <w:p w:rsidR="00D33B01" w:rsidRPr="00D33B01" w:rsidRDefault="00D33B01" w:rsidP="007373D7">
            <w:pPr>
              <w:jc w:val="both"/>
              <w:rPr>
                <w:rFonts w:ascii="Verdana" w:hAnsi="Verdana"/>
                <w:sz w:val="20"/>
                <w:szCs w:val="20"/>
              </w:rPr>
            </w:pPr>
            <w:r w:rsidRPr="00D33B01">
              <w:rPr>
                <w:rFonts w:ascii="Verdana" w:hAnsi="Verdana"/>
                <w:sz w:val="20"/>
                <w:szCs w:val="20"/>
              </w:rPr>
              <w:t>„Проект на Наредба за изменение на Наредба № 14 от 2023 г. за условията и реда за предоставяне на финансова помощ по интервенциите в лозаро-винарския сектор, включени в Стратегическия план за развитие на земеделието и селските райони за периода 2023–2027г.“ е публикуван за обществено обсъждане на 18.10.2023г.</w:t>
            </w:r>
          </w:p>
          <w:p w:rsidR="00D33B01" w:rsidRPr="00D33B01" w:rsidRDefault="00D33B01" w:rsidP="007373D7">
            <w:pPr>
              <w:jc w:val="both"/>
              <w:rPr>
                <w:rFonts w:ascii="Verdana" w:hAnsi="Verdana"/>
                <w:sz w:val="20"/>
                <w:szCs w:val="20"/>
              </w:rPr>
            </w:pPr>
            <w:r w:rsidRPr="00D33B01">
              <w:rPr>
                <w:rFonts w:ascii="Verdana" w:hAnsi="Verdana"/>
                <w:sz w:val="20"/>
                <w:szCs w:val="20"/>
              </w:rPr>
              <w:t>По условията на чл. чл. 5, ал. 1 от Наредбата „Прием по интервенцията по чл. 1, т. 1 се провежда всяка година в периода 15 октомври - 15 ноември.“, т.е предложението за изменение на Наредбата е било в нормативно определен период за провеждане на приема.</w:t>
            </w:r>
          </w:p>
          <w:p w:rsidR="00D33B01" w:rsidRPr="00D33B01" w:rsidRDefault="00D33B01" w:rsidP="007373D7">
            <w:pPr>
              <w:jc w:val="both"/>
              <w:rPr>
                <w:rFonts w:ascii="Verdana" w:hAnsi="Verdana"/>
                <w:sz w:val="20"/>
                <w:szCs w:val="20"/>
              </w:rPr>
            </w:pPr>
            <w:r w:rsidRPr="00D33B01">
              <w:rPr>
                <w:rFonts w:ascii="Verdana" w:hAnsi="Verdana"/>
                <w:sz w:val="20"/>
                <w:szCs w:val="20"/>
              </w:rPr>
              <w:t>Към 18.10.2023г. приемът по интервенция "Преструктуриране и конверсия на лозя" не е бил отворен за кандидатстване. В писмо с изх.№ 94-2255/30.10.2023г. на МЗХ същото е потвърдено. Връзка към писмото: https://eufunds.ruse.biz/pismo-na-mzh-po-signal-ot-18-10-2023g-za-narushenie-po-chl-5-al-1-ot-naredba-14-ot-11-septemvri-2023-g-za-usloviyata-i-reda-za-predostavyane-na-finansova-pomosht-</w:t>
            </w:r>
            <w:r w:rsidRPr="00D33B01">
              <w:rPr>
                <w:rFonts w:ascii="Verdana" w:hAnsi="Verdana"/>
                <w:sz w:val="20"/>
                <w:szCs w:val="20"/>
              </w:rPr>
              <w:lastRenderedPageBreak/>
              <w:t>po-interventsiite-v-lozaro-vinarsk/</w:t>
            </w:r>
          </w:p>
          <w:p w:rsidR="00D33B01" w:rsidRPr="00D33B01" w:rsidRDefault="00D33B01" w:rsidP="007373D7">
            <w:pPr>
              <w:jc w:val="both"/>
              <w:rPr>
                <w:rFonts w:ascii="Verdana" w:hAnsi="Verdana"/>
                <w:sz w:val="20"/>
                <w:szCs w:val="20"/>
              </w:rPr>
            </w:pPr>
            <w:r w:rsidRPr="00D33B01">
              <w:rPr>
                <w:rFonts w:ascii="Verdana" w:hAnsi="Verdana"/>
                <w:sz w:val="20"/>
                <w:szCs w:val="20"/>
              </w:rPr>
              <w:t>По условията на чл. 5, ал. 6 от Наредбата „Бюджетът за всеки прием по интервенциите се определя със заповед на министъра на земеделието и храните 30 дни преди съответния прием по ал. 1, 2, 4 и 5“. Към 18.10.2023г. липсва публично оповестена такава заповед на сайта на МЗХ.</w:t>
            </w:r>
          </w:p>
          <w:p w:rsidR="00D33B01" w:rsidRPr="007373D7" w:rsidRDefault="00D33B01" w:rsidP="007373D7">
            <w:pPr>
              <w:jc w:val="both"/>
              <w:rPr>
                <w:rFonts w:ascii="Verdana" w:hAnsi="Verdana"/>
                <w:sz w:val="20"/>
                <w:szCs w:val="20"/>
              </w:rPr>
            </w:pPr>
            <w:r w:rsidRPr="007373D7">
              <w:rPr>
                <w:rFonts w:ascii="Verdana" w:hAnsi="Verdana"/>
                <w:sz w:val="20"/>
                <w:szCs w:val="20"/>
              </w:rPr>
              <w:t>ПРЕДЛОЖЕНИЕ:</w:t>
            </w:r>
          </w:p>
          <w:p w:rsidR="00D33B01" w:rsidRPr="00D33B01" w:rsidRDefault="00D33B01" w:rsidP="007373D7">
            <w:pPr>
              <w:jc w:val="both"/>
              <w:rPr>
                <w:rFonts w:ascii="Verdana" w:hAnsi="Verdana"/>
                <w:sz w:val="20"/>
                <w:szCs w:val="20"/>
              </w:rPr>
            </w:pPr>
            <w:r w:rsidRPr="007373D7">
              <w:rPr>
                <w:rFonts w:ascii="Verdana" w:hAnsi="Verdana"/>
                <w:sz w:val="20"/>
                <w:szCs w:val="20"/>
              </w:rPr>
              <w:t>1. МЗХ да отстрани констатираните по- горе нарушения по прилагането на Наредбата, като за финансовата година 2023/2024 се промени датата за стартиране на приема по интервенция "Преструктуриране и конверсия на лозя", спрямо публикуването на НИД в ДВ и издаване на заповедта по чл. 5, ал. 6 от Наредбата.</w:t>
            </w:r>
          </w:p>
        </w:tc>
        <w:tc>
          <w:tcPr>
            <w:tcW w:w="1896" w:type="dxa"/>
            <w:vMerge w:val="restart"/>
            <w:tcBorders>
              <w:top w:val="single" w:sz="24" w:space="0" w:color="2E74B5"/>
              <w:left w:val="single" w:sz="12" w:space="0" w:color="2E74B5"/>
              <w:right w:val="single" w:sz="12" w:space="0" w:color="2E74B5"/>
            </w:tcBorders>
            <w:shd w:val="clear" w:color="auto" w:fill="auto"/>
          </w:tcPr>
          <w:p w:rsidR="00D33B01" w:rsidRPr="00D33B01" w:rsidRDefault="00D33B01" w:rsidP="004F669B">
            <w:pPr>
              <w:rPr>
                <w:rFonts w:ascii="Verdana" w:hAnsi="Verdana"/>
                <w:sz w:val="20"/>
                <w:szCs w:val="20"/>
              </w:rPr>
            </w:pPr>
            <w:r w:rsidRPr="00D33B01">
              <w:rPr>
                <w:rFonts w:ascii="Verdana" w:hAnsi="Verdana"/>
                <w:sz w:val="20"/>
                <w:szCs w:val="20"/>
              </w:rPr>
              <w:lastRenderedPageBreak/>
              <w:t>Приема се частично</w:t>
            </w:r>
          </w:p>
        </w:tc>
        <w:tc>
          <w:tcPr>
            <w:tcW w:w="4627" w:type="dxa"/>
            <w:tcBorders>
              <w:top w:val="single" w:sz="24" w:space="0" w:color="2E74B5"/>
              <w:left w:val="single" w:sz="12" w:space="0" w:color="2E74B5"/>
              <w:bottom w:val="nil"/>
              <w:right w:val="single" w:sz="24" w:space="0" w:color="2E74B5"/>
            </w:tcBorders>
            <w:shd w:val="clear" w:color="auto" w:fill="auto"/>
          </w:tcPr>
          <w:p w:rsidR="00D33B01" w:rsidRPr="00D33B01" w:rsidRDefault="00D33B01" w:rsidP="00C81633">
            <w:pPr>
              <w:jc w:val="both"/>
              <w:rPr>
                <w:rFonts w:ascii="Verdana" w:hAnsi="Verdana"/>
                <w:sz w:val="20"/>
                <w:szCs w:val="20"/>
              </w:rPr>
            </w:pPr>
            <w:r w:rsidRPr="00D33B01">
              <w:rPr>
                <w:rFonts w:ascii="Verdana" w:hAnsi="Verdana"/>
                <w:sz w:val="20"/>
                <w:szCs w:val="20"/>
              </w:rPr>
              <w:t>Приемът по интервенция „Преструктуриране и конверсия на лозя“ през 2023 г. се удължава до 30 ноември с.г.</w:t>
            </w:r>
          </w:p>
        </w:tc>
      </w:tr>
      <w:tr w:rsidR="00D33B01" w:rsidRPr="007D0AFE" w:rsidTr="00C81633">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D33B01" w:rsidRPr="007D0AFE" w:rsidRDefault="00D33B01" w:rsidP="007D0AFE">
            <w:pPr>
              <w:numPr>
                <w:ilvl w:val="0"/>
                <w:numId w:val="5"/>
              </w:numPr>
              <w:tabs>
                <w:tab w:val="left" w:pos="192"/>
              </w:tabs>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D33B01" w:rsidRPr="007D0AFE" w:rsidRDefault="00D33B01" w:rsidP="004F669B">
            <w:pPr>
              <w:rPr>
                <w:rFonts w:ascii="Verdana" w:hAnsi="Verdana"/>
                <w:b/>
                <w:sz w:val="22"/>
                <w:szCs w:val="22"/>
              </w:rPr>
            </w:pPr>
          </w:p>
        </w:tc>
        <w:tc>
          <w:tcPr>
            <w:tcW w:w="5475" w:type="dxa"/>
            <w:vMerge/>
            <w:tcBorders>
              <w:left w:val="single" w:sz="18" w:space="0" w:color="2E74B5"/>
              <w:bottom w:val="nil"/>
              <w:right w:val="single" w:sz="12" w:space="0" w:color="2E74B5"/>
            </w:tcBorders>
            <w:shd w:val="clear" w:color="auto" w:fill="auto"/>
          </w:tcPr>
          <w:p w:rsidR="00D33B01" w:rsidRPr="007373D7" w:rsidRDefault="00D33B01" w:rsidP="007373D7">
            <w:pPr>
              <w:jc w:val="both"/>
              <w:rPr>
                <w:rFonts w:ascii="Verdana" w:hAnsi="Verdana"/>
                <w:sz w:val="20"/>
                <w:szCs w:val="20"/>
              </w:rPr>
            </w:pPr>
          </w:p>
        </w:tc>
        <w:tc>
          <w:tcPr>
            <w:tcW w:w="1896" w:type="dxa"/>
            <w:vMerge/>
            <w:tcBorders>
              <w:left w:val="single" w:sz="12" w:space="0" w:color="2E74B5"/>
              <w:bottom w:val="nil"/>
              <w:right w:val="single" w:sz="12" w:space="0" w:color="2E74B5"/>
            </w:tcBorders>
            <w:shd w:val="clear" w:color="auto" w:fill="auto"/>
          </w:tcPr>
          <w:p w:rsidR="00D33B01" w:rsidRPr="007D0AFE" w:rsidRDefault="00D33B01" w:rsidP="004F669B">
            <w:pPr>
              <w:rPr>
                <w:rFonts w:ascii="Verdana" w:hAnsi="Verdana"/>
                <w:sz w:val="22"/>
                <w:szCs w:val="22"/>
              </w:rPr>
            </w:pPr>
          </w:p>
        </w:tc>
        <w:tc>
          <w:tcPr>
            <w:tcW w:w="4627" w:type="dxa"/>
            <w:tcBorders>
              <w:top w:val="nil"/>
              <w:left w:val="single" w:sz="12" w:space="0" w:color="2E74B5"/>
              <w:bottom w:val="nil"/>
              <w:right w:val="single" w:sz="24" w:space="0" w:color="2E74B5"/>
            </w:tcBorders>
            <w:shd w:val="clear" w:color="auto" w:fill="auto"/>
          </w:tcPr>
          <w:p w:rsidR="00D33B01" w:rsidRPr="007D0AFE" w:rsidRDefault="00D33B01" w:rsidP="004F669B">
            <w:pPr>
              <w:rPr>
                <w:rFonts w:ascii="Verdana" w:hAnsi="Verdana"/>
                <w:sz w:val="22"/>
                <w:szCs w:val="22"/>
              </w:rPr>
            </w:pPr>
          </w:p>
        </w:tc>
      </w:tr>
      <w:tr w:rsidR="007D0AFE" w:rsidRPr="007D0AFE" w:rsidTr="00C81633">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7D0AFE" w:rsidRPr="007D0AFE" w:rsidRDefault="007D0AFE" w:rsidP="007D0AFE">
            <w:pPr>
              <w:numPr>
                <w:ilvl w:val="0"/>
                <w:numId w:val="5"/>
              </w:numPr>
              <w:tabs>
                <w:tab w:val="left" w:pos="192"/>
              </w:tabs>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7D0AFE" w:rsidRPr="007D0AFE" w:rsidRDefault="007D0AFE" w:rsidP="004F669B">
            <w:pPr>
              <w:rPr>
                <w:rFonts w:ascii="Verdana" w:hAnsi="Verdana"/>
                <w:b/>
                <w:sz w:val="22"/>
                <w:szCs w:val="22"/>
              </w:rPr>
            </w:pPr>
          </w:p>
        </w:tc>
        <w:tc>
          <w:tcPr>
            <w:tcW w:w="5475" w:type="dxa"/>
            <w:tcBorders>
              <w:top w:val="nil"/>
              <w:left w:val="single" w:sz="18" w:space="0" w:color="2E74B5"/>
              <w:bottom w:val="single" w:sz="18" w:space="0" w:color="2E74B5"/>
              <w:right w:val="single" w:sz="12" w:space="0" w:color="2E74B5"/>
            </w:tcBorders>
            <w:shd w:val="clear" w:color="auto" w:fill="auto"/>
          </w:tcPr>
          <w:p w:rsidR="007373D7" w:rsidRPr="007373D7" w:rsidRDefault="007373D7" w:rsidP="007373D7">
            <w:pPr>
              <w:jc w:val="both"/>
              <w:rPr>
                <w:rFonts w:ascii="Verdana" w:hAnsi="Verdana"/>
                <w:sz w:val="20"/>
                <w:szCs w:val="20"/>
              </w:rPr>
            </w:pPr>
            <w:r w:rsidRPr="007373D7">
              <w:rPr>
                <w:rFonts w:ascii="Verdana" w:hAnsi="Verdana"/>
                <w:sz w:val="20"/>
                <w:szCs w:val="20"/>
              </w:rPr>
              <w:t>Предложение</w:t>
            </w:r>
          </w:p>
          <w:p w:rsidR="007373D7" w:rsidRPr="007373D7" w:rsidRDefault="007373D7" w:rsidP="007373D7">
            <w:pPr>
              <w:jc w:val="both"/>
              <w:rPr>
                <w:rFonts w:ascii="Verdana" w:hAnsi="Verdana"/>
                <w:sz w:val="20"/>
                <w:szCs w:val="20"/>
              </w:rPr>
            </w:pPr>
            <w:r w:rsidRPr="007373D7">
              <w:rPr>
                <w:rFonts w:ascii="Verdana" w:hAnsi="Verdana"/>
                <w:sz w:val="20"/>
                <w:szCs w:val="20"/>
              </w:rPr>
              <w:t>§ 1. В чл. 7 се правят следните изменения:</w:t>
            </w:r>
          </w:p>
          <w:p w:rsidR="007373D7" w:rsidRPr="007373D7" w:rsidRDefault="007373D7" w:rsidP="007373D7">
            <w:pPr>
              <w:jc w:val="both"/>
              <w:rPr>
                <w:rFonts w:ascii="Verdana" w:hAnsi="Verdana"/>
                <w:sz w:val="20"/>
                <w:szCs w:val="20"/>
              </w:rPr>
            </w:pPr>
            <w:r w:rsidRPr="007373D7">
              <w:rPr>
                <w:rFonts w:ascii="Verdana" w:hAnsi="Verdana"/>
                <w:sz w:val="20"/>
                <w:szCs w:val="20"/>
              </w:rPr>
              <w:t>1. В ал. 1, т. 3, буква „ж“ се отменя.</w:t>
            </w:r>
          </w:p>
          <w:p w:rsidR="007373D7" w:rsidRPr="007373D7" w:rsidRDefault="007373D7" w:rsidP="007373D7">
            <w:pPr>
              <w:jc w:val="both"/>
              <w:rPr>
                <w:rFonts w:ascii="Verdana" w:hAnsi="Verdana"/>
                <w:sz w:val="20"/>
                <w:szCs w:val="20"/>
              </w:rPr>
            </w:pPr>
            <w:r w:rsidRPr="007373D7">
              <w:rPr>
                <w:rFonts w:ascii="Verdana" w:hAnsi="Verdana"/>
                <w:sz w:val="20"/>
                <w:szCs w:val="20"/>
              </w:rPr>
              <w:t>2. Алинея 7 се отменя.</w:t>
            </w:r>
          </w:p>
          <w:p w:rsidR="007373D7" w:rsidRPr="007373D7" w:rsidRDefault="007373D7" w:rsidP="007373D7">
            <w:pPr>
              <w:jc w:val="both"/>
              <w:rPr>
                <w:rFonts w:ascii="Verdana" w:hAnsi="Verdana"/>
                <w:sz w:val="20"/>
                <w:szCs w:val="20"/>
              </w:rPr>
            </w:pPr>
            <w:r w:rsidRPr="007373D7">
              <w:rPr>
                <w:rFonts w:ascii="Verdana" w:hAnsi="Verdana"/>
                <w:sz w:val="20"/>
                <w:szCs w:val="20"/>
              </w:rPr>
              <w:t>ПРЕДЛОЖЕНИЕ:</w:t>
            </w:r>
          </w:p>
          <w:p w:rsidR="007373D7" w:rsidRPr="007373D7" w:rsidRDefault="007373D7" w:rsidP="007373D7">
            <w:pPr>
              <w:jc w:val="both"/>
              <w:rPr>
                <w:rFonts w:ascii="Verdana" w:hAnsi="Verdana"/>
                <w:sz w:val="20"/>
                <w:szCs w:val="20"/>
              </w:rPr>
            </w:pPr>
            <w:r w:rsidRPr="007373D7">
              <w:rPr>
                <w:rFonts w:ascii="Verdana" w:hAnsi="Verdana"/>
                <w:sz w:val="20"/>
                <w:szCs w:val="20"/>
              </w:rPr>
              <w:t>Параграфът да отпадне.</w:t>
            </w:r>
          </w:p>
          <w:p w:rsidR="007373D7" w:rsidRPr="007373D7" w:rsidRDefault="007373D7" w:rsidP="007373D7">
            <w:pPr>
              <w:jc w:val="both"/>
              <w:rPr>
                <w:rFonts w:ascii="Verdana" w:hAnsi="Verdana"/>
                <w:sz w:val="20"/>
                <w:szCs w:val="20"/>
              </w:rPr>
            </w:pPr>
            <w:r w:rsidRPr="007373D7">
              <w:rPr>
                <w:rFonts w:ascii="Verdana" w:hAnsi="Verdana"/>
                <w:sz w:val="20"/>
                <w:szCs w:val="20"/>
              </w:rPr>
              <w:t>ОСНОВАНИЕ:</w:t>
            </w:r>
          </w:p>
          <w:p w:rsidR="007373D7" w:rsidRPr="007373D7" w:rsidRDefault="007373D7" w:rsidP="007373D7">
            <w:pPr>
              <w:jc w:val="both"/>
              <w:rPr>
                <w:rFonts w:ascii="Verdana" w:hAnsi="Verdana"/>
                <w:sz w:val="20"/>
                <w:szCs w:val="20"/>
              </w:rPr>
            </w:pPr>
            <w:r w:rsidRPr="007373D7">
              <w:rPr>
                <w:rFonts w:ascii="Verdana" w:hAnsi="Verdana"/>
                <w:sz w:val="20"/>
                <w:szCs w:val="20"/>
              </w:rPr>
              <w:t xml:space="preserve">1. В „Одобрен Стратегически план за развитие на земеделието и селските райони на Република България за периода 2023 – 2027 г. на 07.12.2022 г.“ ( https://www.mzh.government.bg/media/filer_public/2023/01/10/strategicheski_plan_2023-2027_8LjLWGr.pdf ) на страница 804 за „III. Дейност „Подобряване на техниките за управление на лозята““ е наличен текста „8**. Закупуване на гроздокомбайни, прикачен инвентар за обработка на лозовото насаждение и други машини за наблюдение и обработка, които не са транспортни средства.“ и „**Точка осем (8) е допустима за изпълнение само при проекти на групи или организации на производители на </w:t>
            </w:r>
            <w:r w:rsidRPr="007373D7">
              <w:rPr>
                <w:rFonts w:ascii="Verdana" w:hAnsi="Verdana"/>
                <w:sz w:val="20"/>
                <w:szCs w:val="20"/>
              </w:rPr>
              <w:lastRenderedPageBreak/>
              <w:t>винено грозде.“.</w:t>
            </w:r>
          </w:p>
          <w:p w:rsidR="007373D7" w:rsidRPr="007373D7" w:rsidRDefault="007373D7" w:rsidP="007373D7">
            <w:pPr>
              <w:jc w:val="both"/>
              <w:rPr>
                <w:rFonts w:ascii="Verdana" w:hAnsi="Verdana"/>
                <w:sz w:val="20"/>
                <w:szCs w:val="20"/>
              </w:rPr>
            </w:pPr>
            <w:r w:rsidRPr="007373D7">
              <w:rPr>
                <w:rFonts w:ascii="Verdana" w:hAnsi="Verdana"/>
                <w:sz w:val="20"/>
                <w:szCs w:val="20"/>
              </w:rPr>
              <w:t>С предложеният параграф се премахват допустими по плана инвестиции, а като основание за предмета на Наредбата е посочено „С тази наредба се уреждат условията и редът за предоставяне на финансова помощ по следните интервенции в лозаро-винарския сектор, включени в Стратегическия план за развитието на земеделието и селските райони на Република България за периода 2023 - 2027 г.“, което е в пряко нарушение на този предмет.</w:t>
            </w:r>
          </w:p>
          <w:p w:rsidR="007D0AFE" w:rsidRPr="007373D7" w:rsidRDefault="007373D7" w:rsidP="007373D7">
            <w:pPr>
              <w:jc w:val="both"/>
              <w:rPr>
                <w:rFonts w:ascii="Verdana" w:hAnsi="Verdana"/>
                <w:sz w:val="20"/>
                <w:szCs w:val="20"/>
              </w:rPr>
            </w:pPr>
            <w:r w:rsidRPr="007373D7">
              <w:rPr>
                <w:rFonts w:ascii="Verdana" w:hAnsi="Verdana"/>
                <w:sz w:val="20"/>
                <w:szCs w:val="20"/>
              </w:rPr>
              <w:t>2. Параграфът може да се предложи с нов НИД на На</w:t>
            </w:r>
            <w:r w:rsidR="00D33B01">
              <w:rPr>
                <w:rFonts w:ascii="Verdana" w:hAnsi="Verdana"/>
                <w:sz w:val="20"/>
                <w:szCs w:val="20"/>
              </w:rPr>
              <w:t>редбата след од</w:t>
            </w:r>
            <w:r w:rsidRPr="007373D7">
              <w:rPr>
                <w:rFonts w:ascii="Verdana" w:hAnsi="Verdana"/>
                <w:sz w:val="20"/>
                <w:szCs w:val="20"/>
              </w:rPr>
              <w:t>обрена за това промяна на „Стратегически план за развитие на земеделието и селските райони на Република България за периода 2023 – 2027 г.“ и изрично посочване на размера на средствата, които се премахват от плана на интервенцията.</w:t>
            </w:r>
          </w:p>
        </w:tc>
        <w:tc>
          <w:tcPr>
            <w:tcW w:w="1896" w:type="dxa"/>
            <w:tcBorders>
              <w:top w:val="nil"/>
              <w:left w:val="single" w:sz="12" w:space="0" w:color="2E74B5"/>
              <w:bottom w:val="single" w:sz="18" w:space="0" w:color="2E74B5"/>
              <w:right w:val="single" w:sz="12" w:space="0" w:color="2E74B5"/>
            </w:tcBorders>
            <w:shd w:val="clear" w:color="auto" w:fill="auto"/>
          </w:tcPr>
          <w:p w:rsidR="007D0AFE" w:rsidRPr="00D33B01" w:rsidRDefault="00D33B01" w:rsidP="004F669B">
            <w:pPr>
              <w:rPr>
                <w:rFonts w:ascii="Verdana" w:hAnsi="Verdana"/>
                <w:sz w:val="20"/>
                <w:szCs w:val="20"/>
              </w:rPr>
            </w:pPr>
            <w:r w:rsidRPr="00D33B01">
              <w:rPr>
                <w:rFonts w:ascii="Verdana" w:hAnsi="Verdana"/>
                <w:sz w:val="20"/>
                <w:szCs w:val="20"/>
              </w:rPr>
              <w:lastRenderedPageBreak/>
              <w:t>Не се приема</w:t>
            </w:r>
          </w:p>
        </w:tc>
        <w:tc>
          <w:tcPr>
            <w:tcW w:w="4627" w:type="dxa"/>
            <w:tcBorders>
              <w:top w:val="nil"/>
              <w:left w:val="single" w:sz="12" w:space="0" w:color="2E74B5"/>
              <w:bottom w:val="single" w:sz="18" w:space="0" w:color="2E74B5"/>
              <w:right w:val="single" w:sz="24" w:space="0" w:color="2E74B5"/>
            </w:tcBorders>
            <w:shd w:val="clear" w:color="auto" w:fill="auto"/>
          </w:tcPr>
          <w:p w:rsidR="007D0AFE" w:rsidRPr="00D33B01" w:rsidRDefault="00D33B01" w:rsidP="00C81633">
            <w:pPr>
              <w:jc w:val="both"/>
              <w:rPr>
                <w:rFonts w:ascii="Verdana" w:hAnsi="Verdana"/>
                <w:sz w:val="20"/>
                <w:szCs w:val="20"/>
              </w:rPr>
            </w:pPr>
            <w:r w:rsidRPr="00D33B01">
              <w:rPr>
                <w:rFonts w:ascii="Verdana" w:hAnsi="Verdana"/>
                <w:sz w:val="20"/>
                <w:szCs w:val="20"/>
              </w:rPr>
              <w:t>Отпадането на дейност „закупуване на гроздокомбайни, прикачен инвентар за обработка на лозовото насаждение и други машини за наблюдение и обработка, които не са транспортни средства“ е на основание констатации на одитните служби към ЕК. След изменението на Стратегическия план дейността ще бъде предвидена за прилагане в интервенция „Инвестиции в лозаро-винарския сектор“ и наредбата ще бъде изменена.</w:t>
            </w:r>
          </w:p>
        </w:tc>
      </w:tr>
      <w:tr w:rsidR="00C81633" w:rsidRPr="007D0AFE" w:rsidTr="00C81633">
        <w:trPr>
          <w:trHeight w:val="596"/>
        </w:trPr>
        <w:tc>
          <w:tcPr>
            <w:tcW w:w="622" w:type="dxa"/>
            <w:tcBorders>
              <w:top w:val="single" w:sz="18" w:space="0" w:color="2E74B5"/>
              <w:left w:val="single" w:sz="24" w:space="0" w:color="2E74B5"/>
              <w:bottom w:val="single" w:sz="18" w:space="0" w:color="2E74B5"/>
              <w:right w:val="single" w:sz="12" w:space="0" w:color="2E74B5"/>
            </w:tcBorders>
            <w:shd w:val="clear" w:color="auto" w:fill="auto"/>
          </w:tcPr>
          <w:p w:rsidR="00C81633" w:rsidRPr="007D0AFE" w:rsidRDefault="00C81633" w:rsidP="004F669B">
            <w:pPr>
              <w:pStyle w:val="ListParagraph"/>
              <w:numPr>
                <w:ilvl w:val="0"/>
                <w:numId w:val="6"/>
              </w:numPr>
              <w:tabs>
                <w:tab w:val="left" w:pos="192"/>
              </w:tabs>
              <w:jc w:val="center"/>
              <w:rPr>
                <w:rFonts w:ascii="Verdana" w:hAnsi="Verdana"/>
                <w:b/>
                <w:sz w:val="22"/>
                <w:szCs w:val="22"/>
              </w:rPr>
            </w:pPr>
          </w:p>
        </w:tc>
        <w:tc>
          <w:tcPr>
            <w:tcW w:w="3030" w:type="dxa"/>
            <w:tcBorders>
              <w:top w:val="single" w:sz="18" w:space="0" w:color="2E74B5"/>
              <w:left w:val="single" w:sz="12" w:space="0" w:color="2E74B5"/>
              <w:bottom w:val="single" w:sz="18" w:space="0" w:color="2E74B5"/>
              <w:right w:val="single" w:sz="18" w:space="0" w:color="2E74B5"/>
            </w:tcBorders>
            <w:shd w:val="clear" w:color="auto" w:fill="auto"/>
          </w:tcPr>
          <w:p w:rsidR="00C81633" w:rsidRDefault="00C81633" w:rsidP="00C81633">
            <w:pPr>
              <w:rPr>
                <w:rFonts w:ascii="Verdana" w:hAnsi="Verdana"/>
                <w:bCs/>
                <w:sz w:val="20"/>
                <w:szCs w:val="20"/>
              </w:rPr>
            </w:pPr>
            <w:r w:rsidRPr="007373D7">
              <w:rPr>
                <w:rFonts w:ascii="Verdana" w:hAnsi="Verdana"/>
                <w:bCs/>
                <w:sz w:val="20"/>
                <w:szCs w:val="20"/>
              </w:rPr>
              <w:t>Nikolovd</w:t>
            </w:r>
          </w:p>
          <w:p w:rsidR="00C81633" w:rsidRPr="007373D7" w:rsidRDefault="00C81633" w:rsidP="00C81633">
            <w:pPr>
              <w:rPr>
                <w:rFonts w:ascii="Verdana" w:hAnsi="Verdana"/>
                <w:bCs/>
                <w:sz w:val="20"/>
                <w:szCs w:val="20"/>
              </w:rPr>
            </w:pPr>
            <w:r w:rsidRPr="006F44E4">
              <w:rPr>
                <w:rFonts w:ascii="Verdana" w:hAnsi="Verdana"/>
                <w:bCs/>
                <w:sz w:val="20"/>
                <w:szCs w:val="20"/>
              </w:rPr>
              <w:t>от Портала за общест-вени</w:t>
            </w:r>
            <w:r>
              <w:rPr>
                <w:rFonts w:ascii="Verdana" w:hAnsi="Verdana"/>
                <w:bCs/>
                <w:sz w:val="20"/>
                <w:szCs w:val="20"/>
              </w:rPr>
              <w:t xml:space="preserve"> консултации – публикувано на 31 октомври</w:t>
            </w:r>
            <w:r w:rsidRPr="006F44E4">
              <w:rPr>
                <w:rFonts w:ascii="Verdana" w:hAnsi="Verdana"/>
                <w:bCs/>
                <w:sz w:val="20"/>
                <w:szCs w:val="20"/>
              </w:rPr>
              <w:t xml:space="preserve"> 2023 г.</w:t>
            </w:r>
            <w:r w:rsidRPr="00DD088C">
              <w:rPr>
                <w:bCs/>
                <w:sz w:val="23"/>
                <w:szCs w:val="23"/>
              </w:rPr>
              <w:t xml:space="preserve">  </w:t>
            </w:r>
          </w:p>
        </w:tc>
        <w:tc>
          <w:tcPr>
            <w:tcW w:w="5475" w:type="dxa"/>
            <w:tcBorders>
              <w:top w:val="single" w:sz="18" w:space="0" w:color="2E74B5"/>
              <w:left w:val="single" w:sz="18" w:space="0" w:color="2E74B5"/>
              <w:bottom w:val="single" w:sz="18" w:space="0" w:color="2E74B5"/>
              <w:right w:val="single" w:sz="12" w:space="0" w:color="2E74B5"/>
            </w:tcBorders>
            <w:shd w:val="clear" w:color="auto" w:fill="auto"/>
          </w:tcPr>
          <w:p w:rsidR="00C81633" w:rsidRPr="006875D9" w:rsidRDefault="00C81633" w:rsidP="00C81633">
            <w:pPr>
              <w:jc w:val="both"/>
              <w:rPr>
                <w:rFonts w:ascii="Verdana" w:hAnsi="Verdana"/>
                <w:sz w:val="20"/>
                <w:szCs w:val="20"/>
              </w:rPr>
            </w:pPr>
            <w:r w:rsidRPr="006875D9">
              <w:rPr>
                <w:rFonts w:ascii="Verdana" w:hAnsi="Verdana"/>
                <w:sz w:val="20"/>
                <w:szCs w:val="20"/>
              </w:rPr>
              <w:t>ПРЕДЛОЖЕНИЯ по НИД</w:t>
            </w:r>
          </w:p>
          <w:p w:rsidR="00C81633" w:rsidRPr="006875D9" w:rsidRDefault="00C81633" w:rsidP="00C81633">
            <w:pPr>
              <w:jc w:val="both"/>
              <w:rPr>
                <w:rFonts w:ascii="Verdana" w:hAnsi="Verdana"/>
                <w:sz w:val="20"/>
                <w:szCs w:val="20"/>
              </w:rPr>
            </w:pPr>
            <w:r w:rsidRPr="006875D9">
              <w:rPr>
                <w:rFonts w:ascii="Verdana" w:hAnsi="Verdana"/>
                <w:sz w:val="20"/>
                <w:szCs w:val="20"/>
              </w:rPr>
              <w:t>Съгласно чл. 5, ал. 1 от действащата към момента Наредба 14, в сила от 11.09.2023 г.</w:t>
            </w:r>
            <w:r>
              <w:rPr>
                <w:rFonts w:ascii="Verdana" w:hAnsi="Verdana"/>
                <w:sz w:val="20"/>
                <w:szCs w:val="20"/>
              </w:rPr>
              <w:t xml:space="preserve"> </w:t>
            </w:r>
            <w:r w:rsidRPr="006875D9">
              <w:rPr>
                <w:rFonts w:ascii="Verdana" w:hAnsi="Verdana"/>
                <w:sz w:val="20"/>
                <w:szCs w:val="20"/>
              </w:rPr>
              <w:t>от „Прием по</w:t>
            </w:r>
            <w:r>
              <w:rPr>
                <w:rFonts w:ascii="Verdana" w:hAnsi="Verdana"/>
                <w:sz w:val="20"/>
                <w:szCs w:val="20"/>
              </w:rPr>
              <w:t xml:space="preserve"> интервенцията по чл. 1, т. 1 („</w:t>
            </w:r>
            <w:r w:rsidRPr="006875D9">
              <w:rPr>
                <w:rFonts w:ascii="Verdana" w:hAnsi="Verdana"/>
                <w:sz w:val="20"/>
                <w:szCs w:val="20"/>
              </w:rPr>
              <w:t>Преструктуриране и конв</w:t>
            </w:r>
            <w:r>
              <w:rPr>
                <w:rFonts w:ascii="Verdana" w:hAnsi="Verdana"/>
                <w:sz w:val="20"/>
                <w:szCs w:val="20"/>
              </w:rPr>
              <w:t>ерсия на лозя“</w:t>
            </w:r>
            <w:r w:rsidRPr="006875D9">
              <w:rPr>
                <w:rFonts w:ascii="Verdana" w:hAnsi="Verdana"/>
                <w:sz w:val="20"/>
                <w:szCs w:val="20"/>
              </w:rPr>
              <w:t>) се провежда всяка година в периода 15 октомври - 15 ноември“ като за настоящата финансова година приемът е обявен на официалния сайт на  ДФЗ на 19.10.2023 г. – четири дни след нормативно определената дата: https://www.dfz.bg/bg/intervention-v-losaro-vinarsky-sector/-/asset_publisher/tnaa/content/intervencia-prestrukturirane-i-konversia-na-loza-?_com_liferay_asset_publisher_web_portlet_AssetPublisherPortlet_INSTANCE_tnaa_assetEntryId=1227170&amp;_com_liferay_asset_publisher_web_portlet_AssetPublisherPortlet_INSTANCE_tnaa_redirect=https%3A%2F%2Fwww.dfz.bg%3A443%2Fbg%2Fintervention-v-losaro-vinarsky-</w:t>
            </w:r>
            <w:r w:rsidRPr="006875D9">
              <w:rPr>
                <w:rFonts w:ascii="Verdana" w:hAnsi="Verdana"/>
                <w:sz w:val="20"/>
                <w:szCs w:val="20"/>
              </w:rPr>
              <w:lastRenderedPageBreak/>
              <w:t>sector%3Fp_p_id%3Dcom_liferay_asset_publisher_web_portlet_AssetPublisherPortlet_INSTANCE_tnaa%26p_p_lifecycle%3D0%26p_p_state%3Dnormal%26p_p_mode%3Dview%26_com_liferay_asset_publisher_web_portlet_AssetPublisherPortlet_INSTANCE_tnaa_assetEntryId%3D1227170%26_com_liferay_asset_publisher_web_portlet_AssetPublisherPortlet_INSTANCE_tnaa_cur%3D0%26p_r_p_resetCur%3Dfalse</w:t>
            </w:r>
          </w:p>
          <w:p w:rsidR="00C81633" w:rsidRDefault="00C81633" w:rsidP="00C81633">
            <w:pPr>
              <w:jc w:val="both"/>
              <w:rPr>
                <w:rFonts w:ascii="Verdana" w:hAnsi="Verdana"/>
                <w:sz w:val="20"/>
                <w:szCs w:val="20"/>
              </w:rPr>
            </w:pPr>
            <w:r w:rsidRPr="006875D9">
              <w:rPr>
                <w:rFonts w:ascii="Verdana" w:hAnsi="Verdana"/>
                <w:sz w:val="20"/>
                <w:szCs w:val="20"/>
              </w:rPr>
              <w:t xml:space="preserve">Към момента на публикуване на настоящите бележки (31.10.2023 г., 19.00 ч.), видно от СЕУ на ДФЗ, подаване на заявления по интервенцията е невъзможен. </w:t>
            </w:r>
          </w:p>
          <w:p w:rsidR="00C81633" w:rsidRPr="006875D9" w:rsidRDefault="00C81633" w:rsidP="00C81633">
            <w:pPr>
              <w:jc w:val="both"/>
              <w:rPr>
                <w:rFonts w:ascii="Verdana" w:hAnsi="Verdana"/>
                <w:sz w:val="20"/>
                <w:szCs w:val="20"/>
              </w:rPr>
            </w:pPr>
            <w:r w:rsidRPr="006875D9">
              <w:rPr>
                <w:rFonts w:ascii="Verdana" w:hAnsi="Verdana"/>
                <w:sz w:val="20"/>
                <w:szCs w:val="20"/>
              </w:rPr>
              <w:t>Отделно от горното, съгл. на чл. 5, ал. 6 от Наредбата „Бюджетът за всеки прием по интервенциите се определя със заповед на министъра на земеделието и храните 30 дни преди съответния прием по ал. 1, 2, 4 и 5“.</w:t>
            </w:r>
          </w:p>
          <w:p w:rsidR="00C81633" w:rsidRPr="006875D9" w:rsidRDefault="00C81633" w:rsidP="00C81633">
            <w:pPr>
              <w:jc w:val="both"/>
              <w:rPr>
                <w:rFonts w:ascii="Verdana" w:hAnsi="Verdana"/>
                <w:sz w:val="20"/>
                <w:szCs w:val="20"/>
              </w:rPr>
            </w:pPr>
            <w:r w:rsidRPr="006875D9">
              <w:rPr>
                <w:rFonts w:ascii="Verdana" w:hAnsi="Verdana"/>
                <w:sz w:val="20"/>
                <w:szCs w:val="20"/>
              </w:rPr>
              <w:t>Към момента на публикуване на настоящите бележки (31.10.2023 г., 19.00 ч.), заповед на министъра на земеделието и храните не може да бъде открита в публичното пространство.</w:t>
            </w:r>
          </w:p>
          <w:p w:rsidR="00C81633" w:rsidRDefault="00C81633" w:rsidP="00C81633">
            <w:pPr>
              <w:jc w:val="both"/>
              <w:rPr>
                <w:rFonts w:ascii="Verdana" w:hAnsi="Verdana"/>
                <w:sz w:val="20"/>
                <w:szCs w:val="20"/>
              </w:rPr>
            </w:pPr>
            <w:r w:rsidRPr="006875D9">
              <w:rPr>
                <w:rFonts w:ascii="Verdana" w:hAnsi="Verdana"/>
                <w:sz w:val="20"/>
                <w:szCs w:val="20"/>
              </w:rPr>
              <w:t xml:space="preserve">Предвид горното и доколкото проектът на НИД на Наредба 14 е в противоречие с одобрения от ЕК Стратегически план за развитие на земеделието и селските райони на Република България за периода 2023 – 2027 г., в т.ч. и с одобрените бюджети по отделните интервенции, изискванията към кандидатите за кандидатстване, критериите за оценка на проекти и сроковете по чл. 5, ал. 1 и чл. 5, ал. 6 не са спазени, предлагам проектът на НИД да бъде свален от обществено обсъждане и НИД на Наредба 14 да бъде качен след отстраняване на пропуските и нарушенията в предложения вариант. </w:t>
            </w:r>
          </w:p>
          <w:p w:rsidR="00C81633" w:rsidRPr="006875D9" w:rsidRDefault="00C81633" w:rsidP="00C81633">
            <w:pPr>
              <w:jc w:val="both"/>
              <w:rPr>
                <w:rFonts w:ascii="Verdana" w:hAnsi="Verdana"/>
                <w:sz w:val="20"/>
                <w:szCs w:val="20"/>
              </w:rPr>
            </w:pPr>
            <w:r w:rsidRPr="006875D9">
              <w:rPr>
                <w:rFonts w:ascii="Verdana" w:hAnsi="Verdana"/>
                <w:sz w:val="20"/>
                <w:szCs w:val="20"/>
              </w:rPr>
              <w:t xml:space="preserve">Следва да се има предвид, че приемането на сега предложения вариант на НИД, както и </w:t>
            </w:r>
            <w:r w:rsidRPr="006875D9">
              <w:rPr>
                <w:rFonts w:ascii="Verdana" w:hAnsi="Verdana"/>
                <w:sz w:val="20"/>
                <w:szCs w:val="20"/>
              </w:rPr>
              <w:lastRenderedPageBreak/>
              <w:t>неспазването на сроковете по чл. 5, ал. 1 и чл. 5, ал. 6 от Наредба 14, са предпоставка за обжалване по административен ред от всички заинтересовани страни на цялата процедура по прием по мярка „Преструктуриране и конверсия на лозя" за настоящата финансова година.</w:t>
            </w:r>
          </w:p>
        </w:tc>
        <w:tc>
          <w:tcPr>
            <w:tcW w:w="1896" w:type="dxa"/>
            <w:tcBorders>
              <w:top w:val="single" w:sz="18" w:space="0" w:color="2E74B5"/>
              <w:left w:val="single" w:sz="12" w:space="0" w:color="2E74B5"/>
              <w:bottom w:val="single" w:sz="18" w:space="0" w:color="2E74B5"/>
              <w:right w:val="single" w:sz="12" w:space="0" w:color="2E74B5"/>
            </w:tcBorders>
            <w:shd w:val="clear" w:color="auto" w:fill="auto"/>
          </w:tcPr>
          <w:p w:rsidR="00C81633" w:rsidRPr="00184FBE" w:rsidRDefault="00C81633" w:rsidP="004F669B">
            <w:pPr>
              <w:rPr>
                <w:rFonts w:ascii="Verdana" w:hAnsi="Verdana"/>
                <w:sz w:val="20"/>
                <w:szCs w:val="20"/>
              </w:rPr>
            </w:pPr>
            <w:r w:rsidRPr="00184FBE">
              <w:rPr>
                <w:rFonts w:ascii="Verdana" w:hAnsi="Verdana"/>
                <w:sz w:val="20"/>
                <w:szCs w:val="20"/>
              </w:rPr>
              <w:lastRenderedPageBreak/>
              <w:t>Не се приема</w:t>
            </w:r>
          </w:p>
        </w:tc>
        <w:tc>
          <w:tcPr>
            <w:tcW w:w="4627" w:type="dxa"/>
            <w:tcBorders>
              <w:top w:val="single" w:sz="18" w:space="0" w:color="2E74B5"/>
              <w:left w:val="single" w:sz="12" w:space="0" w:color="2E74B5"/>
              <w:bottom w:val="single" w:sz="18" w:space="0" w:color="2E74B5"/>
              <w:right w:val="single" w:sz="24" w:space="0" w:color="2E74B5"/>
            </w:tcBorders>
            <w:shd w:val="clear" w:color="auto" w:fill="auto"/>
          </w:tcPr>
          <w:p w:rsidR="00C81633" w:rsidRPr="00184FBE" w:rsidRDefault="00C81633" w:rsidP="00C81633">
            <w:pPr>
              <w:jc w:val="both"/>
              <w:rPr>
                <w:rFonts w:ascii="Verdana" w:hAnsi="Verdana"/>
                <w:sz w:val="20"/>
                <w:szCs w:val="20"/>
              </w:rPr>
            </w:pPr>
            <w:r w:rsidRPr="00184FBE">
              <w:rPr>
                <w:rFonts w:ascii="Verdana" w:hAnsi="Verdana"/>
                <w:sz w:val="20"/>
                <w:szCs w:val="20"/>
              </w:rPr>
              <w:t>Приемът по интервенция „Преструктуриране и конверсия на лозя“ през 2023 г. се удължава до 30 ноември с.г.</w:t>
            </w:r>
          </w:p>
          <w:p w:rsidR="00C81633" w:rsidRPr="00184FBE" w:rsidRDefault="00C81633" w:rsidP="00C81633">
            <w:pPr>
              <w:jc w:val="both"/>
              <w:rPr>
                <w:rFonts w:ascii="Verdana" w:hAnsi="Verdana"/>
                <w:sz w:val="20"/>
                <w:szCs w:val="20"/>
              </w:rPr>
            </w:pPr>
            <w:r w:rsidRPr="00184FBE">
              <w:rPr>
                <w:rFonts w:ascii="Verdana" w:hAnsi="Verdana"/>
                <w:sz w:val="20"/>
                <w:szCs w:val="20"/>
              </w:rPr>
              <w:t>Бюджетът за първия прием по интервенцията за преструктуриране е определен в § 2 на Преходни и заключителни разпоредби на Наредба № 14/2023.</w:t>
            </w:r>
          </w:p>
        </w:tc>
      </w:tr>
      <w:tr w:rsidR="00CD263C" w:rsidRPr="007D0AFE" w:rsidTr="00C81633">
        <w:trPr>
          <w:trHeight w:val="596"/>
        </w:trPr>
        <w:tc>
          <w:tcPr>
            <w:tcW w:w="622" w:type="dxa"/>
            <w:tcBorders>
              <w:top w:val="single" w:sz="18" w:space="0" w:color="2E74B5"/>
              <w:left w:val="single" w:sz="24" w:space="0" w:color="2E74B5"/>
              <w:bottom w:val="single" w:sz="18" w:space="0" w:color="2E74B5"/>
              <w:right w:val="single" w:sz="12" w:space="0" w:color="2E74B5"/>
            </w:tcBorders>
            <w:shd w:val="clear" w:color="auto" w:fill="auto"/>
          </w:tcPr>
          <w:p w:rsidR="00CD263C" w:rsidRPr="007D0AFE" w:rsidRDefault="00CD263C" w:rsidP="004F669B">
            <w:pPr>
              <w:pStyle w:val="ListParagraph"/>
              <w:numPr>
                <w:ilvl w:val="0"/>
                <w:numId w:val="6"/>
              </w:numPr>
              <w:tabs>
                <w:tab w:val="left" w:pos="192"/>
              </w:tabs>
              <w:jc w:val="center"/>
              <w:rPr>
                <w:rFonts w:ascii="Verdana" w:hAnsi="Verdana"/>
                <w:b/>
                <w:sz w:val="22"/>
                <w:szCs w:val="22"/>
              </w:rPr>
            </w:pPr>
          </w:p>
        </w:tc>
        <w:tc>
          <w:tcPr>
            <w:tcW w:w="3030" w:type="dxa"/>
            <w:tcBorders>
              <w:top w:val="single" w:sz="18" w:space="0" w:color="2E74B5"/>
              <w:left w:val="single" w:sz="12" w:space="0" w:color="2E74B5"/>
              <w:bottom w:val="single" w:sz="18" w:space="0" w:color="2E74B5"/>
              <w:right w:val="single" w:sz="18" w:space="0" w:color="2E74B5"/>
            </w:tcBorders>
            <w:shd w:val="clear" w:color="auto" w:fill="auto"/>
          </w:tcPr>
          <w:p w:rsidR="00CD263C" w:rsidRPr="00F83AFD" w:rsidRDefault="00CD263C" w:rsidP="00127491">
            <w:pPr>
              <w:rPr>
                <w:rFonts w:ascii="Verdana" w:hAnsi="Verdana"/>
                <w:bCs/>
                <w:sz w:val="20"/>
                <w:szCs w:val="20"/>
              </w:rPr>
            </w:pPr>
            <w:r w:rsidRPr="00F83AFD">
              <w:rPr>
                <w:rFonts w:ascii="Verdana" w:hAnsi="Verdana"/>
                <w:bCs/>
                <w:sz w:val="20"/>
                <w:szCs w:val="20"/>
              </w:rPr>
              <w:t>Държавен фонд „Земеделие“</w:t>
            </w:r>
            <w:r w:rsidRPr="00F83AFD">
              <w:rPr>
                <w:rFonts w:ascii="Verdana" w:hAnsi="Verdana"/>
                <w:bCs/>
                <w:sz w:val="20"/>
                <w:szCs w:val="20"/>
                <w:lang w:val="en-US"/>
              </w:rPr>
              <w:t xml:space="preserve"> </w:t>
            </w:r>
          </w:p>
        </w:tc>
        <w:tc>
          <w:tcPr>
            <w:tcW w:w="5475" w:type="dxa"/>
            <w:tcBorders>
              <w:top w:val="single" w:sz="18" w:space="0" w:color="2E74B5"/>
              <w:left w:val="single" w:sz="18" w:space="0" w:color="2E74B5"/>
              <w:bottom w:val="single" w:sz="18" w:space="0" w:color="2E74B5"/>
              <w:right w:val="single" w:sz="12" w:space="0" w:color="2E74B5"/>
            </w:tcBorders>
            <w:shd w:val="clear" w:color="auto" w:fill="auto"/>
          </w:tcPr>
          <w:p w:rsidR="00CD263C" w:rsidRPr="00CD263C" w:rsidRDefault="00CD263C" w:rsidP="00CD263C">
            <w:pPr>
              <w:jc w:val="both"/>
              <w:rPr>
                <w:rFonts w:ascii="Verdana" w:hAnsi="Verdana"/>
                <w:sz w:val="20"/>
                <w:szCs w:val="20"/>
              </w:rPr>
            </w:pPr>
            <w:r w:rsidRPr="00CD263C">
              <w:rPr>
                <w:rFonts w:ascii="Verdana" w:hAnsi="Verdana"/>
                <w:sz w:val="20"/>
                <w:szCs w:val="20"/>
              </w:rPr>
              <w:t xml:space="preserve">Съгласно чл. 5, ал. 1 от цитираната наредба, прием по интервенцията „Преструктуриране и конверсия“ се провежда всяка година в периода 15 октомври – 15 ноември. Поради технически причини, ДФ „Земеделие“ нямаше готовност да стартира обявения в наредбата прием, с което се намалява срока за подаване на заявления за кандидатстване. </w:t>
            </w:r>
          </w:p>
          <w:p w:rsidR="00CD263C" w:rsidRPr="006875D9" w:rsidRDefault="00CD263C" w:rsidP="00CD263C">
            <w:pPr>
              <w:jc w:val="both"/>
              <w:rPr>
                <w:rFonts w:ascii="Verdana" w:hAnsi="Verdana"/>
                <w:sz w:val="20"/>
                <w:szCs w:val="20"/>
              </w:rPr>
            </w:pPr>
            <w:r w:rsidRPr="00CD263C">
              <w:rPr>
                <w:rFonts w:ascii="Verdana" w:hAnsi="Verdana"/>
                <w:sz w:val="20"/>
                <w:szCs w:val="20"/>
              </w:rPr>
              <w:t>Предвид този факт и с цел осигуряване на едномесечен срок за кандидатстване, предлагаме за финансова 2024 г. да бъде удължен приема по интервенцията до 30 ноември.</w:t>
            </w:r>
          </w:p>
        </w:tc>
        <w:tc>
          <w:tcPr>
            <w:tcW w:w="1896" w:type="dxa"/>
            <w:tcBorders>
              <w:top w:val="single" w:sz="18" w:space="0" w:color="2E74B5"/>
              <w:left w:val="single" w:sz="12" w:space="0" w:color="2E74B5"/>
              <w:bottom w:val="single" w:sz="18" w:space="0" w:color="2E74B5"/>
              <w:right w:val="single" w:sz="12" w:space="0" w:color="2E74B5"/>
            </w:tcBorders>
            <w:shd w:val="clear" w:color="auto" w:fill="auto"/>
          </w:tcPr>
          <w:p w:rsidR="00CD263C" w:rsidRPr="00184FBE" w:rsidRDefault="00CD263C" w:rsidP="004F669B">
            <w:pPr>
              <w:rPr>
                <w:rFonts w:ascii="Verdana" w:hAnsi="Verdana"/>
                <w:sz w:val="20"/>
                <w:szCs w:val="20"/>
              </w:rPr>
            </w:pPr>
            <w:r>
              <w:rPr>
                <w:rFonts w:ascii="Verdana" w:hAnsi="Verdana"/>
                <w:sz w:val="20"/>
                <w:szCs w:val="20"/>
              </w:rPr>
              <w:t>Приема се</w:t>
            </w:r>
          </w:p>
        </w:tc>
        <w:tc>
          <w:tcPr>
            <w:tcW w:w="4627" w:type="dxa"/>
            <w:tcBorders>
              <w:top w:val="single" w:sz="18" w:space="0" w:color="2E74B5"/>
              <w:left w:val="single" w:sz="12" w:space="0" w:color="2E74B5"/>
              <w:bottom w:val="single" w:sz="18" w:space="0" w:color="2E74B5"/>
              <w:right w:val="single" w:sz="24" w:space="0" w:color="2E74B5"/>
            </w:tcBorders>
            <w:shd w:val="clear" w:color="auto" w:fill="auto"/>
          </w:tcPr>
          <w:p w:rsidR="00CD263C" w:rsidRPr="00184FBE" w:rsidRDefault="00CD263C" w:rsidP="00C81633">
            <w:pPr>
              <w:jc w:val="both"/>
              <w:rPr>
                <w:rFonts w:ascii="Verdana" w:hAnsi="Verdana"/>
                <w:sz w:val="20"/>
                <w:szCs w:val="20"/>
              </w:rPr>
            </w:pPr>
          </w:p>
        </w:tc>
      </w:tr>
    </w:tbl>
    <w:p w:rsidR="007D0AFE" w:rsidRPr="007D0AFE" w:rsidRDefault="007D0AFE" w:rsidP="007D0AFE">
      <w:pPr>
        <w:rPr>
          <w:rFonts w:ascii="Verdana" w:hAnsi="Verdana"/>
          <w:sz w:val="20"/>
          <w:szCs w:val="20"/>
        </w:rPr>
      </w:pPr>
    </w:p>
    <w:p w:rsidR="007D0AFE" w:rsidRPr="007D0AFE" w:rsidRDefault="007D0AFE" w:rsidP="007D0AFE">
      <w:pPr>
        <w:rPr>
          <w:rFonts w:ascii="Verdana" w:hAnsi="Verdana"/>
          <w:sz w:val="20"/>
          <w:szCs w:val="20"/>
        </w:rPr>
      </w:pPr>
      <w:bookmarkStart w:id="0" w:name="_GoBack"/>
      <w:bookmarkEnd w:id="0"/>
    </w:p>
    <w:sectPr w:rsidR="007D0AFE" w:rsidRPr="007D0AFE" w:rsidSect="00127491">
      <w:footerReference w:type="even" r:id="rId8"/>
      <w:footerReference w:type="default" r:id="rId9"/>
      <w:headerReference w:type="first" r:id="rId10"/>
      <w:pgSz w:w="16838" w:h="11906" w:orient="landscape" w:code="9"/>
      <w:pgMar w:top="720"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5F5" w:rsidRDefault="006F55F5">
      <w:r>
        <w:separator/>
      </w:r>
    </w:p>
  </w:endnote>
  <w:endnote w:type="continuationSeparator" w:id="0">
    <w:p w:rsidR="006F55F5" w:rsidRDefault="006F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rFonts w:ascii="Verdana" w:hAnsi="Verdana"/>
        <w:noProof/>
        <w:sz w:val="18"/>
        <w:szCs w:val="18"/>
      </w:rPr>
    </w:sdtEndPr>
    <w:sdtContent>
      <w:p w:rsidR="00D56BB2" w:rsidRPr="00F22457" w:rsidRDefault="00D56BB2" w:rsidP="00D56BB2">
        <w:pPr>
          <w:pStyle w:val="Footer"/>
          <w:jc w:val="right"/>
          <w:rPr>
            <w:rFonts w:ascii="Verdana" w:hAnsi="Verdana"/>
            <w:sz w:val="18"/>
            <w:szCs w:val="18"/>
          </w:rPr>
        </w:pPr>
        <w:r w:rsidRPr="00F22457">
          <w:rPr>
            <w:rFonts w:ascii="Verdana" w:hAnsi="Verdana"/>
            <w:sz w:val="18"/>
            <w:szCs w:val="18"/>
          </w:rPr>
          <w:fldChar w:fldCharType="begin"/>
        </w:r>
        <w:r w:rsidRPr="00F22457">
          <w:rPr>
            <w:rFonts w:ascii="Verdana" w:hAnsi="Verdana"/>
            <w:sz w:val="18"/>
            <w:szCs w:val="18"/>
          </w:rPr>
          <w:instrText xml:space="preserve"> PAGE   \* MERGEFORMAT </w:instrText>
        </w:r>
        <w:r w:rsidRPr="00F22457">
          <w:rPr>
            <w:rFonts w:ascii="Verdana" w:hAnsi="Verdana"/>
            <w:sz w:val="18"/>
            <w:szCs w:val="18"/>
          </w:rPr>
          <w:fldChar w:fldCharType="separate"/>
        </w:r>
        <w:r w:rsidR="00F83AFD">
          <w:rPr>
            <w:rFonts w:ascii="Verdana" w:hAnsi="Verdana"/>
            <w:noProof/>
            <w:sz w:val="18"/>
            <w:szCs w:val="18"/>
          </w:rPr>
          <w:t>4</w:t>
        </w:r>
        <w:r w:rsidRPr="00F22457">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5F5" w:rsidRDefault="006F55F5">
      <w:r>
        <w:separator/>
      </w:r>
    </w:p>
  </w:footnote>
  <w:footnote w:type="continuationSeparator" w:id="0">
    <w:p w:rsidR="006F55F5" w:rsidRDefault="006F5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11" w:rsidRPr="00896E11"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rPr>
    </w:pPr>
    <w:r w:rsidRPr="00896E11">
      <w:rPr>
        <w:rFonts w:ascii="Verdana" w:hAnsi="Verdana"/>
        <w:sz w:val="18"/>
        <w:szCs w:val="18"/>
      </w:rPr>
      <w:t>Класификация на информацията:</w:t>
    </w:r>
  </w:p>
  <w:p w:rsidR="00896E11" w:rsidRPr="00F22457"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896E11">
      <w:rPr>
        <w:rFonts w:ascii="Verdana" w:hAnsi="Verdana"/>
        <w:bCs/>
        <w:sz w:val="18"/>
        <w:szCs w:val="18"/>
      </w:rPr>
      <w:t>Ниво 0, TLP-</w:t>
    </w:r>
    <w:r w:rsidRPr="00896E11">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C3A"/>
    <w:multiLevelType w:val="multilevel"/>
    <w:tmpl w:val="098A458C"/>
    <w:lvl w:ilvl="0">
      <w:start w:val="1"/>
      <w:numFmt w:val="decimal"/>
      <w:suff w:val="space"/>
      <w:lvlText w:val="%1."/>
      <w:lvlJc w:val="right"/>
      <w:pPr>
        <w:ind w:left="28" w:firstLine="397"/>
      </w:pPr>
      <w:rPr>
        <w:rFonts w:hint="default"/>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AE5"/>
    <w:rsid w:val="000B6D57"/>
    <w:rsid w:val="000C46A7"/>
    <w:rsid w:val="000C5E61"/>
    <w:rsid w:val="000D4198"/>
    <w:rsid w:val="000E3570"/>
    <w:rsid w:val="000F02C5"/>
    <w:rsid w:val="000F2B15"/>
    <w:rsid w:val="000F31C8"/>
    <w:rsid w:val="000F3490"/>
    <w:rsid w:val="0010687D"/>
    <w:rsid w:val="001143E4"/>
    <w:rsid w:val="0011484F"/>
    <w:rsid w:val="00115EDD"/>
    <w:rsid w:val="00116F4E"/>
    <w:rsid w:val="00120ABA"/>
    <w:rsid w:val="00127491"/>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0EED"/>
    <w:rsid w:val="00184FBE"/>
    <w:rsid w:val="0018509E"/>
    <w:rsid w:val="00191645"/>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D664D"/>
    <w:rsid w:val="002E537C"/>
    <w:rsid w:val="002E57D4"/>
    <w:rsid w:val="002E57D8"/>
    <w:rsid w:val="002E58E3"/>
    <w:rsid w:val="002E5DBF"/>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6856"/>
    <w:rsid w:val="00351063"/>
    <w:rsid w:val="00355455"/>
    <w:rsid w:val="00357018"/>
    <w:rsid w:val="003640F0"/>
    <w:rsid w:val="0037191E"/>
    <w:rsid w:val="00377A96"/>
    <w:rsid w:val="00377FE2"/>
    <w:rsid w:val="00384B8B"/>
    <w:rsid w:val="00387130"/>
    <w:rsid w:val="00387162"/>
    <w:rsid w:val="00395655"/>
    <w:rsid w:val="003A02F6"/>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5643"/>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37CF"/>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570D3"/>
    <w:rsid w:val="006712A6"/>
    <w:rsid w:val="00671E4E"/>
    <w:rsid w:val="0067456E"/>
    <w:rsid w:val="00675133"/>
    <w:rsid w:val="006802C1"/>
    <w:rsid w:val="006875D9"/>
    <w:rsid w:val="00690FE6"/>
    <w:rsid w:val="00691BD4"/>
    <w:rsid w:val="00694141"/>
    <w:rsid w:val="006A512F"/>
    <w:rsid w:val="006B4070"/>
    <w:rsid w:val="006D1F20"/>
    <w:rsid w:val="006D4254"/>
    <w:rsid w:val="006D5F6F"/>
    <w:rsid w:val="006D6C3E"/>
    <w:rsid w:val="006D7881"/>
    <w:rsid w:val="006D7E56"/>
    <w:rsid w:val="006E23DE"/>
    <w:rsid w:val="006E32E7"/>
    <w:rsid w:val="006E3B24"/>
    <w:rsid w:val="006E3D3C"/>
    <w:rsid w:val="006E46A3"/>
    <w:rsid w:val="006E7B3B"/>
    <w:rsid w:val="006F282A"/>
    <w:rsid w:val="006F33DD"/>
    <w:rsid w:val="006F35F8"/>
    <w:rsid w:val="006F44E4"/>
    <w:rsid w:val="006F55F5"/>
    <w:rsid w:val="006F6420"/>
    <w:rsid w:val="00707A8E"/>
    <w:rsid w:val="0071354E"/>
    <w:rsid w:val="007160B3"/>
    <w:rsid w:val="00716B72"/>
    <w:rsid w:val="00720625"/>
    <w:rsid w:val="0072098B"/>
    <w:rsid w:val="00723D89"/>
    <w:rsid w:val="00731B88"/>
    <w:rsid w:val="00732DEB"/>
    <w:rsid w:val="00733269"/>
    <w:rsid w:val="007362EB"/>
    <w:rsid w:val="00736C03"/>
    <w:rsid w:val="007373D7"/>
    <w:rsid w:val="00737BC4"/>
    <w:rsid w:val="00737D3E"/>
    <w:rsid w:val="007431DE"/>
    <w:rsid w:val="007475FE"/>
    <w:rsid w:val="007516D1"/>
    <w:rsid w:val="00756290"/>
    <w:rsid w:val="00756A19"/>
    <w:rsid w:val="0076108C"/>
    <w:rsid w:val="00761B5E"/>
    <w:rsid w:val="0076408A"/>
    <w:rsid w:val="00774BE7"/>
    <w:rsid w:val="00777754"/>
    <w:rsid w:val="00780EAB"/>
    <w:rsid w:val="00781306"/>
    <w:rsid w:val="007836C8"/>
    <w:rsid w:val="007934F1"/>
    <w:rsid w:val="00794229"/>
    <w:rsid w:val="007A76C5"/>
    <w:rsid w:val="007B1141"/>
    <w:rsid w:val="007B24F7"/>
    <w:rsid w:val="007C6C8E"/>
    <w:rsid w:val="007D0AFE"/>
    <w:rsid w:val="007D6B06"/>
    <w:rsid w:val="007E249E"/>
    <w:rsid w:val="007E633B"/>
    <w:rsid w:val="007E6AD6"/>
    <w:rsid w:val="007F135A"/>
    <w:rsid w:val="007F4201"/>
    <w:rsid w:val="0080232E"/>
    <w:rsid w:val="00812789"/>
    <w:rsid w:val="00815CDE"/>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25A0"/>
    <w:rsid w:val="00864193"/>
    <w:rsid w:val="0086505F"/>
    <w:rsid w:val="00865EE3"/>
    <w:rsid w:val="0086600C"/>
    <w:rsid w:val="00872A86"/>
    <w:rsid w:val="00873084"/>
    <w:rsid w:val="00874481"/>
    <w:rsid w:val="00875D88"/>
    <w:rsid w:val="00887B6C"/>
    <w:rsid w:val="0089123B"/>
    <w:rsid w:val="00891BE7"/>
    <w:rsid w:val="00894946"/>
    <w:rsid w:val="008963DE"/>
    <w:rsid w:val="00896E11"/>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0E39"/>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0C96"/>
    <w:rsid w:val="00B948D2"/>
    <w:rsid w:val="00BA478A"/>
    <w:rsid w:val="00BA66F5"/>
    <w:rsid w:val="00BA726F"/>
    <w:rsid w:val="00BB13DA"/>
    <w:rsid w:val="00BB2597"/>
    <w:rsid w:val="00BD068F"/>
    <w:rsid w:val="00BD0FA0"/>
    <w:rsid w:val="00BD2B98"/>
    <w:rsid w:val="00BD7BD3"/>
    <w:rsid w:val="00BE0D0E"/>
    <w:rsid w:val="00BE395D"/>
    <w:rsid w:val="00BE482D"/>
    <w:rsid w:val="00BF0159"/>
    <w:rsid w:val="00C00A4C"/>
    <w:rsid w:val="00C03495"/>
    <w:rsid w:val="00C1385A"/>
    <w:rsid w:val="00C21C9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1633"/>
    <w:rsid w:val="00C86431"/>
    <w:rsid w:val="00C9316D"/>
    <w:rsid w:val="00C975B4"/>
    <w:rsid w:val="00C97FB9"/>
    <w:rsid w:val="00CA155E"/>
    <w:rsid w:val="00CA292D"/>
    <w:rsid w:val="00CA2E10"/>
    <w:rsid w:val="00CA7999"/>
    <w:rsid w:val="00CB4E0C"/>
    <w:rsid w:val="00CB6814"/>
    <w:rsid w:val="00CD1405"/>
    <w:rsid w:val="00CD263C"/>
    <w:rsid w:val="00CE3610"/>
    <w:rsid w:val="00CF24CD"/>
    <w:rsid w:val="00CF4B16"/>
    <w:rsid w:val="00CF5221"/>
    <w:rsid w:val="00CF5822"/>
    <w:rsid w:val="00CF5A9B"/>
    <w:rsid w:val="00CF61A2"/>
    <w:rsid w:val="00CF6672"/>
    <w:rsid w:val="00CF74DC"/>
    <w:rsid w:val="00D00B33"/>
    <w:rsid w:val="00D03A5F"/>
    <w:rsid w:val="00D11E74"/>
    <w:rsid w:val="00D11FEB"/>
    <w:rsid w:val="00D144A4"/>
    <w:rsid w:val="00D14A2E"/>
    <w:rsid w:val="00D22435"/>
    <w:rsid w:val="00D23711"/>
    <w:rsid w:val="00D25823"/>
    <w:rsid w:val="00D2649F"/>
    <w:rsid w:val="00D33B01"/>
    <w:rsid w:val="00D349DC"/>
    <w:rsid w:val="00D36CA4"/>
    <w:rsid w:val="00D37896"/>
    <w:rsid w:val="00D41A30"/>
    <w:rsid w:val="00D469E3"/>
    <w:rsid w:val="00D532DC"/>
    <w:rsid w:val="00D56BB2"/>
    <w:rsid w:val="00D63557"/>
    <w:rsid w:val="00D66487"/>
    <w:rsid w:val="00D71C75"/>
    <w:rsid w:val="00D723F2"/>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2607"/>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1E14"/>
    <w:rsid w:val="00EE22E1"/>
    <w:rsid w:val="00EF21BC"/>
    <w:rsid w:val="00EF3B04"/>
    <w:rsid w:val="00EF72B0"/>
    <w:rsid w:val="00F00C40"/>
    <w:rsid w:val="00F00CD5"/>
    <w:rsid w:val="00F03EE5"/>
    <w:rsid w:val="00F04A79"/>
    <w:rsid w:val="00F06310"/>
    <w:rsid w:val="00F10769"/>
    <w:rsid w:val="00F12F9E"/>
    <w:rsid w:val="00F15297"/>
    <w:rsid w:val="00F22457"/>
    <w:rsid w:val="00F23427"/>
    <w:rsid w:val="00F30ED8"/>
    <w:rsid w:val="00F316E9"/>
    <w:rsid w:val="00F34EFA"/>
    <w:rsid w:val="00F37E2C"/>
    <w:rsid w:val="00F43176"/>
    <w:rsid w:val="00F44CFD"/>
    <w:rsid w:val="00F456C2"/>
    <w:rsid w:val="00F51B36"/>
    <w:rsid w:val="00F521F4"/>
    <w:rsid w:val="00F54AC6"/>
    <w:rsid w:val="00F61E91"/>
    <w:rsid w:val="00F629A8"/>
    <w:rsid w:val="00F7694A"/>
    <w:rsid w:val="00F80CD3"/>
    <w:rsid w:val="00F80FDF"/>
    <w:rsid w:val="00F83AFD"/>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F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E876D-72FC-414B-9B71-D41BB954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2023-11-02T13:16:00Z</dcterms:modified>
</cp:coreProperties>
</file>