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56" w:rsidRPr="007C5599" w:rsidRDefault="00713B56" w:rsidP="003047D3">
      <w:pPr>
        <w:tabs>
          <w:tab w:val="center" w:pos="4153"/>
          <w:tab w:val="left" w:pos="7230"/>
          <w:tab w:val="left" w:pos="7655"/>
          <w:tab w:val="right" w:pos="8306"/>
        </w:tabs>
        <w:spacing w:after="0" w:line="360" w:lineRule="auto"/>
        <w:jc w:val="center"/>
        <w:rPr>
          <w:rFonts w:ascii="Verdana" w:eastAsia="Times New Roman" w:hAnsi="Verdana" w:cs="Verdana"/>
          <w:noProof/>
          <w:sz w:val="16"/>
          <w:szCs w:val="16"/>
          <w:lang w:val="bg-BG" w:eastAsia="bg-BG"/>
        </w:rPr>
      </w:pPr>
      <w:r w:rsidRPr="007C5599">
        <w:rPr>
          <w:rFonts w:ascii="Verdana" w:eastAsia="Times New Roman" w:hAnsi="Verdana" w:cs="Verdana"/>
          <w:noProof/>
          <w:sz w:val="16"/>
          <w:szCs w:val="16"/>
        </w:rPr>
        <w:drawing>
          <wp:anchor distT="0" distB="0" distL="114300" distR="114300" simplePos="0" relativeHeight="251659264" behindDoc="1" locked="0" layoutInCell="1" allowOverlap="1" wp14:anchorId="3C8648E9" wp14:editId="06A7EF69">
            <wp:simplePos x="0" y="0"/>
            <wp:positionH relativeFrom="column">
              <wp:posOffset>2236802</wp:posOffset>
            </wp:positionH>
            <wp:positionV relativeFrom="paragraph">
              <wp:posOffset>-11089</wp:posOffset>
            </wp:positionV>
            <wp:extent cx="1343025" cy="1333500"/>
            <wp:effectExtent l="0" t="0" r="9525" b="0"/>
            <wp:wrapNone/>
            <wp:docPr id="1"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37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pic:spPr>
                </pic:pic>
              </a:graphicData>
            </a:graphic>
            <wp14:sizeRelH relativeFrom="page">
              <wp14:pctWidth>0</wp14:pctWidth>
            </wp14:sizeRelH>
            <wp14:sizeRelV relativeFrom="page">
              <wp14:pctHeight>0</wp14:pctHeight>
            </wp14:sizeRelV>
          </wp:anchor>
        </w:drawing>
      </w:r>
    </w:p>
    <w:p w:rsidR="00713B56" w:rsidRPr="007C5599" w:rsidRDefault="00713B56" w:rsidP="003047D3">
      <w:pPr>
        <w:tabs>
          <w:tab w:val="center" w:pos="4153"/>
          <w:tab w:val="left" w:pos="7230"/>
          <w:tab w:val="left" w:pos="7655"/>
          <w:tab w:val="right" w:pos="8306"/>
        </w:tabs>
        <w:spacing w:after="0" w:line="360" w:lineRule="auto"/>
        <w:jc w:val="center"/>
        <w:rPr>
          <w:rFonts w:ascii="Verdana" w:eastAsia="Times New Roman" w:hAnsi="Verdana" w:cs="Verdana"/>
          <w:noProof/>
          <w:sz w:val="16"/>
          <w:szCs w:val="16"/>
          <w:lang w:val="bg-BG" w:eastAsia="bg-BG"/>
        </w:rPr>
      </w:pPr>
    </w:p>
    <w:p w:rsidR="00713B56" w:rsidRPr="007C5599" w:rsidRDefault="00713B56" w:rsidP="003047D3">
      <w:pPr>
        <w:tabs>
          <w:tab w:val="center" w:pos="4153"/>
          <w:tab w:val="left" w:pos="7230"/>
          <w:tab w:val="left" w:pos="7655"/>
          <w:tab w:val="right" w:pos="8306"/>
        </w:tabs>
        <w:spacing w:after="0" w:line="360" w:lineRule="auto"/>
        <w:jc w:val="center"/>
        <w:rPr>
          <w:rFonts w:ascii="Verdana" w:eastAsia="Times New Roman" w:hAnsi="Verdana" w:cs="Verdana"/>
          <w:noProof/>
          <w:sz w:val="16"/>
          <w:szCs w:val="16"/>
          <w:lang w:val="bg-BG" w:eastAsia="bg-BG"/>
        </w:rPr>
      </w:pPr>
    </w:p>
    <w:p w:rsidR="00713B56" w:rsidRPr="007C5599" w:rsidRDefault="00713B56" w:rsidP="003047D3">
      <w:pPr>
        <w:tabs>
          <w:tab w:val="center" w:pos="4153"/>
          <w:tab w:val="left" w:pos="7230"/>
          <w:tab w:val="left" w:pos="7655"/>
          <w:tab w:val="right" w:pos="8306"/>
        </w:tabs>
        <w:spacing w:after="0" w:line="360" w:lineRule="auto"/>
        <w:jc w:val="center"/>
        <w:rPr>
          <w:rFonts w:ascii="Verdana" w:eastAsia="Times New Roman" w:hAnsi="Verdana" w:cs="Verdana"/>
          <w:noProof/>
          <w:sz w:val="16"/>
          <w:szCs w:val="16"/>
          <w:lang w:val="bg-BG" w:eastAsia="bg-BG"/>
        </w:rPr>
      </w:pPr>
    </w:p>
    <w:p w:rsidR="00713B56" w:rsidRPr="007C5599" w:rsidRDefault="00713B56" w:rsidP="003047D3">
      <w:pPr>
        <w:tabs>
          <w:tab w:val="center" w:pos="4153"/>
          <w:tab w:val="left" w:pos="7230"/>
          <w:tab w:val="left" w:pos="7655"/>
          <w:tab w:val="right" w:pos="8306"/>
        </w:tabs>
        <w:spacing w:after="0" w:line="360" w:lineRule="auto"/>
        <w:jc w:val="center"/>
        <w:rPr>
          <w:rFonts w:ascii="Verdana" w:eastAsia="Times New Roman" w:hAnsi="Verdana" w:cs="Verdana"/>
          <w:noProof/>
          <w:sz w:val="16"/>
          <w:szCs w:val="16"/>
          <w:lang w:val="bg-BG" w:eastAsia="bg-BG"/>
        </w:rPr>
      </w:pPr>
    </w:p>
    <w:p w:rsidR="00713B56" w:rsidRPr="007C5599" w:rsidRDefault="00713B56" w:rsidP="003047D3">
      <w:pPr>
        <w:tabs>
          <w:tab w:val="center" w:pos="4153"/>
          <w:tab w:val="left" w:pos="7230"/>
          <w:tab w:val="left" w:pos="7655"/>
          <w:tab w:val="right" w:pos="8306"/>
        </w:tabs>
        <w:spacing w:after="0" w:line="360" w:lineRule="auto"/>
        <w:jc w:val="center"/>
        <w:rPr>
          <w:rFonts w:ascii="Verdana" w:eastAsia="Times New Roman" w:hAnsi="Verdana" w:cs="Verdana"/>
          <w:noProof/>
          <w:sz w:val="16"/>
          <w:szCs w:val="16"/>
          <w:lang w:val="bg-BG" w:eastAsia="bg-BG"/>
        </w:rPr>
      </w:pPr>
    </w:p>
    <w:p w:rsidR="00713B56" w:rsidRPr="007C5599" w:rsidRDefault="00713B56" w:rsidP="003047D3">
      <w:pPr>
        <w:tabs>
          <w:tab w:val="center" w:pos="4153"/>
          <w:tab w:val="left" w:pos="7230"/>
          <w:tab w:val="left" w:pos="7655"/>
          <w:tab w:val="right" w:pos="8306"/>
        </w:tabs>
        <w:spacing w:after="0" w:line="360" w:lineRule="auto"/>
        <w:jc w:val="center"/>
        <w:rPr>
          <w:rFonts w:ascii="Verdana" w:eastAsia="Times New Roman" w:hAnsi="Verdana" w:cs="Verdana"/>
          <w:noProof/>
          <w:sz w:val="16"/>
          <w:szCs w:val="16"/>
          <w:lang w:val="bg-BG" w:eastAsia="bg-BG"/>
        </w:rPr>
      </w:pPr>
    </w:p>
    <w:p w:rsidR="00713B56" w:rsidRPr="007C5599" w:rsidRDefault="00713B56" w:rsidP="003047D3">
      <w:pPr>
        <w:tabs>
          <w:tab w:val="center" w:pos="4153"/>
          <w:tab w:val="left" w:pos="7230"/>
          <w:tab w:val="left" w:pos="7655"/>
          <w:tab w:val="right" w:pos="8306"/>
        </w:tabs>
        <w:spacing w:after="0" w:line="360" w:lineRule="auto"/>
        <w:jc w:val="center"/>
        <w:rPr>
          <w:rFonts w:ascii="Verdana" w:eastAsia="Times New Roman" w:hAnsi="Verdana" w:cs="Verdana"/>
          <w:noProof/>
          <w:sz w:val="16"/>
          <w:szCs w:val="16"/>
          <w:lang w:val="bg-BG" w:eastAsia="bg-BG"/>
        </w:rPr>
      </w:pPr>
    </w:p>
    <w:p w:rsidR="00713B56" w:rsidRPr="007C5599" w:rsidRDefault="00713B56" w:rsidP="001D08E8">
      <w:pPr>
        <w:keepNext/>
        <w:spacing w:after="60" w:line="240" w:lineRule="auto"/>
        <w:jc w:val="center"/>
        <w:outlineLvl w:val="0"/>
        <w:rPr>
          <w:rFonts w:ascii="Verdana" w:eastAsia="Times New Roman" w:hAnsi="Verdana" w:cs="Verdana"/>
          <w:spacing w:val="40"/>
          <w:kern w:val="32"/>
          <w:sz w:val="36"/>
          <w:szCs w:val="36"/>
          <w:lang w:val="bg-BG" w:eastAsia="bg-BG"/>
        </w:rPr>
      </w:pPr>
      <w:r w:rsidRPr="007C5599">
        <w:rPr>
          <w:rFonts w:ascii="Verdana" w:eastAsia="Times New Roman" w:hAnsi="Verdana" w:cs="Verdana"/>
          <w:spacing w:val="40"/>
          <w:kern w:val="32"/>
          <w:sz w:val="36"/>
          <w:szCs w:val="36"/>
          <w:lang w:val="bg-BG" w:eastAsia="bg-BG"/>
        </w:rPr>
        <w:t>РЕПУБЛИКА БЪЛГАРИЯ</w:t>
      </w:r>
    </w:p>
    <w:p w:rsidR="00713B56" w:rsidRPr="007C5599" w:rsidRDefault="007301ED" w:rsidP="001D08E8">
      <w:pPr>
        <w:widowControl w:val="0"/>
        <w:pBdr>
          <w:bottom w:val="single" w:sz="4" w:space="1" w:color="auto"/>
        </w:pBdr>
        <w:autoSpaceDE w:val="0"/>
        <w:autoSpaceDN w:val="0"/>
        <w:adjustRightInd w:val="0"/>
        <w:spacing w:after="0" w:line="360" w:lineRule="auto"/>
        <w:jc w:val="center"/>
        <w:rPr>
          <w:rFonts w:ascii="Verdana" w:eastAsia="Times New Roman" w:hAnsi="Verdana" w:cs="Verdana"/>
          <w:sz w:val="24"/>
          <w:szCs w:val="24"/>
          <w:lang w:val="bg-BG" w:eastAsia="bg-BG"/>
        </w:rPr>
      </w:pPr>
      <w:r w:rsidRPr="007C5599">
        <w:rPr>
          <w:rFonts w:ascii="Verdana" w:eastAsia="Times New Roman" w:hAnsi="Verdana" w:cs="Verdana"/>
          <w:spacing w:val="40"/>
          <w:sz w:val="24"/>
          <w:szCs w:val="24"/>
          <w:lang w:val="bg-BG" w:eastAsia="bg-BG"/>
        </w:rPr>
        <w:t>Министър на земеделието и храните</w:t>
      </w:r>
    </w:p>
    <w:p w:rsidR="00713B56" w:rsidRPr="007C5599" w:rsidRDefault="00713B56" w:rsidP="003047D3">
      <w:pPr>
        <w:widowControl w:val="0"/>
        <w:autoSpaceDE w:val="0"/>
        <w:autoSpaceDN w:val="0"/>
        <w:adjustRightInd w:val="0"/>
        <w:spacing w:after="0" w:line="360" w:lineRule="auto"/>
        <w:rPr>
          <w:rFonts w:ascii="Verdana" w:eastAsia="Times New Roman" w:hAnsi="Verdana" w:cs="Times New Roman"/>
          <w:b/>
          <w:bCs/>
          <w:sz w:val="20"/>
          <w:szCs w:val="20"/>
          <w:lang w:val="bg-BG" w:eastAsia="bg-BG"/>
        </w:rPr>
      </w:pPr>
    </w:p>
    <w:p w:rsidR="00B94C8A" w:rsidRPr="007C5599" w:rsidRDefault="00B94C8A" w:rsidP="003047D3">
      <w:pPr>
        <w:widowControl w:val="0"/>
        <w:autoSpaceDE w:val="0"/>
        <w:autoSpaceDN w:val="0"/>
        <w:adjustRightInd w:val="0"/>
        <w:spacing w:after="0" w:line="360" w:lineRule="auto"/>
        <w:rPr>
          <w:rFonts w:ascii="Verdana" w:eastAsia="Times New Roman" w:hAnsi="Verdana" w:cs="Times New Roman"/>
          <w:b/>
          <w:bCs/>
          <w:sz w:val="20"/>
          <w:szCs w:val="20"/>
          <w:lang w:val="bg-BG" w:eastAsia="bg-BG"/>
        </w:rPr>
      </w:pPr>
    </w:p>
    <w:p w:rsidR="00713B56" w:rsidRPr="007C5599" w:rsidRDefault="00713B56" w:rsidP="003047D3">
      <w:pPr>
        <w:widowControl w:val="0"/>
        <w:autoSpaceDE w:val="0"/>
        <w:autoSpaceDN w:val="0"/>
        <w:adjustRightInd w:val="0"/>
        <w:spacing w:after="0" w:line="360" w:lineRule="auto"/>
        <w:rPr>
          <w:rFonts w:ascii="Verdana" w:eastAsia="Times New Roman" w:hAnsi="Verdana" w:cs="Times New Roman"/>
          <w:b/>
          <w:bCs/>
          <w:sz w:val="20"/>
          <w:szCs w:val="20"/>
          <w:lang w:val="bg-BG" w:eastAsia="bg-BG"/>
        </w:rPr>
      </w:pPr>
      <w:r w:rsidRPr="007C5599">
        <w:rPr>
          <w:rFonts w:ascii="Verdana" w:eastAsia="Times New Roman" w:hAnsi="Verdana" w:cs="Times New Roman"/>
          <w:b/>
          <w:bCs/>
          <w:sz w:val="20"/>
          <w:szCs w:val="20"/>
          <w:lang w:val="bg-BG" w:eastAsia="bg-BG"/>
        </w:rPr>
        <w:t>ДО</w:t>
      </w:r>
    </w:p>
    <w:p w:rsidR="00713B56" w:rsidRPr="007C5599" w:rsidRDefault="00713B56" w:rsidP="003047D3">
      <w:pPr>
        <w:widowControl w:val="0"/>
        <w:autoSpaceDE w:val="0"/>
        <w:autoSpaceDN w:val="0"/>
        <w:adjustRightInd w:val="0"/>
        <w:spacing w:after="0" w:line="360" w:lineRule="auto"/>
        <w:rPr>
          <w:rFonts w:ascii="Verdana" w:eastAsia="Times New Roman" w:hAnsi="Verdana" w:cs="Times New Roman"/>
          <w:b/>
          <w:bCs/>
          <w:sz w:val="20"/>
          <w:szCs w:val="20"/>
          <w:lang w:val="bg-BG" w:eastAsia="bg-BG"/>
        </w:rPr>
      </w:pPr>
      <w:r w:rsidRPr="007C5599">
        <w:rPr>
          <w:rFonts w:ascii="Verdana" w:eastAsia="Times New Roman" w:hAnsi="Verdana" w:cs="Times New Roman"/>
          <w:b/>
          <w:bCs/>
          <w:sz w:val="20"/>
          <w:szCs w:val="20"/>
          <w:lang w:val="bg-BG" w:eastAsia="bg-BG"/>
        </w:rPr>
        <w:t>МИНИСТЕРСКИЯ СЪВЕТ</w:t>
      </w:r>
    </w:p>
    <w:p w:rsidR="00713B56" w:rsidRPr="007C5599" w:rsidRDefault="00713B56" w:rsidP="003047D3">
      <w:pPr>
        <w:widowControl w:val="0"/>
        <w:autoSpaceDE w:val="0"/>
        <w:autoSpaceDN w:val="0"/>
        <w:adjustRightInd w:val="0"/>
        <w:spacing w:after="0" w:line="360" w:lineRule="auto"/>
        <w:rPr>
          <w:rFonts w:ascii="Verdana" w:eastAsia="Times New Roman" w:hAnsi="Verdana" w:cs="Times New Roman"/>
          <w:b/>
          <w:bCs/>
          <w:sz w:val="20"/>
          <w:szCs w:val="20"/>
          <w:lang w:val="bg-BG" w:eastAsia="bg-BG"/>
        </w:rPr>
      </w:pPr>
      <w:r w:rsidRPr="007C5599">
        <w:rPr>
          <w:rFonts w:ascii="Verdana" w:eastAsia="Times New Roman" w:hAnsi="Verdana" w:cs="Times New Roman"/>
          <w:b/>
          <w:bCs/>
          <w:sz w:val="20"/>
          <w:szCs w:val="20"/>
          <w:lang w:val="bg-BG" w:eastAsia="bg-BG"/>
        </w:rPr>
        <w:t>НА РЕПУБЛИКА БЪЛГАРИЯ</w:t>
      </w:r>
    </w:p>
    <w:p w:rsidR="00F84712" w:rsidRDefault="00F84712" w:rsidP="003047D3">
      <w:pPr>
        <w:keepNext/>
        <w:spacing w:after="0" w:line="360" w:lineRule="auto"/>
        <w:jc w:val="center"/>
        <w:outlineLvl w:val="0"/>
        <w:rPr>
          <w:rFonts w:ascii="Verdana" w:eastAsia="Times New Roman" w:hAnsi="Verdana" w:cs="Times New Roman"/>
          <w:b/>
          <w:bCs/>
          <w:spacing w:val="80"/>
          <w:kern w:val="32"/>
          <w:sz w:val="20"/>
          <w:szCs w:val="20"/>
          <w:lang w:val="bg-BG" w:eastAsia="bg-BG"/>
        </w:rPr>
      </w:pPr>
    </w:p>
    <w:p w:rsidR="008D65BC" w:rsidRDefault="008D65BC" w:rsidP="003047D3">
      <w:pPr>
        <w:keepNext/>
        <w:spacing w:after="0" w:line="360" w:lineRule="auto"/>
        <w:jc w:val="center"/>
        <w:outlineLvl w:val="0"/>
        <w:rPr>
          <w:rFonts w:ascii="Verdana" w:eastAsia="Times New Roman" w:hAnsi="Verdana" w:cs="Times New Roman"/>
          <w:b/>
          <w:bCs/>
          <w:spacing w:val="80"/>
          <w:kern w:val="32"/>
          <w:sz w:val="20"/>
          <w:szCs w:val="20"/>
          <w:lang w:val="bg-BG" w:eastAsia="bg-BG"/>
        </w:rPr>
      </w:pPr>
    </w:p>
    <w:p w:rsidR="008D65BC" w:rsidRPr="007C5599" w:rsidRDefault="008D65BC" w:rsidP="003047D3">
      <w:pPr>
        <w:keepNext/>
        <w:spacing w:after="0" w:line="360" w:lineRule="auto"/>
        <w:jc w:val="center"/>
        <w:outlineLvl w:val="0"/>
        <w:rPr>
          <w:rFonts w:ascii="Verdana" w:eastAsia="Times New Roman" w:hAnsi="Verdana" w:cs="Times New Roman"/>
          <w:b/>
          <w:bCs/>
          <w:spacing w:val="80"/>
          <w:kern w:val="32"/>
          <w:sz w:val="20"/>
          <w:szCs w:val="20"/>
          <w:lang w:val="bg-BG" w:eastAsia="bg-BG"/>
        </w:rPr>
      </w:pPr>
    </w:p>
    <w:p w:rsidR="00713B56" w:rsidRPr="007C5599" w:rsidRDefault="00713B56" w:rsidP="003047D3">
      <w:pPr>
        <w:keepNext/>
        <w:spacing w:after="0" w:line="360" w:lineRule="auto"/>
        <w:jc w:val="center"/>
        <w:outlineLvl w:val="0"/>
        <w:rPr>
          <w:rFonts w:ascii="Verdana" w:eastAsia="Times New Roman" w:hAnsi="Verdana" w:cs="Times New Roman"/>
          <w:b/>
          <w:bCs/>
          <w:spacing w:val="80"/>
          <w:kern w:val="32"/>
          <w:sz w:val="24"/>
          <w:szCs w:val="24"/>
          <w:lang w:val="bg-BG" w:eastAsia="bg-BG"/>
        </w:rPr>
      </w:pPr>
      <w:r w:rsidRPr="007C5599">
        <w:rPr>
          <w:rFonts w:ascii="Verdana" w:eastAsia="Times New Roman" w:hAnsi="Verdana" w:cs="Times New Roman"/>
          <w:b/>
          <w:bCs/>
          <w:spacing w:val="80"/>
          <w:kern w:val="32"/>
          <w:sz w:val="24"/>
          <w:szCs w:val="24"/>
          <w:lang w:val="bg-BG" w:eastAsia="bg-BG"/>
        </w:rPr>
        <w:t>ДОКЛАД</w:t>
      </w:r>
    </w:p>
    <w:p w:rsidR="00713B56" w:rsidRPr="008D65BC" w:rsidRDefault="00713B56" w:rsidP="003047D3">
      <w:pPr>
        <w:widowControl w:val="0"/>
        <w:autoSpaceDE w:val="0"/>
        <w:autoSpaceDN w:val="0"/>
        <w:adjustRightInd w:val="0"/>
        <w:spacing w:after="0" w:line="360" w:lineRule="auto"/>
        <w:jc w:val="center"/>
        <w:rPr>
          <w:rFonts w:ascii="Verdana" w:eastAsia="Times New Roman" w:hAnsi="Verdana" w:cs="Times New Roman"/>
          <w:smallCaps/>
          <w:sz w:val="20"/>
          <w:szCs w:val="20"/>
          <w:lang w:val="bg-BG" w:eastAsia="bg-BG"/>
        </w:rPr>
      </w:pPr>
      <w:r w:rsidRPr="008D65BC">
        <w:rPr>
          <w:rFonts w:ascii="Verdana" w:eastAsia="Times New Roman" w:hAnsi="Verdana" w:cs="Times New Roman"/>
          <w:smallCaps/>
          <w:sz w:val="20"/>
          <w:szCs w:val="20"/>
          <w:lang w:val="bg-BG" w:eastAsia="bg-BG"/>
        </w:rPr>
        <w:t xml:space="preserve">от </w:t>
      </w:r>
      <w:r w:rsidR="00F35ACB" w:rsidRPr="008D65BC">
        <w:rPr>
          <w:rFonts w:ascii="Verdana" w:eastAsia="Times New Roman" w:hAnsi="Verdana" w:cs="Times New Roman"/>
          <w:smallCaps/>
          <w:sz w:val="20"/>
          <w:szCs w:val="20"/>
          <w:lang w:val="bg-BG" w:eastAsia="bg-BG"/>
        </w:rPr>
        <w:t>Кирил Вътев</w:t>
      </w:r>
      <w:r w:rsidRPr="008D65BC">
        <w:rPr>
          <w:rFonts w:ascii="Verdana" w:eastAsia="Times New Roman" w:hAnsi="Verdana" w:cs="Times New Roman"/>
          <w:smallCaps/>
          <w:sz w:val="20"/>
          <w:szCs w:val="20"/>
          <w:lang w:val="bg-BG" w:eastAsia="bg-BG"/>
        </w:rPr>
        <w:t xml:space="preserve"> – министър на земеделието</w:t>
      </w:r>
      <w:r w:rsidR="00F35ACB" w:rsidRPr="008D65BC">
        <w:rPr>
          <w:rFonts w:ascii="Verdana" w:eastAsia="Times New Roman" w:hAnsi="Verdana" w:cs="Times New Roman"/>
          <w:smallCaps/>
          <w:sz w:val="20"/>
          <w:szCs w:val="20"/>
          <w:lang w:val="bg-BG" w:eastAsia="bg-BG"/>
        </w:rPr>
        <w:t xml:space="preserve"> и</w:t>
      </w:r>
      <w:r w:rsidRPr="008D65BC">
        <w:rPr>
          <w:rFonts w:ascii="Verdana" w:eastAsia="Times New Roman" w:hAnsi="Verdana" w:cs="Times New Roman"/>
          <w:smallCaps/>
          <w:sz w:val="20"/>
          <w:szCs w:val="20"/>
          <w:lang w:val="bg-BG" w:eastAsia="bg-BG"/>
        </w:rPr>
        <w:t xml:space="preserve"> храните</w:t>
      </w:r>
    </w:p>
    <w:p w:rsidR="00713B56" w:rsidRPr="007C5599" w:rsidRDefault="00713B56" w:rsidP="003047D3">
      <w:pPr>
        <w:widowControl w:val="0"/>
        <w:autoSpaceDE w:val="0"/>
        <w:autoSpaceDN w:val="0"/>
        <w:adjustRightInd w:val="0"/>
        <w:spacing w:after="0" w:line="360" w:lineRule="auto"/>
        <w:rPr>
          <w:rFonts w:ascii="Verdana" w:eastAsia="Times New Roman" w:hAnsi="Verdana" w:cs="Times New Roman"/>
          <w:sz w:val="20"/>
          <w:szCs w:val="20"/>
          <w:lang w:val="bg-BG" w:eastAsia="bg-BG"/>
        </w:rPr>
      </w:pPr>
    </w:p>
    <w:p w:rsidR="007301ED" w:rsidRPr="007C5599" w:rsidRDefault="007301ED" w:rsidP="003047D3">
      <w:pPr>
        <w:widowControl w:val="0"/>
        <w:autoSpaceDE w:val="0"/>
        <w:autoSpaceDN w:val="0"/>
        <w:adjustRightInd w:val="0"/>
        <w:spacing w:after="0" w:line="360" w:lineRule="auto"/>
        <w:rPr>
          <w:rFonts w:ascii="Verdana" w:eastAsia="Times New Roman" w:hAnsi="Verdana" w:cs="Times New Roman"/>
          <w:sz w:val="20"/>
          <w:szCs w:val="20"/>
          <w:lang w:val="bg-BG" w:eastAsia="bg-BG"/>
        </w:rPr>
      </w:pPr>
    </w:p>
    <w:p w:rsidR="00B94C8A" w:rsidRPr="007C5599" w:rsidRDefault="00B94C8A" w:rsidP="003047D3">
      <w:pPr>
        <w:widowControl w:val="0"/>
        <w:autoSpaceDE w:val="0"/>
        <w:autoSpaceDN w:val="0"/>
        <w:adjustRightInd w:val="0"/>
        <w:spacing w:after="0" w:line="360" w:lineRule="auto"/>
        <w:ind w:left="1219" w:hanging="1219"/>
        <w:jc w:val="both"/>
        <w:rPr>
          <w:rFonts w:ascii="Verdana" w:eastAsia="Times New Roman" w:hAnsi="Verdana" w:cs="Times New Roman"/>
          <w:sz w:val="20"/>
          <w:szCs w:val="20"/>
          <w:lang w:val="bg-BG" w:eastAsia="bg-BG"/>
        </w:rPr>
      </w:pPr>
      <w:r w:rsidRPr="007C5599">
        <w:rPr>
          <w:rFonts w:ascii="Verdana" w:eastAsia="Times New Roman" w:hAnsi="Verdana" w:cs="Times New Roman"/>
          <w:b/>
          <w:bCs/>
          <w:sz w:val="20"/>
          <w:szCs w:val="20"/>
          <w:lang w:val="bg-BG" w:eastAsia="bg-BG"/>
        </w:rPr>
        <w:t>Относно</w:t>
      </w:r>
      <w:r w:rsidRPr="007C5599">
        <w:rPr>
          <w:rFonts w:ascii="Verdana" w:eastAsia="Times New Roman" w:hAnsi="Verdana" w:cs="Times New Roman"/>
          <w:b/>
          <w:sz w:val="20"/>
          <w:szCs w:val="20"/>
          <w:lang w:val="bg-BG" w:eastAsia="bg-BG"/>
        </w:rPr>
        <w:t>:</w:t>
      </w:r>
      <w:r w:rsidRPr="007C5599">
        <w:rPr>
          <w:rFonts w:ascii="Verdana" w:eastAsia="Times New Roman" w:hAnsi="Verdana" w:cs="Times New Roman"/>
          <w:sz w:val="20"/>
          <w:szCs w:val="20"/>
          <w:lang w:val="bg-BG" w:eastAsia="bg-BG"/>
        </w:rPr>
        <w:t xml:space="preserve"> Проект на Постановление на Министерския съвет за изменение и допълнение на </w:t>
      </w:r>
      <w:r w:rsidR="003D49BD" w:rsidRPr="007C5599">
        <w:rPr>
          <w:rFonts w:ascii="Verdana" w:eastAsia="Times New Roman" w:hAnsi="Verdana" w:cs="Times New Roman"/>
          <w:sz w:val="20"/>
          <w:szCs w:val="20"/>
          <w:lang w:val="bg-BG" w:eastAsia="bg-BG"/>
        </w:rPr>
        <w:t xml:space="preserve">Устройствения правилник на </w:t>
      </w:r>
      <w:r w:rsidR="003D49BD" w:rsidRPr="007C5599">
        <w:rPr>
          <w:rFonts w:ascii="Verdana" w:eastAsia="Times New Roman" w:hAnsi="Verdana" w:cs="Times New Roman"/>
          <w:bCs/>
          <w:sz w:val="20"/>
          <w:szCs w:val="20"/>
          <w:lang w:val="bg-BG" w:eastAsia="bg-BG"/>
        </w:rPr>
        <w:t>Българската агенция по безопасност на храните, п</w:t>
      </w:r>
      <w:r w:rsidR="003D49BD" w:rsidRPr="007C5599">
        <w:rPr>
          <w:rFonts w:ascii="Verdana" w:eastAsia="Times New Roman" w:hAnsi="Verdana" w:cs="Times New Roman"/>
          <w:sz w:val="20"/>
          <w:szCs w:val="20"/>
          <w:lang w:val="bg-BG" w:eastAsia="bg-BG"/>
        </w:rPr>
        <w:t>риет с</w:t>
      </w:r>
      <w:r w:rsidR="00F35ACB" w:rsidRPr="007C5599">
        <w:rPr>
          <w:rFonts w:ascii="Verdana" w:hAnsi="Verdana"/>
          <w:sz w:val="20"/>
          <w:szCs w:val="20"/>
          <w:lang w:val="bg-BG"/>
        </w:rPr>
        <w:t xml:space="preserve"> Постановление № 35 на Министерския съвет от 2011 г.</w:t>
      </w:r>
      <w:r w:rsidR="00322350" w:rsidRPr="007C5599">
        <w:rPr>
          <w:rFonts w:ascii="Verdana" w:eastAsia="Times New Roman" w:hAnsi="Verdana" w:cs="Times New Roman"/>
          <w:sz w:val="20"/>
          <w:szCs w:val="20"/>
          <w:lang w:val="bg-BG" w:eastAsia="bg-BG"/>
        </w:rPr>
        <w:t xml:space="preserve"> </w:t>
      </w:r>
      <w:r w:rsidR="00322350" w:rsidRPr="007C5599">
        <w:rPr>
          <w:rFonts w:ascii="Verdana" w:hAnsi="Verdana"/>
          <w:sz w:val="20"/>
          <w:szCs w:val="20"/>
          <w:lang w:val="bg-BG"/>
        </w:rPr>
        <w:t>(</w:t>
      </w:r>
      <w:proofErr w:type="spellStart"/>
      <w:r w:rsidR="00322350" w:rsidRPr="007C5599">
        <w:rPr>
          <w:rFonts w:ascii="Verdana" w:hAnsi="Verdana"/>
          <w:sz w:val="20"/>
          <w:szCs w:val="20"/>
          <w:lang w:val="bg-BG"/>
        </w:rPr>
        <w:t>обн</w:t>
      </w:r>
      <w:proofErr w:type="spellEnd"/>
      <w:r w:rsidR="00322350" w:rsidRPr="007C5599">
        <w:rPr>
          <w:rFonts w:ascii="Verdana" w:hAnsi="Verdana"/>
          <w:sz w:val="20"/>
          <w:szCs w:val="20"/>
          <w:lang w:val="bg-BG"/>
        </w:rPr>
        <w:t>., ДВ, бр. 15 от 2011 г</w:t>
      </w:r>
      <w:r w:rsidR="007301ED" w:rsidRPr="007C5599">
        <w:rPr>
          <w:rFonts w:ascii="Verdana" w:hAnsi="Verdana"/>
          <w:sz w:val="20"/>
          <w:szCs w:val="20"/>
          <w:lang w:val="bg-BG"/>
        </w:rPr>
        <w:t>.)</w:t>
      </w:r>
    </w:p>
    <w:p w:rsidR="00B94C8A" w:rsidRDefault="00B94C8A" w:rsidP="003047D3">
      <w:pPr>
        <w:widowControl w:val="0"/>
        <w:autoSpaceDE w:val="0"/>
        <w:autoSpaceDN w:val="0"/>
        <w:adjustRightInd w:val="0"/>
        <w:spacing w:after="0" w:line="360" w:lineRule="auto"/>
        <w:rPr>
          <w:rFonts w:ascii="Verdana" w:eastAsia="Times New Roman" w:hAnsi="Verdana" w:cs="Times New Roman"/>
          <w:sz w:val="20"/>
          <w:szCs w:val="20"/>
          <w:lang w:val="bg-BG" w:eastAsia="bg-BG"/>
        </w:rPr>
      </w:pPr>
    </w:p>
    <w:p w:rsidR="008D65BC" w:rsidRPr="007C5599" w:rsidRDefault="008D65BC" w:rsidP="003047D3">
      <w:pPr>
        <w:widowControl w:val="0"/>
        <w:autoSpaceDE w:val="0"/>
        <w:autoSpaceDN w:val="0"/>
        <w:adjustRightInd w:val="0"/>
        <w:spacing w:after="0" w:line="360" w:lineRule="auto"/>
        <w:rPr>
          <w:rFonts w:ascii="Verdana" w:eastAsia="Times New Roman" w:hAnsi="Verdana" w:cs="Times New Roman"/>
          <w:sz w:val="20"/>
          <w:szCs w:val="20"/>
          <w:lang w:val="bg-BG" w:eastAsia="bg-BG"/>
        </w:rPr>
      </w:pPr>
    </w:p>
    <w:p w:rsidR="00496728" w:rsidRPr="007C5599" w:rsidRDefault="00496728" w:rsidP="003047D3">
      <w:pPr>
        <w:widowControl w:val="0"/>
        <w:autoSpaceDE w:val="0"/>
        <w:autoSpaceDN w:val="0"/>
        <w:adjustRightInd w:val="0"/>
        <w:spacing w:after="0" w:line="360" w:lineRule="auto"/>
        <w:rPr>
          <w:rFonts w:ascii="Verdana" w:eastAsia="Times New Roman" w:hAnsi="Verdana" w:cs="Times New Roman"/>
          <w:sz w:val="20"/>
          <w:szCs w:val="20"/>
          <w:lang w:val="bg-BG" w:eastAsia="bg-BG"/>
        </w:rPr>
      </w:pPr>
    </w:p>
    <w:p w:rsidR="00713B56" w:rsidRPr="007C5599" w:rsidRDefault="00713B56" w:rsidP="003047D3">
      <w:pPr>
        <w:widowControl w:val="0"/>
        <w:autoSpaceDE w:val="0"/>
        <w:autoSpaceDN w:val="0"/>
        <w:adjustRightInd w:val="0"/>
        <w:spacing w:after="0" w:line="360" w:lineRule="auto"/>
        <w:rPr>
          <w:rFonts w:ascii="Verdana" w:eastAsia="Times New Roman" w:hAnsi="Verdana" w:cs="Times New Roman"/>
          <w:b/>
          <w:bCs/>
          <w:sz w:val="20"/>
          <w:szCs w:val="20"/>
          <w:lang w:val="bg-BG" w:eastAsia="bg-BG"/>
        </w:rPr>
      </w:pPr>
      <w:r w:rsidRPr="007C5599">
        <w:rPr>
          <w:rFonts w:ascii="Verdana" w:eastAsia="Times New Roman" w:hAnsi="Verdana" w:cs="Times New Roman"/>
          <w:b/>
          <w:bCs/>
          <w:sz w:val="20"/>
          <w:szCs w:val="20"/>
          <w:lang w:val="bg-BG" w:eastAsia="bg-BG"/>
        </w:rPr>
        <w:t>УВАЖАЕМИ ГОСПОДИН МИНИСТЪР-ПРЕДСЕДАТЕЛ,</w:t>
      </w:r>
    </w:p>
    <w:p w:rsidR="00713B56" w:rsidRDefault="00713B56" w:rsidP="009D6BB6">
      <w:pPr>
        <w:widowControl w:val="0"/>
        <w:autoSpaceDE w:val="0"/>
        <w:autoSpaceDN w:val="0"/>
        <w:adjustRightInd w:val="0"/>
        <w:spacing w:after="120" w:line="360" w:lineRule="auto"/>
        <w:rPr>
          <w:rFonts w:ascii="Verdana" w:eastAsia="Times New Roman" w:hAnsi="Verdana" w:cs="Times New Roman"/>
          <w:b/>
          <w:bCs/>
          <w:sz w:val="20"/>
          <w:szCs w:val="20"/>
          <w:lang w:val="bg-BG" w:eastAsia="bg-BG"/>
        </w:rPr>
      </w:pPr>
      <w:r w:rsidRPr="007C5599">
        <w:rPr>
          <w:rFonts w:ascii="Verdana" w:eastAsia="Times New Roman" w:hAnsi="Verdana" w:cs="Times New Roman"/>
          <w:b/>
          <w:bCs/>
          <w:sz w:val="20"/>
          <w:szCs w:val="20"/>
          <w:lang w:val="bg-BG" w:eastAsia="bg-BG"/>
        </w:rPr>
        <w:t>УВАЖАЕМИ ГОСПОЖИ И ГОСПОДА МИНИСТРИ,</w:t>
      </w:r>
    </w:p>
    <w:p w:rsidR="00713B56" w:rsidRPr="007C5599" w:rsidRDefault="00713B56" w:rsidP="003047D3">
      <w:pPr>
        <w:widowControl w:val="0"/>
        <w:autoSpaceDE w:val="0"/>
        <w:autoSpaceDN w:val="0"/>
        <w:adjustRightInd w:val="0"/>
        <w:spacing w:after="0" w:line="360" w:lineRule="auto"/>
        <w:ind w:firstLine="720"/>
        <w:jc w:val="both"/>
        <w:rPr>
          <w:rFonts w:ascii="Verdana" w:eastAsia="Times New Roman" w:hAnsi="Verdana" w:cs="Times New Roman"/>
          <w:spacing w:val="-2"/>
          <w:sz w:val="20"/>
          <w:szCs w:val="20"/>
          <w:lang w:val="bg-BG" w:eastAsia="bg-BG"/>
        </w:rPr>
      </w:pPr>
      <w:r w:rsidRPr="007C5599">
        <w:rPr>
          <w:rFonts w:ascii="Verdana" w:eastAsia="Times New Roman" w:hAnsi="Verdana" w:cs="Times New Roman"/>
          <w:spacing w:val="-2"/>
          <w:sz w:val="20"/>
          <w:szCs w:val="20"/>
          <w:lang w:val="bg-BG" w:eastAsia="bg-BG"/>
        </w:rPr>
        <w:t xml:space="preserve">На основание чл. 31, ал. 2 от Устройствения правилник на Министерския съвет и на неговата администрация, внасям за разглеждане от Министерския съвет проект на Постановление на Министерския съвет за изменение и допълнение на </w:t>
      </w:r>
      <w:r w:rsidR="003D49BD" w:rsidRPr="007C5599">
        <w:rPr>
          <w:rFonts w:ascii="Verdana" w:eastAsia="Times New Roman" w:hAnsi="Verdana" w:cs="Times New Roman"/>
          <w:spacing w:val="-2"/>
          <w:sz w:val="20"/>
          <w:szCs w:val="20"/>
          <w:lang w:val="bg-BG" w:eastAsia="bg-BG"/>
        </w:rPr>
        <w:t xml:space="preserve">Устройствения правилник на </w:t>
      </w:r>
      <w:r w:rsidR="00F35ACB" w:rsidRPr="007C5599">
        <w:rPr>
          <w:rFonts w:ascii="Verdana" w:hAnsi="Verdana"/>
          <w:bCs/>
          <w:spacing w:val="-2"/>
          <w:sz w:val="20"/>
          <w:szCs w:val="20"/>
          <w:lang w:val="bg-BG"/>
        </w:rPr>
        <w:t>Българската агенция по безопасност на храните</w:t>
      </w:r>
      <w:r w:rsidR="00B32D1E" w:rsidRPr="007C5599">
        <w:rPr>
          <w:rFonts w:ascii="Verdana" w:hAnsi="Verdana"/>
          <w:bCs/>
          <w:spacing w:val="-2"/>
          <w:sz w:val="20"/>
          <w:szCs w:val="20"/>
          <w:lang w:val="bg-BG"/>
        </w:rPr>
        <w:t xml:space="preserve"> (УП на БАБХ),</w:t>
      </w:r>
      <w:r w:rsidR="00F35ACB" w:rsidRPr="007C5599">
        <w:rPr>
          <w:rFonts w:ascii="Verdana" w:hAnsi="Verdana"/>
          <w:bCs/>
          <w:spacing w:val="-2"/>
          <w:sz w:val="20"/>
          <w:szCs w:val="20"/>
          <w:lang w:val="bg-BG"/>
        </w:rPr>
        <w:t xml:space="preserve"> п</w:t>
      </w:r>
      <w:r w:rsidR="00F35ACB" w:rsidRPr="007C5599">
        <w:rPr>
          <w:rFonts w:ascii="Verdana" w:hAnsi="Verdana"/>
          <w:spacing w:val="-2"/>
          <w:sz w:val="20"/>
          <w:szCs w:val="20"/>
          <w:lang w:val="bg-BG"/>
        </w:rPr>
        <w:t xml:space="preserve">риет с Постановление № 35 на Министерския съвет от 2011 г. </w:t>
      </w:r>
      <w:r w:rsidRPr="007C5599">
        <w:rPr>
          <w:rFonts w:ascii="Verdana" w:eastAsia="Times New Roman" w:hAnsi="Verdana" w:cs="Times New Roman"/>
          <w:spacing w:val="-2"/>
          <w:sz w:val="20"/>
          <w:szCs w:val="20"/>
          <w:lang w:val="bg-BG" w:eastAsia="bg-BG"/>
        </w:rPr>
        <w:t>(</w:t>
      </w:r>
      <w:proofErr w:type="spellStart"/>
      <w:r w:rsidR="00F35ACB" w:rsidRPr="007C5599">
        <w:rPr>
          <w:rFonts w:ascii="Verdana" w:hAnsi="Verdana"/>
          <w:spacing w:val="-2"/>
          <w:sz w:val="20"/>
          <w:szCs w:val="20"/>
          <w:lang w:val="bg-BG"/>
        </w:rPr>
        <w:t>обн</w:t>
      </w:r>
      <w:proofErr w:type="spellEnd"/>
      <w:r w:rsidR="00F35ACB" w:rsidRPr="007C5599">
        <w:rPr>
          <w:rFonts w:ascii="Verdana" w:hAnsi="Verdana"/>
          <w:spacing w:val="-2"/>
          <w:sz w:val="20"/>
          <w:szCs w:val="20"/>
          <w:lang w:val="bg-BG"/>
        </w:rPr>
        <w:t>., ДВ, бр. 15 от 2011 г</w:t>
      </w:r>
      <w:r w:rsidR="00665AD4" w:rsidRPr="007C5599">
        <w:rPr>
          <w:rFonts w:ascii="Verdana" w:eastAsia="Times New Roman" w:hAnsi="Verdana" w:cs="Times New Roman"/>
          <w:spacing w:val="-2"/>
          <w:sz w:val="20"/>
          <w:szCs w:val="20"/>
          <w:lang w:val="bg-BG" w:eastAsia="bg-BG"/>
        </w:rPr>
        <w:t>.</w:t>
      </w:r>
      <w:r w:rsidRPr="007C5599">
        <w:rPr>
          <w:rFonts w:ascii="Verdana" w:eastAsia="Times New Roman" w:hAnsi="Verdana" w:cs="Times New Roman"/>
          <w:spacing w:val="-2"/>
          <w:sz w:val="20"/>
          <w:szCs w:val="20"/>
          <w:lang w:val="bg-BG" w:eastAsia="bg-BG"/>
        </w:rPr>
        <w:t>).</w:t>
      </w:r>
    </w:p>
    <w:p w:rsidR="00D22357" w:rsidRPr="007C5599" w:rsidRDefault="00D22357" w:rsidP="003047D3">
      <w:pPr>
        <w:widowControl w:val="0"/>
        <w:autoSpaceDE w:val="0"/>
        <w:autoSpaceDN w:val="0"/>
        <w:adjustRightInd w:val="0"/>
        <w:spacing w:after="0" w:line="360" w:lineRule="auto"/>
        <w:ind w:firstLine="720"/>
        <w:jc w:val="both"/>
        <w:rPr>
          <w:rFonts w:ascii="Verdana" w:eastAsia="Times New Roman" w:hAnsi="Verdana" w:cs="Times New Roman"/>
          <w:sz w:val="20"/>
          <w:szCs w:val="20"/>
          <w:lang w:val="bg-BG" w:eastAsia="bg-BG"/>
        </w:rPr>
      </w:pPr>
    </w:p>
    <w:p w:rsidR="00D22357" w:rsidRPr="00BB5278" w:rsidRDefault="00D22357" w:rsidP="003047D3">
      <w:pPr>
        <w:widowControl w:val="0"/>
        <w:autoSpaceDE w:val="0"/>
        <w:autoSpaceDN w:val="0"/>
        <w:adjustRightInd w:val="0"/>
        <w:spacing w:after="0" w:line="360" w:lineRule="auto"/>
        <w:ind w:firstLine="709"/>
        <w:jc w:val="both"/>
        <w:rPr>
          <w:rFonts w:ascii="Verdana" w:eastAsia="Times New Roman" w:hAnsi="Verdana" w:cs="Times New Roman"/>
          <w:b/>
          <w:sz w:val="20"/>
          <w:szCs w:val="20"/>
          <w:lang w:val="bg-BG" w:eastAsia="bg-BG"/>
        </w:rPr>
      </w:pPr>
      <w:r w:rsidRPr="00BB5278">
        <w:rPr>
          <w:rFonts w:ascii="Verdana" w:eastAsia="Times New Roman" w:hAnsi="Verdana" w:cs="Times New Roman"/>
          <w:b/>
          <w:sz w:val="20"/>
          <w:szCs w:val="20"/>
          <w:lang w:val="bg-BG" w:eastAsia="bg-BG"/>
        </w:rPr>
        <w:t>Причини, които налагат приемането на акта</w:t>
      </w:r>
    </w:p>
    <w:p w:rsidR="00D22357" w:rsidRDefault="003D33E3" w:rsidP="003047D3">
      <w:pPr>
        <w:widowControl w:val="0"/>
        <w:autoSpaceDE w:val="0"/>
        <w:autoSpaceDN w:val="0"/>
        <w:adjustRightInd w:val="0"/>
        <w:spacing w:after="0" w:line="360" w:lineRule="auto"/>
        <w:ind w:firstLine="720"/>
        <w:jc w:val="both"/>
        <w:rPr>
          <w:rFonts w:ascii="Verdana" w:eastAsia="Times New Roman" w:hAnsi="Verdana" w:cs="Times New Roman"/>
          <w:bCs/>
          <w:sz w:val="20"/>
          <w:szCs w:val="20"/>
          <w:lang w:val="bg-BG" w:eastAsia="bg-BG"/>
        </w:rPr>
      </w:pPr>
      <w:r w:rsidRPr="003D33E3">
        <w:rPr>
          <w:rFonts w:ascii="Verdana" w:eastAsia="Times New Roman" w:hAnsi="Verdana" w:cs="Times New Roman"/>
          <w:sz w:val="20"/>
          <w:szCs w:val="20"/>
          <w:lang w:val="bg-BG" w:eastAsia="bg-BG"/>
        </w:rPr>
        <w:t>Настъпили промени в европейското законодателство, водещи до</w:t>
      </w:r>
      <w:r w:rsidRPr="003D33E3">
        <w:rPr>
          <w:rFonts w:ascii="Verdana" w:eastAsia="Times New Roman" w:hAnsi="Verdana" w:cs="Times New Roman"/>
          <w:bCs/>
          <w:sz w:val="20"/>
          <w:szCs w:val="20"/>
          <w:lang w:val="bg-BG" w:eastAsia="bg-BG"/>
        </w:rPr>
        <w:t xml:space="preserve"> </w:t>
      </w:r>
      <w:r>
        <w:rPr>
          <w:rFonts w:ascii="Verdana" w:eastAsia="Times New Roman" w:hAnsi="Verdana" w:cs="Times New Roman"/>
          <w:bCs/>
          <w:sz w:val="20"/>
          <w:szCs w:val="20"/>
          <w:lang w:val="bg-BG" w:eastAsia="bg-BG"/>
        </w:rPr>
        <w:t>необходимост от п</w:t>
      </w:r>
      <w:r w:rsidRPr="003D33E3">
        <w:rPr>
          <w:rFonts w:ascii="Verdana" w:eastAsia="Times New Roman" w:hAnsi="Verdana" w:cs="Times New Roman"/>
          <w:bCs/>
          <w:sz w:val="20"/>
          <w:szCs w:val="20"/>
          <w:lang w:val="bg-BG" w:eastAsia="bg-BG"/>
        </w:rPr>
        <w:t>рецизиран</w:t>
      </w:r>
      <w:r>
        <w:rPr>
          <w:rFonts w:ascii="Verdana" w:eastAsia="Times New Roman" w:hAnsi="Verdana" w:cs="Times New Roman"/>
          <w:bCs/>
          <w:sz w:val="20"/>
          <w:szCs w:val="20"/>
          <w:lang w:val="bg-BG" w:eastAsia="bg-BG"/>
        </w:rPr>
        <w:t>е и осъвременяване на</w:t>
      </w:r>
      <w:r w:rsidRPr="003D33E3">
        <w:rPr>
          <w:rFonts w:ascii="Verdana" w:eastAsia="Times New Roman" w:hAnsi="Verdana" w:cs="Times New Roman"/>
          <w:bCs/>
          <w:sz w:val="20"/>
          <w:szCs w:val="20"/>
          <w:lang w:val="bg-BG" w:eastAsia="bg-BG"/>
        </w:rPr>
        <w:t xml:space="preserve"> функционалните характеристики на дирекции от специализираната администрация на агенцията.</w:t>
      </w:r>
    </w:p>
    <w:p w:rsidR="003D33E3" w:rsidRPr="003D33E3" w:rsidRDefault="00496728" w:rsidP="003D33E3">
      <w:pPr>
        <w:widowControl w:val="0"/>
        <w:autoSpaceDE w:val="0"/>
        <w:autoSpaceDN w:val="0"/>
        <w:adjustRightInd w:val="0"/>
        <w:spacing w:after="0" w:line="360" w:lineRule="auto"/>
        <w:ind w:firstLine="720"/>
        <w:jc w:val="both"/>
        <w:rPr>
          <w:rFonts w:ascii="Verdana" w:eastAsia="Times New Roman" w:hAnsi="Verdana" w:cs="Times New Roman"/>
          <w:bCs/>
          <w:sz w:val="20"/>
          <w:szCs w:val="20"/>
          <w:lang w:val="bg-BG" w:eastAsia="bg-BG"/>
        </w:rPr>
      </w:pPr>
      <w:r>
        <w:rPr>
          <w:rFonts w:ascii="Verdana" w:eastAsia="Times New Roman" w:hAnsi="Verdana" w:cs="Times New Roman"/>
          <w:bCs/>
          <w:sz w:val="20"/>
          <w:szCs w:val="20"/>
          <w:lang w:val="bg-BG" w:eastAsia="bg-BG"/>
        </w:rPr>
        <w:lastRenderedPageBreak/>
        <w:t>Налага се да бъдат о</w:t>
      </w:r>
      <w:r w:rsidR="003D33E3" w:rsidRPr="003D33E3">
        <w:rPr>
          <w:rFonts w:ascii="Verdana" w:eastAsia="Times New Roman" w:hAnsi="Verdana" w:cs="Times New Roman"/>
          <w:bCs/>
          <w:sz w:val="20"/>
          <w:szCs w:val="20"/>
          <w:lang w:val="bg-BG" w:eastAsia="bg-BG"/>
        </w:rPr>
        <w:t>тстран</w:t>
      </w:r>
      <w:r>
        <w:rPr>
          <w:rFonts w:ascii="Verdana" w:eastAsia="Times New Roman" w:hAnsi="Verdana" w:cs="Times New Roman"/>
          <w:bCs/>
          <w:sz w:val="20"/>
          <w:szCs w:val="20"/>
          <w:lang w:val="bg-BG" w:eastAsia="bg-BG"/>
        </w:rPr>
        <w:t>ени</w:t>
      </w:r>
      <w:r w:rsidR="003D33E3" w:rsidRPr="003D33E3">
        <w:rPr>
          <w:rFonts w:ascii="Verdana" w:eastAsia="Times New Roman" w:hAnsi="Verdana" w:cs="Times New Roman"/>
          <w:bCs/>
          <w:sz w:val="20"/>
          <w:szCs w:val="20"/>
          <w:lang w:val="bg-BG" w:eastAsia="bg-BG"/>
        </w:rPr>
        <w:t xml:space="preserve"> някои несъответствия във функционалните им компетентности, като същите </w:t>
      </w:r>
      <w:r>
        <w:rPr>
          <w:rFonts w:ascii="Verdana" w:eastAsia="Times New Roman" w:hAnsi="Verdana" w:cs="Times New Roman"/>
          <w:bCs/>
          <w:sz w:val="20"/>
          <w:szCs w:val="20"/>
          <w:lang w:val="bg-BG" w:eastAsia="bg-BG"/>
        </w:rPr>
        <w:t xml:space="preserve">следва да бъдат </w:t>
      </w:r>
      <w:r w:rsidR="003D33E3" w:rsidRPr="003D33E3">
        <w:rPr>
          <w:rFonts w:ascii="Verdana" w:eastAsia="Times New Roman" w:hAnsi="Verdana" w:cs="Times New Roman"/>
          <w:bCs/>
          <w:sz w:val="20"/>
          <w:szCs w:val="20"/>
          <w:lang w:val="bg-BG" w:eastAsia="bg-BG"/>
        </w:rPr>
        <w:t>приве</w:t>
      </w:r>
      <w:r>
        <w:rPr>
          <w:rFonts w:ascii="Verdana" w:eastAsia="Times New Roman" w:hAnsi="Verdana" w:cs="Times New Roman"/>
          <w:bCs/>
          <w:sz w:val="20"/>
          <w:szCs w:val="20"/>
          <w:lang w:val="bg-BG" w:eastAsia="bg-BG"/>
        </w:rPr>
        <w:t>дени</w:t>
      </w:r>
      <w:r w:rsidR="003D33E3" w:rsidRPr="003D33E3">
        <w:rPr>
          <w:rFonts w:ascii="Verdana" w:eastAsia="Times New Roman" w:hAnsi="Verdana" w:cs="Times New Roman"/>
          <w:bCs/>
          <w:sz w:val="20"/>
          <w:szCs w:val="20"/>
          <w:lang w:val="bg-BG" w:eastAsia="bg-BG"/>
        </w:rPr>
        <w:t xml:space="preserve"> в съответствие с настъпили изменения в европейското законодателство в областта на здравеопазването на животните, употребата, производството и търговията на едро и дребно с ветеринарномедицински продукти. От 28 януари 2022 г. се прилага Регламент (ЕС) 2019/6 на Европейския парламент и на Съвета от 11 декември 2018 година относно ветеринарните лекарствени продукти и за отмяна на Директива 2001/82/ЕО</w:t>
      </w:r>
      <w:r w:rsidR="008F4F98">
        <w:rPr>
          <w:rFonts w:ascii="Verdana" w:eastAsia="Times New Roman" w:hAnsi="Verdana" w:cs="Times New Roman"/>
          <w:bCs/>
          <w:sz w:val="20"/>
          <w:szCs w:val="20"/>
          <w:lang w:val="bg-BG" w:eastAsia="bg-BG"/>
        </w:rPr>
        <w:t xml:space="preserve"> </w:t>
      </w:r>
      <w:r w:rsidR="008F4F98" w:rsidRPr="008F4F98">
        <w:rPr>
          <w:rFonts w:ascii="Verdana" w:eastAsia="Times New Roman" w:hAnsi="Verdana" w:cs="Times New Roman"/>
          <w:bCs/>
          <w:sz w:val="20"/>
          <w:szCs w:val="20"/>
          <w:lang w:val="bg-BG" w:eastAsia="bg-BG"/>
        </w:rPr>
        <w:t>(</w:t>
      </w:r>
      <w:r w:rsidR="008F4F98" w:rsidRPr="008F4F98">
        <w:rPr>
          <w:rFonts w:ascii="Verdana" w:eastAsia="Times New Roman" w:hAnsi="Verdana" w:cs="Times New Roman"/>
          <w:bCs/>
          <w:iCs/>
          <w:sz w:val="20"/>
          <w:szCs w:val="20"/>
          <w:lang w:eastAsia="bg-BG"/>
        </w:rPr>
        <w:t>OB L 4</w:t>
      </w:r>
      <w:r w:rsidR="008F4F98" w:rsidRPr="008F4F98">
        <w:rPr>
          <w:rFonts w:ascii="Verdana" w:eastAsia="Times New Roman" w:hAnsi="Verdana" w:cs="Times New Roman"/>
          <w:bCs/>
          <w:iCs/>
          <w:sz w:val="20"/>
          <w:szCs w:val="20"/>
          <w:lang w:val="bg-BG" w:eastAsia="bg-BG"/>
        </w:rPr>
        <w:t>/2</w:t>
      </w:r>
      <w:r w:rsidR="008F4F98" w:rsidRPr="008F4F98">
        <w:rPr>
          <w:rFonts w:ascii="Verdana" w:eastAsia="Times New Roman" w:hAnsi="Verdana" w:cs="Times New Roman"/>
          <w:bCs/>
          <w:iCs/>
          <w:sz w:val="20"/>
          <w:szCs w:val="20"/>
          <w:lang w:eastAsia="bg-BG"/>
        </w:rPr>
        <w:t>019г</w:t>
      </w:r>
      <w:r w:rsidR="008F4F98" w:rsidRPr="008F4F98">
        <w:rPr>
          <w:rFonts w:ascii="Verdana" w:eastAsia="Times New Roman" w:hAnsi="Verdana" w:cs="Times New Roman"/>
          <w:bCs/>
          <w:sz w:val="20"/>
          <w:szCs w:val="20"/>
          <w:lang w:val="bg-BG" w:eastAsia="bg-BG"/>
        </w:rPr>
        <w:t>.</w:t>
      </w:r>
      <w:r w:rsidR="008F4F98" w:rsidRPr="008F4F98">
        <w:rPr>
          <w:rFonts w:ascii="Verdana" w:eastAsia="Times New Roman" w:hAnsi="Verdana" w:cs="Times New Roman"/>
          <w:bCs/>
          <w:sz w:val="20"/>
          <w:szCs w:val="20"/>
          <w:lang w:eastAsia="bg-BG"/>
        </w:rPr>
        <w:t>)</w:t>
      </w:r>
      <w:r w:rsidR="003D33E3" w:rsidRPr="003D33E3">
        <w:rPr>
          <w:rFonts w:ascii="Verdana" w:eastAsia="Times New Roman" w:hAnsi="Verdana" w:cs="Times New Roman"/>
          <w:bCs/>
          <w:sz w:val="20"/>
          <w:szCs w:val="20"/>
          <w:lang w:val="bg-BG" w:eastAsia="bg-BG"/>
        </w:rPr>
        <w:t xml:space="preserve">. С Регламента се въвеждат съществени промени в правното регулиране на обществените отношения, свързани с ветеринарните лекарствени продукти в Европейския съюз, което налага извършване на промени и в националното законодателство, които най-общо се свеждат до промяна в терминологията – понятието „ветеринарномедицински продукти” се заменя с “ветеринарни лекарствени продукти”, действащите регулаторни (лицензионни) режими – лицензите за употреба, за производство, за търговия на едро и за търговия на дребно с ветеринарномедицински продукти, са заменени съответно с разрешения за търговия, за производство, за търговия на едро и търговия на дребно с ветеринарни лекарствени продукти; въвежда се режим за регистрация на производители, вносители и дистрибутори на активни вещества за ветеринарномедицински цели, режим за регистрация на някои категории хомеопатични ветеринарни лекарствени продукти, както и се въвежда регулация на нови видове дейности, като паралелна търговия с ветеринарни лекарствени продукти в рамките на Европейския съюз и търговия от  разстояние на дребно с ветеринарни лекарствени продукти. Регламентът въвежда изискване държавите членки да одобряват клиничните проучвания на ветеринарни лекарствени продукти, както и да осигурят, в сътрудничество с Европейската агенция по лекарствата, създаването и да участват в поддържането на базата данни на Европейския съюз относно разрешените за търговия ветеринарни лекарствени продукти, на  базата данни за фармакологична бдителност и на базата данни за производство и търговия на едро с ветеринарни лекарствени продукти. </w:t>
      </w:r>
    </w:p>
    <w:p w:rsidR="003D33E3" w:rsidRDefault="00BB5278" w:rsidP="003D33E3">
      <w:pPr>
        <w:widowControl w:val="0"/>
        <w:autoSpaceDE w:val="0"/>
        <w:autoSpaceDN w:val="0"/>
        <w:adjustRightInd w:val="0"/>
        <w:spacing w:after="0" w:line="360" w:lineRule="auto"/>
        <w:ind w:firstLine="720"/>
        <w:jc w:val="both"/>
        <w:rPr>
          <w:rFonts w:ascii="Verdana" w:eastAsia="Times New Roman" w:hAnsi="Verdana" w:cs="Times New Roman"/>
          <w:bCs/>
          <w:sz w:val="20"/>
          <w:szCs w:val="20"/>
          <w:lang w:val="bg-BG" w:eastAsia="bg-BG"/>
        </w:rPr>
      </w:pPr>
      <w:r>
        <w:rPr>
          <w:rFonts w:ascii="Verdana" w:eastAsia="Times New Roman" w:hAnsi="Verdana" w:cs="Times New Roman"/>
          <w:sz w:val="20"/>
          <w:szCs w:val="20"/>
          <w:lang w:val="bg-BG" w:eastAsia="bg-BG"/>
        </w:rPr>
        <w:t xml:space="preserve">С </w:t>
      </w:r>
      <w:r w:rsidR="00D75B20" w:rsidRPr="00D75B20">
        <w:rPr>
          <w:rFonts w:ascii="Verdana" w:eastAsia="Times New Roman" w:hAnsi="Verdana" w:cs="Times New Roman"/>
          <w:sz w:val="20"/>
          <w:szCs w:val="20"/>
          <w:lang w:val="bg-BG" w:eastAsia="bg-BG"/>
        </w:rPr>
        <w:t xml:space="preserve">цел подобряване работата на администрацията на </w:t>
      </w:r>
      <w:r w:rsidR="00D75B20" w:rsidRPr="00D75B20">
        <w:rPr>
          <w:rFonts w:ascii="Verdana" w:eastAsia="Times New Roman" w:hAnsi="Verdana" w:cs="Times New Roman"/>
          <w:bCs/>
          <w:sz w:val="20"/>
          <w:szCs w:val="20"/>
          <w:lang w:val="bg-BG" w:eastAsia="bg-BG"/>
        </w:rPr>
        <w:t>Българската агенция по безопасност на храните</w:t>
      </w:r>
      <w:r w:rsidR="00D75B20" w:rsidRPr="00D75B20">
        <w:rPr>
          <w:rFonts w:ascii="Verdana" w:eastAsia="Times New Roman" w:hAnsi="Verdana" w:cs="Times New Roman"/>
          <w:sz w:val="20"/>
          <w:szCs w:val="20"/>
          <w:lang w:val="bg-BG" w:eastAsia="bg-BG"/>
        </w:rPr>
        <w:t xml:space="preserve"> </w:t>
      </w:r>
      <w:r w:rsidR="00D75B20">
        <w:rPr>
          <w:rFonts w:ascii="Verdana" w:eastAsia="Times New Roman" w:hAnsi="Verdana" w:cs="Times New Roman"/>
          <w:sz w:val="20"/>
          <w:szCs w:val="20"/>
          <w:lang w:val="bg-BG" w:eastAsia="bg-BG"/>
        </w:rPr>
        <w:t xml:space="preserve">е налице </w:t>
      </w:r>
      <w:r w:rsidR="00D75B20" w:rsidRPr="00D75B20">
        <w:rPr>
          <w:rFonts w:ascii="Verdana" w:eastAsia="Times New Roman" w:hAnsi="Verdana" w:cs="Times New Roman"/>
          <w:sz w:val="20"/>
          <w:szCs w:val="20"/>
          <w:lang w:val="bg-BG" w:eastAsia="bg-BG"/>
        </w:rPr>
        <w:t xml:space="preserve">необходимост от промяна в наименованието, структурата и функциите в дирекциите от общата и специализираната администрация, както и </w:t>
      </w:r>
      <w:r w:rsidR="00D75B20">
        <w:rPr>
          <w:rFonts w:ascii="Verdana" w:eastAsia="Times New Roman" w:hAnsi="Verdana" w:cs="Times New Roman"/>
          <w:sz w:val="20"/>
          <w:szCs w:val="20"/>
          <w:lang w:val="bg-BG" w:eastAsia="bg-BG"/>
        </w:rPr>
        <w:t>от</w:t>
      </w:r>
      <w:r w:rsidR="00D75B20" w:rsidRPr="00D75B20">
        <w:rPr>
          <w:rFonts w:ascii="Verdana" w:eastAsia="Times New Roman" w:hAnsi="Verdana" w:cs="Times New Roman"/>
          <w:sz w:val="20"/>
          <w:szCs w:val="20"/>
          <w:lang w:val="bg-BG" w:eastAsia="bg-BG"/>
        </w:rPr>
        <w:t xml:space="preserve"> закриване на създадена през 2015 г. Главна дирекция „Верификация на официалния контрол“, без да се налага увеличаване на общата численост на персонала.</w:t>
      </w:r>
      <w:r w:rsidR="003D33E3" w:rsidRPr="003D33E3">
        <w:rPr>
          <w:rFonts w:ascii="Verdana" w:eastAsia="Times New Roman" w:hAnsi="Verdana" w:cs="Times New Roman"/>
          <w:bCs/>
          <w:sz w:val="20"/>
          <w:szCs w:val="20"/>
          <w:lang w:val="bg-BG" w:eastAsia="bg-BG"/>
        </w:rPr>
        <w:t xml:space="preserve"> </w:t>
      </w:r>
    </w:p>
    <w:p w:rsidR="003D33E3" w:rsidRPr="003D33E3" w:rsidRDefault="003D33E3" w:rsidP="003D33E3">
      <w:pPr>
        <w:widowControl w:val="0"/>
        <w:autoSpaceDE w:val="0"/>
        <w:autoSpaceDN w:val="0"/>
        <w:adjustRightInd w:val="0"/>
        <w:spacing w:after="0" w:line="360" w:lineRule="auto"/>
        <w:ind w:firstLine="720"/>
        <w:jc w:val="both"/>
        <w:rPr>
          <w:rFonts w:ascii="Verdana" w:eastAsia="Times New Roman" w:hAnsi="Verdana" w:cs="Times New Roman"/>
          <w:bCs/>
          <w:sz w:val="20"/>
          <w:szCs w:val="20"/>
          <w:lang w:val="bg-BG" w:eastAsia="bg-BG"/>
        </w:rPr>
      </w:pPr>
      <w:r w:rsidRPr="003D33E3">
        <w:rPr>
          <w:rFonts w:ascii="Verdana" w:eastAsia="Times New Roman" w:hAnsi="Verdana" w:cs="Times New Roman"/>
          <w:bCs/>
          <w:sz w:val="20"/>
          <w:szCs w:val="20"/>
          <w:lang w:val="bg-BG" w:eastAsia="bg-BG"/>
        </w:rPr>
        <w:t xml:space="preserve">С </w:t>
      </w:r>
      <w:r w:rsidR="00F122CE">
        <w:rPr>
          <w:rFonts w:ascii="Verdana" w:eastAsia="Times New Roman" w:hAnsi="Verdana" w:cs="Times New Roman"/>
          <w:bCs/>
          <w:sz w:val="20"/>
          <w:szCs w:val="20"/>
          <w:lang w:val="bg-BG" w:eastAsia="bg-BG"/>
        </w:rPr>
        <w:t>§</w:t>
      </w:r>
      <w:r w:rsidRPr="003D33E3">
        <w:rPr>
          <w:rFonts w:ascii="Verdana" w:eastAsia="Times New Roman" w:hAnsi="Verdana" w:cs="Times New Roman"/>
          <w:bCs/>
          <w:sz w:val="20"/>
          <w:szCs w:val="20"/>
          <w:lang w:val="bg-BG" w:eastAsia="bg-BG"/>
        </w:rPr>
        <w:t xml:space="preserve"> 3 на Постановление № 90 на Министерски съвет от 2015 г. за изменение и допълнение на нормативни актове на Министерския съвет (</w:t>
      </w:r>
      <w:proofErr w:type="spellStart"/>
      <w:r w:rsidRPr="003D33E3">
        <w:rPr>
          <w:rFonts w:ascii="Verdana" w:eastAsia="Times New Roman" w:hAnsi="Verdana" w:cs="Times New Roman"/>
          <w:bCs/>
          <w:sz w:val="20"/>
          <w:szCs w:val="20"/>
          <w:lang w:val="bg-BG" w:eastAsia="bg-BG"/>
        </w:rPr>
        <w:t>обн</w:t>
      </w:r>
      <w:proofErr w:type="spellEnd"/>
      <w:r w:rsidRPr="003D33E3">
        <w:rPr>
          <w:rFonts w:ascii="Verdana" w:eastAsia="Times New Roman" w:hAnsi="Verdana" w:cs="Times New Roman"/>
          <w:bCs/>
          <w:sz w:val="20"/>
          <w:szCs w:val="20"/>
          <w:lang w:val="bg-BG" w:eastAsia="bg-BG"/>
        </w:rPr>
        <w:t xml:space="preserve">., ДВ, бр. 29 от 2015 г.) е създадена </w:t>
      </w:r>
      <w:r w:rsidR="00EB4753">
        <w:rPr>
          <w:rFonts w:ascii="Verdana" w:eastAsia="Times New Roman" w:hAnsi="Verdana" w:cs="Times New Roman"/>
          <w:bCs/>
          <w:sz w:val="20"/>
          <w:szCs w:val="20"/>
          <w:lang w:val="bg-BG" w:eastAsia="bg-BG"/>
        </w:rPr>
        <w:t>Г</w:t>
      </w:r>
      <w:r w:rsidRPr="003D33E3">
        <w:rPr>
          <w:rFonts w:ascii="Verdana" w:eastAsia="Times New Roman" w:hAnsi="Verdana" w:cs="Times New Roman"/>
          <w:bCs/>
          <w:sz w:val="20"/>
          <w:szCs w:val="20"/>
          <w:lang w:val="bg-BG" w:eastAsia="bg-BG"/>
        </w:rPr>
        <w:t>лавна дирекция „Верификация на официалния контрол</w:t>
      </w:r>
      <w:r w:rsidRPr="003D33E3">
        <w:rPr>
          <w:rFonts w:ascii="Verdana" w:eastAsia="Times New Roman" w:hAnsi="Verdana" w:cs="Times New Roman"/>
          <w:bCs/>
          <w:sz w:val="20"/>
          <w:szCs w:val="20"/>
          <w:vertAlign w:val="superscript"/>
          <w:lang w:val="bg-BG" w:eastAsia="bg-BG"/>
        </w:rPr>
        <w:t xml:space="preserve">“ </w:t>
      </w:r>
      <w:r w:rsidRPr="003D33E3">
        <w:rPr>
          <w:rFonts w:ascii="Verdana" w:eastAsia="Times New Roman" w:hAnsi="Verdana" w:cs="Times New Roman"/>
          <w:bCs/>
          <w:sz w:val="20"/>
          <w:szCs w:val="20"/>
          <w:lang w:val="bg-BG" w:eastAsia="bg-BG"/>
        </w:rPr>
        <w:t xml:space="preserve"> (ГД ВОК), която е структурирана в два отдела на централно ниво – отдел „Одит на официалния контрол“ (ООК) и отдел „Верификация и административен контрол на дейността на ОДБХ“ (ВАКДОДБХ). Отдел ООК е създаден и функционира още със създаването на </w:t>
      </w:r>
      <w:r w:rsidRPr="003D33E3">
        <w:rPr>
          <w:rFonts w:ascii="Verdana" w:eastAsia="Times New Roman" w:hAnsi="Verdana" w:cs="Times New Roman"/>
          <w:bCs/>
          <w:sz w:val="20"/>
          <w:szCs w:val="20"/>
          <w:lang w:val="bg-BG" w:eastAsia="bg-BG"/>
        </w:rPr>
        <w:lastRenderedPageBreak/>
        <w:t>БАБХ като през годините е бил част от структурата на други дирекции. Отделът изпълнява изискването на чл. 6 на Регламент (ЕС) 2017/625</w:t>
      </w:r>
      <w:r w:rsidR="005F179D" w:rsidRPr="005F179D">
        <w:rPr>
          <w:rFonts w:ascii="Verdana" w:eastAsia="Times New Roman" w:hAnsi="Verdana" w:cs="Times New Roman"/>
          <w:bCs/>
          <w:sz w:val="20"/>
          <w:szCs w:val="20"/>
          <w:lang w:val="bg-BG" w:eastAsia="bg-BG"/>
        </w:rPr>
        <w:t xml:space="preserve">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(ЕО) № 396/2005, (ЕО) № 1069/2009, (ЕО) № 1107/2009, (ЕС) № 1151/2012, (ЕС) № 652/2014, (ЕС) 2016/429 и (ЕС) 2016/2031 на Европейския парламент и на Съвета, регламенти (ЕО) № 1/2005 и (ЕО) № 1099/2009 на Съвета и директиви 98/58/ЕО, 1999/74/ЕО, 2007/43/ЕО, 2008/119/ЕО и 2008/120/ЕО на Съвета, и за отмяна на регламенти (ЕО) № 854/2004 и (ЕО) № 882/2004 на Европейския парламент и на Съвета, директиви 89/608/ЕИО, 89/662/ЕИО, 90/425/ЕИО, 91/496/ЕИО, 96/23/ЕО, 96/93/ЕО и 97/78/ЕО на Съвета и Решение 92/438/ЕИО на С</w:t>
      </w:r>
      <w:r w:rsidR="005F179D">
        <w:rPr>
          <w:rFonts w:ascii="Verdana" w:eastAsia="Times New Roman" w:hAnsi="Verdana" w:cs="Times New Roman"/>
          <w:bCs/>
          <w:sz w:val="20"/>
          <w:szCs w:val="20"/>
          <w:lang w:val="bg-BG" w:eastAsia="bg-BG"/>
        </w:rPr>
        <w:t>ъвета /Регламент (ЕС) 2017/625/</w:t>
      </w:r>
      <w:r w:rsidRPr="003D33E3">
        <w:rPr>
          <w:rFonts w:ascii="Verdana" w:eastAsia="Times New Roman" w:hAnsi="Verdana" w:cs="Times New Roman"/>
          <w:bCs/>
          <w:sz w:val="20"/>
          <w:szCs w:val="20"/>
          <w:lang w:val="bg-BG" w:eastAsia="bg-BG"/>
        </w:rPr>
        <w:t xml:space="preserve">, където е посочено, че: „С цел да се гарантира, че се спазват изискванията на настоящият регламент, компетентните органи извършват вътрешни одити или организират извършването на одити от трети лица, чиито обект са самите те, като предприемат подходящи мерки в зависимост от резултатите от тези одити“. Одитите са обект на независима проверка и се извършват по прозрачен начин. Съгласно чл. 18 от действащия УП на БАБХ, отдел ООК планира, организира, извършва и документира одити на официалния контрол. При осъществяване на дейността си следва насоките дадени в </w:t>
      </w:r>
      <w:proofErr w:type="spellStart"/>
      <w:r w:rsidRPr="003D33E3">
        <w:rPr>
          <w:rFonts w:ascii="Verdana" w:eastAsia="Times New Roman" w:hAnsi="Verdana" w:cs="Times New Roman"/>
          <w:bCs/>
          <w:sz w:val="20"/>
          <w:szCs w:val="20"/>
          <w:lang w:val="bg-BG" w:eastAsia="bg-BG"/>
        </w:rPr>
        <w:t>относимите</w:t>
      </w:r>
      <w:proofErr w:type="spellEnd"/>
      <w:r w:rsidRPr="003D33E3">
        <w:rPr>
          <w:rFonts w:ascii="Verdana" w:eastAsia="Times New Roman" w:hAnsi="Verdana" w:cs="Times New Roman"/>
          <w:bCs/>
          <w:sz w:val="20"/>
          <w:szCs w:val="20"/>
          <w:lang w:val="bg-BG" w:eastAsia="bg-BG"/>
        </w:rPr>
        <w:t xml:space="preserve"> документи на Европейската комисия относно одитните системи на държавите членки и на БДС EN ISO 19011:2018. Съгласно т. 4 на документ „Официално известие № (2021/С66/02) на Европейската комисия относно документ за прилагането на разпоредбите за извършване на одити, съгласно чл. 6 от Регламент (ЕС) 2017/625“, одитните системи следва да обхващат всички дейности по официален контрол на всички етапи и нива от агрохранителната производствена верига обхванати от Регламент (ЕС) 2017/625. Документът изисква при изпълнение на одитния процес да се спазват принципите на систематичен подход, прозрачност, независимост и независим преглед. Изисква се одитният орган и одитния екип да бъдат назначени от висшето ръководство на компетентните органи и да докладват само на него. В същия документ категорично се посочва, че Одитният орган и одитния екип не следва да участват в управлението или надзора на системите за контрол, които са предмет на одит.  Като част от ГД ВОК, за отдел ООК принципа на независимост е изцяло нарушен, тъй като главният директор на ГД ВОК се явява административен ръководител и на двата отдела на централно ниво (ВАКДОДБХ и ООК) и административен ръководител на областните дирекции по безопасност на храните (ОДБХ). Допълнителен аргумент в подкрепа на обстоятелството е и констатация в т. 6 на одитен доклад DG SANTE 2018-6474 „За оценка на системата, въведена за целите на прилагането на чл. 4, параграф 6 от Регламент (ЕО) 882/2004 </w:t>
      </w:r>
      <w:r w:rsidRPr="003D33E3">
        <w:rPr>
          <w:rFonts w:ascii="Verdana" w:eastAsia="Times New Roman" w:hAnsi="Verdana" w:cs="Times New Roman"/>
          <w:bCs/>
          <w:sz w:val="20"/>
          <w:szCs w:val="20"/>
          <w:lang w:val="bg-BG" w:eastAsia="bg-BG"/>
        </w:rPr>
        <w:lastRenderedPageBreak/>
        <w:t xml:space="preserve">- Национална система за одит“, съгласно която: „Позицията на одитният отдел в рамките на организацията не е оптимална, предвид факта, че той е в състава на една главна дирекция, заедно с още един отдел, вместо да е на пряко подчинение не изпълнителния директор. </w:t>
      </w:r>
    </w:p>
    <w:p w:rsidR="003D33E3" w:rsidRPr="003D33E3" w:rsidRDefault="003D33E3" w:rsidP="003D33E3">
      <w:pPr>
        <w:widowControl w:val="0"/>
        <w:autoSpaceDE w:val="0"/>
        <w:autoSpaceDN w:val="0"/>
        <w:adjustRightInd w:val="0"/>
        <w:spacing w:after="0" w:line="360" w:lineRule="auto"/>
        <w:ind w:firstLine="720"/>
        <w:jc w:val="both"/>
        <w:rPr>
          <w:rFonts w:ascii="Verdana" w:eastAsia="Times New Roman" w:hAnsi="Verdana" w:cs="Times New Roman"/>
          <w:bCs/>
          <w:sz w:val="20"/>
          <w:szCs w:val="20"/>
          <w:lang w:val="bg-BG" w:eastAsia="bg-BG"/>
        </w:rPr>
      </w:pPr>
      <w:r w:rsidRPr="003D33E3">
        <w:rPr>
          <w:rFonts w:ascii="Verdana" w:eastAsia="Times New Roman" w:hAnsi="Verdana" w:cs="Times New Roman"/>
          <w:bCs/>
          <w:sz w:val="20"/>
          <w:szCs w:val="20"/>
          <w:lang w:val="bg-BG" w:eastAsia="bg-BG"/>
        </w:rPr>
        <w:t>Отдел ООК при БАБХ е част от мрежата на Националните одитни системи в Европейския съюз. Компрометирането на независимостта на отдела ще доведе до компрометиране на целия одитен процес и на одитната структура в БАБХ, поради това в рамките на законовите изисквания е целесъобразно одитната структура на БАБХ да бъде отделена ката самостоятелна и пряко подчинена на изпълнителния директор на БАБХ.</w:t>
      </w:r>
    </w:p>
    <w:p w:rsidR="00DA73AE" w:rsidRDefault="003D33E3" w:rsidP="008D65BC">
      <w:pPr>
        <w:widowControl w:val="0"/>
        <w:autoSpaceDE w:val="0"/>
        <w:autoSpaceDN w:val="0"/>
        <w:adjustRightInd w:val="0"/>
        <w:spacing w:after="0" w:line="360" w:lineRule="auto"/>
        <w:ind w:firstLine="720"/>
        <w:jc w:val="both"/>
        <w:rPr>
          <w:rFonts w:ascii="Verdana" w:eastAsia="Times New Roman" w:hAnsi="Verdana" w:cs="Times New Roman"/>
          <w:bCs/>
          <w:sz w:val="20"/>
          <w:szCs w:val="20"/>
          <w:lang w:val="bg-BG" w:eastAsia="bg-BG"/>
        </w:rPr>
      </w:pPr>
      <w:r w:rsidRPr="003D33E3">
        <w:rPr>
          <w:rFonts w:ascii="Verdana" w:eastAsia="Times New Roman" w:hAnsi="Verdana" w:cs="Times New Roman"/>
          <w:bCs/>
          <w:sz w:val="20"/>
          <w:szCs w:val="20"/>
          <w:lang w:val="bg-BG" w:eastAsia="bg-BG"/>
        </w:rPr>
        <w:t xml:space="preserve">Отдел ВАКДОДБХ извършва дейности, част от функциите на ГД ВОК, разписани в УП на БАБХ, които се припокриват с функциите на изпълнителния директор на БАБХ, посочени в чл. 5, ал. 1, т. 2 от УП на БАБХ, а именно: „Изпълнителният директор ръководи, организира и контролира дейността на агенцията“. </w:t>
      </w:r>
    </w:p>
    <w:p w:rsidR="00FD1879" w:rsidRPr="00EB4753" w:rsidRDefault="003D33E3" w:rsidP="00FD1879">
      <w:pPr>
        <w:widowControl w:val="0"/>
        <w:autoSpaceDE w:val="0"/>
        <w:autoSpaceDN w:val="0"/>
        <w:adjustRightInd w:val="0"/>
        <w:spacing w:after="0" w:line="360" w:lineRule="auto"/>
        <w:ind w:firstLine="720"/>
        <w:jc w:val="both"/>
        <w:rPr>
          <w:rFonts w:ascii="Verdana" w:eastAsia="Times New Roman" w:hAnsi="Verdana" w:cs="Times New Roman"/>
          <w:bCs/>
          <w:sz w:val="20"/>
          <w:szCs w:val="20"/>
          <w:lang w:val="bg-BG" w:eastAsia="bg-BG"/>
        </w:rPr>
      </w:pPr>
      <w:r w:rsidRPr="00EB4753">
        <w:rPr>
          <w:rFonts w:ascii="Verdana" w:eastAsia="Times New Roman" w:hAnsi="Verdana" w:cs="Times New Roman"/>
          <w:bCs/>
          <w:sz w:val="20"/>
          <w:szCs w:val="20"/>
          <w:lang w:val="bg-BG" w:eastAsia="bg-BG"/>
        </w:rPr>
        <w:t>Функциите на този отдел се припокриват и с някои от функциите на специализираните дирекции по отношение координацията и официалния контрол на дейността на ОДБХ</w:t>
      </w:r>
      <w:r w:rsidR="00FD1879" w:rsidRPr="00EB4753">
        <w:rPr>
          <w:rFonts w:ascii="Verdana" w:eastAsia="Times New Roman" w:hAnsi="Verdana" w:cs="Times New Roman"/>
          <w:bCs/>
          <w:sz w:val="20"/>
          <w:szCs w:val="20"/>
          <w:lang w:val="bg-BG" w:eastAsia="bg-BG"/>
        </w:rPr>
        <w:t xml:space="preserve">, а именно: разписаните в действащата разпоредба на чл.18, ал.2, т.2 от УП на БАБХ функции са вменени и на специализираните дирекции в ЦУ на БАБХ, съобразно тяхната компетентност и по сега действащия Устройствения правилник на Българската агенция по безопасност на храните: чл.19, т.1; чл. 20, т. 14; чл. 21, т.1; чл. 21а, т.1, като и в §17, 19 и 20 от проекта на постановление, с които се прави изменение съответно на чл. 21, 22 и 23 от правилника, тези функции са разписани.  </w:t>
      </w:r>
    </w:p>
    <w:p w:rsidR="003D33E3" w:rsidRPr="003D33E3" w:rsidRDefault="003D33E3" w:rsidP="003D33E3">
      <w:pPr>
        <w:widowControl w:val="0"/>
        <w:autoSpaceDE w:val="0"/>
        <w:autoSpaceDN w:val="0"/>
        <w:adjustRightInd w:val="0"/>
        <w:spacing w:after="0" w:line="360" w:lineRule="auto"/>
        <w:ind w:firstLine="720"/>
        <w:jc w:val="both"/>
        <w:rPr>
          <w:rFonts w:ascii="Verdana" w:eastAsia="Times New Roman" w:hAnsi="Verdana" w:cs="Times New Roman"/>
          <w:bCs/>
          <w:sz w:val="20"/>
          <w:szCs w:val="20"/>
          <w:lang w:val="bg-BG" w:eastAsia="bg-BG"/>
        </w:rPr>
      </w:pPr>
      <w:r w:rsidRPr="003D33E3">
        <w:rPr>
          <w:rFonts w:ascii="Verdana" w:eastAsia="Times New Roman" w:hAnsi="Verdana" w:cs="Times New Roman"/>
          <w:bCs/>
          <w:sz w:val="20"/>
          <w:szCs w:val="20"/>
          <w:lang w:val="bg-BG" w:eastAsia="bg-BG"/>
        </w:rPr>
        <w:t>В УП на БАБХ е посочено също, че отдел ВАКДОДБХ като част от структурата на ГД ВОК верифицира ефективността на официалния контрол, осъществен от ОДБХ, по утвърдени процедури и ежегодни програми в съответствие с чл. 12, параграфи 1, 2 и параграф 3, буква „а“ и „б“ от Регламент (ЕС) 2017/625. Дефинициите „верифицира официалният контрол“, „верификация“, „верифициране“, „проверка на ефективността“ не се съдържат в посочения член на Регламента. В чл. 12 от Регламент (ЕС) 2017/625 е посочено, че компетентните органи извършват официален контрол в съответствие с документирани процедури, които обхващат тематичните области на процедурите за контрол, установени в Приложение II, глава II и съдържат указания за служителите, които извършват официален контрол. Посочено е също, че компетентните органи трябва да разполагат с процедури за проверка на контрола и да предприемат корективни действия винаги когато се установят слабости и при необходимост да се актуализират предвидените процедури.</w:t>
      </w:r>
    </w:p>
    <w:p w:rsidR="003D33E3" w:rsidRPr="008F4F98" w:rsidRDefault="003D33E3" w:rsidP="003D33E3">
      <w:pPr>
        <w:widowControl w:val="0"/>
        <w:autoSpaceDE w:val="0"/>
        <w:autoSpaceDN w:val="0"/>
        <w:adjustRightInd w:val="0"/>
        <w:spacing w:after="0" w:line="360" w:lineRule="auto"/>
        <w:ind w:firstLine="720"/>
        <w:jc w:val="both"/>
        <w:rPr>
          <w:rFonts w:ascii="Verdana" w:eastAsia="Times New Roman" w:hAnsi="Verdana" w:cs="Times New Roman"/>
          <w:bCs/>
          <w:color w:val="FF0000"/>
          <w:sz w:val="20"/>
          <w:szCs w:val="20"/>
          <w:lang w:val="bg-BG" w:eastAsia="bg-BG"/>
        </w:rPr>
      </w:pPr>
      <w:r w:rsidRPr="00EB4753">
        <w:rPr>
          <w:rFonts w:ascii="Verdana" w:eastAsia="Times New Roman" w:hAnsi="Verdana" w:cs="Times New Roman"/>
          <w:bCs/>
          <w:sz w:val="20"/>
          <w:szCs w:val="20"/>
          <w:lang w:val="bg-BG" w:eastAsia="bg-BG"/>
        </w:rPr>
        <w:t xml:space="preserve">Във връзка с гореизложеното, не се обосновава необходимост от обособяване </w:t>
      </w:r>
      <w:r w:rsidR="008F4F98" w:rsidRPr="00EB4753">
        <w:rPr>
          <w:rFonts w:ascii="Verdana" w:eastAsia="Times New Roman" w:hAnsi="Verdana" w:cs="Times New Roman"/>
          <w:bCs/>
          <w:sz w:val="20"/>
          <w:szCs w:val="20"/>
          <w:lang w:val="bg-BG" w:eastAsia="bg-BG"/>
        </w:rPr>
        <w:t>на ГД ВОК в структурата на БАБХ</w:t>
      </w:r>
      <w:r w:rsidRPr="00EB4753">
        <w:rPr>
          <w:rFonts w:ascii="Verdana" w:eastAsia="Times New Roman" w:hAnsi="Verdana" w:cs="Times New Roman"/>
          <w:bCs/>
          <w:sz w:val="20"/>
          <w:szCs w:val="20"/>
          <w:lang w:val="bg-BG" w:eastAsia="bg-BG"/>
        </w:rPr>
        <w:t xml:space="preserve">, </w:t>
      </w:r>
      <w:r w:rsidR="008F4F98" w:rsidRPr="00EB4753">
        <w:rPr>
          <w:rFonts w:ascii="Verdana" w:eastAsia="Times New Roman" w:hAnsi="Verdana" w:cs="Times New Roman"/>
          <w:bCs/>
          <w:sz w:val="20"/>
          <w:szCs w:val="20"/>
          <w:lang w:val="bg-BG" w:eastAsia="bg-BG"/>
        </w:rPr>
        <w:t>поради което същата се закрива. Ч</w:t>
      </w:r>
      <w:r w:rsidRPr="00EB4753">
        <w:rPr>
          <w:rFonts w:ascii="Verdana" w:eastAsia="Times New Roman" w:hAnsi="Verdana" w:cs="Times New Roman"/>
          <w:bCs/>
          <w:sz w:val="20"/>
          <w:szCs w:val="20"/>
          <w:lang w:val="bg-BG" w:eastAsia="bg-BG"/>
        </w:rPr>
        <w:t xml:space="preserve">аст от извършваните от </w:t>
      </w:r>
      <w:r w:rsidR="008F4F98" w:rsidRPr="00EB4753">
        <w:rPr>
          <w:rFonts w:ascii="Verdana" w:eastAsia="Times New Roman" w:hAnsi="Verdana" w:cs="Times New Roman"/>
          <w:bCs/>
          <w:sz w:val="20"/>
          <w:szCs w:val="20"/>
          <w:lang w:val="bg-BG" w:eastAsia="bg-BG"/>
        </w:rPr>
        <w:t>ГД ВОК</w:t>
      </w:r>
      <w:r w:rsidRPr="00EB4753">
        <w:rPr>
          <w:rFonts w:ascii="Verdana" w:eastAsia="Times New Roman" w:hAnsi="Verdana" w:cs="Times New Roman"/>
          <w:bCs/>
          <w:sz w:val="20"/>
          <w:szCs w:val="20"/>
          <w:lang w:val="bg-BG" w:eastAsia="bg-BG"/>
        </w:rPr>
        <w:t xml:space="preserve"> функции </w:t>
      </w:r>
      <w:r w:rsidR="008F4F98" w:rsidRPr="00EB4753">
        <w:rPr>
          <w:rFonts w:ascii="Verdana" w:eastAsia="Times New Roman" w:hAnsi="Verdana" w:cs="Times New Roman"/>
          <w:bCs/>
          <w:sz w:val="20"/>
          <w:szCs w:val="20"/>
          <w:lang w:val="bg-BG" w:eastAsia="bg-BG"/>
        </w:rPr>
        <w:t xml:space="preserve">(на отдел ВАКДОДБХ) </w:t>
      </w:r>
      <w:r w:rsidRPr="00EB4753">
        <w:rPr>
          <w:rFonts w:ascii="Verdana" w:eastAsia="Times New Roman" w:hAnsi="Verdana" w:cs="Times New Roman"/>
          <w:bCs/>
          <w:sz w:val="20"/>
          <w:szCs w:val="20"/>
          <w:lang w:val="bg-BG" w:eastAsia="bg-BG"/>
        </w:rPr>
        <w:t xml:space="preserve">се припокриват с вменените на изпълнителния директор на БАБХ и на специализираните дирекции в агенцията такива, а одитиращите функции на дирекцията следва да са разписани като функции </w:t>
      </w:r>
      <w:r w:rsidRPr="00EB4753">
        <w:rPr>
          <w:rFonts w:ascii="Verdana" w:eastAsia="Times New Roman" w:hAnsi="Verdana" w:cs="Times New Roman"/>
          <w:bCs/>
          <w:sz w:val="20"/>
          <w:szCs w:val="20"/>
          <w:lang w:val="bg-BG" w:eastAsia="bg-BG"/>
        </w:rPr>
        <w:lastRenderedPageBreak/>
        <w:t xml:space="preserve">на звено, което да е на пряко подчинение на изпълнителния директор на БАБХ. </w:t>
      </w:r>
      <w:r w:rsidR="00496728" w:rsidRPr="00EB4753">
        <w:rPr>
          <w:rFonts w:ascii="Verdana" w:eastAsia="Times New Roman" w:hAnsi="Verdana" w:cs="Times New Roman"/>
          <w:bCs/>
          <w:sz w:val="20"/>
          <w:szCs w:val="20"/>
          <w:lang w:val="bg-BG" w:eastAsia="bg-BG"/>
        </w:rPr>
        <w:t>С</w:t>
      </w:r>
      <w:r w:rsidRPr="00EB4753">
        <w:rPr>
          <w:rFonts w:ascii="Verdana" w:eastAsia="Times New Roman" w:hAnsi="Verdana" w:cs="Times New Roman"/>
          <w:bCs/>
          <w:sz w:val="20"/>
          <w:szCs w:val="20"/>
          <w:lang w:val="bg-BG" w:eastAsia="bg-BG"/>
        </w:rPr>
        <w:t>ъзда</w:t>
      </w:r>
      <w:r w:rsidR="00496728" w:rsidRPr="00EB4753">
        <w:rPr>
          <w:rFonts w:ascii="Verdana" w:eastAsia="Times New Roman" w:hAnsi="Verdana" w:cs="Times New Roman"/>
          <w:bCs/>
          <w:sz w:val="20"/>
          <w:szCs w:val="20"/>
          <w:lang w:val="bg-BG" w:eastAsia="bg-BG"/>
        </w:rPr>
        <w:t xml:space="preserve">ва се </w:t>
      </w:r>
      <w:r w:rsidRPr="00EB4753">
        <w:rPr>
          <w:rFonts w:ascii="Verdana" w:eastAsia="Times New Roman" w:hAnsi="Verdana" w:cs="Times New Roman"/>
          <w:bCs/>
          <w:sz w:val="20"/>
          <w:szCs w:val="20"/>
          <w:lang w:val="bg-BG" w:eastAsia="bg-BG"/>
        </w:rPr>
        <w:t>дирекция „Одит на официалния контрол“ с оглед по-ефективното изпълнение на функционалните й задължения в съответствие с посочените по-горе изисквания на европейското законодателство</w:t>
      </w:r>
      <w:r w:rsidR="00DA73AE" w:rsidRPr="00EB4753">
        <w:rPr>
          <w:rFonts w:ascii="Verdana" w:eastAsia="Times New Roman" w:hAnsi="Verdana" w:cs="Times New Roman"/>
          <w:bCs/>
          <w:sz w:val="20"/>
          <w:szCs w:val="20"/>
          <w:lang w:val="bg-BG" w:eastAsia="bg-BG"/>
        </w:rPr>
        <w:t>, на която се</w:t>
      </w:r>
      <w:r w:rsidR="008F4F98" w:rsidRPr="00EB4753">
        <w:rPr>
          <w:rFonts w:ascii="Verdana" w:eastAsia="Times New Roman" w:hAnsi="Verdana" w:cs="Times New Roman"/>
          <w:bCs/>
          <w:sz w:val="20"/>
          <w:szCs w:val="20"/>
          <w:lang w:val="bg-BG" w:eastAsia="bg-BG"/>
        </w:rPr>
        <w:t xml:space="preserve"> вме</w:t>
      </w:r>
      <w:r w:rsidR="00DA73AE" w:rsidRPr="00EB4753">
        <w:rPr>
          <w:rFonts w:ascii="Verdana" w:eastAsia="Times New Roman" w:hAnsi="Verdana" w:cs="Times New Roman"/>
          <w:bCs/>
          <w:sz w:val="20"/>
          <w:szCs w:val="20"/>
          <w:lang w:val="bg-BG" w:eastAsia="bg-BG"/>
        </w:rPr>
        <w:t>няват фу</w:t>
      </w:r>
      <w:r w:rsidR="008F4F98" w:rsidRPr="00EB4753">
        <w:rPr>
          <w:rFonts w:ascii="Verdana" w:eastAsia="Times New Roman" w:hAnsi="Verdana" w:cs="Times New Roman"/>
          <w:bCs/>
          <w:sz w:val="20"/>
          <w:szCs w:val="20"/>
          <w:lang w:val="bg-BG" w:eastAsia="bg-BG"/>
        </w:rPr>
        <w:t>н</w:t>
      </w:r>
      <w:r w:rsidR="00DA73AE" w:rsidRPr="00EB4753">
        <w:rPr>
          <w:rFonts w:ascii="Verdana" w:eastAsia="Times New Roman" w:hAnsi="Verdana" w:cs="Times New Roman"/>
          <w:bCs/>
          <w:sz w:val="20"/>
          <w:szCs w:val="20"/>
          <w:lang w:val="bg-BG" w:eastAsia="bg-BG"/>
        </w:rPr>
        <w:t>кции</w:t>
      </w:r>
      <w:r w:rsidR="008F4F98" w:rsidRPr="00EB4753">
        <w:rPr>
          <w:rFonts w:ascii="Verdana" w:eastAsia="Times New Roman" w:hAnsi="Verdana" w:cs="Times New Roman"/>
          <w:bCs/>
          <w:sz w:val="20"/>
          <w:szCs w:val="20"/>
          <w:lang w:val="bg-BG" w:eastAsia="bg-BG"/>
        </w:rPr>
        <w:t>те</w:t>
      </w:r>
      <w:r w:rsidR="00DA73AE" w:rsidRPr="00EB4753">
        <w:rPr>
          <w:rFonts w:ascii="Verdana" w:eastAsia="Times New Roman" w:hAnsi="Verdana" w:cs="Times New Roman"/>
          <w:bCs/>
          <w:sz w:val="20"/>
          <w:szCs w:val="20"/>
          <w:lang w:val="bg-BG" w:eastAsia="bg-BG"/>
        </w:rPr>
        <w:t xml:space="preserve"> по одитния процес на официалния контрол, а функциите по координация и контрол на дейността на ОДБХ </w:t>
      </w:r>
      <w:r w:rsidR="008F4F98" w:rsidRPr="00EB4753">
        <w:rPr>
          <w:rFonts w:ascii="Verdana" w:eastAsia="Times New Roman" w:hAnsi="Verdana" w:cs="Times New Roman"/>
          <w:bCs/>
          <w:sz w:val="20"/>
          <w:szCs w:val="20"/>
          <w:lang w:val="bg-BG" w:eastAsia="bg-BG"/>
        </w:rPr>
        <w:t>се осъществяват и ще</w:t>
      </w:r>
      <w:r w:rsidR="00DA73AE" w:rsidRPr="00EB4753">
        <w:rPr>
          <w:rFonts w:ascii="Verdana" w:eastAsia="Times New Roman" w:hAnsi="Verdana" w:cs="Times New Roman"/>
          <w:bCs/>
          <w:sz w:val="20"/>
          <w:szCs w:val="20"/>
          <w:lang w:val="bg-BG" w:eastAsia="bg-BG"/>
        </w:rPr>
        <w:t xml:space="preserve"> </w:t>
      </w:r>
      <w:r w:rsidR="008F4F98" w:rsidRPr="00EB4753">
        <w:rPr>
          <w:rFonts w:ascii="Verdana" w:eastAsia="Times New Roman" w:hAnsi="Verdana" w:cs="Times New Roman"/>
          <w:bCs/>
          <w:sz w:val="20"/>
          <w:szCs w:val="20"/>
          <w:lang w:val="bg-BG" w:eastAsia="bg-BG"/>
        </w:rPr>
        <w:t xml:space="preserve">продължат да се </w:t>
      </w:r>
      <w:r w:rsidR="00DA73AE" w:rsidRPr="00EB4753">
        <w:rPr>
          <w:rFonts w:ascii="Verdana" w:eastAsia="Times New Roman" w:hAnsi="Verdana" w:cs="Times New Roman"/>
          <w:bCs/>
          <w:sz w:val="20"/>
          <w:szCs w:val="20"/>
          <w:lang w:val="bg-BG" w:eastAsia="bg-BG"/>
        </w:rPr>
        <w:t>осъществяват от специализираните дирекции в ЦУ на БАБХ, съобразно тяхната компетентност</w:t>
      </w:r>
      <w:r w:rsidR="00DA73AE" w:rsidRPr="008F4F98">
        <w:rPr>
          <w:rFonts w:ascii="Verdana" w:eastAsia="Times New Roman" w:hAnsi="Verdana" w:cs="Times New Roman"/>
          <w:bCs/>
          <w:color w:val="FF0000"/>
          <w:sz w:val="20"/>
          <w:szCs w:val="20"/>
          <w:lang w:val="bg-BG" w:eastAsia="bg-BG"/>
        </w:rPr>
        <w:t>.</w:t>
      </w:r>
      <w:r w:rsidR="009D0B3F" w:rsidRPr="008F4F98">
        <w:rPr>
          <w:rFonts w:ascii="Times New Roman" w:eastAsia="Times New Roman" w:hAnsi="Times New Roman" w:cs="Times New Roman"/>
          <w:bCs/>
          <w:color w:val="FF0000"/>
          <w:sz w:val="24"/>
          <w:szCs w:val="24"/>
          <w:lang w:val="bg-BG"/>
        </w:rPr>
        <w:t xml:space="preserve"> </w:t>
      </w:r>
    </w:p>
    <w:p w:rsidR="00D57538" w:rsidRPr="00D57538" w:rsidRDefault="00D75B20" w:rsidP="00D57538">
      <w:pPr>
        <w:widowControl w:val="0"/>
        <w:autoSpaceDE w:val="0"/>
        <w:autoSpaceDN w:val="0"/>
        <w:adjustRightInd w:val="0"/>
        <w:spacing w:after="0" w:line="360" w:lineRule="auto"/>
        <w:ind w:firstLine="720"/>
        <w:jc w:val="both"/>
        <w:rPr>
          <w:rFonts w:ascii="Verdana" w:eastAsia="Times New Roman" w:hAnsi="Verdana" w:cs="Times New Roman"/>
          <w:bCs/>
          <w:sz w:val="20"/>
          <w:szCs w:val="20"/>
          <w:lang w:val="bg-BG" w:eastAsia="bg-BG"/>
        </w:rPr>
      </w:pPr>
      <w:r w:rsidRPr="00D75B20">
        <w:rPr>
          <w:rFonts w:ascii="Verdana" w:eastAsia="Times New Roman" w:hAnsi="Verdana" w:cs="Times New Roman"/>
          <w:sz w:val="20"/>
          <w:szCs w:val="20"/>
          <w:lang w:val="bg-BG" w:eastAsia="bg-BG"/>
        </w:rPr>
        <w:t xml:space="preserve">С проекта на Постановление се предлагат </w:t>
      </w:r>
      <w:r w:rsidRPr="00D75B20">
        <w:rPr>
          <w:rFonts w:ascii="Verdana" w:eastAsia="Times New Roman" w:hAnsi="Verdana" w:cs="Times New Roman"/>
          <w:bCs/>
          <w:sz w:val="20"/>
          <w:szCs w:val="20"/>
          <w:lang w:val="bg-BG" w:eastAsia="bg-BG"/>
        </w:rPr>
        <w:t>структурни промени в отделни административни звена на БАБХ и се въвеждат промени в зоните на тяхната функционална отговорност</w:t>
      </w:r>
      <w:r w:rsidRPr="00D75B20">
        <w:rPr>
          <w:rFonts w:ascii="Verdana" w:eastAsia="Times New Roman" w:hAnsi="Verdana" w:cs="Times New Roman"/>
          <w:sz w:val="20"/>
          <w:szCs w:val="20"/>
          <w:lang w:val="bg-BG" w:eastAsia="bg-BG"/>
        </w:rPr>
        <w:t xml:space="preserve">, с цел </w:t>
      </w:r>
      <w:r w:rsidRPr="00D75B20">
        <w:rPr>
          <w:rFonts w:ascii="Verdana" w:eastAsia="Times New Roman" w:hAnsi="Verdana" w:cs="Times New Roman"/>
          <w:bCs/>
          <w:sz w:val="20"/>
          <w:szCs w:val="20"/>
          <w:lang w:val="bg-BG" w:eastAsia="bg-BG"/>
        </w:rPr>
        <w:t>постигане на по-добра ефективност</w:t>
      </w:r>
      <w:r w:rsidRPr="00D75B20">
        <w:rPr>
          <w:rFonts w:ascii="Verdana" w:eastAsia="Times New Roman" w:hAnsi="Verdana" w:cs="Times New Roman"/>
          <w:sz w:val="20"/>
          <w:szCs w:val="20"/>
          <w:lang w:val="bg-BG" w:eastAsia="bg-BG"/>
        </w:rPr>
        <w:t xml:space="preserve"> </w:t>
      </w:r>
      <w:r w:rsidRPr="00D75B20">
        <w:rPr>
          <w:rFonts w:ascii="Verdana" w:eastAsia="Times New Roman" w:hAnsi="Verdana" w:cs="Times New Roman"/>
          <w:bCs/>
          <w:sz w:val="20"/>
          <w:szCs w:val="20"/>
          <w:lang w:val="bg-BG" w:eastAsia="bg-BG"/>
        </w:rPr>
        <w:t>на административните процеси в агенцията.</w:t>
      </w:r>
      <w:r w:rsidR="00D57538" w:rsidRPr="00D57538">
        <w:rPr>
          <w:rFonts w:ascii="Verdana" w:eastAsia="Times New Roman" w:hAnsi="Verdana" w:cs="Times New Roman"/>
          <w:bCs/>
          <w:sz w:val="20"/>
          <w:szCs w:val="20"/>
          <w:lang w:val="bg-BG" w:eastAsia="bg-BG"/>
        </w:rPr>
        <w:t xml:space="preserve"> Прецизирани и осъвременени са функционалните характеристики на дирекции от специализираната администрация на агенцията. </w:t>
      </w:r>
    </w:p>
    <w:p w:rsidR="00D75B20" w:rsidRDefault="00D75B20" w:rsidP="00D75B20">
      <w:pPr>
        <w:widowControl w:val="0"/>
        <w:autoSpaceDE w:val="0"/>
        <w:autoSpaceDN w:val="0"/>
        <w:adjustRightInd w:val="0"/>
        <w:spacing w:after="0" w:line="360" w:lineRule="auto"/>
        <w:ind w:firstLine="720"/>
        <w:jc w:val="both"/>
        <w:rPr>
          <w:rFonts w:ascii="Verdana" w:eastAsia="Times New Roman" w:hAnsi="Verdana" w:cs="Times New Roman"/>
          <w:bCs/>
          <w:sz w:val="20"/>
          <w:szCs w:val="20"/>
          <w:lang w:val="bg-BG" w:eastAsia="bg-BG"/>
        </w:rPr>
      </w:pPr>
      <w:r w:rsidRPr="00D75B20">
        <w:rPr>
          <w:rFonts w:ascii="Verdana" w:eastAsia="Times New Roman" w:hAnsi="Verdana" w:cs="Times New Roman"/>
          <w:bCs/>
          <w:sz w:val="20"/>
          <w:szCs w:val="20"/>
          <w:lang w:val="bg-BG" w:eastAsia="bg-BG"/>
        </w:rPr>
        <w:t xml:space="preserve">Структурата и функционалните характеристики на отделни административни звена, определени в настоящия УП на БАБХ водят до затруднения в оперативното изпълнение на част от функциите и задачите на агенцията от една страна, а от друга е необходимо актуализиране на функционалната компетентност на звената предвид промените наложени в </w:t>
      </w:r>
      <w:proofErr w:type="spellStart"/>
      <w:r w:rsidRPr="00D75B20">
        <w:rPr>
          <w:rFonts w:ascii="Verdana" w:eastAsia="Times New Roman" w:hAnsi="Verdana" w:cs="Times New Roman"/>
          <w:bCs/>
          <w:sz w:val="20"/>
          <w:szCs w:val="20"/>
          <w:lang w:val="bg-BG" w:eastAsia="bg-BG"/>
        </w:rPr>
        <w:t>относимото</w:t>
      </w:r>
      <w:proofErr w:type="spellEnd"/>
      <w:r w:rsidRPr="00D75B20">
        <w:rPr>
          <w:rFonts w:ascii="Verdana" w:eastAsia="Times New Roman" w:hAnsi="Verdana" w:cs="Times New Roman"/>
          <w:bCs/>
          <w:sz w:val="20"/>
          <w:szCs w:val="20"/>
          <w:lang w:val="bg-BG" w:eastAsia="bg-BG"/>
        </w:rPr>
        <w:t xml:space="preserve"> европейско законодателство.</w:t>
      </w:r>
    </w:p>
    <w:p w:rsidR="00496728" w:rsidRDefault="00BB5278" w:rsidP="00BB5278">
      <w:pPr>
        <w:widowControl w:val="0"/>
        <w:autoSpaceDE w:val="0"/>
        <w:autoSpaceDN w:val="0"/>
        <w:adjustRightInd w:val="0"/>
        <w:spacing w:after="0" w:line="360" w:lineRule="auto"/>
        <w:ind w:firstLine="720"/>
        <w:jc w:val="both"/>
        <w:rPr>
          <w:rFonts w:ascii="Verdana" w:eastAsia="Times New Roman" w:hAnsi="Verdana" w:cs="Times New Roman"/>
          <w:bCs/>
          <w:sz w:val="20"/>
          <w:szCs w:val="20"/>
          <w:lang w:val="bg-BG" w:eastAsia="bg-BG"/>
        </w:rPr>
      </w:pPr>
      <w:r w:rsidRPr="00BB5278">
        <w:rPr>
          <w:rFonts w:ascii="Verdana" w:eastAsia="Times New Roman" w:hAnsi="Verdana" w:cs="Times New Roman"/>
          <w:bCs/>
          <w:sz w:val="20"/>
          <w:szCs w:val="20"/>
          <w:lang w:val="bg-BG" w:eastAsia="bg-BG"/>
        </w:rPr>
        <w:t xml:space="preserve">Ефективното изпълнение на задълженията на служителите в преструктурираните дирекции ще бъде осигурено чрез вътрешно компенсирано преразпределение на нормативната численост на Българската агенция по безопасност на храните. </w:t>
      </w:r>
    </w:p>
    <w:p w:rsidR="00BB5278" w:rsidRPr="00BB5278" w:rsidRDefault="00BB5278" w:rsidP="00BB5278">
      <w:pPr>
        <w:widowControl w:val="0"/>
        <w:autoSpaceDE w:val="0"/>
        <w:autoSpaceDN w:val="0"/>
        <w:adjustRightInd w:val="0"/>
        <w:spacing w:after="0" w:line="360" w:lineRule="auto"/>
        <w:ind w:firstLine="720"/>
        <w:jc w:val="both"/>
        <w:rPr>
          <w:rFonts w:ascii="Verdana" w:eastAsia="Times New Roman" w:hAnsi="Verdana" w:cs="Times New Roman"/>
          <w:bCs/>
          <w:sz w:val="20"/>
          <w:szCs w:val="20"/>
          <w:lang w:val="bg-BG" w:eastAsia="bg-BG"/>
        </w:rPr>
      </w:pPr>
      <w:r w:rsidRPr="00BB5278">
        <w:rPr>
          <w:rFonts w:ascii="Verdana" w:eastAsia="Times New Roman" w:hAnsi="Verdana" w:cs="Times New Roman"/>
          <w:bCs/>
          <w:sz w:val="20"/>
          <w:szCs w:val="20"/>
          <w:lang w:val="bg-BG" w:eastAsia="bg-BG"/>
        </w:rPr>
        <w:t xml:space="preserve">Създава се </w:t>
      </w:r>
      <w:r w:rsidR="008F4F98">
        <w:rPr>
          <w:rFonts w:ascii="Verdana" w:eastAsia="Times New Roman" w:hAnsi="Verdana" w:cs="Times New Roman"/>
          <w:bCs/>
          <w:sz w:val="20"/>
          <w:szCs w:val="20"/>
          <w:lang w:val="bg-BG" w:eastAsia="bg-BG"/>
        </w:rPr>
        <w:t>длъжност</w:t>
      </w:r>
      <w:r w:rsidRPr="00BB5278">
        <w:rPr>
          <w:rFonts w:ascii="Verdana" w:eastAsia="Times New Roman" w:hAnsi="Verdana" w:cs="Times New Roman"/>
          <w:bCs/>
          <w:sz w:val="20"/>
          <w:szCs w:val="20"/>
          <w:lang w:val="bg-BG" w:eastAsia="bg-BG"/>
        </w:rPr>
        <w:t xml:space="preserve"> </w:t>
      </w:r>
      <w:r w:rsidR="008F4F98">
        <w:rPr>
          <w:rFonts w:ascii="Verdana" w:eastAsia="Times New Roman" w:hAnsi="Verdana" w:cs="Times New Roman"/>
          <w:bCs/>
          <w:sz w:val="20"/>
          <w:szCs w:val="20"/>
          <w:lang w:val="bg-BG" w:eastAsia="bg-BG"/>
        </w:rPr>
        <w:t>„</w:t>
      </w:r>
      <w:r w:rsidRPr="00BB5278">
        <w:rPr>
          <w:rFonts w:ascii="Verdana" w:eastAsia="Times New Roman" w:hAnsi="Verdana" w:cs="Times New Roman"/>
          <w:bCs/>
          <w:sz w:val="20"/>
          <w:szCs w:val="20"/>
          <w:lang w:val="bg-BG" w:eastAsia="bg-BG"/>
        </w:rPr>
        <w:t>служител по мрежовата и информационна сигурност</w:t>
      </w:r>
      <w:r w:rsidR="008F4F98">
        <w:rPr>
          <w:rFonts w:ascii="Verdana" w:eastAsia="Times New Roman" w:hAnsi="Verdana" w:cs="Times New Roman"/>
          <w:bCs/>
          <w:sz w:val="20"/>
          <w:szCs w:val="20"/>
          <w:lang w:val="bg-BG" w:eastAsia="bg-BG"/>
        </w:rPr>
        <w:t>“</w:t>
      </w:r>
      <w:r w:rsidRPr="00BB5278">
        <w:rPr>
          <w:rFonts w:ascii="Verdana" w:eastAsia="Times New Roman" w:hAnsi="Verdana" w:cs="Times New Roman"/>
          <w:bCs/>
          <w:sz w:val="20"/>
          <w:szCs w:val="20"/>
          <w:lang w:val="bg-BG" w:eastAsia="bg-BG"/>
        </w:rPr>
        <w:t>, който е на пряко подчинение на изпълнителния директор на БАБХ в съответствие с разпоредбите на Наредбата за минималните изисквания на мрежова и информационна сигурност (</w:t>
      </w:r>
      <w:proofErr w:type="spellStart"/>
      <w:r w:rsidRPr="00BB5278">
        <w:rPr>
          <w:rFonts w:ascii="Verdana" w:eastAsia="Times New Roman" w:hAnsi="Verdana" w:cs="Times New Roman"/>
          <w:bCs/>
          <w:sz w:val="20"/>
          <w:szCs w:val="20"/>
          <w:lang w:val="bg-BG" w:eastAsia="bg-BG"/>
        </w:rPr>
        <w:t>обн</w:t>
      </w:r>
      <w:proofErr w:type="spellEnd"/>
      <w:r w:rsidRPr="00BB5278">
        <w:rPr>
          <w:rFonts w:ascii="Verdana" w:eastAsia="Times New Roman" w:hAnsi="Verdana" w:cs="Times New Roman"/>
          <w:bCs/>
          <w:sz w:val="20"/>
          <w:szCs w:val="20"/>
          <w:lang w:val="bg-BG" w:eastAsia="bg-BG"/>
        </w:rPr>
        <w:t>., ДВ., бр.59 от 2019 г.)</w:t>
      </w:r>
    </w:p>
    <w:p w:rsidR="00BB5278" w:rsidRPr="00BB5278" w:rsidRDefault="00BB5278" w:rsidP="00BB5278">
      <w:pPr>
        <w:widowControl w:val="0"/>
        <w:autoSpaceDE w:val="0"/>
        <w:autoSpaceDN w:val="0"/>
        <w:adjustRightInd w:val="0"/>
        <w:spacing w:after="0" w:line="360" w:lineRule="auto"/>
        <w:ind w:firstLine="720"/>
        <w:jc w:val="both"/>
        <w:rPr>
          <w:rFonts w:ascii="Verdana" w:eastAsia="Times New Roman" w:hAnsi="Verdana" w:cs="Times New Roman"/>
          <w:b/>
          <w:bCs/>
          <w:sz w:val="20"/>
          <w:szCs w:val="20"/>
          <w:lang w:val="bg-BG" w:eastAsia="bg-BG"/>
        </w:rPr>
      </w:pPr>
      <w:r w:rsidRPr="00BB5278">
        <w:rPr>
          <w:rFonts w:ascii="Verdana" w:eastAsia="Times New Roman" w:hAnsi="Verdana" w:cs="Times New Roman"/>
          <w:bCs/>
          <w:sz w:val="20"/>
          <w:szCs w:val="20"/>
          <w:lang w:val="bg-BG" w:eastAsia="bg-BG"/>
        </w:rPr>
        <w:t xml:space="preserve">В рамките на общата администрация, се предвижда преструктуриране на съществуващата дирекция „Правна“, като се предлага функциите по изготвяне и обявяване на обществени поръчки, да бъдат прехвърлени в отделна дирекция „Обществени поръчки“. Прехвърлянето на </w:t>
      </w:r>
      <w:r w:rsidR="0059444C">
        <w:rPr>
          <w:rFonts w:ascii="Verdana" w:eastAsia="Times New Roman" w:hAnsi="Verdana" w:cs="Times New Roman"/>
          <w:bCs/>
          <w:sz w:val="20"/>
          <w:szCs w:val="20"/>
          <w:lang w:val="bg-BG" w:eastAsia="bg-BG"/>
        </w:rPr>
        <w:t>функциите</w:t>
      </w:r>
      <w:r w:rsidRPr="00BB5278">
        <w:rPr>
          <w:rFonts w:ascii="Verdana" w:eastAsia="Times New Roman" w:hAnsi="Verdana" w:cs="Times New Roman"/>
          <w:bCs/>
          <w:sz w:val="20"/>
          <w:szCs w:val="20"/>
          <w:lang w:val="bg-BG" w:eastAsia="bg-BG"/>
        </w:rPr>
        <w:t xml:space="preserve">, свързани с организиране на обществените поръчки в отделна дирекция ще доведе до по-ефективното им и по-бързо изпълнение. </w:t>
      </w:r>
    </w:p>
    <w:p w:rsidR="00BB5278" w:rsidRPr="00BB5278" w:rsidRDefault="00BB5278" w:rsidP="00BB5278">
      <w:pPr>
        <w:widowControl w:val="0"/>
        <w:autoSpaceDE w:val="0"/>
        <w:autoSpaceDN w:val="0"/>
        <w:adjustRightInd w:val="0"/>
        <w:spacing w:after="0" w:line="360" w:lineRule="auto"/>
        <w:ind w:firstLine="720"/>
        <w:jc w:val="both"/>
        <w:rPr>
          <w:rFonts w:ascii="Verdana" w:eastAsia="Times New Roman" w:hAnsi="Verdana" w:cs="Times New Roman"/>
          <w:bCs/>
          <w:sz w:val="20"/>
          <w:szCs w:val="20"/>
          <w:lang w:val="bg-BG" w:eastAsia="bg-BG"/>
        </w:rPr>
      </w:pPr>
      <w:r w:rsidRPr="00BB5278">
        <w:rPr>
          <w:rFonts w:ascii="Verdana" w:eastAsia="Times New Roman" w:hAnsi="Verdana" w:cs="Times New Roman"/>
          <w:bCs/>
          <w:sz w:val="20"/>
          <w:szCs w:val="20"/>
          <w:lang w:val="bg-BG" w:eastAsia="bg-BG"/>
        </w:rPr>
        <w:t xml:space="preserve">Друга дирекция, част от общата администрация е дирекция „Информационни </w:t>
      </w:r>
      <w:r w:rsidR="00EB4753">
        <w:rPr>
          <w:rFonts w:ascii="Verdana" w:eastAsia="Times New Roman" w:hAnsi="Verdana" w:cs="Times New Roman"/>
          <w:bCs/>
          <w:sz w:val="20"/>
          <w:szCs w:val="20"/>
          <w:lang w:val="bg-BG" w:eastAsia="bg-BG"/>
        </w:rPr>
        <w:t xml:space="preserve"> системи </w:t>
      </w:r>
      <w:r w:rsidRPr="00BB5278">
        <w:rPr>
          <w:rFonts w:ascii="Verdana" w:eastAsia="Times New Roman" w:hAnsi="Verdana" w:cs="Times New Roman"/>
          <w:bCs/>
          <w:sz w:val="20"/>
          <w:szCs w:val="20"/>
          <w:lang w:val="bg-BG" w:eastAsia="bg-BG"/>
        </w:rPr>
        <w:t xml:space="preserve">и информационна сигурност“, чието наименование с оглед създадената длъжност на служител </w:t>
      </w:r>
      <w:r w:rsidR="00BE6A23" w:rsidRPr="00BE6A23">
        <w:rPr>
          <w:rFonts w:ascii="Verdana" w:eastAsia="Times New Roman" w:hAnsi="Verdana" w:cs="Times New Roman"/>
          <w:bCs/>
          <w:sz w:val="20"/>
          <w:szCs w:val="20"/>
          <w:lang w:val="bg-BG" w:eastAsia="bg-BG"/>
        </w:rPr>
        <w:t>по мрежова и информационна сигурност</w:t>
      </w:r>
      <w:r w:rsidR="00BE6A23">
        <w:rPr>
          <w:rFonts w:ascii="Verdana" w:eastAsia="Times New Roman" w:hAnsi="Verdana" w:cs="Times New Roman"/>
          <w:bCs/>
          <w:sz w:val="20"/>
          <w:szCs w:val="20"/>
          <w:lang w:val="bg-BG" w:eastAsia="bg-BG"/>
        </w:rPr>
        <w:t xml:space="preserve"> </w:t>
      </w:r>
      <w:r w:rsidRPr="00BB5278">
        <w:rPr>
          <w:rFonts w:ascii="Verdana" w:eastAsia="Times New Roman" w:hAnsi="Verdana" w:cs="Times New Roman"/>
          <w:bCs/>
          <w:sz w:val="20"/>
          <w:szCs w:val="20"/>
          <w:lang w:val="bg-BG" w:eastAsia="bg-BG"/>
        </w:rPr>
        <w:t xml:space="preserve">се променя на „Информационно обслужване и електронно управление“. Електронното управление е основната платформа за цифрова трансформация на публичните институции, за повишаване на качеството на административните услуги, за преминаването към рационални електронни процеси на функциониране и управление в публичните сектори и за достъп по електронен път на информацията, с която разполагат </w:t>
      </w:r>
      <w:r w:rsidRPr="00BB5278">
        <w:rPr>
          <w:rFonts w:ascii="Verdana" w:eastAsia="Times New Roman" w:hAnsi="Verdana" w:cs="Times New Roman"/>
          <w:bCs/>
          <w:sz w:val="20"/>
          <w:szCs w:val="20"/>
          <w:lang w:val="bg-BG" w:eastAsia="bg-BG"/>
        </w:rPr>
        <w:lastRenderedPageBreak/>
        <w:t xml:space="preserve">публичните институции. То е средство, както за всеобхватно повишаване ефективността на процесите в администрацията, така и за облекчаване взаимодействието между администрацията, гражданите и бизнеса. </w:t>
      </w:r>
    </w:p>
    <w:p w:rsidR="00BB5278" w:rsidRPr="00D75B20" w:rsidRDefault="00BB5278" w:rsidP="00D75B20">
      <w:pPr>
        <w:widowControl w:val="0"/>
        <w:autoSpaceDE w:val="0"/>
        <w:autoSpaceDN w:val="0"/>
        <w:adjustRightInd w:val="0"/>
        <w:spacing w:after="0" w:line="360" w:lineRule="auto"/>
        <w:ind w:firstLine="720"/>
        <w:jc w:val="both"/>
        <w:rPr>
          <w:rFonts w:ascii="Verdana" w:eastAsia="Times New Roman" w:hAnsi="Verdana" w:cs="Times New Roman"/>
          <w:bCs/>
          <w:sz w:val="20"/>
          <w:szCs w:val="20"/>
          <w:lang w:val="bg-BG" w:eastAsia="bg-BG"/>
        </w:rPr>
      </w:pPr>
    </w:p>
    <w:p w:rsidR="00904AE9" w:rsidRDefault="00904AE9" w:rsidP="003047D3">
      <w:pPr>
        <w:widowControl w:val="0"/>
        <w:autoSpaceDE w:val="0"/>
        <w:autoSpaceDN w:val="0"/>
        <w:adjustRightInd w:val="0"/>
        <w:spacing w:after="0" w:line="360" w:lineRule="auto"/>
        <w:ind w:firstLine="720"/>
        <w:jc w:val="both"/>
        <w:rPr>
          <w:rFonts w:ascii="Verdana" w:eastAsia="Times New Roman" w:hAnsi="Verdana" w:cs="Times New Roman"/>
          <w:b/>
          <w:sz w:val="20"/>
          <w:szCs w:val="20"/>
          <w:lang w:val="bg-BG" w:eastAsia="bg-BG"/>
        </w:rPr>
      </w:pPr>
      <w:r w:rsidRPr="00BB5278">
        <w:rPr>
          <w:rFonts w:ascii="Verdana" w:eastAsia="Times New Roman" w:hAnsi="Verdana" w:cs="Times New Roman"/>
          <w:b/>
          <w:sz w:val="20"/>
          <w:szCs w:val="20"/>
          <w:lang w:val="bg-BG" w:eastAsia="bg-BG"/>
        </w:rPr>
        <w:t>Цели</w:t>
      </w:r>
    </w:p>
    <w:p w:rsidR="00C876EC" w:rsidRPr="00C876EC" w:rsidRDefault="00D75B20" w:rsidP="00C876EC">
      <w:pPr>
        <w:widowControl w:val="0"/>
        <w:autoSpaceDE w:val="0"/>
        <w:autoSpaceDN w:val="0"/>
        <w:adjustRightInd w:val="0"/>
        <w:spacing w:after="0" w:line="360" w:lineRule="auto"/>
        <w:ind w:firstLine="720"/>
        <w:jc w:val="both"/>
        <w:rPr>
          <w:rFonts w:ascii="Verdana" w:eastAsia="Times New Roman" w:hAnsi="Verdana" w:cs="Times New Roman"/>
          <w:sz w:val="20"/>
          <w:szCs w:val="20"/>
          <w:lang w:val="bg-BG" w:eastAsia="bg-BG"/>
        </w:rPr>
      </w:pPr>
      <w:r w:rsidRPr="00D75B20">
        <w:rPr>
          <w:rFonts w:ascii="Verdana" w:eastAsia="Times New Roman" w:hAnsi="Verdana" w:cs="Times New Roman"/>
          <w:sz w:val="20"/>
          <w:szCs w:val="20"/>
          <w:lang w:val="bg-BG" w:eastAsia="bg-BG"/>
        </w:rPr>
        <w:t>С предл</w:t>
      </w:r>
      <w:r w:rsidR="00C876EC">
        <w:rPr>
          <w:rFonts w:ascii="Verdana" w:eastAsia="Times New Roman" w:hAnsi="Verdana" w:cs="Times New Roman"/>
          <w:sz w:val="20"/>
          <w:szCs w:val="20"/>
          <w:lang w:val="bg-BG" w:eastAsia="bg-BG"/>
        </w:rPr>
        <w:t xml:space="preserve">оженият проект на </w:t>
      </w:r>
      <w:r w:rsidR="00D57538">
        <w:rPr>
          <w:rFonts w:ascii="Verdana" w:eastAsia="Times New Roman" w:hAnsi="Verdana" w:cs="Times New Roman"/>
          <w:sz w:val="20"/>
          <w:szCs w:val="20"/>
          <w:lang w:val="bg-BG" w:eastAsia="bg-BG"/>
        </w:rPr>
        <w:t>п</w:t>
      </w:r>
      <w:r w:rsidR="00C876EC">
        <w:rPr>
          <w:rFonts w:ascii="Verdana" w:eastAsia="Times New Roman" w:hAnsi="Verdana" w:cs="Times New Roman"/>
          <w:sz w:val="20"/>
          <w:szCs w:val="20"/>
          <w:lang w:val="bg-BG" w:eastAsia="bg-BG"/>
        </w:rPr>
        <w:t>остановление</w:t>
      </w:r>
      <w:r w:rsidRPr="00D75B20">
        <w:rPr>
          <w:rFonts w:ascii="Verdana" w:eastAsia="Times New Roman" w:hAnsi="Verdana" w:cs="Times New Roman"/>
          <w:sz w:val="20"/>
          <w:szCs w:val="20"/>
          <w:lang w:val="bg-BG" w:eastAsia="bg-BG"/>
        </w:rPr>
        <w:t xml:space="preserve"> се </w:t>
      </w:r>
      <w:r w:rsidR="00C876EC">
        <w:rPr>
          <w:rFonts w:ascii="Verdana" w:eastAsia="Times New Roman" w:hAnsi="Verdana" w:cs="Times New Roman"/>
          <w:sz w:val="20"/>
          <w:szCs w:val="20"/>
          <w:lang w:val="bg-BG" w:eastAsia="bg-BG"/>
        </w:rPr>
        <w:t xml:space="preserve">цели </w:t>
      </w:r>
      <w:r w:rsidRPr="00D75B20">
        <w:rPr>
          <w:rFonts w:ascii="Verdana" w:eastAsia="Times New Roman" w:hAnsi="Verdana" w:cs="Times New Roman"/>
          <w:sz w:val="20"/>
          <w:szCs w:val="20"/>
          <w:lang w:val="bg-BG" w:eastAsia="bg-BG"/>
        </w:rPr>
        <w:t xml:space="preserve">оптимизиране на организационната структура и работния процес, както и прецизиране на функциите на служителите в посочените дирекции и дейността на агенцията като цяло. При приемане на промяната, без да се променя числеността на експертите, ще се даде възможност да се ползва техният капацитет при контрол и проверки в посочените направления. </w:t>
      </w:r>
      <w:r w:rsidR="00D57538">
        <w:rPr>
          <w:rFonts w:ascii="Verdana" w:eastAsia="Times New Roman" w:hAnsi="Verdana" w:cs="Times New Roman"/>
          <w:sz w:val="20"/>
          <w:szCs w:val="20"/>
          <w:lang w:val="bg-BG" w:eastAsia="bg-BG"/>
        </w:rPr>
        <w:t>Със з</w:t>
      </w:r>
      <w:r w:rsidR="00C876EC" w:rsidRPr="00C876EC">
        <w:rPr>
          <w:rFonts w:ascii="Verdana" w:eastAsia="Times New Roman" w:hAnsi="Verdana" w:cs="Times New Roman"/>
          <w:sz w:val="20"/>
          <w:szCs w:val="20"/>
          <w:lang w:val="bg-BG" w:eastAsia="bg-BG"/>
        </w:rPr>
        <w:t>акриването на ГД ВОК и отделянето на правомощията на одитния отдел в нея към нова дирекция „О</w:t>
      </w:r>
      <w:r w:rsidR="00C876EC">
        <w:rPr>
          <w:rFonts w:ascii="Verdana" w:eastAsia="Times New Roman" w:hAnsi="Verdana" w:cs="Times New Roman"/>
          <w:sz w:val="20"/>
          <w:szCs w:val="20"/>
          <w:lang w:val="bg-BG" w:eastAsia="bg-BG"/>
        </w:rPr>
        <w:t>дит на официалния контрол“</w:t>
      </w:r>
      <w:r w:rsidR="00C876EC" w:rsidRPr="00C876EC">
        <w:rPr>
          <w:rFonts w:ascii="Verdana" w:eastAsia="Times New Roman" w:hAnsi="Verdana" w:cs="Times New Roman"/>
          <w:sz w:val="20"/>
          <w:szCs w:val="20"/>
          <w:lang w:val="bg-BG" w:eastAsia="bg-BG"/>
        </w:rPr>
        <w:t xml:space="preserve"> </w:t>
      </w:r>
      <w:r w:rsidR="00D57538">
        <w:rPr>
          <w:rFonts w:ascii="Verdana" w:eastAsia="Times New Roman" w:hAnsi="Verdana" w:cs="Times New Roman"/>
          <w:sz w:val="20"/>
          <w:szCs w:val="20"/>
          <w:lang w:val="bg-BG" w:eastAsia="bg-BG"/>
        </w:rPr>
        <w:t xml:space="preserve">ще се </w:t>
      </w:r>
      <w:r w:rsidR="00C876EC" w:rsidRPr="00C876EC">
        <w:rPr>
          <w:rFonts w:ascii="Verdana" w:eastAsia="Times New Roman" w:hAnsi="Verdana" w:cs="Times New Roman"/>
          <w:bCs/>
          <w:sz w:val="20"/>
          <w:szCs w:val="20"/>
          <w:lang w:val="bg-BG" w:eastAsia="bg-BG"/>
        </w:rPr>
        <w:t xml:space="preserve">постигне </w:t>
      </w:r>
      <w:r w:rsidR="00C876EC">
        <w:rPr>
          <w:rFonts w:ascii="Verdana" w:eastAsia="Times New Roman" w:hAnsi="Verdana" w:cs="Times New Roman"/>
          <w:bCs/>
          <w:sz w:val="20"/>
          <w:szCs w:val="20"/>
          <w:lang w:val="bg-BG" w:eastAsia="bg-BG"/>
        </w:rPr>
        <w:t xml:space="preserve"> </w:t>
      </w:r>
      <w:r w:rsidR="00C876EC" w:rsidRPr="00C876EC">
        <w:rPr>
          <w:rFonts w:ascii="Verdana" w:eastAsia="Times New Roman" w:hAnsi="Verdana" w:cs="Times New Roman"/>
          <w:bCs/>
          <w:sz w:val="20"/>
          <w:szCs w:val="20"/>
          <w:lang w:val="bg-BG" w:eastAsia="bg-BG"/>
        </w:rPr>
        <w:t>съответствие с действащите нормативни актове и насоките дадени в официалните документи на Европейската Комисия, относно одитните системи на държавите членки, и ще се избегне наличното към момента дублиране на функции, вменени на втория отдел в главната дирекция.</w:t>
      </w:r>
    </w:p>
    <w:p w:rsidR="00C876EC" w:rsidRDefault="00C876EC" w:rsidP="00C876EC">
      <w:pPr>
        <w:widowControl w:val="0"/>
        <w:autoSpaceDE w:val="0"/>
        <w:autoSpaceDN w:val="0"/>
        <w:adjustRightInd w:val="0"/>
        <w:spacing w:after="0" w:line="360" w:lineRule="auto"/>
        <w:ind w:firstLine="720"/>
        <w:jc w:val="both"/>
        <w:rPr>
          <w:rFonts w:ascii="Verdana" w:eastAsia="Times New Roman" w:hAnsi="Verdana" w:cs="Times New Roman"/>
          <w:bCs/>
          <w:sz w:val="20"/>
          <w:szCs w:val="20"/>
          <w:lang w:val="bg-BG" w:eastAsia="bg-BG"/>
        </w:rPr>
      </w:pPr>
      <w:r w:rsidRPr="00C876EC">
        <w:rPr>
          <w:rFonts w:ascii="Verdana" w:eastAsia="Times New Roman" w:hAnsi="Verdana" w:cs="Times New Roman"/>
          <w:sz w:val="20"/>
          <w:szCs w:val="20"/>
          <w:lang w:val="bg-BG" w:eastAsia="bg-BG"/>
        </w:rPr>
        <w:t>С преструктурирането на дирекция „Правна“ и отделянето на функциите по изготвяне и обявяване на обществени поръчки в отделна дирекция „Обществени поръчки“ се</w:t>
      </w:r>
      <w:r>
        <w:rPr>
          <w:rFonts w:ascii="Verdana" w:eastAsia="Times New Roman" w:hAnsi="Verdana" w:cs="Times New Roman"/>
          <w:sz w:val="20"/>
          <w:szCs w:val="20"/>
          <w:lang w:val="bg-BG" w:eastAsia="bg-BG"/>
        </w:rPr>
        <w:t xml:space="preserve"> цели</w:t>
      </w:r>
      <w:r w:rsidRPr="00C876EC">
        <w:rPr>
          <w:rFonts w:ascii="Verdana" w:eastAsia="Times New Roman" w:hAnsi="Verdana" w:cs="Times New Roman"/>
          <w:sz w:val="20"/>
          <w:szCs w:val="20"/>
          <w:lang w:val="bg-BG" w:eastAsia="bg-BG"/>
        </w:rPr>
        <w:t xml:space="preserve"> постигне </w:t>
      </w:r>
      <w:r>
        <w:rPr>
          <w:rFonts w:ascii="Verdana" w:eastAsia="Times New Roman" w:hAnsi="Verdana" w:cs="Times New Roman"/>
          <w:sz w:val="20"/>
          <w:szCs w:val="20"/>
          <w:lang w:val="bg-BG" w:eastAsia="bg-BG"/>
        </w:rPr>
        <w:t xml:space="preserve">на </w:t>
      </w:r>
      <w:r w:rsidRPr="00C876EC">
        <w:rPr>
          <w:rFonts w:ascii="Verdana" w:eastAsia="Times New Roman" w:hAnsi="Verdana" w:cs="Times New Roman"/>
          <w:sz w:val="20"/>
          <w:szCs w:val="20"/>
          <w:lang w:val="bg-BG" w:eastAsia="bg-BG"/>
        </w:rPr>
        <w:t>по-голяма ефективност и прецизиране на функциите на служителите от дирекцията. Прехвърлянето на правомощията, свързани с организиране на обществени поръчки на дирекция</w:t>
      </w:r>
      <w:r w:rsidRPr="00C876EC">
        <w:rPr>
          <w:rFonts w:ascii="Verdana" w:eastAsia="Times New Roman" w:hAnsi="Verdana" w:cs="Times New Roman"/>
          <w:sz w:val="20"/>
          <w:szCs w:val="20"/>
          <w:lang w:eastAsia="bg-BG"/>
        </w:rPr>
        <w:t xml:space="preserve"> </w:t>
      </w:r>
      <w:r w:rsidRPr="00C876EC">
        <w:rPr>
          <w:rFonts w:ascii="Verdana" w:eastAsia="Times New Roman" w:hAnsi="Verdana" w:cs="Times New Roman"/>
          <w:sz w:val="20"/>
          <w:szCs w:val="20"/>
          <w:lang w:val="bg-BG" w:eastAsia="bg-BG"/>
        </w:rPr>
        <w:t xml:space="preserve">„Обществени поръчки“ </w:t>
      </w:r>
      <w:r w:rsidR="00D57538">
        <w:rPr>
          <w:rFonts w:ascii="Verdana" w:eastAsia="Times New Roman" w:hAnsi="Verdana" w:cs="Times New Roman"/>
          <w:sz w:val="20"/>
          <w:szCs w:val="20"/>
          <w:lang w:val="bg-BG" w:eastAsia="bg-BG"/>
        </w:rPr>
        <w:t>се извършва с цел</w:t>
      </w:r>
      <w:r w:rsidRPr="00C876EC">
        <w:rPr>
          <w:rFonts w:ascii="Verdana" w:eastAsia="Times New Roman" w:hAnsi="Verdana" w:cs="Times New Roman"/>
          <w:sz w:val="20"/>
          <w:szCs w:val="20"/>
          <w:lang w:val="bg-BG" w:eastAsia="bg-BG"/>
        </w:rPr>
        <w:t xml:space="preserve"> по-ефективното им и по-бързо изпълнение. Предложеното изменение в обхвата на дирекциите в общата администрация </w:t>
      </w:r>
      <w:r w:rsidRPr="00C876EC">
        <w:rPr>
          <w:rFonts w:ascii="Verdana" w:eastAsia="Times New Roman" w:hAnsi="Verdana" w:cs="Times New Roman"/>
          <w:bCs/>
          <w:sz w:val="20"/>
          <w:szCs w:val="20"/>
          <w:lang w:val="bg-BG" w:eastAsia="bg-BG"/>
        </w:rPr>
        <w:t>ще бъде осъществено чрез вътрешна реорганизация в рамките на общата щатна численост на агенцията.</w:t>
      </w:r>
    </w:p>
    <w:p w:rsidR="00C876EC" w:rsidRPr="00C876EC" w:rsidRDefault="00C876EC" w:rsidP="00C876EC">
      <w:pPr>
        <w:widowControl w:val="0"/>
        <w:autoSpaceDE w:val="0"/>
        <w:autoSpaceDN w:val="0"/>
        <w:adjustRightInd w:val="0"/>
        <w:spacing w:after="0" w:line="360" w:lineRule="auto"/>
        <w:ind w:firstLine="720"/>
        <w:jc w:val="both"/>
        <w:rPr>
          <w:rFonts w:ascii="Verdana" w:eastAsia="Times New Roman" w:hAnsi="Verdana" w:cs="Times New Roman"/>
          <w:bCs/>
          <w:sz w:val="20"/>
          <w:szCs w:val="20"/>
          <w:lang w:val="bg-BG" w:eastAsia="bg-BG"/>
        </w:rPr>
      </w:pPr>
      <w:r w:rsidRPr="00C876EC">
        <w:rPr>
          <w:rFonts w:ascii="Verdana" w:eastAsia="Times New Roman" w:hAnsi="Verdana" w:cs="Times New Roman"/>
          <w:bCs/>
          <w:sz w:val="20"/>
          <w:szCs w:val="20"/>
          <w:lang w:val="bg-BG" w:eastAsia="bg-BG"/>
        </w:rPr>
        <w:t xml:space="preserve">Ефективното изпълнение на задълженията на служителите в преструктурираните дирекции ще бъде осигурено чрез вътрешно компенсирано преразпределение на нормативната численост на Българската агенция по безопасност на храните. Преразпределението на числеността на отделните структурни звена ще бъде осъществено чрез вътрешна реорганизация в рамките на общата щатна численост на агенцията с цел осигуряване на необходимия административен капацитет. </w:t>
      </w:r>
    </w:p>
    <w:p w:rsidR="00B81549" w:rsidRPr="007C5599" w:rsidRDefault="00B81549" w:rsidP="003047D3">
      <w:pPr>
        <w:widowControl w:val="0"/>
        <w:autoSpaceDE w:val="0"/>
        <w:autoSpaceDN w:val="0"/>
        <w:adjustRightInd w:val="0"/>
        <w:spacing w:after="0" w:line="360" w:lineRule="auto"/>
        <w:ind w:firstLine="720"/>
        <w:jc w:val="both"/>
        <w:rPr>
          <w:rFonts w:ascii="Verdana" w:eastAsia="Times New Roman" w:hAnsi="Verdana" w:cs="Times New Roman"/>
          <w:b/>
          <w:sz w:val="20"/>
          <w:szCs w:val="20"/>
          <w:lang w:val="bg-BG" w:eastAsia="bg-BG"/>
        </w:rPr>
      </w:pPr>
    </w:p>
    <w:p w:rsidR="00B81549" w:rsidRPr="00C876EC" w:rsidRDefault="00DE71FC" w:rsidP="003047D3">
      <w:pPr>
        <w:widowControl w:val="0"/>
        <w:autoSpaceDE w:val="0"/>
        <w:autoSpaceDN w:val="0"/>
        <w:adjustRightInd w:val="0"/>
        <w:spacing w:after="0" w:line="360" w:lineRule="auto"/>
        <w:ind w:firstLine="720"/>
        <w:jc w:val="both"/>
        <w:rPr>
          <w:rFonts w:ascii="Verdana" w:eastAsia="Times New Roman" w:hAnsi="Verdana" w:cs="Times New Roman"/>
          <w:b/>
          <w:sz w:val="20"/>
          <w:szCs w:val="20"/>
          <w:lang w:val="bg-BG" w:eastAsia="bg-BG"/>
        </w:rPr>
      </w:pPr>
      <w:r w:rsidRPr="00C876EC">
        <w:rPr>
          <w:rFonts w:ascii="Verdana" w:eastAsia="Times New Roman" w:hAnsi="Verdana" w:cs="Times New Roman"/>
          <w:b/>
          <w:sz w:val="20"/>
          <w:szCs w:val="20"/>
          <w:lang w:val="bg-BG" w:eastAsia="bg-BG"/>
        </w:rPr>
        <w:t>Очаквани резултати от прилагането на акта</w:t>
      </w:r>
    </w:p>
    <w:p w:rsidR="00D75B20" w:rsidRDefault="00C876EC" w:rsidP="00D75B20">
      <w:pPr>
        <w:widowControl w:val="0"/>
        <w:autoSpaceDE w:val="0"/>
        <w:autoSpaceDN w:val="0"/>
        <w:adjustRightInd w:val="0"/>
        <w:spacing w:after="0" w:line="360" w:lineRule="auto"/>
        <w:ind w:firstLine="708"/>
        <w:jc w:val="both"/>
        <w:rPr>
          <w:rFonts w:ascii="Verdana" w:eastAsia="Times New Roman" w:hAnsi="Verdana" w:cs="Times New Roman"/>
          <w:sz w:val="20"/>
          <w:szCs w:val="20"/>
          <w:lang w:val="bg-BG" w:eastAsia="bg-BG"/>
        </w:rPr>
      </w:pPr>
      <w:r>
        <w:rPr>
          <w:rFonts w:ascii="Verdana" w:eastAsia="Times New Roman" w:hAnsi="Verdana" w:cs="Times New Roman"/>
          <w:sz w:val="20"/>
          <w:szCs w:val="20"/>
          <w:lang w:val="bg-BG" w:eastAsia="bg-BG"/>
        </w:rPr>
        <w:t xml:space="preserve">С приемането на проекта на </w:t>
      </w:r>
      <w:r w:rsidR="00D57538">
        <w:rPr>
          <w:rFonts w:ascii="Verdana" w:eastAsia="Times New Roman" w:hAnsi="Verdana" w:cs="Times New Roman"/>
          <w:sz w:val="20"/>
          <w:szCs w:val="20"/>
          <w:lang w:val="bg-BG" w:eastAsia="bg-BG"/>
        </w:rPr>
        <w:t>п</w:t>
      </w:r>
      <w:r>
        <w:rPr>
          <w:rFonts w:ascii="Verdana" w:eastAsia="Times New Roman" w:hAnsi="Verdana" w:cs="Times New Roman"/>
          <w:sz w:val="20"/>
          <w:szCs w:val="20"/>
          <w:lang w:val="bg-BG" w:eastAsia="bg-BG"/>
        </w:rPr>
        <w:t>остановление ще се п</w:t>
      </w:r>
      <w:r w:rsidR="00D75B20" w:rsidRPr="00D75B20">
        <w:rPr>
          <w:rFonts w:ascii="Verdana" w:eastAsia="Times New Roman" w:hAnsi="Verdana" w:cs="Times New Roman"/>
          <w:sz w:val="20"/>
          <w:szCs w:val="20"/>
          <w:lang w:val="bg-BG" w:eastAsia="bg-BG"/>
        </w:rPr>
        <w:t xml:space="preserve">остигне ефективно администриране на процесите и дейностите </w:t>
      </w:r>
      <w:r w:rsidR="00D75B20" w:rsidRPr="00D75B20">
        <w:rPr>
          <w:rFonts w:ascii="Verdana" w:eastAsia="Times New Roman" w:hAnsi="Verdana" w:cs="Times New Roman"/>
          <w:bCs/>
          <w:sz w:val="20"/>
          <w:szCs w:val="20"/>
          <w:lang w:val="bg-BG" w:eastAsia="bg-BG"/>
        </w:rPr>
        <w:t>в Агенцията</w:t>
      </w:r>
      <w:r w:rsidR="00D75B20" w:rsidRPr="00D75B20">
        <w:rPr>
          <w:rFonts w:ascii="Verdana" w:eastAsia="Times New Roman" w:hAnsi="Verdana" w:cs="Times New Roman"/>
          <w:sz w:val="20"/>
          <w:szCs w:val="20"/>
          <w:lang w:val="bg-BG" w:eastAsia="bg-BG"/>
        </w:rPr>
        <w:t xml:space="preserve"> в рамките на общата и специализираната администрация.</w:t>
      </w:r>
      <w:r w:rsidR="00D75B20">
        <w:rPr>
          <w:rFonts w:ascii="Verdana" w:eastAsia="Times New Roman" w:hAnsi="Verdana" w:cs="Times New Roman"/>
          <w:sz w:val="20"/>
          <w:szCs w:val="20"/>
          <w:lang w:val="bg-BG" w:eastAsia="bg-BG"/>
        </w:rPr>
        <w:t xml:space="preserve"> </w:t>
      </w:r>
      <w:r>
        <w:rPr>
          <w:rFonts w:ascii="Verdana" w:eastAsia="Times New Roman" w:hAnsi="Verdana" w:cs="Times New Roman"/>
          <w:sz w:val="20"/>
          <w:szCs w:val="20"/>
          <w:lang w:val="bg-BG" w:eastAsia="bg-BG"/>
        </w:rPr>
        <w:t>Ще се о</w:t>
      </w:r>
      <w:r w:rsidR="00D75B20" w:rsidRPr="00D75B20">
        <w:rPr>
          <w:rFonts w:ascii="Verdana" w:eastAsia="Times New Roman" w:hAnsi="Verdana" w:cs="Times New Roman"/>
          <w:sz w:val="20"/>
          <w:szCs w:val="20"/>
          <w:lang w:val="bg-BG" w:eastAsia="bg-BG"/>
        </w:rPr>
        <w:t xml:space="preserve">птимизира организационната структура и </w:t>
      </w:r>
      <w:r>
        <w:rPr>
          <w:rFonts w:ascii="Verdana" w:eastAsia="Times New Roman" w:hAnsi="Verdana" w:cs="Times New Roman"/>
          <w:sz w:val="20"/>
          <w:szCs w:val="20"/>
          <w:lang w:val="bg-BG" w:eastAsia="bg-BG"/>
        </w:rPr>
        <w:t xml:space="preserve">ще се </w:t>
      </w:r>
      <w:r w:rsidR="00D75B20" w:rsidRPr="00D75B20">
        <w:rPr>
          <w:rFonts w:ascii="Verdana" w:eastAsia="Times New Roman" w:hAnsi="Verdana" w:cs="Times New Roman"/>
          <w:sz w:val="20"/>
          <w:szCs w:val="20"/>
          <w:lang w:val="bg-BG" w:eastAsia="bg-BG"/>
        </w:rPr>
        <w:t>прецизира</w:t>
      </w:r>
      <w:r>
        <w:rPr>
          <w:rFonts w:ascii="Verdana" w:eastAsia="Times New Roman" w:hAnsi="Verdana" w:cs="Times New Roman"/>
          <w:sz w:val="20"/>
          <w:szCs w:val="20"/>
          <w:lang w:val="bg-BG" w:eastAsia="bg-BG"/>
        </w:rPr>
        <w:t>т</w:t>
      </w:r>
      <w:r w:rsidR="00D75B20" w:rsidRPr="00D75B20">
        <w:rPr>
          <w:rFonts w:ascii="Verdana" w:eastAsia="Times New Roman" w:hAnsi="Verdana" w:cs="Times New Roman"/>
          <w:sz w:val="20"/>
          <w:szCs w:val="20"/>
          <w:lang w:val="bg-BG" w:eastAsia="bg-BG"/>
        </w:rPr>
        <w:t xml:space="preserve"> функционалните задължения на отделни административни звена в Българската агенция по безопасност на храните в рамките на нормативната численост на администрацията при спазване на нормативите за численост на съответните звена.</w:t>
      </w:r>
    </w:p>
    <w:p w:rsidR="00496728" w:rsidRPr="00D75B20" w:rsidRDefault="00496728" w:rsidP="00D75B20">
      <w:pPr>
        <w:widowControl w:val="0"/>
        <w:autoSpaceDE w:val="0"/>
        <w:autoSpaceDN w:val="0"/>
        <w:adjustRightInd w:val="0"/>
        <w:spacing w:after="0" w:line="360" w:lineRule="auto"/>
        <w:ind w:firstLine="708"/>
        <w:jc w:val="both"/>
        <w:rPr>
          <w:rFonts w:ascii="Verdana" w:eastAsia="Times New Roman" w:hAnsi="Verdana" w:cs="Times New Roman"/>
          <w:sz w:val="20"/>
          <w:szCs w:val="20"/>
          <w:lang w:val="bg-BG" w:eastAsia="bg-BG"/>
        </w:rPr>
      </w:pPr>
    </w:p>
    <w:p w:rsidR="007C5599" w:rsidRPr="00D75B20" w:rsidRDefault="007C5599" w:rsidP="007C5599">
      <w:pPr>
        <w:widowControl w:val="0"/>
        <w:autoSpaceDE w:val="0"/>
        <w:autoSpaceDN w:val="0"/>
        <w:adjustRightInd w:val="0"/>
        <w:spacing w:after="0" w:line="360" w:lineRule="auto"/>
        <w:ind w:firstLine="720"/>
        <w:jc w:val="both"/>
        <w:rPr>
          <w:rFonts w:ascii="Verdana" w:eastAsia="Times New Roman" w:hAnsi="Verdana" w:cs="Times New Roman"/>
          <w:b/>
          <w:sz w:val="20"/>
          <w:szCs w:val="20"/>
          <w:lang w:val="bg-BG" w:eastAsia="bg-BG"/>
        </w:rPr>
      </w:pPr>
      <w:r w:rsidRPr="00D75B20">
        <w:rPr>
          <w:rFonts w:ascii="Verdana" w:eastAsia="Times New Roman" w:hAnsi="Verdana" w:cs="Times New Roman"/>
          <w:b/>
          <w:sz w:val="20"/>
          <w:szCs w:val="20"/>
          <w:lang w:val="bg-BG" w:eastAsia="bg-BG"/>
        </w:rPr>
        <w:lastRenderedPageBreak/>
        <w:t>Финансови и други средства, необходими за прилагането на новата уредба</w:t>
      </w:r>
    </w:p>
    <w:p w:rsidR="007C5599" w:rsidRPr="00D75B20" w:rsidRDefault="007C5599" w:rsidP="007C5599">
      <w:pPr>
        <w:widowControl w:val="0"/>
        <w:autoSpaceDE w:val="0"/>
        <w:autoSpaceDN w:val="0"/>
        <w:adjustRightInd w:val="0"/>
        <w:spacing w:after="0" w:line="360" w:lineRule="auto"/>
        <w:ind w:firstLine="720"/>
        <w:jc w:val="both"/>
        <w:rPr>
          <w:rFonts w:ascii="Verdana" w:eastAsia="Times New Roman" w:hAnsi="Verdana" w:cs="Times New Roman"/>
          <w:sz w:val="20"/>
          <w:szCs w:val="20"/>
          <w:lang w:val="bg-BG" w:eastAsia="bg-BG"/>
        </w:rPr>
      </w:pPr>
      <w:r w:rsidRPr="00D75B20">
        <w:rPr>
          <w:rFonts w:ascii="Verdana" w:eastAsia="Times New Roman" w:hAnsi="Verdana" w:cs="Times New Roman"/>
          <w:sz w:val="20"/>
          <w:szCs w:val="20"/>
          <w:lang w:val="bg-BG" w:eastAsia="bg-BG"/>
        </w:rPr>
        <w:t xml:space="preserve">Предложеният проект на акт на не води до въздействие върху държавния бюджет, поради което е приложена финансова обосновка съгласно чл. 35, ал. 1, т. 4, буква „б“ от Устройствения правилник на Министерския съвет и на неговата администрация. Не са необходими допълнителни разходи, трансфери или други плащания по бюджета на Министерството на земеделието за 2023 г. </w:t>
      </w:r>
    </w:p>
    <w:p w:rsidR="007C5599" w:rsidRPr="00D75B20" w:rsidRDefault="007C5599" w:rsidP="007C5599">
      <w:pPr>
        <w:widowControl w:val="0"/>
        <w:autoSpaceDE w:val="0"/>
        <w:autoSpaceDN w:val="0"/>
        <w:adjustRightInd w:val="0"/>
        <w:spacing w:after="0" w:line="360" w:lineRule="auto"/>
        <w:ind w:firstLine="720"/>
        <w:jc w:val="both"/>
        <w:rPr>
          <w:rFonts w:ascii="Verdana" w:eastAsia="Times New Roman" w:hAnsi="Verdana" w:cs="Times New Roman"/>
          <w:sz w:val="20"/>
          <w:szCs w:val="20"/>
          <w:lang w:val="bg-BG" w:eastAsia="bg-BG"/>
        </w:rPr>
      </w:pPr>
      <w:r w:rsidRPr="00D75B20">
        <w:rPr>
          <w:rFonts w:ascii="Verdana" w:eastAsia="Times New Roman" w:hAnsi="Verdana" w:cs="Times New Roman"/>
          <w:sz w:val="20"/>
          <w:szCs w:val="20"/>
          <w:lang w:val="bg-BG" w:eastAsia="bg-BG"/>
        </w:rPr>
        <w:t>Проектът на акт не води до изменения в целевите стойности на показателите за изпълнение по програми, в това число и ключовите индикатори.</w:t>
      </w:r>
    </w:p>
    <w:p w:rsidR="007C5599" w:rsidRPr="00D75B20" w:rsidRDefault="007C5599" w:rsidP="007C5599">
      <w:pPr>
        <w:widowControl w:val="0"/>
        <w:autoSpaceDE w:val="0"/>
        <w:autoSpaceDN w:val="0"/>
        <w:adjustRightInd w:val="0"/>
        <w:spacing w:after="0" w:line="360" w:lineRule="auto"/>
        <w:ind w:firstLine="720"/>
        <w:jc w:val="both"/>
        <w:rPr>
          <w:rFonts w:ascii="Verdana" w:eastAsia="Times New Roman" w:hAnsi="Verdana" w:cs="Times New Roman"/>
          <w:sz w:val="20"/>
          <w:szCs w:val="20"/>
          <w:lang w:val="bg-BG" w:eastAsia="bg-BG"/>
        </w:rPr>
      </w:pPr>
      <w:r w:rsidRPr="00D75B20">
        <w:rPr>
          <w:rFonts w:ascii="Verdana" w:eastAsia="Times New Roman" w:hAnsi="Verdana" w:cs="Times New Roman"/>
          <w:sz w:val="20"/>
          <w:szCs w:val="20"/>
          <w:lang w:val="bg-BG" w:eastAsia="bg-BG"/>
        </w:rPr>
        <w:t>Предложеният проект на акт не води до въздействие върху държавния бюджет.</w:t>
      </w:r>
    </w:p>
    <w:p w:rsidR="007C5599" w:rsidRPr="00D75B20" w:rsidRDefault="007C5599" w:rsidP="003047D3">
      <w:pPr>
        <w:widowControl w:val="0"/>
        <w:autoSpaceDE w:val="0"/>
        <w:autoSpaceDN w:val="0"/>
        <w:adjustRightInd w:val="0"/>
        <w:spacing w:after="0" w:line="360" w:lineRule="auto"/>
        <w:ind w:firstLine="720"/>
        <w:jc w:val="both"/>
        <w:rPr>
          <w:rFonts w:ascii="Verdana" w:eastAsia="Times New Roman" w:hAnsi="Verdana" w:cs="Times New Roman"/>
          <w:sz w:val="20"/>
          <w:szCs w:val="20"/>
          <w:lang w:val="bg-BG" w:eastAsia="bg-BG"/>
        </w:rPr>
      </w:pPr>
    </w:p>
    <w:p w:rsidR="007C5599" w:rsidRPr="00D75B20" w:rsidRDefault="007C5599" w:rsidP="007C5599">
      <w:pPr>
        <w:widowControl w:val="0"/>
        <w:autoSpaceDE w:val="0"/>
        <w:autoSpaceDN w:val="0"/>
        <w:adjustRightInd w:val="0"/>
        <w:spacing w:after="0" w:line="360" w:lineRule="auto"/>
        <w:ind w:firstLine="720"/>
        <w:jc w:val="both"/>
        <w:rPr>
          <w:rFonts w:ascii="Verdana" w:eastAsia="Times New Roman" w:hAnsi="Verdana" w:cs="Times New Roman"/>
          <w:b/>
          <w:sz w:val="20"/>
          <w:szCs w:val="20"/>
          <w:lang w:val="bg-BG" w:eastAsia="bg-BG"/>
        </w:rPr>
      </w:pPr>
      <w:r w:rsidRPr="00D75B20">
        <w:rPr>
          <w:rFonts w:ascii="Verdana" w:eastAsia="Times New Roman" w:hAnsi="Verdana" w:cs="Times New Roman"/>
          <w:b/>
          <w:sz w:val="20"/>
          <w:szCs w:val="20"/>
          <w:lang w:val="bg-BG" w:eastAsia="bg-BG"/>
        </w:rPr>
        <w:t>Анализ за съответствие с правото на Европейския съюз</w:t>
      </w:r>
    </w:p>
    <w:p w:rsidR="00713B56" w:rsidRPr="00D75B20" w:rsidRDefault="00713B56" w:rsidP="003047D3">
      <w:pPr>
        <w:widowControl w:val="0"/>
        <w:autoSpaceDE w:val="0"/>
        <w:autoSpaceDN w:val="0"/>
        <w:adjustRightInd w:val="0"/>
        <w:spacing w:after="0" w:line="360" w:lineRule="auto"/>
        <w:ind w:firstLine="720"/>
        <w:jc w:val="both"/>
        <w:rPr>
          <w:rFonts w:ascii="Verdana" w:eastAsia="Times New Roman" w:hAnsi="Verdana" w:cs="Times New Roman"/>
          <w:sz w:val="20"/>
          <w:szCs w:val="20"/>
          <w:lang w:val="bg-BG" w:eastAsia="bg-BG"/>
        </w:rPr>
      </w:pPr>
      <w:r w:rsidRPr="00D75B20">
        <w:rPr>
          <w:rFonts w:ascii="Verdana" w:eastAsia="Times New Roman" w:hAnsi="Verdana" w:cs="Times New Roman"/>
          <w:sz w:val="20"/>
          <w:szCs w:val="20"/>
          <w:lang w:val="bg-BG" w:eastAsia="bg-BG"/>
        </w:rPr>
        <w:t xml:space="preserve">С проекта на </w:t>
      </w:r>
      <w:r w:rsidR="00DD6AF4" w:rsidRPr="00D75B20">
        <w:rPr>
          <w:rFonts w:ascii="Verdana" w:eastAsia="Times New Roman" w:hAnsi="Verdana" w:cs="Times New Roman"/>
          <w:sz w:val="20"/>
          <w:szCs w:val="20"/>
          <w:lang w:val="bg-BG" w:eastAsia="bg-BG"/>
        </w:rPr>
        <w:t>П</w:t>
      </w:r>
      <w:r w:rsidRPr="00D75B20">
        <w:rPr>
          <w:rFonts w:ascii="Verdana" w:eastAsia="Times New Roman" w:hAnsi="Verdana" w:cs="Times New Roman"/>
          <w:sz w:val="20"/>
          <w:szCs w:val="20"/>
          <w:lang w:val="bg-BG" w:eastAsia="bg-BG"/>
        </w:rPr>
        <w:t>остановление не се транспонират актове на институции на Европейския съюз, поради което не е и</w:t>
      </w:r>
      <w:r w:rsidR="009C2B40" w:rsidRPr="00D75B20">
        <w:rPr>
          <w:rFonts w:ascii="Verdana" w:eastAsia="Times New Roman" w:hAnsi="Verdana" w:cs="Times New Roman"/>
          <w:sz w:val="20"/>
          <w:szCs w:val="20"/>
          <w:lang w:val="bg-BG" w:eastAsia="bg-BG"/>
        </w:rPr>
        <w:t>зготвена и представена таблица н</w:t>
      </w:r>
      <w:r w:rsidRPr="00D75B20">
        <w:rPr>
          <w:rFonts w:ascii="Verdana" w:eastAsia="Times New Roman" w:hAnsi="Verdana" w:cs="Times New Roman"/>
          <w:sz w:val="20"/>
          <w:szCs w:val="20"/>
          <w:lang w:val="bg-BG" w:eastAsia="bg-BG"/>
        </w:rPr>
        <w:t xml:space="preserve">а съответствието с правото на Европейския съюз. </w:t>
      </w:r>
    </w:p>
    <w:p w:rsidR="009D6BB6" w:rsidRPr="00D75B20" w:rsidRDefault="009D6BB6" w:rsidP="003047D3">
      <w:pPr>
        <w:widowControl w:val="0"/>
        <w:autoSpaceDE w:val="0"/>
        <w:autoSpaceDN w:val="0"/>
        <w:adjustRightInd w:val="0"/>
        <w:spacing w:after="0" w:line="360" w:lineRule="auto"/>
        <w:ind w:firstLine="720"/>
        <w:jc w:val="both"/>
        <w:rPr>
          <w:rFonts w:ascii="Verdana" w:eastAsia="Times New Roman" w:hAnsi="Verdana" w:cs="Times New Roman"/>
          <w:sz w:val="20"/>
          <w:szCs w:val="20"/>
          <w:lang w:val="bg-BG" w:eastAsia="bg-BG"/>
        </w:rPr>
      </w:pPr>
    </w:p>
    <w:p w:rsidR="009D6BB6" w:rsidRPr="00D75B20" w:rsidRDefault="009D6BB6" w:rsidP="009D6BB6">
      <w:pPr>
        <w:widowControl w:val="0"/>
        <w:autoSpaceDE w:val="0"/>
        <w:autoSpaceDN w:val="0"/>
        <w:adjustRightInd w:val="0"/>
        <w:spacing w:after="0" w:line="360" w:lineRule="auto"/>
        <w:ind w:firstLine="720"/>
        <w:jc w:val="both"/>
        <w:rPr>
          <w:rFonts w:ascii="Verdana" w:eastAsia="Times New Roman" w:hAnsi="Verdana" w:cs="Times New Roman"/>
          <w:b/>
          <w:sz w:val="20"/>
          <w:szCs w:val="20"/>
          <w:lang w:val="bg-BG" w:eastAsia="bg-BG"/>
        </w:rPr>
      </w:pPr>
      <w:r w:rsidRPr="00D75B20">
        <w:rPr>
          <w:rFonts w:ascii="Verdana" w:eastAsia="Times New Roman" w:hAnsi="Verdana" w:cs="Times New Roman"/>
          <w:b/>
          <w:sz w:val="20"/>
          <w:szCs w:val="20"/>
          <w:lang w:val="bg-BG" w:eastAsia="bg-BG"/>
        </w:rPr>
        <w:t>Информация за проведените обществени консултации</w:t>
      </w:r>
    </w:p>
    <w:p w:rsidR="008F4F98" w:rsidRDefault="00713B56" w:rsidP="003047D3">
      <w:pPr>
        <w:widowControl w:val="0"/>
        <w:autoSpaceDE w:val="0"/>
        <w:autoSpaceDN w:val="0"/>
        <w:adjustRightInd w:val="0"/>
        <w:spacing w:after="0" w:line="360" w:lineRule="auto"/>
        <w:ind w:firstLine="720"/>
        <w:jc w:val="both"/>
        <w:rPr>
          <w:rFonts w:ascii="Verdana" w:eastAsia="Times New Roman" w:hAnsi="Verdana" w:cs="Times New Roman"/>
          <w:sz w:val="20"/>
          <w:szCs w:val="20"/>
          <w:lang w:val="bg-BG" w:eastAsia="bg-BG"/>
        </w:rPr>
      </w:pPr>
      <w:r w:rsidRPr="007C5599">
        <w:rPr>
          <w:rFonts w:ascii="Verdana" w:eastAsia="Times New Roman" w:hAnsi="Verdana" w:cs="Times New Roman"/>
          <w:sz w:val="20"/>
          <w:szCs w:val="20"/>
          <w:lang w:val="bg-BG" w:eastAsia="bg-BG"/>
        </w:rPr>
        <w:t>Съгласно чл. 26, ал. 3 и 4 от Закон</w:t>
      </w:r>
      <w:r w:rsidR="008D65BC">
        <w:rPr>
          <w:rFonts w:ascii="Verdana" w:eastAsia="Times New Roman" w:hAnsi="Verdana" w:cs="Times New Roman"/>
          <w:sz w:val="20"/>
          <w:szCs w:val="20"/>
          <w:lang w:val="bg-BG" w:eastAsia="bg-BG"/>
        </w:rPr>
        <w:t>а за нормативните актове проекти</w:t>
      </w:r>
      <w:r w:rsidRPr="007C5599">
        <w:rPr>
          <w:rFonts w:ascii="Verdana" w:eastAsia="Times New Roman" w:hAnsi="Verdana" w:cs="Times New Roman"/>
          <w:sz w:val="20"/>
          <w:szCs w:val="20"/>
          <w:lang w:val="bg-BG" w:eastAsia="bg-BG"/>
        </w:rPr>
        <w:t>т</w:t>
      </w:r>
      <w:r w:rsidR="008D65BC">
        <w:rPr>
          <w:rFonts w:ascii="Verdana" w:eastAsia="Times New Roman" w:hAnsi="Verdana" w:cs="Times New Roman"/>
          <w:sz w:val="20"/>
          <w:szCs w:val="20"/>
          <w:lang w:val="bg-BG" w:eastAsia="bg-BG"/>
        </w:rPr>
        <w:t xml:space="preserve">е на постановление и доклад </w:t>
      </w:r>
      <w:r w:rsidR="00553D67">
        <w:rPr>
          <w:rFonts w:ascii="Verdana" w:eastAsia="Times New Roman" w:hAnsi="Verdana" w:cs="Times New Roman"/>
          <w:sz w:val="20"/>
          <w:szCs w:val="20"/>
          <w:lang w:val="bg-BG" w:eastAsia="bg-BG"/>
        </w:rPr>
        <w:t>(мотиви</w:t>
      </w:r>
      <w:r w:rsidR="008D65BC">
        <w:rPr>
          <w:rFonts w:ascii="Verdana" w:eastAsia="Times New Roman" w:hAnsi="Verdana" w:cs="Times New Roman"/>
          <w:sz w:val="20"/>
          <w:szCs w:val="20"/>
          <w:lang w:val="bg-BG" w:eastAsia="bg-BG"/>
        </w:rPr>
        <w:t>)</w:t>
      </w:r>
      <w:r w:rsidRPr="007C5599">
        <w:rPr>
          <w:rFonts w:ascii="Verdana" w:eastAsia="Times New Roman" w:hAnsi="Verdana" w:cs="Times New Roman"/>
          <w:sz w:val="20"/>
          <w:szCs w:val="20"/>
          <w:lang w:val="bg-BG" w:eastAsia="bg-BG"/>
        </w:rPr>
        <w:t>,</w:t>
      </w:r>
      <w:r w:rsidR="00553D67">
        <w:rPr>
          <w:rFonts w:ascii="Verdana" w:eastAsia="Times New Roman" w:hAnsi="Verdana" w:cs="Times New Roman"/>
          <w:sz w:val="20"/>
          <w:szCs w:val="20"/>
          <w:lang w:val="bg-BG" w:eastAsia="bg-BG"/>
        </w:rPr>
        <w:t xml:space="preserve"> както и</w:t>
      </w:r>
      <w:r w:rsidRPr="007C5599">
        <w:rPr>
          <w:rFonts w:ascii="Verdana" w:eastAsia="Times New Roman" w:hAnsi="Verdana" w:cs="Times New Roman"/>
          <w:sz w:val="20"/>
          <w:szCs w:val="20"/>
          <w:lang w:val="bg-BG" w:eastAsia="bg-BG"/>
        </w:rPr>
        <w:t xml:space="preserve"> </w:t>
      </w:r>
      <w:r w:rsidR="00AE15B1" w:rsidRPr="007C5599">
        <w:rPr>
          <w:rFonts w:ascii="Verdana" w:eastAsia="Times New Roman" w:hAnsi="Verdana" w:cs="Times New Roman"/>
          <w:sz w:val="20"/>
          <w:szCs w:val="20"/>
          <w:lang w:val="bg-BG" w:eastAsia="bg-BG"/>
        </w:rPr>
        <w:t xml:space="preserve">частичната </w:t>
      </w:r>
      <w:r w:rsidRPr="007C5599">
        <w:rPr>
          <w:rFonts w:ascii="Verdana" w:eastAsia="Times New Roman" w:hAnsi="Verdana" w:cs="Times New Roman"/>
          <w:sz w:val="20"/>
          <w:szCs w:val="20"/>
          <w:lang w:val="bg-BG" w:eastAsia="bg-BG"/>
        </w:rPr>
        <w:t>предварителна оценка на въздействието и становището на дирекция „Модернизация на администрацията“ в Министерския съвет са публикувани на интернет страницата на Министерството на земеделието</w:t>
      </w:r>
      <w:r w:rsidR="004E1AC4" w:rsidRPr="007C5599">
        <w:rPr>
          <w:rFonts w:ascii="Verdana" w:eastAsia="Times New Roman" w:hAnsi="Verdana" w:cs="Times New Roman"/>
          <w:sz w:val="20"/>
          <w:szCs w:val="20"/>
          <w:lang w:val="bg-BG" w:eastAsia="bg-BG"/>
        </w:rPr>
        <w:t xml:space="preserve"> и</w:t>
      </w:r>
      <w:r w:rsidRPr="007C5599">
        <w:rPr>
          <w:rFonts w:ascii="Verdana" w:eastAsia="Times New Roman" w:hAnsi="Verdana" w:cs="Times New Roman"/>
          <w:sz w:val="20"/>
          <w:szCs w:val="20"/>
          <w:lang w:val="bg-BG" w:eastAsia="bg-BG"/>
        </w:rPr>
        <w:t xml:space="preserve"> храните и на Портала за обществени консултации със срок за предложения и становища </w:t>
      </w:r>
      <w:r w:rsidR="008F4F98">
        <w:rPr>
          <w:rFonts w:ascii="Verdana" w:eastAsia="Times New Roman" w:hAnsi="Verdana" w:cs="Times New Roman"/>
          <w:sz w:val="20"/>
          <w:szCs w:val="20"/>
          <w:lang w:val="bg-BG" w:eastAsia="bg-BG"/>
        </w:rPr>
        <w:t>30</w:t>
      </w:r>
      <w:r w:rsidRPr="007C5599">
        <w:rPr>
          <w:rFonts w:ascii="Verdana" w:eastAsia="Times New Roman" w:hAnsi="Verdana" w:cs="Times New Roman"/>
          <w:sz w:val="20"/>
          <w:szCs w:val="20"/>
          <w:lang w:val="bg-BG" w:eastAsia="bg-BG"/>
        </w:rPr>
        <w:t xml:space="preserve"> дни.</w:t>
      </w:r>
      <w:r w:rsidR="00B10999" w:rsidRPr="007C5599">
        <w:rPr>
          <w:rFonts w:ascii="Verdana" w:eastAsia="Times New Roman" w:hAnsi="Verdana" w:cs="Times New Roman"/>
          <w:sz w:val="20"/>
          <w:szCs w:val="20"/>
          <w:lang w:val="bg-BG" w:eastAsia="bg-BG"/>
        </w:rPr>
        <w:t xml:space="preserve"> </w:t>
      </w:r>
    </w:p>
    <w:p w:rsidR="00713B56" w:rsidRDefault="00713B56" w:rsidP="003047D3">
      <w:pPr>
        <w:widowControl w:val="0"/>
        <w:autoSpaceDE w:val="0"/>
        <w:autoSpaceDN w:val="0"/>
        <w:adjustRightInd w:val="0"/>
        <w:spacing w:after="0" w:line="360" w:lineRule="auto"/>
        <w:ind w:firstLine="720"/>
        <w:jc w:val="both"/>
        <w:rPr>
          <w:rFonts w:ascii="Verdana" w:eastAsia="Times New Roman" w:hAnsi="Verdana" w:cs="Times New Roman"/>
          <w:sz w:val="20"/>
          <w:szCs w:val="20"/>
          <w:lang w:val="bg-BG" w:eastAsia="bg-BG"/>
        </w:rPr>
      </w:pPr>
      <w:r w:rsidRPr="007C5599">
        <w:rPr>
          <w:rFonts w:ascii="Verdana" w:eastAsia="Times New Roman" w:hAnsi="Verdana" w:cs="Times New Roman"/>
          <w:sz w:val="20"/>
          <w:szCs w:val="20"/>
          <w:lang w:val="bg-BG" w:eastAsia="bg-BG"/>
        </w:rPr>
        <w:t>В съответствие с чл. 26, ал. 5 от Закона за нормативните актове справката за</w:t>
      </w:r>
      <w:r w:rsidR="009C2B40" w:rsidRPr="007C5599">
        <w:rPr>
          <w:rFonts w:ascii="Verdana" w:eastAsia="Times New Roman" w:hAnsi="Verdana" w:cs="Times New Roman"/>
          <w:sz w:val="20"/>
          <w:szCs w:val="20"/>
          <w:lang w:val="bg-BG" w:eastAsia="bg-BG"/>
        </w:rPr>
        <w:t xml:space="preserve"> отразяване на</w:t>
      </w:r>
      <w:r w:rsidRPr="007C5599">
        <w:rPr>
          <w:rFonts w:ascii="Verdana" w:eastAsia="Times New Roman" w:hAnsi="Verdana" w:cs="Times New Roman"/>
          <w:sz w:val="20"/>
          <w:szCs w:val="20"/>
          <w:lang w:val="bg-BG" w:eastAsia="bg-BG"/>
        </w:rPr>
        <w:t xml:space="preserve"> постъпилите предложения</w:t>
      </w:r>
      <w:r w:rsidR="009C2B40" w:rsidRPr="007C5599">
        <w:rPr>
          <w:rFonts w:ascii="Verdana" w:eastAsia="Times New Roman" w:hAnsi="Verdana" w:cs="Times New Roman"/>
          <w:sz w:val="20"/>
          <w:szCs w:val="20"/>
          <w:lang w:val="bg-BG" w:eastAsia="bg-BG"/>
        </w:rPr>
        <w:t xml:space="preserve"> и становища</w:t>
      </w:r>
      <w:r w:rsidR="003C3C3E" w:rsidRPr="007C5599">
        <w:rPr>
          <w:rFonts w:ascii="Verdana" w:eastAsia="Times New Roman" w:hAnsi="Verdana" w:cs="Times New Roman"/>
          <w:sz w:val="20"/>
          <w:szCs w:val="20"/>
          <w:lang w:val="bg-BG" w:eastAsia="bg-BG"/>
        </w:rPr>
        <w:t xml:space="preserve"> от обществената консултация</w:t>
      </w:r>
      <w:r w:rsidR="009C2B40" w:rsidRPr="007C5599">
        <w:rPr>
          <w:rFonts w:ascii="Verdana" w:eastAsia="Times New Roman" w:hAnsi="Verdana" w:cs="Times New Roman"/>
          <w:sz w:val="20"/>
          <w:szCs w:val="20"/>
          <w:lang w:val="bg-BG" w:eastAsia="bg-BG"/>
        </w:rPr>
        <w:t>,</w:t>
      </w:r>
      <w:r w:rsidRPr="007C5599">
        <w:rPr>
          <w:rFonts w:ascii="Verdana" w:eastAsia="Times New Roman" w:hAnsi="Verdana" w:cs="Times New Roman"/>
          <w:sz w:val="20"/>
          <w:szCs w:val="20"/>
          <w:lang w:val="bg-BG" w:eastAsia="bg-BG"/>
        </w:rPr>
        <w:t xml:space="preserve"> заедно с обосновка за неприетите предложения е публикувана на интернет страницата на</w:t>
      </w:r>
      <w:r w:rsidR="009C2B40" w:rsidRPr="007C5599">
        <w:rPr>
          <w:rFonts w:ascii="Verdana" w:eastAsia="Times New Roman" w:hAnsi="Verdana" w:cs="Times New Roman"/>
          <w:sz w:val="20"/>
          <w:szCs w:val="20"/>
          <w:lang w:val="bg-BG" w:eastAsia="bg-BG"/>
        </w:rPr>
        <w:t xml:space="preserve"> Министерството на земеделието и </w:t>
      </w:r>
      <w:r w:rsidRPr="007C5599">
        <w:rPr>
          <w:rFonts w:ascii="Verdana" w:eastAsia="Times New Roman" w:hAnsi="Verdana" w:cs="Times New Roman"/>
          <w:sz w:val="20"/>
          <w:szCs w:val="20"/>
          <w:lang w:val="bg-BG" w:eastAsia="bg-BG"/>
        </w:rPr>
        <w:t>храни</w:t>
      </w:r>
      <w:r w:rsidR="009C2B40" w:rsidRPr="007C5599">
        <w:rPr>
          <w:rFonts w:ascii="Verdana" w:eastAsia="Times New Roman" w:hAnsi="Verdana" w:cs="Times New Roman"/>
          <w:sz w:val="20"/>
          <w:szCs w:val="20"/>
          <w:lang w:val="bg-BG" w:eastAsia="bg-BG"/>
        </w:rPr>
        <w:t xml:space="preserve">те </w:t>
      </w:r>
      <w:r w:rsidRPr="007C5599">
        <w:rPr>
          <w:rFonts w:ascii="Verdana" w:eastAsia="Times New Roman" w:hAnsi="Verdana" w:cs="Times New Roman"/>
          <w:sz w:val="20"/>
          <w:szCs w:val="20"/>
          <w:lang w:val="bg-BG" w:eastAsia="bg-BG"/>
        </w:rPr>
        <w:t xml:space="preserve">и на Портала за обществени консултации. </w:t>
      </w:r>
    </w:p>
    <w:p w:rsidR="008D65BC" w:rsidRPr="007C5599" w:rsidRDefault="008D65BC" w:rsidP="003047D3">
      <w:pPr>
        <w:widowControl w:val="0"/>
        <w:autoSpaceDE w:val="0"/>
        <w:autoSpaceDN w:val="0"/>
        <w:adjustRightInd w:val="0"/>
        <w:spacing w:after="0" w:line="360" w:lineRule="auto"/>
        <w:ind w:firstLine="720"/>
        <w:jc w:val="both"/>
        <w:rPr>
          <w:rFonts w:ascii="Verdana" w:eastAsia="Times New Roman" w:hAnsi="Verdana" w:cs="Times New Roman"/>
          <w:sz w:val="20"/>
          <w:szCs w:val="20"/>
          <w:lang w:val="bg-BG" w:eastAsia="bg-BG"/>
        </w:rPr>
      </w:pPr>
    </w:p>
    <w:p w:rsidR="008F7D0A" w:rsidRPr="007C5599" w:rsidRDefault="00713B56" w:rsidP="003047D3">
      <w:pPr>
        <w:widowControl w:val="0"/>
        <w:autoSpaceDE w:val="0"/>
        <w:autoSpaceDN w:val="0"/>
        <w:adjustRightInd w:val="0"/>
        <w:spacing w:after="0" w:line="360" w:lineRule="auto"/>
        <w:ind w:firstLine="720"/>
        <w:jc w:val="both"/>
        <w:rPr>
          <w:rFonts w:ascii="Verdana" w:eastAsia="Times New Roman" w:hAnsi="Verdana" w:cs="Times New Roman"/>
          <w:sz w:val="20"/>
          <w:szCs w:val="20"/>
          <w:lang w:val="bg-BG" w:eastAsia="bg-BG"/>
        </w:rPr>
      </w:pPr>
      <w:r w:rsidRPr="007C5599">
        <w:rPr>
          <w:rFonts w:ascii="Verdana" w:eastAsia="Times New Roman" w:hAnsi="Verdana" w:cs="Times New Roman"/>
          <w:sz w:val="20"/>
          <w:szCs w:val="20"/>
          <w:lang w:val="bg-BG" w:eastAsia="bg-BG"/>
        </w:rPr>
        <w:t>Документите по проекта на постановление са съгласувани по реда на чл. 32 от Устройствения правилник на Министерския съвет и на неговата администрация. Направените целесъобразни бележки и предложения са отразени. Приложена е спр</w:t>
      </w:r>
      <w:r w:rsidR="003C3C3E" w:rsidRPr="007C5599">
        <w:rPr>
          <w:rFonts w:ascii="Verdana" w:eastAsia="Times New Roman" w:hAnsi="Verdana" w:cs="Times New Roman"/>
          <w:sz w:val="20"/>
          <w:szCs w:val="20"/>
          <w:lang w:val="bg-BG" w:eastAsia="bg-BG"/>
        </w:rPr>
        <w:t>авка за отразяване на постъпилите</w:t>
      </w:r>
      <w:r w:rsidRPr="007C5599">
        <w:rPr>
          <w:rFonts w:ascii="Verdana" w:eastAsia="Times New Roman" w:hAnsi="Verdana" w:cs="Times New Roman"/>
          <w:sz w:val="20"/>
          <w:szCs w:val="20"/>
          <w:lang w:val="bg-BG" w:eastAsia="bg-BG"/>
        </w:rPr>
        <w:t xml:space="preserve"> становища.</w:t>
      </w:r>
    </w:p>
    <w:p w:rsidR="008D65BC" w:rsidRDefault="008D65BC" w:rsidP="003047D3">
      <w:pPr>
        <w:widowControl w:val="0"/>
        <w:autoSpaceDE w:val="0"/>
        <w:autoSpaceDN w:val="0"/>
        <w:adjustRightInd w:val="0"/>
        <w:spacing w:after="0" w:line="360" w:lineRule="auto"/>
        <w:jc w:val="both"/>
        <w:rPr>
          <w:rFonts w:ascii="Verdana" w:eastAsia="Times New Roman" w:hAnsi="Verdana" w:cs="Times New Roman"/>
          <w:b/>
          <w:sz w:val="20"/>
          <w:szCs w:val="20"/>
          <w:lang w:val="bg-BG" w:eastAsia="bg-BG"/>
        </w:rPr>
      </w:pPr>
    </w:p>
    <w:p w:rsidR="00713B56" w:rsidRPr="007C5599" w:rsidRDefault="00713B56" w:rsidP="003047D3">
      <w:pPr>
        <w:widowControl w:val="0"/>
        <w:autoSpaceDE w:val="0"/>
        <w:autoSpaceDN w:val="0"/>
        <w:adjustRightInd w:val="0"/>
        <w:spacing w:after="0" w:line="360" w:lineRule="auto"/>
        <w:jc w:val="both"/>
        <w:rPr>
          <w:rFonts w:ascii="Verdana" w:eastAsia="Times New Roman" w:hAnsi="Verdana" w:cs="Times New Roman"/>
          <w:b/>
          <w:sz w:val="20"/>
          <w:szCs w:val="20"/>
          <w:lang w:val="bg-BG" w:eastAsia="bg-BG"/>
        </w:rPr>
      </w:pPr>
      <w:r w:rsidRPr="007C5599">
        <w:rPr>
          <w:rFonts w:ascii="Verdana" w:eastAsia="Times New Roman" w:hAnsi="Verdana" w:cs="Times New Roman"/>
          <w:b/>
          <w:sz w:val="20"/>
          <w:szCs w:val="20"/>
          <w:lang w:val="bg-BG" w:eastAsia="bg-BG"/>
        </w:rPr>
        <w:t>УВАЖАЕМИ ГОСПОДИН МИНИСТЪР-ПРЕДСЕДАТЕЛ,</w:t>
      </w:r>
    </w:p>
    <w:p w:rsidR="00496728" w:rsidRPr="008D65BC" w:rsidRDefault="00713B56" w:rsidP="009D6BB6">
      <w:pPr>
        <w:widowControl w:val="0"/>
        <w:autoSpaceDE w:val="0"/>
        <w:autoSpaceDN w:val="0"/>
        <w:adjustRightInd w:val="0"/>
        <w:spacing w:after="120" w:line="360" w:lineRule="auto"/>
        <w:jc w:val="both"/>
        <w:rPr>
          <w:rFonts w:ascii="Verdana" w:eastAsia="Times New Roman" w:hAnsi="Verdana" w:cs="Times New Roman"/>
          <w:b/>
          <w:sz w:val="20"/>
          <w:szCs w:val="20"/>
          <w:lang w:val="bg-BG" w:eastAsia="bg-BG"/>
        </w:rPr>
      </w:pPr>
      <w:r w:rsidRPr="007C5599">
        <w:rPr>
          <w:rFonts w:ascii="Verdana" w:eastAsia="Times New Roman" w:hAnsi="Verdana" w:cs="Times New Roman"/>
          <w:b/>
          <w:sz w:val="20"/>
          <w:szCs w:val="20"/>
          <w:lang w:val="bg-BG" w:eastAsia="bg-BG"/>
        </w:rPr>
        <w:t>УВАЖАЕМИ ГОСПОЖИ И ГОСПОДА МИНИСТРИ,</w:t>
      </w:r>
    </w:p>
    <w:p w:rsidR="00713B56" w:rsidRPr="007C5599" w:rsidRDefault="00713B56" w:rsidP="003047D3">
      <w:pPr>
        <w:widowControl w:val="0"/>
        <w:autoSpaceDE w:val="0"/>
        <w:autoSpaceDN w:val="0"/>
        <w:adjustRightInd w:val="0"/>
        <w:spacing w:after="0" w:line="360" w:lineRule="auto"/>
        <w:ind w:firstLine="720"/>
        <w:jc w:val="both"/>
        <w:rPr>
          <w:rFonts w:ascii="Verdana" w:eastAsia="Times New Roman" w:hAnsi="Verdana" w:cs="Times New Roman"/>
          <w:sz w:val="20"/>
          <w:szCs w:val="20"/>
          <w:lang w:val="bg-BG" w:eastAsia="bg-BG"/>
        </w:rPr>
      </w:pPr>
      <w:r w:rsidRPr="007C5599">
        <w:rPr>
          <w:rFonts w:ascii="Verdana" w:eastAsia="Times New Roman" w:hAnsi="Verdana" w:cs="Times New Roman"/>
          <w:sz w:val="20"/>
          <w:szCs w:val="20"/>
          <w:lang w:val="bg-BG" w:eastAsia="bg-BG"/>
        </w:rPr>
        <w:t>Във връзка с гореизложеното и на основание чл. 8, ал. 2 от Устройствения правилник на Министерския съвет и на неговата администрация, предлагам Министерския</w:t>
      </w:r>
      <w:r w:rsidR="003047D3" w:rsidRPr="007C5599">
        <w:rPr>
          <w:rFonts w:ascii="Verdana" w:eastAsia="Times New Roman" w:hAnsi="Verdana" w:cs="Times New Roman"/>
          <w:sz w:val="20"/>
          <w:szCs w:val="20"/>
          <w:lang w:val="bg-BG" w:eastAsia="bg-BG"/>
        </w:rPr>
        <w:t>т</w:t>
      </w:r>
      <w:r w:rsidRPr="007C5599">
        <w:rPr>
          <w:rFonts w:ascii="Verdana" w:eastAsia="Times New Roman" w:hAnsi="Verdana" w:cs="Times New Roman"/>
          <w:sz w:val="20"/>
          <w:szCs w:val="20"/>
          <w:lang w:val="bg-BG" w:eastAsia="bg-BG"/>
        </w:rPr>
        <w:t xml:space="preserve"> съвет да приеме приложения проект на постановление.</w:t>
      </w:r>
    </w:p>
    <w:p w:rsidR="00D069BC" w:rsidRPr="007C5599" w:rsidRDefault="00D069BC" w:rsidP="003047D3">
      <w:pPr>
        <w:widowControl w:val="0"/>
        <w:autoSpaceDE w:val="0"/>
        <w:autoSpaceDN w:val="0"/>
        <w:adjustRightInd w:val="0"/>
        <w:spacing w:after="0" w:line="360" w:lineRule="auto"/>
        <w:rPr>
          <w:rFonts w:ascii="Verdana" w:eastAsia="Times New Roman" w:hAnsi="Verdana" w:cs="Times New Roman"/>
          <w:b/>
          <w:sz w:val="20"/>
          <w:szCs w:val="20"/>
          <w:lang w:val="bg-BG" w:eastAsia="bg-BG"/>
        </w:rPr>
      </w:pPr>
    </w:p>
    <w:tbl>
      <w:tblPr>
        <w:tblW w:w="8512" w:type="dxa"/>
        <w:tblInd w:w="668" w:type="dxa"/>
        <w:tblLook w:val="01E0" w:firstRow="1" w:lastRow="1" w:firstColumn="1" w:lastColumn="1" w:noHBand="0" w:noVBand="0"/>
      </w:tblPr>
      <w:tblGrid>
        <w:gridCol w:w="1781"/>
        <w:gridCol w:w="6731"/>
      </w:tblGrid>
      <w:tr w:rsidR="00D069BC" w:rsidRPr="007C5599" w:rsidTr="00831D44">
        <w:tc>
          <w:tcPr>
            <w:tcW w:w="1781" w:type="dxa"/>
          </w:tcPr>
          <w:p w:rsidR="00D069BC" w:rsidRPr="007C5599" w:rsidRDefault="00D069BC" w:rsidP="00407FA1">
            <w:pPr>
              <w:spacing w:after="0" w:line="348" w:lineRule="auto"/>
              <w:jc w:val="both"/>
              <w:rPr>
                <w:rFonts w:ascii="Verdana" w:hAnsi="Verdana"/>
                <w:b/>
                <w:bCs/>
                <w:sz w:val="20"/>
                <w:szCs w:val="20"/>
                <w:lang w:val="bg-BG"/>
              </w:rPr>
            </w:pPr>
            <w:r w:rsidRPr="007C5599">
              <w:rPr>
                <w:rFonts w:ascii="Verdana" w:hAnsi="Verdana"/>
                <w:b/>
                <w:bCs/>
                <w:sz w:val="20"/>
                <w:szCs w:val="20"/>
                <w:lang w:val="bg-BG"/>
              </w:rPr>
              <w:lastRenderedPageBreak/>
              <w:t xml:space="preserve">Приложение: </w:t>
            </w:r>
          </w:p>
        </w:tc>
        <w:tc>
          <w:tcPr>
            <w:tcW w:w="6731" w:type="dxa"/>
          </w:tcPr>
          <w:p w:rsidR="00D069BC" w:rsidRPr="007C5599" w:rsidRDefault="00D069BC" w:rsidP="00407FA1">
            <w:pPr>
              <w:pStyle w:val="ListParagraph"/>
              <w:numPr>
                <w:ilvl w:val="0"/>
                <w:numId w:val="2"/>
              </w:numPr>
              <w:spacing w:after="0" w:line="348" w:lineRule="auto"/>
              <w:jc w:val="both"/>
              <w:rPr>
                <w:rFonts w:ascii="Verdana" w:hAnsi="Verdana"/>
                <w:spacing w:val="2"/>
                <w:sz w:val="20"/>
                <w:szCs w:val="20"/>
                <w:lang w:val="bg-BG"/>
              </w:rPr>
            </w:pPr>
            <w:r w:rsidRPr="007C5599">
              <w:rPr>
                <w:rFonts w:ascii="Verdana" w:hAnsi="Verdana"/>
                <w:spacing w:val="2"/>
                <w:sz w:val="20"/>
                <w:szCs w:val="20"/>
                <w:lang w:val="bg-BG"/>
              </w:rPr>
              <w:t xml:space="preserve">Проект на Постановление на Министерския съвет за изменение и допълнение на Устройствения правилник на Българската агенция по безопасност на храните, приет с Постановление № 35 на Министерския съвет от 2011 г.; </w:t>
            </w:r>
          </w:p>
          <w:p w:rsidR="00D069BC" w:rsidRPr="007C5599" w:rsidRDefault="00D069BC" w:rsidP="00407FA1">
            <w:pPr>
              <w:numPr>
                <w:ilvl w:val="0"/>
                <w:numId w:val="2"/>
              </w:numPr>
              <w:spacing w:after="0" w:line="348" w:lineRule="auto"/>
              <w:jc w:val="both"/>
              <w:rPr>
                <w:rFonts w:ascii="Verdana" w:hAnsi="Verdana"/>
                <w:sz w:val="20"/>
                <w:szCs w:val="20"/>
                <w:lang w:val="bg-BG"/>
              </w:rPr>
            </w:pPr>
            <w:r w:rsidRPr="007C5599">
              <w:rPr>
                <w:rFonts w:ascii="Verdana" w:hAnsi="Verdana"/>
                <w:sz w:val="20"/>
                <w:szCs w:val="20"/>
                <w:lang w:val="bg-BG"/>
              </w:rPr>
              <w:t>Частична предварителна оц</w:t>
            </w:r>
            <w:r w:rsidR="00553D67">
              <w:rPr>
                <w:rFonts w:ascii="Verdana" w:hAnsi="Verdana"/>
                <w:sz w:val="20"/>
                <w:szCs w:val="20"/>
                <w:lang w:val="bg-BG"/>
              </w:rPr>
              <w:t>енка на въздействието;</w:t>
            </w:r>
          </w:p>
          <w:p w:rsidR="00D069BC" w:rsidRPr="007C5599" w:rsidRDefault="00D069BC" w:rsidP="00407FA1">
            <w:pPr>
              <w:numPr>
                <w:ilvl w:val="0"/>
                <w:numId w:val="2"/>
              </w:numPr>
              <w:spacing w:after="0" w:line="348" w:lineRule="auto"/>
              <w:jc w:val="both"/>
              <w:rPr>
                <w:rFonts w:ascii="Verdana" w:hAnsi="Verdana"/>
                <w:sz w:val="20"/>
                <w:szCs w:val="20"/>
                <w:lang w:val="bg-BG"/>
              </w:rPr>
            </w:pPr>
            <w:r w:rsidRPr="007C5599">
              <w:rPr>
                <w:rFonts w:ascii="Verdana" w:hAnsi="Verdana"/>
                <w:sz w:val="20"/>
                <w:szCs w:val="20"/>
                <w:lang w:val="bg-BG"/>
              </w:rPr>
              <w:t>Становище на дирекция „Модернизация на администрацията” в Министерския съвет по частичната предварителна оценка на въздействието;</w:t>
            </w:r>
          </w:p>
          <w:p w:rsidR="00D069BC" w:rsidRPr="007C5599" w:rsidRDefault="00D069BC" w:rsidP="00407FA1">
            <w:pPr>
              <w:numPr>
                <w:ilvl w:val="0"/>
                <w:numId w:val="2"/>
              </w:numPr>
              <w:spacing w:after="0" w:line="348" w:lineRule="auto"/>
              <w:jc w:val="both"/>
              <w:rPr>
                <w:rFonts w:ascii="Verdana" w:hAnsi="Verdana"/>
                <w:sz w:val="20"/>
                <w:szCs w:val="20"/>
                <w:lang w:val="bg-BG"/>
              </w:rPr>
            </w:pPr>
            <w:r w:rsidRPr="007C5599">
              <w:rPr>
                <w:rFonts w:ascii="Verdana" w:hAnsi="Verdana"/>
                <w:sz w:val="20"/>
                <w:szCs w:val="20"/>
                <w:lang w:val="bg-BG"/>
              </w:rPr>
              <w:t>Финансова обосновка;</w:t>
            </w:r>
          </w:p>
          <w:p w:rsidR="00D069BC" w:rsidRPr="007C5599" w:rsidRDefault="00D069BC" w:rsidP="00407FA1">
            <w:pPr>
              <w:numPr>
                <w:ilvl w:val="0"/>
                <w:numId w:val="2"/>
              </w:numPr>
              <w:spacing w:after="0" w:line="348" w:lineRule="auto"/>
              <w:jc w:val="both"/>
              <w:rPr>
                <w:rFonts w:ascii="Verdana" w:hAnsi="Verdana"/>
                <w:sz w:val="20"/>
                <w:szCs w:val="20"/>
                <w:lang w:val="bg-BG"/>
              </w:rPr>
            </w:pPr>
            <w:r w:rsidRPr="007C5599">
              <w:rPr>
                <w:rFonts w:ascii="Verdana" w:hAnsi="Verdana"/>
                <w:sz w:val="20"/>
                <w:szCs w:val="20"/>
                <w:lang w:val="bg-BG"/>
              </w:rPr>
              <w:t xml:space="preserve">Справка за отразяване на становищата, постъпили по реда на чл. 32 – 34 от </w:t>
            </w:r>
            <w:r w:rsidR="00407FA1">
              <w:rPr>
                <w:rFonts w:ascii="Verdana" w:hAnsi="Verdana"/>
                <w:sz w:val="20"/>
                <w:szCs w:val="20"/>
                <w:lang w:val="bg-BG"/>
              </w:rPr>
              <w:t>УПМСНА</w:t>
            </w:r>
            <w:r w:rsidRPr="007C5599">
              <w:rPr>
                <w:rFonts w:ascii="Verdana" w:hAnsi="Verdana"/>
                <w:sz w:val="20"/>
                <w:szCs w:val="20"/>
                <w:lang w:val="bg-BG"/>
              </w:rPr>
              <w:t>;</w:t>
            </w:r>
          </w:p>
          <w:p w:rsidR="00D069BC" w:rsidRPr="007C5599" w:rsidRDefault="00D069BC" w:rsidP="00407FA1">
            <w:pPr>
              <w:numPr>
                <w:ilvl w:val="0"/>
                <w:numId w:val="2"/>
              </w:numPr>
              <w:spacing w:after="0" w:line="348" w:lineRule="auto"/>
              <w:jc w:val="both"/>
              <w:rPr>
                <w:rFonts w:ascii="Verdana" w:hAnsi="Verdana"/>
                <w:sz w:val="20"/>
                <w:szCs w:val="20"/>
                <w:lang w:val="bg-BG"/>
              </w:rPr>
            </w:pPr>
            <w:r w:rsidRPr="007C5599">
              <w:rPr>
                <w:rFonts w:ascii="Verdana" w:hAnsi="Verdana"/>
                <w:sz w:val="20"/>
                <w:szCs w:val="20"/>
                <w:lang w:val="bg-BG"/>
              </w:rPr>
              <w:t xml:space="preserve">Постъпили становища по реда на чл. 32 – 34 от </w:t>
            </w:r>
            <w:r w:rsidR="00407FA1">
              <w:rPr>
                <w:rFonts w:ascii="Verdana" w:hAnsi="Verdana"/>
                <w:sz w:val="20"/>
                <w:szCs w:val="20"/>
                <w:lang w:val="bg-BG"/>
              </w:rPr>
              <w:t>УПМСНА</w:t>
            </w:r>
            <w:r w:rsidRPr="007C5599">
              <w:rPr>
                <w:rFonts w:ascii="Verdana" w:hAnsi="Verdana"/>
                <w:sz w:val="20"/>
                <w:szCs w:val="20"/>
                <w:lang w:val="bg-BG"/>
              </w:rPr>
              <w:t>;</w:t>
            </w:r>
          </w:p>
          <w:p w:rsidR="00D069BC" w:rsidRPr="007C5599" w:rsidRDefault="00D069BC" w:rsidP="00407FA1">
            <w:pPr>
              <w:numPr>
                <w:ilvl w:val="0"/>
                <w:numId w:val="2"/>
              </w:numPr>
              <w:spacing w:after="0" w:line="348" w:lineRule="auto"/>
              <w:jc w:val="both"/>
              <w:rPr>
                <w:rFonts w:ascii="Verdana" w:hAnsi="Verdana"/>
                <w:sz w:val="20"/>
                <w:szCs w:val="20"/>
                <w:lang w:val="bg-BG"/>
              </w:rPr>
            </w:pPr>
            <w:r w:rsidRPr="007C5599">
              <w:rPr>
                <w:rFonts w:ascii="Verdana" w:hAnsi="Verdana" w:cs="Verdana"/>
                <w:sz w:val="20"/>
                <w:szCs w:val="20"/>
                <w:lang w:val="bg-BG"/>
              </w:rPr>
              <w:t>Справка за отразяване на предложенията и становищата от обществената консултация, заедно с обосновка за неприетите предложения</w:t>
            </w:r>
            <w:r w:rsidRPr="007C5599">
              <w:rPr>
                <w:rFonts w:ascii="Verdana" w:hAnsi="Verdana"/>
                <w:sz w:val="20"/>
                <w:szCs w:val="20"/>
                <w:lang w:val="bg-BG"/>
              </w:rPr>
              <w:t xml:space="preserve">; </w:t>
            </w:r>
          </w:p>
          <w:p w:rsidR="00D069BC" w:rsidRPr="007C5599" w:rsidRDefault="00D069BC" w:rsidP="00407FA1">
            <w:pPr>
              <w:numPr>
                <w:ilvl w:val="0"/>
                <w:numId w:val="2"/>
              </w:numPr>
              <w:spacing w:after="0" w:line="348" w:lineRule="auto"/>
              <w:jc w:val="both"/>
              <w:rPr>
                <w:rFonts w:ascii="Verdana" w:hAnsi="Verdana"/>
                <w:sz w:val="20"/>
                <w:szCs w:val="20"/>
                <w:lang w:val="bg-BG"/>
              </w:rPr>
            </w:pPr>
            <w:r w:rsidRPr="007C5599">
              <w:rPr>
                <w:rFonts w:ascii="Verdana" w:hAnsi="Verdana"/>
                <w:sz w:val="20"/>
                <w:szCs w:val="20"/>
                <w:lang w:val="bg-BG"/>
              </w:rPr>
              <w:t>Постъпили становища и предложения от обществената консултация;</w:t>
            </w:r>
          </w:p>
          <w:p w:rsidR="00D069BC" w:rsidRPr="007C5599" w:rsidRDefault="00D069BC" w:rsidP="00407FA1">
            <w:pPr>
              <w:numPr>
                <w:ilvl w:val="0"/>
                <w:numId w:val="2"/>
              </w:numPr>
              <w:spacing w:after="0" w:line="348" w:lineRule="auto"/>
              <w:jc w:val="both"/>
              <w:rPr>
                <w:rFonts w:ascii="Verdana" w:hAnsi="Verdana"/>
                <w:sz w:val="20"/>
                <w:szCs w:val="20"/>
                <w:lang w:val="bg-BG"/>
              </w:rPr>
            </w:pPr>
            <w:r w:rsidRPr="007C5599">
              <w:rPr>
                <w:rFonts w:ascii="Verdana" w:hAnsi="Verdana"/>
                <w:sz w:val="20"/>
                <w:szCs w:val="20"/>
                <w:lang w:val="bg-BG"/>
              </w:rPr>
              <w:t>Проект на съобщение за средствата за масово осведомяване.</w:t>
            </w:r>
          </w:p>
        </w:tc>
      </w:tr>
    </w:tbl>
    <w:p w:rsidR="00D069BC" w:rsidRPr="00407FA1" w:rsidRDefault="00D069BC" w:rsidP="003047D3">
      <w:pPr>
        <w:widowControl w:val="0"/>
        <w:autoSpaceDE w:val="0"/>
        <w:autoSpaceDN w:val="0"/>
        <w:adjustRightInd w:val="0"/>
        <w:spacing w:after="0" w:line="360" w:lineRule="auto"/>
        <w:rPr>
          <w:rFonts w:ascii="Verdana" w:eastAsia="Times New Roman" w:hAnsi="Verdana" w:cs="Times New Roman"/>
          <w:sz w:val="20"/>
          <w:szCs w:val="20"/>
          <w:lang w:val="bg-BG" w:eastAsia="bg-BG"/>
        </w:rPr>
      </w:pPr>
    </w:p>
    <w:p w:rsidR="00553D67" w:rsidRPr="00407FA1" w:rsidRDefault="00553D67" w:rsidP="003047D3">
      <w:pPr>
        <w:widowControl w:val="0"/>
        <w:autoSpaceDE w:val="0"/>
        <w:autoSpaceDN w:val="0"/>
        <w:adjustRightInd w:val="0"/>
        <w:spacing w:after="0" w:line="360" w:lineRule="auto"/>
        <w:rPr>
          <w:rFonts w:ascii="Verdana" w:eastAsia="Times New Roman" w:hAnsi="Verdana" w:cs="Times New Roman"/>
          <w:sz w:val="20"/>
          <w:szCs w:val="20"/>
          <w:lang w:val="bg-BG" w:eastAsia="bg-BG"/>
        </w:rPr>
      </w:pPr>
    </w:p>
    <w:p w:rsidR="00553D67" w:rsidRPr="00407FA1" w:rsidRDefault="00553D67" w:rsidP="003047D3">
      <w:pPr>
        <w:widowControl w:val="0"/>
        <w:autoSpaceDE w:val="0"/>
        <w:autoSpaceDN w:val="0"/>
        <w:adjustRightInd w:val="0"/>
        <w:spacing w:after="0" w:line="360" w:lineRule="auto"/>
        <w:rPr>
          <w:rFonts w:ascii="Verdana" w:eastAsia="Times New Roman" w:hAnsi="Verdana" w:cs="Times New Roman"/>
          <w:sz w:val="20"/>
          <w:szCs w:val="20"/>
          <w:lang w:val="bg-BG" w:eastAsia="bg-BG"/>
        </w:rPr>
      </w:pPr>
    </w:p>
    <w:p w:rsidR="00713B56" w:rsidRPr="007C5599" w:rsidRDefault="00D6497F" w:rsidP="003047D3">
      <w:pPr>
        <w:widowControl w:val="0"/>
        <w:autoSpaceDE w:val="0"/>
        <w:autoSpaceDN w:val="0"/>
        <w:adjustRightInd w:val="0"/>
        <w:spacing w:after="0" w:line="360" w:lineRule="auto"/>
        <w:rPr>
          <w:rFonts w:ascii="Verdana" w:eastAsia="Times New Roman" w:hAnsi="Verdana" w:cs="Times New Roman"/>
          <w:b/>
          <w:sz w:val="20"/>
          <w:szCs w:val="20"/>
          <w:lang w:val="bg-BG" w:eastAsia="bg-BG"/>
        </w:rPr>
      </w:pPr>
      <w:r w:rsidRPr="007C5599">
        <w:rPr>
          <w:rFonts w:ascii="Verdana" w:eastAsia="Times New Roman" w:hAnsi="Verdana" w:cs="Times New Roman"/>
          <w:b/>
          <w:sz w:val="20"/>
          <w:szCs w:val="20"/>
          <w:lang w:val="bg-BG" w:eastAsia="bg-BG"/>
        </w:rPr>
        <w:t>КИРИЛ ВЪТЕВ</w:t>
      </w:r>
    </w:p>
    <w:p w:rsidR="00713B56" w:rsidRPr="007C5599" w:rsidRDefault="00713B56" w:rsidP="003047D3">
      <w:pPr>
        <w:widowControl w:val="0"/>
        <w:autoSpaceDE w:val="0"/>
        <w:autoSpaceDN w:val="0"/>
        <w:adjustRightInd w:val="0"/>
        <w:spacing w:after="0" w:line="360" w:lineRule="auto"/>
        <w:jc w:val="both"/>
        <w:rPr>
          <w:rFonts w:ascii="Verdana" w:eastAsia="Times New Roman" w:hAnsi="Verdana" w:cs="Times New Roman"/>
          <w:i/>
          <w:sz w:val="20"/>
          <w:szCs w:val="20"/>
          <w:lang w:val="bg-BG" w:eastAsia="bg-BG"/>
        </w:rPr>
      </w:pPr>
      <w:r w:rsidRPr="007C5599">
        <w:rPr>
          <w:rFonts w:ascii="Verdana" w:eastAsia="Times New Roman" w:hAnsi="Verdana" w:cs="Times New Roman"/>
          <w:i/>
          <w:sz w:val="20"/>
          <w:szCs w:val="20"/>
          <w:lang w:val="bg-BG" w:eastAsia="bg-BG"/>
        </w:rPr>
        <w:t>Министър</w:t>
      </w:r>
      <w:bookmarkStart w:id="0" w:name="_GoBack"/>
      <w:bookmarkEnd w:id="0"/>
    </w:p>
    <w:sectPr w:rsidR="00713B56" w:rsidRPr="007C5599" w:rsidSect="008D65BC">
      <w:footerReference w:type="default" r:id="rId9"/>
      <w:headerReference w:type="first" r:id="rId10"/>
      <w:pgSz w:w="11907" w:h="16840" w:code="9"/>
      <w:pgMar w:top="1134" w:right="1134" w:bottom="567"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B35" w:rsidRDefault="000A3B35">
      <w:pPr>
        <w:spacing w:after="0" w:line="240" w:lineRule="auto"/>
      </w:pPr>
      <w:r>
        <w:separator/>
      </w:r>
    </w:p>
  </w:endnote>
  <w:endnote w:type="continuationSeparator" w:id="0">
    <w:p w:rsidR="000A3B35" w:rsidRDefault="000A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C6" w:rsidRPr="001537B2" w:rsidRDefault="00CE185E" w:rsidP="00742EB1">
    <w:pPr>
      <w:pStyle w:val="Footer"/>
      <w:jc w:val="right"/>
    </w:pPr>
    <w:r w:rsidRPr="00630D38">
      <w:rPr>
        <w:rFonts w:ascii="Verdana" w:hAnsi="Verdana"/>
        <w:sz w:val="16"/>
        <w:szCs w:val="16"/>
      </w:rPr>
      <w:fldChar w:fldCharType="begin"/>
    </w:r>
    <w:r w:rsidRPr="00630D38">
      <w:rPr>
        <w:rFonts w:ascii="Verdana" w:hAnsi="Verdana"/>
        <w:sz w:val="16"/>
        <w:szCs w:val="16"/>
      </w:rPr>
      <w:instrText xml:space="preserve"> PAGE   \* MERGEFORMAT </w:instrText>
    </w:r>
    <w:r w:rsidRPr="00630D38">
      <w:rPr>
        <w:rFonts w:ascii="Verdana" w:hAnsi="Verdana"/>
        <w:sz w:val="16"/>
        <w:szCs w:val="16"/>
      </w:rPr>
      <w:fldChar w:fldCharType="separate"/>
    </w:r>
    <w:r w:rsidR="000E30CB">
      <w:rPr>
        <w:rFonts w:ascii="Verdana" w:hAnsi="Verdana"/>
        <w:noProof/>
        <w:sz w:val="16"/>
        <w:szCs w:val="16"/>
      </w:rPr>
      <w:t>7</w:t>
    </w:r>
    <w:r w:rsidRPr="00630D38">
      <w:rPr>
        <w:rFonts w:ascii="Verdana" w:hAnsi="Verdana"/>
        <w:sz w:val="16"/>
        <w:szCs w:val="16"/>
      </w:rPr>
      <w:fldChar w:fldCharType="end"/>
    </w:r>
    <w:r>
      <w:rPr>
        <w:rFonts w:ascii="Verdana" w:hAnsi="Verdana"/>
        <w:noProof/>
        <w:sz w:val="16"/>
        <w:szCs w:val="16"/>
        <w:lang w:val="bg-BG"/>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B35" w:rsidRDefault="000A3B35">
      <w:pPr>
        <w:spacing w:after="0" w:line="240" w:lineRule="auto"/>
      </w:pPr>
      <w:r>
        <w:separator/>
      </w:r>
    </w:p>
  </w:footnote>
  <w:footnote w:type="continuationSeparator" w:id="0">
    <w:p w:rsidR="000A3B35" w:rsidRDefault="000A3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79" w:rsidRPr="00B85079" w:rsidRDefault="00B85079" w:rsidP="00B85079">
    <w:pPr>
      <w:tabs>
        <w:tab w:val="center" w:pos="4320"/>
        <w:tab w:val="right" w:pos="8640"/>
      </w:tabs>
      <w:overflowPunct w:val="0"/>
      <w:autoSpaceDE w:val="0"/>
      <w:autoSpaceDN w:val="0"/>
      <w:adjustRightInd w:val="0"/>
      <w:spacing w:after="0"/>
      <w:jc w:val="right"/>
      <w:textAlignment w:val="baseline"/>
      <w:rPr>
        <w:rFonts w:ascii="Verdana" w:hAnsi="Verdana"/>
        <w:sz w:val="18"/>
        <w:szCs w:val="18"/>
        <w:lang w:val="bg-BG"/>
      </w:rPr>
    </w:pPr>
    <w:r w:rsidRPr="00B85079">
      <w:rPr>
        <w:rFonts w:ascii="Verdana" w:hAnsi="Verdana"/>
        <w:sz w:val="18"/>
        <w:szCs w:val="18"/>
        <w:lang w:val="bg-BG"/>
      </w:rPr>
      <w:t>Класификация на информацията:</w:t>
    </w:r>
  </w:p>
  <w:p w:rsidR="00B85079" w:rsidRDefault="00F245A0" w:rsidP="003047D3">
    <w:pPr>
      <w:pStyle w:val="Header"/>
      <w:jc w:val="right"/>
      <w:rPr>
        <w:rFonts w:ascii="Verdana" w:hAnsi="Verdana"/>
        <w:sz w:val="18"/>
        <w:szCs w:val="18"/>
        <w:lang w:val="bg-BG"/>
      </w:rPr>
    </w:pPr>
    <w:r>
      <w:rPr>
        <w:rFonts w:ascii="Verdana" w:hAnsi="Verdana"/>
        <w:sz w:val="18"/>
        <w:szCs w:val="18"/>
        <w:lang w:val="bg-BG"/>
      </w:rPr>
      <w:t>Ниво 0</w:t>
    </w:r>
    <w:r w:rsidR="00B85079" w:rsidRPr="00B85079">
      <w:rPr>
        <w:rFonts w:ascii="Verdana" w:hAnsi="Verdana"/>
        <w:sz w:val="18"/>
        <w:szCs w:val="18"/>
        <w:lang w:val="bg-BG"/>
      </w:rPr>
      <w:t>, TLP-WHITE</w:t>
    </w:r>
  </w:p>
  <w:p w:rsidR="00E670F4" w:rsidRPr="00B85079" w:rsidRDefault="00E670F4" w:rsidP="00B85079">
    <w:pPr>
      <w:pStyle w:val="Header"/>
      <w:rPr>
        <w:sz w:val="18"/>
        <w:szCs w:val="18"/>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80A77"/>
    <w:multiLevelType w:val="multilevel"/>
    <w:tmpl w:val="A786394E"/>
    <w:lvl w:ilvl="0">
      <w:start w:val="1"/>
      <w:numFmt w:val="decimal"/>
      <w:suff w:val="space"/>
      <w:lvlText w:val="%1."/>
      <w:lvlJc w:val="right"/>
      <w:pPr>
        <w:ind w:left="340" w:firstLine="0"/>
      </w:pPr>
      <w:rPr>
        <w:rFonts w:hint="default"/>
        <w:sz w:val="20"/>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1" w15:restartNumberingAfterBreak="0">
    <w:nsid w:val="74C33626"/>
    <w:multiLevelType w:val="hybridMultilevel"/>
    <w:tmpl w:val="CBA65D06"/>
    <w:lvl w:ilvl="0" w:tplc="03DECB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13"/>
    <w:rsid w:val="000260E0"/>
    <w:rsid w:val="00032D9A"/>
    <w:rsid w:val="000536AE"/>
    <w:rsid w:val="000614FD"/>
    <w:rsid w:val="000A3B35"/>
    <w:rsid w:val="000B68FB"/>
    <w:rsid w:val="000B7903"/>
    <w:rsid w:val="000E30CB"/>
    <w:rsid w:val="000E396E"/>
    <w:rsid w:val="000E591D"/>
    <w:rsid w:val="00114019"/>
    <w:rsid w:val="00126970"/>
    <w:rsid w:val="001463D7"/>
    <w:rsid w:val="0014774A"/>
    <w:rsid w:val="00147A61"/>
    <w:rsid w:val="001613CD"/>
    <w:rsid w:val="0017745A"/>
    <w:rsid w:val="0018050B"/>
    <w:rsid w:val="00187F06"/>
    <w:rsid w:val="001B4D85"/>
    <w:rsid w:val="001D041B"/>
    <w:rsid w:val="001D08E8"/>
    <w:rsid w:val="001E3691"/>
    <w:rsid w:val="001E7817"/>
    <w:rsid w:val="001F7F0A"/>
    <w:rsid w:val="00231209"/>
    <w:rsid w:val="002419EF"/>
    <w:rsid w:val="002552D9"/>
    <w:rsid w:val="00273349"/>
    <w:rsid w:val="002750C1"/>
    <w:rsid w:val="00276331"/>
    <w:rsid w:val="00287F1E"/>
    <w:rsid w:val="002957BD"/>
    <w:rsid w:val="002A0395"/>
    <w:rsid w:val="002A256E"/>
    <w:rsid w:val="002C66DA"/>
    <w:rsid w:val="002F3E54"/>
    <w:rsid w:val="00300284"/>
    <w:rsid w:val="003047D3"/>
    <w:rsid w:val="003148A2"/>
    <w:rsid w:val="00322350"/>
    <w:rsid w:val="00340BD1"/>
    <w:rsid w:val="00346171"/>
    <w:rsid w:val="00346F2A"/>
    <w:rsid w:val="003551F9"/>
    <w:rsid w:val="003B0597"/>
    <w:rsid w:val="003C3C3E"/>
    <w:rsid w:val="003D2885"/>
    <w:rsid w:val="003D33E3"/>
    <w:rsid w:val="003D49BD"/>
    <w:rsid w:val="003F01AD"/>
    <w:rsid w:val="003F7408"/>
    <w:rsid w:val="00407FA1"/>
    <w:rsid w:val="0046028F"/>
    <w:rsid w:val="00461D54"/>
    <w:rsid w:val="004962D4"/>
    <w:rsid w:val="00496728"/>
    <w:rsid w:val="004E1AC4"/>
    <w:rsid w:val="004E3FAF"/>
    <w:rsid w:val="004F40AC"/>
    <w:rsid w:val="00501CF9"/>
    <w:rsid w:val="0050481D"/>
    <w:rsid w:val="005123ED"/>
    <w:rsid w:val="00532555"/>
    <w:rsid w:val="005400E0"/>
    <w:rsid w:val="00553D67"/>
    <w:rsid w:val="00560FA8"/>
    <w:rsid w:val="005827FE"/>
    <w:rsid w:val="0059444C"/>
    <w:rsid w:val="005F179D"/>
    <w:rsid w:val="005F2DE3"/>
    <w:rsid w:val="006004DA"/>
    <w:rsid w:val="00612BA1"/>
    <w:rsid w:val="00616060"/>
    <w:rsid w:val="00626EEE"/>
    <w:rsid w:val="00643D06"/>
    <w:rsid w:val="00665AD4"/>
    <w:rsid w:val="006C0C53"/>
    <w:rsid w:val="006C3161"/>
    <w:rsid w:val="006C3E9F"/>
    <w:rsid w:val="006D2F9E"/>
    <w:rsid w:val="006D6D51"/>
    <w:rsid w:val="007009EF"/>
    <w:rsid w:val="00711264"/>
    <w:rsid w:val="00713B56"/>
    <w:rsid w:val="00715E48"/>
    <w:rsid w:val="007301ED"/>
    <w:rsid w:val="00730FAE"/>
    <w:rsid w:val="00751B78"/>
    <w:rsid w:val="007906DE"/>
    <w:rsid w:val="007929C5"/>
    <w:rsid w:val="00797BA7"/>
    <w:rsid w:val="007A351C"/>
    <w:rsid w:val="007C09E6"/>
    <w:rsid w:val="007C1D2F"/>
    <w:rsid w:val="007C5599"/>
    <w:rsid w:val="007D6123"/>
    <w:rsid w:val="007F4244"/>
    <w:rsid w:val="007F6246"/>
    <w:rsid w:val="008117A0"/>
    <w:rsid w:val="00820F52"/>
    <w:rsid w:val="00823304"/>
    <w:rsid w:val="008465B2"/>
    <w:rsid w:val="0086008B"/>
    <w:rsid w:val="00861AB3"/>
    <w:rsid w:val="008929D0"/>
    <w:rsid w:val="008969D0"/>
    <w:rsid w:val="008C3FAE"/>
    <w:rsid w:val="008D65BC"/>
    <w:rsid w:val="008F204D"/>
    <w:rsid w:val="008F2F69"/>
    <w:rsid w:val="008F4469"/>
    <w:rsid w:val="008F44CB"/>
    <w:rsid w:val="008F4F98"/>
    <w:rsid w:val="008F7D0A"/>
    <w:rsid w:val="00903FBE"/>
    <w:rsid w:val="00904AE9"/>
    <w:rsid w:val="00932DD2"/>
    <w:rsid w:val="009A4C02"/>
    <w:rsid w:val="009A6635"/>
    <w:rsid w:val="009B2493"/>
    <w:rsid w:val="009B4F89"/>
    <w:rsid w:val="009B5AFC"/>
    <w:rsid w:val="009C2B40"/>
    <w:rsid w:val="009C6CAE"/>
    <w:rsid w:val="009D0B3F"/>
    <w:rsid w:val="009D6A8A"/>
    <w:rsid w:val="009D6BB6"/>
    <w:rsid w:val="00A026D7"/>
    <w:rsid w:val="00A14F50"/>
    <w:rsid w:val="00A23AEE"/>
    <w:rsid w:val="00A42EFC"/>
    <w:rsid w:val="00A85B3C"/>
    <w:rsid w:val="00A91216"/>
    <w:rsid w:val="00AA0295"/>
    <w:rsid w:val="00AA7328"/>
    <w:rsid w:val="00AC5679"/>
    <w:rsid w:val="00AE15B1"/>
    <w:rsid w:val="00AF7C97"/>
    <w:rsid w:val="00B10999"/>
    <w:rsid w:val="00B200EB"/>
    <w:rsid w:val="00B23842"/>
    <w:rsid w:val="00B32D1E"/>
    <w:rsid w:val="00B33793"/>
    <w:rsid w:val="00B339A2"/>
    <w:rsid w:val="00B378F4"/>
    <w:rsid w:val="00B525D6"/>
    <w:rsid w:val="00B54992"/>
    <w:rsid w:val="00B67E06"/>
    <w:rsid w:val="00B81549"/>
    <w:rsid w:val="00B85079"/>
    <w:rsid w:val="00B94C8A"/>
    <w:rsid w:val="00BB2C44"/>
    <w:rsid w:val="00BB33E1"/>
    <w:rsid w:val="00BB3984"/>
    <w:rsid w:val="00BB5278"/>
    <w:rsid w:val="00BC058C"/>
    <w:rsid w:val="00BD114C"/>
    <w:rsid w:val="00BE6A23"/>
    <w:rsid w:val="00BE7588"/>
    <w:rsid w:val="00BF6643"/>
    <w:rsid w:val="00BF7FBD"/>
    <w:rsid w:val="00C24084"/>
    <w:rsid w:val="00C30687"/>
    <w:rsid w:val="00C418C4"/>
    <w:rsid w:val="00C45764"/>
    <w:rsid w:val="00C52F25"/>
    <w:rsid w:val="00C57527"/>
    <w:rsid w:val="00C722B7"/>
    <w:rsid w:val="00C876EC"/>
    <w:rsid w:val="00CB24CE"/>
    <w:rsid w:val="00CC0B60"/>
    <w:rsid w:val="00CD1117"/>
    <w:rsid w:val="00CE185E"/>
    <w:rsid w:val="00CF3D95"/>
    <w:rsid w:val="00CF5D63"/>
    <w:rsid w:val="00D069BC"/>
    <w:rsid w:val="00D22357"/>
    <w:rsid w:val="00D2315E"/>
    <w:rsid w:val="00D23E85"/>
    <w:rsid w:val="00D24798"/>
    <w:rsid w:val="00D505F2"/>
    <w:rsid w:val="00D57538"/>
    <w:rsid w:val="00D6497F"/>
    <w:rsid w:val="00D75B20"/>
    <w:rsid w:val="00D76F17"/>
    <w:rsid w:val="00D772B4"/>
    <w:rsid w:val="00DA4333"/>
    <w:rsid w:val="00DA73AE"/>
    <w:rsid w:val="00DC15A3"/>
    <w:rsid w:val="00DD0F55"/>
    <w:rsid w:val="00DD6AF4"/>
    <w:rsid w:val="00DE71FC"/>
    <w:rsid w:val="00E14575"/>
    <w:rsid w:val="00E670F4"/>
    <w:rsid w:val="00E82B4A"/>
    <w:rsid w:val="00E916DC"/>
    <w:rsid w:val="00E91C52"/>
    <w:rsid w:val="00EA5B9E"/>
    <w:rsid w:val="00EB4753"/>
    <w:rsid w:val="00EC3065"/>
    <w:rsid w:val="00ED2826"/>
    <w:rsid w:val="00EE6E1B"/>
    <w:rsid w:val="00EF2020"/>
    <w:rsid w:val="00F04B12"/>
    <w:rsid w:val="00F122CE"/>
    <w:rsid w:val="00F24113"/>
    <w:rsid w:val="00F245A0"/>
    <w:rsid w:val="00F35ACB"/>
    <w:rsid w:val="00F645F6"/>
    <w:rsid w:val="00F84712"/>
    <w:rsid w:val="00FB2B42"/>
    <w:rsid w:val="00FC574E"/>
    <w:rsid w:val="00FC58B0"/>
    <w:rsid w:val="00FD1879"/>
    <w:rsid w:val="00FE4599"/>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517E3-CDBF-4FF4-AD85-130714D9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B5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3B56"/>
    <w:pPr>
      <w:tabs>
        <w:tab w:val="center" w:pos="4703"/>
        <w:tab w:val="right" w:pos="9406"/>
      </w:tabs>
      <w:spacing w:after="0" w:line="240" w:lineRule="auto"/>
    </w:pPr>
  </w:style>
  <w:style w:type="character" w:customStyle="1" w:styleId="FooterChar">
    <w:name w:val="Footer Char"/>
    <w:basedOn w:val="DefaultParagraphFont"/>
    <w:link w:val="Footer"/>
    <w:uiPriority w:val="99"/>
    <w:rsid w:val="00713B56"/>
    <w:rPr>
      <w:lang w:val="en-US"/>
    </w:rPr>
  </w:style>
  <w:style w:type="paragraph" w:customStyle="1" w:styleId="Default">
    <w:name w:val="Default"/>
    <w:rsid w:val="00713B56"/>
    <w:pPr>
      <w:autoSpaceDE w:val="0"/>
      <w:autoSpaceDN w:val="0"/>
      <w:adjustRightInd w:val="0"/>
      <w:spacing w:after="0" w:line="240" w:lineRule="auto"/>
    </w:pPr>
    <w:rPr>
      <w:rFonts w:ascii="Verdana" w:hAnsi="Verdana" w:cs="Verdana"/>
      <w:color w:val="000000"/>
      <w:sz w:val="24"/>
      <w:szCs w:val="24"/>
      <w:lang w:val="en-US"/>
    </w:rPr>
  </w:style>
  <w:style w:type="table" w:styleId="TableGrid">
    <w:name w:val="Table Grid"/>
    <w:basedOn w:val="TableNormal"/>
    <w:uiPriority w:val="39"/>
    <w:rsid w:val="00713B5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B56"/>
    <w:pPr>
      <w:ind w:left="720"/>
      <w:contextualSpacing/>
    </w:pPr>
  </w:style>
  <w:style w:type="paragraph" w:styleId="BalloonText">
    <w:name w:val="Balloon Text"/>
    <w:basedOn w:val="Normal"/>
    <w:link w:val="BalloonTextChar"/>
    <w:uiPriority w:val="99"/>
    <w:semiHidden/>
    <w:unhideWhenUsed/>
    <w:rsid w:val="00A02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6D7"/>
    <w:rPr>
      <w:rFonts w:ascii="Tahoma" w:hAnsi="Tahoma" w:cs="Tahoma"/>
      <w:sz w:val="16"/>
      <w:szCs w:val="16"/>
      <w:lang w:val="en-US"/>
    </w:rPr>
  </w:style>
  <w:style w:type="character" w:customStyle="1" w:styleId="alt">
    <w:name w:val="al_t"/>
    <w:rsid w:val="00AA7328"/>
  </w:style>
  <w:style w:type="paragraph" w:styleId="Header">
    <w:name w:val="header"/>
    <w:basedOn w:val="Normal"/>
    <w:link w:val="HeaderChar"/>
    <w:uiPriority w:val="99"/>
    <w:unhideWhenUsed/>
    <w:rsid w:val="00B85079"/>
    <w:pPr>
      <w:tabs>
        <w:tab w:val="center" w:pos="4703"/>
        <w:tab w:val="right" w:pos="9406"/>
      </w:tabs>
      <w:spacing w:after="0" w:line="240" w:lineRule="auto"/>
    </w:pPr>
  </w:style>
  <w:style w:type="character" w:customStyle="1" w:styleId="HeaderChar">
    <w:name w:val="Header Char"/>
    <w:basedOn w:val="DefaultParagraphFont"/>
    <w:link w:val="Header"/>
    <w:uiPriority w:val="99"/>
    <w:rsid w:val="00B8507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6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DA73A-E9FD-4309-BE17-CBD38C65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8</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Evstatiy Evstatiev</cp:lastModifiedBy>
  <cp:revision>20</cp:revision>
  <cp:lastPrinted>2023-09-08T11:39:00Z</cp:lastPrinted>
  <dcterms:created xsi:type="dcterms:W3CDTF">2023-09-08T06:31:00Z</dcterms:created>
  <dcterms:modified xsi:type="dcterms:W3CDTF">2023-11-03T07:14:00Z</dcterms:modified>
</cp:coreProperties>
</file>