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CF" w:rsidRPr="00C61A1F" w:rsidRDefault="00C764CF" w:rsidP="00C764CF">
      <w:pPr>
        <w:tabs>
          <w:tab w:val="center" w:pos="4320"/>
          <w:tab w:val="right" w:pos="8640"/>
        </w:tabs>
        <w:overflowPunct w:val="0"/>
        <w:autoSpaceDE w:val="0"/>
        <w:autoSpaceDN w:val="0"/>
        <w:adjustRightInd w:val="0"/>
        <w:jc w:val="right"/>
        <w:textAlignment w:val="baseline"/>
        <w:rPr>
          <w:rFonts w:ascii="Verdana" w:hAnsi="Verdana"/>
          <w:sz w:val="16"/>
          <w:szCs w:val="16"/>
        </w:rPr>
      </w:pPr>
      <w:r w:rsidRPr="00C61A1F">
        <w:rPr>
          <w:rFonts w:ascii="Verdana" w:hAnsi="Verdana"/>
          <w:sz w:val="16"/>
          <w:szCs w:val="16"/>
        </w:rPr>
        <w:t>Класификация на информацията:</w:t>
      </w:r>
    </w:p>
    <w:p w:rsidR="00C764CF" w:rsidRPr="00C61A1F" w:rsidRDefault="00C764CF" w:rsidP="00C764CF">
      <w:pPr>
        <w:tabs>
          <w:tab w:val="center" w:pos="4320"/>
          <w:tab w:val="right" w:pos="8640"/>
        </w:tabs>
        <w:overflowPunct w:val="0"/>
        <w:autoSpaceDE w:val="0"/>
        <w:autoSpaceDN w:val="0"/>
        <w:adjustRightInd w:val="0"/>
        <w:jc w:val="right"/>
        <w:textAlignment w:val="baseline"/>
        <w:rPr>
          <w:rFonts w:ascii="Verdana" w:hAnsi="Verdana"/>
          <w:sz w:val="16"/>
          <w:szCs w:val="16"/>
        </w:rPr>
      </w:pPr>
      <w:r w:rsidRPr="00C61A1F">
        <w:rPr>
          <w:rFonts w:ascii="Verdana" w:hAnsi="Verdana"/>
          <w:sz w:val="16"/>
          <w:szCs w:val="16"/>
        </w:rPr>
        <w:t>Ниво 0, TLP-WHITE</w:t>
      </w:r>
    </w:p>
    <w:p w:rsidR="00C764CF" w:rsidRPr="00C61A1F" w:rsidRDefault="00C764CF" w:rsidP="00C764CF">
      <w:pPr>
        <w:ind w:left="-426"/>
        <w:rPr>
          <w:rFonts w:ascii="Verdana" w:hAnsi="Verdana"/>
          <w:sz w:val="20"/>
          <w:szCs w:val="20"/>
        </w:rPr>
      </w:pPr>
    </w:p>
    <w:p w:rsidR="00C764CF" w:rsidRPr="00C61A1F" w:rsidRDefault="00CE032C" w:rsidP="00C764CF">
      <w:pPr>
        <w:jc w:val="center"/>
        <w:rPr>
          <w:rFonts w:ascii="Verdana" w:hAnsi="Verdana"/>
          <w:sz w:val="20"/>
          <w:szCs w:val="20"/>
          <w:lang w:eastAsia="en-GB"/>
        </w:rPr>
      </w:pPr>
      <w:r w:rsidRPr="00C61A1F">
        <w:rPr>
          <w:rFonts w:ascii="Verdana" w:hAnsi="Verdana"/>
          <w:noProof/>
          <w:sz w:val="20"/>
          <w:szCs w:val="20"/>
        </w:rPr>
        <w:drawing>
          <wp:anchor distT="0" distB="0" distL="114300" distR="114300" simplePos="0" relativeHeight="251659264" behindDoc="1" locked="0" layoutInCell="1" allowOverlap="1" wp14:anchorId="13B2C743" wp14:editId="4C9316D4">
            <wp:simplePos x="0" y="0"/>
            <wp:positionH relativeFrom="column">
              <wp:align>center</wp:align>
            </wp:positionH>
            <wp:positionV relativeFrom="paragraph">
              <wp:posOffset>-343430</wp:posOffset>
            </wp:positionV>
            <wp:extent cx="1188000" cy="11880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8000" cy="118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64CF" w:rsidRPr="00C61A1F" w:rsidRDefault="00C764CF" w:rsidP="00C764CF">
      <w:pPr>
        <w:tabs>
          <w:tab w:val="center" w:pos="4153"/>
          <w:tab w:val="right" w:pos="8306"/>
        </w:tabs>
        <w:spacing w:before="120"/>
        <w:jc w:val="center"/>
        <w:rPr>
          <w:rFonts w:ascii="Verdana" w:hAnsi="Verdana"/>
          <w:sz w:val="20"/>
          <w:szCs w:val="20"/>
          <w:lang w:eastAsia="en-US"/>
        </w:rPr>
      </w:pPr>
    </w:p>
    <w:p w:rsidR="00C764CF" w:rsidRPr="00C61A1F" w:rsidRDefault="00C764CF" w:rsidP="00C764CF">
      <w:pPr>
        <w:tabs>
          <w:tab w:val="center" w:pos="4153"/>
          <w:tab w:val="right" w:pos="8306"/>
        </w:tabs>
        <w:spacing w:before="120"/>
        <w:jc w:val="center"/>
        <w:rPr>
          <w:rFonts w:ascii="Verdana" w:hAnsi="Verdana"/>
          <w:sz w:val="20"/>
          <w:szCs w:val="20"/>
          <w:lang w:eastAsia="en-US"/>
        </w:rPr>
      </w:pPr>
    </w:p>
    <w:p w:rsidR="00C764CF" w:rsidRPr="00C61A1F" w:rsidRDefault="00C764CF" w:rsidP="00C764CF">
      <w:pPr>
        <w:pBdr>
          <w:bottom w:val="single" w:sz="4" w:space="1" w:color="auto"/>
        </w:pBdr>
        <w:overflowPunct w:val="0"/>
        <w:autoSpaceDE w:val="0"/>
        <w:autoSpaceDN w:val="0"/>
        <w:adjustRightInd w:val="0"/>
        <w:jc w:val="center"/>
        <w:textAlignment w:val="baseline"/>
        <w:rPr>
          <w:rFonts w:ascii="Platinum Bg" w:hAnsi="Platinum Bg" w:cs="Platinum Bg"/>
          <w:caps/>
          <w:spacing w:val="30"/>
          <w:sz w:val="36"/>
          <w:szCs w:val="36"/>
          <w:lang w:eastAsia="en-US"/>
        </w:rPr>
      </w:pPr>
    </w:p>
    <w:p w:rsidR="00C764CF" w:rsidRPr="00C61A1F" w:rsidRDefault="00C764CF" w:rsidP="00C764CF">
      <w:pPr>
        <w:pBdr>
          <w:bottom w:val="single" w:sz="4" w:space="1" w:color="auto"/>
        </w:pBdr>
        <w:overflowPunct w:val="0"/>
        <w:autoSpaceDE w:val="0"/>
        <w:autoSpaceDN w:val="0"/>
        <w:adjustRightInd w:val="0"/>
        <w:jc w:val="center"/>
        <w:textAlignment w:val="baseline"/>
        <w:rPr>
          <w:rFonts w:ascii="Platinum Bg" w:hAnsi="Platinum Bg" w:cs="Platinum Bg"/>
          <w:caps/>
          <w:spacing w:val="30"/>
          <w:sz w:val="36"/>
          <w:szCs w:val="36"/>
          <w:lang w:eastAsia="en-US"/>
        </w:rPr>
      </w:pPr>
      <w:r w:rsidRPr="00C61A1F">
        <w:rPr>
          <w:rFonts w:ascii="Platinum Bg" w:hAnsi="Platinum Bg" w:cs="Platinum Bg"/>
          <w:caps/>
          <w:spacing w:val="30"/>
          <w:sz w:val="36"/>
          <w:szCs w:val="36"/>
          <w:lang w:eastAsia="en-US"/>
        </w:rPr>
        <w:t>Република България</w:t>
      </w:r>
    </w:p>
    <w:p w:rsidR="00C764CF" w:rsidRPr="00C61A1F" w:rsidRDefault="00C764CF" w:rsidP="00C764CF">
      <w:pPr>
        <w:pBdr>
          <w:bottom w:val="single" w:sz="4" w:space="1" w:color="auto"/>
        </w:pBdr>
        <w:overflowPunct w:val="0"/>
        <w:autoSpaceDE w:val="0"/>
        <w:autoSpaceDN w:val="0"/>
        <w:adjustRightInd w:val="0"/>
        <w:jc w:val="center"/>
        <w:textAlignment w:val="baseline"/>
        <w:rPr>
          <w:rFonts w:ascii="Arial" w:hAnsi="Arial"/>
          <w:b/>
          <w:bCs/>
          <w:spacing w:val="30"/>
          <w:sz w:val="20"/>
          <w:szCs w:val="20"/>
          <w:lang w:eastAsia="en-US"/>
        </w:rPr>
      </w:pPr>
      <w:r w:rsidRPr="00C61A1F">
        <w:rPr>
          <w:rFonts w:ascii="Platinum Bg" w:hAnsi="Platinum Bg" w:cs="Platinum Bg"/>
          <w:spacing w:val="30"/>
          <w:sz w:val="32"/>
          <w:szCs w:val="32"/>
          <w:lang w:eastAsia="en-US"/>
        </w:rPr>
        <w:t>Заместник-министър на земеделието</w:t>
      </w:r>
      <w:r w:rsidR="00E7650C" w:rsidRPr="00C61A1F">
        <w:rPr>
          <w:rFonts w:ascii="Platinum Bg" w:hAnsi="Platinum Bg" w:cs="Platinum Bg"/>
          <w:spacing w:val="30"/>
          <w:sz w:val="32"/>
          <w:szCs w:val="32"/>
          <w:lang w:eastAsia="en-US"/>
        </w:rPr>
        <w:t xml:space="preserve"> и храните</w:t>
      </w:r>
    </w:p>
    <w:p w:rsidR="00C764CF" w:rsidRDefault="00C764CF" w:rsidP="00C764CF">
      <w:pPr>
        <w:spacing w:line="348" w:lineRule="auto"/>
        <w:rPr>
          <w:rFonts w:ascii="Verdana" w:hAnsi="Verdana"/>
          <w:sz w:val="20"/>
          <w:szCs w:val="20"/>
        </w:rPr>
      </w:pPr>
    </w:p>
    <w:p w:rsidR="008B2FDE" w:rsidRPr="00C61A1F" w:rsidRDefault="008B2FDE" w:rsidP="00C764CF">
      <w:pPr>
        <w:spacing w:line="348" w:lineRule="auto"/>
        <w:rPr>
          <w:rFonts w:ascii="Verdana" w:hAnsi="Verdana"/>
          <w:sz w:val="20"/>
          <w:szCs w:val="20"/>
        </w:rPr>
      </w:pPr>
    </w:p>
    <w:p w:rsidR="00C764CF" w:rsidRPr="00C61A1F" w:rsidRDefault="00C764CF" w:rsidP="00C764CF">
      <w:pPr>
        <w:spacing w:line="480" w:lineRule="auto"/>
        <w:rPr>
          <w:rFonts w:ascii="Verdana" w:hAnsi="Verdana"/>
          <w:sz w:val="20"/>
          <w:szCs w:val="20"/>
        </w:rPr>
      </w:pPr>
      <w:r w:rsidRPr="00C61A1F">
        <w:rPr>
          <w:rFonts w:ascii="Verdana" w:hAnsi="Verdana"/>
          <w:sz w:val="20"/>
          <w:szCs w:val="20"/>
        </w:rPr>
        <w:t>…………………………………</w:t>
      </w:r>
    </w:p>
    <w:p w:rsidR="00C764CF" w:rsidRPr="00C61A1F" w:rsidRDefault="00C764CF" w:rsidP="00C764CF">
      <w:pPr>
        <w:spacing w:line="480" w:lineRule="auto"/>
        <w:rPr>
          <w:rFonts w:ascii="Verdana" w:hAnsi="Verdana"/>
          <w:sz w:val="20"/>
          <w:szCs w:val="20"/>
        </w:rPr>
      </w:pPr>
      <w:r w:rsidRPr="00C61A1F">
        <w:rPr>
          <w:rFonts w:ascii="Verdana" w:hAnsi="Verdana"/>
          <w:sz w:val="20"/>
          <w:szCs w:val="20"/>
        </w:rPr>
        <w:t>………………………………… г.</w:t>
      </w:r>
    </w:p>
    <w:p w:rsidR="00C61A1F" w:rsidRPr="00C61A1F" w:rsidRDefault="00C61A1F" w:rsidP="00C764CF">
      <w:pPr>
        <w:spacing w:line="480" w:lineRule="auto"/>
        <w:rPr>
          <w:rFonts w:ascii="Verdana" w:hAnsi="Verdana"/>
          <w:sz w:val="20"/>
          <w:szCs w:val="20"/>
        </w:rPr>
      </w:pPr>
    </w:p>
    <w:tbl>
      <w:tblPr>
        <w:tblW w:w="9180" w:type="dxa"/>
        <w:tblLayout w:type="fixed"/>
        <w:tblLook w:val="00A0" w:firstRow="1" w:lastRow="0" w:firstColumn="1" w:lastColumn="0" w:noHBand="0" w:noVBand="0"/>
      </w:tblPr>
      <w:tblGrid>
        <w:gridCol w:w="4678"/>
        <w:gridCol w:w="4502"/>
      </w:tblGrid>
      <w:tr w:rsidR="00CE032C" w:rsidRPr="00C61A1F" w:rsidTr="00100A23">
        <w:tc>
          <w:tcPr>
            <w:tcW w:w="4678" w:type="dxa"/>
          </w:tcPr>
          <w:p w:rsidR="00CE032C" w:rsidRPr="00C61A1F" w:rsidRDefault="00CE032C" w:rsidP="00CE032C">
            <w:pPr>
              <w:spacing w:line="348" w:lineRule="auto"/>
              <w:rPr>
                <w:rFonts w:ascii="Verdana" w:hAnsi="Verdana"/>
                <w:b/>
                <w:bCs/>
                <w:sz w:val="20"/>
                <w:szCs w:val="20"/>
              </w:rPr>
            </w:pPr>
          </w:p>
          <w:p w:rsidR="00CE032C" w:rsidRPr="00C61A1F" w:rsidRDefault="00CE032C" w:rsidP="00CE032C">
            <w:pPr>
              <w:spacing w:line="348" w:lineRule="auto"/>
              <w:rPr>
                <w:rFonts w:ascii="Verdana" w:hAnsi="Verdana"/>
                <w:b/>
                <w:bCs/>
                <w:sz w:val="20"/>
                <w:szCs w:val="20"/>
              </w:rPr>
            </w:pPr>
            <w:r w:rsidRPr="00C61A1F">
              <w:rPr>
                <w:rFonts w:ascii="Verdana" w:hAnsi="Verdana"/>
                <w:b/>
                <w:bCs/>
                <w:sz w:val="20"/>
                <w:szCs w:val="20"/>
              </w:rPr>
              <w:t>ДО</w:t>
            </w:r>
          </w:p>
          <w:p w:rsidR="00CE032C" w:rsidRPr="00C61A1F" w:rsidRDefault="00CE032C" w:rsidP="00CE032C">
            <w:pPr>
              <w:spacing w:line="348" w:lineRule="auto"/>
              <w:rPr>
                <w:rFonts w:ascii="Verdana" w:hAnsi="Verdana"/>
                <w:b/>
                <w:bCs/>
                <w:sz w:val="20"/>
                <w:szCs w:val="20"/>
              </w:rPr>
            </w:pPr>
            <w:r w:rsidRPr="00C61A1F">
              <w:rPr>
                <w:rFonts w:ascii="Verdana" w:hAnsi="Verdana"/>
                <w:b/>
                <w:bCs/>
                <w:sz w:val="20"/>
                <w:szCs w:val="20"/>
              </w:rPr>
              <w:t>МИНИСТЪРА НА ЗЕМЕДЕЛИЕТО И ХРАНИТЕ</w:t>
            </w:r>
          </w:p>
          <w:p w:rsidR="00CE032C" w:rsidRPr="00C61A1F" w:rsidRDefault="00CE032C" w:rsidP="00CE032C">
            <w:pPr>
              <w:spacing w:line="348" w:lineRule="auto"/>
              <w:rPr>
                <w:rFonts w:ascii="Verdana" w:hAnsi="Verdana"/>
                <w:b/>
                <w:bCs/>
                <w:sz w:val="20"/>
                <w:szCs w:val="20"/>
              </w:rPr>
            </w:pPr>
            <w:r w:rsidRPr="00C61A1F">
              <w:rPr>
                <w:rFonts w:ascii="Verdana" w:hAnsi="Verdana"/>
                <w:b/>
                <w:bCs/>
                <w:sz w:val="20"/>
                <w:szCs w:val="20"/>
              </w:rPr>
              <w:t>Г-Н КИРИЛ ВЪТЕВ</w:t>
            </w:r>
          </w:p>
          <w:p w:rsidR="00150E81" w:rsidRPr="00C61A1F" w:rsidRDefault="00150E81" w:rsidP="00CE032C">
            <w:pPr>
              <w:spacing w:line="348" w:lineRule="auto"/>
              <w:rPr>
                <w:rFonts w:ascii="Verdana" w:hAnsi="Verdana"/>
                <w:b/>
                <w:sz w:val="20"/>
                <w:szCs w:val="20"/>
              </w:rPr>
            </w:pPr>
          </w:p>
        </w:tc>
        <w:tc>
          <w:tcPr>
            <w:tcW w:w="4502" w:type="dxa"/>
          </w:tcPr>
          <w:p w:rsidR="00CE032C" w:rsidRPr="00C61A1F" w:rsidRDefault="00CE032C" w:rsidP="00CE032C">
            <w:pPr>
              <w:spacing w:line="348" w:lineRule="auto"/>
              <w:rPr>
                <w:rFonts w:ascii="Verdana" w:hAnsi="Verdana"/>
                <w:b/>
                <w:sz w:val="20"/>
                <w:szCs w:val="20"/>
              </w:rPr>
            </w:pPr>
            <w:r w:rsidRPr="00C61A1F">
              <w:rPr>
                <w:rFonts w:ascii="Verdana" w:hAnsi="Verdana"/>
                <w:b/>
                <w:sz w:val="20"/>
                <w:szCs w:val="20"/>
              </w:rPr>
              <w:t>ОДОБРИЛ,</w:t>
            </w:r>
          </w:p>
          <w:p w:rsidR="00CE032C" w:rsidRPr="00C61A1F" w:rsidRDefault="00CE032C" w:rsidP="00CE032C">
            <w:pPr>
              <w:spacing w:line="348" w:lineRule="auto"/>
              <w:rPr>
                <w:rFonts w:ascii="Verdana" w:hAnsi="Verdana"/>
                <w:b/>
                <w:bCs/>
                <w:sz w:val="20"/>
                <w:szCs w:val="20"/>
              </w:rPr>
            </w:pPr>
            <w:r w:rsidRPr="00C61A1F">
              <w:rPr>
                <w:rFonts w:ascii="Verdana" w:hAnsi="Verdana"/>
                <w:b/>
                <w:sz w:val="20"/>
                <w:szCs w:val="20"/>
              </w:rPr>
              <w:t xml:space="preserve">МИНИСТЪР </w:t>
            </w:r>
            <w:r w:rsidRPr="00C61A1F">
              <w:rPr>
                <w:rFonts w:ascii="Verdana" w:hAnsi="Verdana"/>
                <w:b/>
                <w:bCs/>
                <w:sz w:val="20"/>
                <w:szCs w:val="20"/>
              </w:rPr>
              <w:t>НА ЗЕМЕДЕЛИЕТО И ХРАНИТЕ:</w:t>
            </w:r>
          </w:p>
          <w:p w:rsidR="00CE032C" w:rsidRPr="00C61A1F" w:rsidRDefault="00CE032C" w:rsidP="00CE032C">
            <w:pPr>
              <w:spacing w:line="348" w:lineRule="auto"/>
              <w:ind w:left="2438" w:right="100"/>
              <w:jc w:val="right"/>
              <w:rPr>
                <w:rFonts w:ascii="Verdana" w:hAnsi="Verdana"/>
                <w:b/>
                <w:sz w:val="20"/>
                <w:szCs w:val="20"/>
              </w:rPr>
            </w:pPr>
            <w:r w:rsidRPr="00C61A1F">
              <w:rPr>
                <w:rFonts w:ascii="Verdana" w:hAnsi="Verdana"/>
                <w:b/>
                <w:bCs/>
                <w:sz w:val="20"/>
                <w:szCs w:val="20"/>
              </w:rPr>
              <w:t>КИРИЛ ВЪТЕВ</w:t>
            </w:r>
          </w:p>
        </w:tc>
      </w:tr>
    </w:tbl>
    <w:p w:rsidR="00CE032C" w:rsidRPr="00C61A1F" w:rsidRDefault="00CE032C" w:rsidP="00CE032C">
      <w:pPr>
        <w:spacing w:line="348" w:lineRule="auto"/>
        <w:rPr>
          <w:rFonts w:ascii="Verdana" w:hAnsi="Verdana"/>
          <w:b/>
          <w:bCs/>
          <w:sz w:val="20"/>
          <w:szCs w:val="20"/>
        </w:rPr>
      </w:pPr>
    </w:p>
    <w:p w:rsidR="00C61A1F" w:rsidRPr="00C61A1F" w:rsidRDefault="00C61A1F" w:rsidP="00CE032C">
      <w:pPr>
        <w:keepNext/>
        <w:spacing w:line="360" w:lineRule="auto"/>
        <w:jc w:val="center"/>
        <w:outlineLvl w:val="0"/>
        <w:rPr>
          <w:rFonts w:ascii="Verdana" w:hAnsi="Verdana"/>
          <w:b/>
          <w:spacing w:val="44"/>
        </w:rPr>
      </w:pPr>
    </w:p>
    <w:p w:rsidR="00CE032C" w:rsidRPr="00C61A1F" w:rsidRDefault="00CE032C" w:rsidP="00CE032C">
      <w:pPr>
        <w:keepNext/>
        <w:spacing w:line="360" w:lineRule="auto"/>
        <w:jc w:val="center"/>
        <w:outlineLvl w:val="0"/>
        <w:rPr>
          <w:rFonts w:ascii="Verdana" w:hAnsi="Verdana"/>
          <w:b/>
          <w:spacing w:val="44"/>
        </w:rPr>
      </w:pPr>
      <w:r w:rsidRPr="00C61A1F">
        <w:rPr>
          <w:rFonts w:ascii="Verdana" w:hAnsi="Verdana"/>
          <w:b/>
          <w:spacing w:val="44"/>
        </w:rPr>
        <w:t>ДОКЛАД</w:t>
      </w:r>
    </w:p>
    <w:p w:rsidR="00CE032C" w:rsidRPr="00C61A1F" w:rsidRDefault="00CE032C" w:rsidP="00CE032C">
      <w:pPr>
        <w:spacing w:line="360" w:lineRule="auto"/>
        <w:jc w:val="center"/>
        <w:rPr>
          <w:rFonts w:ascii="Verdana" w:hAnsi="Verdana"/>
          <w:smallCaps/>
          <w:sz w:val="20"/>
          <w:szCs w:val="20"/>
        </w:rPr>
      </w:pPr>
      <w:r w:rsidRPr="00C61A1F">
        <w:rPr>
          <w:rFonts w:ascii="Verdana" w:hAnsi="Verdana"/>
          <w:smallCaps/>
          <w:sz w:val="20"/>
          <w:szCs w:val="20"/>
        </w:rPr>
        <w:t xml:space="preserve">от Александър  </w:t>
      </w:r>
      <w:proofErr w:type="spellStart"/>
      <w:r w:rsidRPr="00C61A1F">
        <w:rPr>
          <w:rFonts w:ascii="Verdana" w:hAnsi="Verdana"/>
          <w:smallCaps/>
          <w:sz w:val="20"/>
          <w:szCs w:val="20"/>
        </w:rPr>
        <w:t>Йоцев</w:t>
      </w:r>
      <w:proofErr w:type="spellEnd"/>
      <w:r w:rsidRPr="00C61A1F">
        <w:rPr>
          <w:rFonts w:ascii="Verdana" w:hAnsi="Verdana"/>
          <w:smallCaps/>
          <w:sz w:val="20"/>
          <w:szCs w:val="20"/>
        </w:rPr>
        <w:t xml:space="preserve"> – заместник-министър на земеделието и храните</w:t>
      </w:r>
    </w:p>
    <w:p w:rsidR="00CE032C" w:rsidRPr="00C61A1F" w:rsidRDefault="00CE032C" w:rsidP="00CE032C">
      <w:pPr>
        <w:spacing w:line="348" w:lineRule="auto"/>
        <w:ind w:left="1191" w:hanging="1191"/>
        <w:jc w:val="both"/>
        <w:rPr>
          <w:rFonts w:ascii="Verdana" w:hAnsi="Verdana"/>
          <w:sz w:val="20"/>
          <w:szCs w:val="20"/>
        </w:rPr>
      </w:pPr>
    </w:p>
    <w:p w:rsidR="00150E81" w:rsidRPr="00C61A1F" w:rsidRDefault="00150E81" w:rsidP="00CE032C">
      <w:pPr>
        <w:spacing w:line="348" w:lineRule="auto"/>
        <w:ind w:left="1191" w:hanging="1191"/>
        <w:jc w:val="both"/>
        <w:rPr>
          <w:rFonts w:ascii="Verdana" w:hAnsi="Verdana"/>
          <w:sz w:val="20"/>
          <w:szCs w:val="20"/>
        </w:rPr>
      </w:pPr>
    </w:p>
    <w:p w:rsidR="00CE032C" w:rsidRPr="00C61A1F" w:rsidRDefault="00CE032C" w:rsidP="00CE032C">
      <w:pPr>
        <w:spacing w:line="360" w:lineRule="auto"/>
        <w:ind w:left="1134" w:hanging="1134"/>
        <w:jc w:val="both"/>
        <w:rPr>
          <w:rFonts w:ascii="Verdana" w:hAnsi="Verdana"/>
          <w:sz w:val="20"/>
          <w:szCs w:val="20"/>
        </w:rPr>
      </w:pPr>
      <w:r w:rsidRPr="00C61A1F">
        <w:rPr>
          <w:rFonts w:ascii="Verdana" w:hAnsi="Verdana"/>
          <w:b/>
          <w:sz w:val="20"/>
          <w:szCs w:val="20"/>
        </w:rPr>
        <w:t>Относно:</w:t>
      </w:r>
      <w:r w:rsidRPr="00C61A1F">
        <w:rPr>
          <w:rFonts w:ascii="Verdana" w:hAnsi="Verdana"/>
          <w:sz w:val="20"/>
          <w:szCs w:val="20"/>
        </w:rPr>
        <w:t xml:space="preserve"> Проект на Наредба за допълнение на Наредба № 3 от 2023 г. за условията и реда за прилагане на интервенциите под формата на директни плащания, включени в Стратегическия план, за проверките, намаления на плащанията и реда за налагане на административни санкции</w:t>
      </w:r>
    </w:p>
    <w:p w:rsidR="00CE032C" w:rsidRPr="00C61A1F" w:rsidRDefault="00CE032C" w:rsidP="00CE032C">
      <w:pPr>
        <w:spacing w:line="348" w:lineRule="auto"/>
        <w:ind w:left="1191" w:hanging="1191"/>
        <w:jc w:val="both"/>
        <w:rPr>
          <w:rFonts w:ascii="Verdana" w:hAnsi="Verdana"/>
          <w:sz w:val="20"/>
          <w:szCs w:val="20"/>
        </w:rPr>
      </w:pPr>
    </w:p>
    <w:p w:rsidR="00150E81" w:rsidRPr="00C61A1F" w:rsidRDefault="00150E81" w:rsidP="00CE032C">
      <w:pPr>
        <w:spacing w:line="348" w:lineRule="auto"/>
        <w:ind w:left="1191" w:hanging="1191"/>
        <w:jc w:val="both"/>
        <w:rPr>
          <w:rFonts w:ascii="Verdana" w:hAnsi="Verdana"/>
          <w:sz w:val="20"/>
          <w:szCs w:val="20"/>
        </w:rPr>
      </w:pPr>
    </w:p>
    <w:p w:rsidR="00CE032C" w:rsidRPr="00C61A1F" w:rsidRDefault="00CE032C" w:rsidP="00CE032C">
      <w:pPr>
        <w:spacing w:after="120" w:line="360" w:lineRule="auto"/>
        <w:jc w:val="both"/>
        <w:rPr>
          <w:rFonts w:ascii="Verdana" w:hAnsi="Verdana"/>
          <w:bCs/>
          <w:sz w:val="20"/>
          <w:szCs w:val="20"/>
        </w:rPr>
      </w:pPr>
      <w:r w:rsidRPr="00C61A1F">
        <w:rPr>
          <w:rFonts w:ascii="Verdana" w:hAnsi="Verdana"/>
          <w:b/>
          <w:sz w:val="20"/>
          <w:szCs w:val="20"/>
        </w:rPr>
        <w:t>УВАЖАЕМИ ГОСПОДИН МИНИСТЪР,</w:t>
      </w:r>
    </w:p>
    <w:p w:rsidR="00CE032C" w:rsidRPr="00C61A1F" w:rsidRDefault="00CE032C" w:rsidP="00CE032C">
      <w:pPr>
        <w:spacing w:line="360" w:lineRule="auto"/>
        <w:ind w:firstLine="720"/>
        <w:jc w:val="both"/>
        <w:rPr>
          <w:rFonts w:ascii="Verdana" w:hAnsi="Verdana"/>
          <w:bCs/>
          <w:spacing w:val="2"/>
          <w:sz w:val="20"/>
          <w:szCs w:val="20"/>
        </w:rPr>
      </w:pPr>
      <w:r w:rsidRPr="00C61A1F">
        <w:rPr>
          <w:rFonts w:ascii="Verdana" w:hAnsi="Verdana"/>
          <w:bCs/>
          <w:spacing w:val="2"/>
          <w:sz w:val="20"/>
          <w:szCs w:val="20"/>
        </w:rPr>
        <w:t xml:space="preserve">На основание чл. 64, ал. 1 от Закона за подпомагане на земеделските производители внасям за одобрение </w:t>
      </w:r>
      <w:r w:rsidR="00E71D90" w:rsidRPr="00C61A1F">
        <w:rPr>
          <w:rFonts w:ascii="Verdana" w:hAnsi="Verdana"/>
          <w:bCs/>
          <w:spacing w:val="2"/>
          <w:sz w:val="20"/>
          <w:szCs w:val="20"/>
        </w:rPr>
        <w:t xml:space="preserve">Наредба за допълнение на Наредба № 3 от </w:t>
      </w:r>
      <w:r w:rsidR="00B36059">
        <w:rPr>
          <w:rFonts w:ascii="Verdana" w:hAnsi="Verdana"/>
          <w:bCs/>
          <w:spacing w:val="2"/>
          <w:sz w:val="20"/>
          <w:szCs w:val="20"/>
        </w:rPr>
        <w:br/>
      </w:r>
      <w:r w:rsidR="00E71D90" w:rsidRPr="00C61A1F">
        <w:rPr>
          <w:rFonts w:ascii="Verdana" w:hAnsi="Verdana"/>
          <w:bCs/>
          <w:spacing w:val="2"/>
          <w:sz w:val="20"/>
          <w:szCs w:val="20"/>
        </w:rPr>
        <w:t>2023 г. за условията и реда за прилагане на интервенциите под формата на директни плащания, включени в Стратегическия план, за проверките, намаления на плащанията и реда за налагане на административни санкции</w:t>
      </w:r>
      <w:r w:rsidRPr="00C61A1F">
        <w:rPr>
          <w:rFonts w:ascii="Verdana" w:hAnsi="Verdana"/>
          <w:bCs/>
          <w:spacing w:val="2"/>
          <w:sz w:val="20"/>
          <w:szCs w:val="20"/>
        </w:rPr>
        <w:t>.</w:t>
      </w:r>
    </w:p>
    <w:p w:rsidR="00CE032C" w:rsidRDefault="00CE032C" w:rsidP="00CE032C">
      <w:pPr>
        <w:spacing w:line="348" w:lineRule="auto"/>
        <w:ind w:firstLine="720"/>
        <w:jc w:val="both"/>
        <w:rPr>
          <w:rFonts w:ascii="Verdana" w:hAnsi="Verdana"/>
          <w:bCs/>
          <w:sz w:val="20"/>
          <w:szCs w:val="20"/>
        </w:rPr>
      </w:pPr>
    </w:p>
    <w:p w:rsidR="003146DF" w:rsidRDefault="003146DF" w:rsidP="00CE032C">
      <w:pPr>
        <w:spacing w:line="348" w:lineRule="auto"/>
        <w:ind w:firstLine="720"/>
        <w:jc w:val="both"/>
        <w:rPr>
          <w:rFonts w:ascii="Verdana" w:hAnsi="Verdana"/>
          <w:bCs/>
          <w:sz w:val="20"/>
          <w:szCs w:val="20"/>
        </w:rPr>
      </w:pPr>
    </w:p>
    <w:p w:rsidR="003146DF" w:rsidRPr="00C61A1F" w:rsidRDefault="003146DF" w:rsidP="00CE032C">
      <w:pPr>
        <w:spacing w:line="348" w:lineRule="auto"/>
        <w:ind w:firstLine="720"/>
        <w:jc w:val="both"/>
        <w:rPr>
          <w:rFonts w:ascii="Verdana" w:hAnsi="Verdana"/>
          <w:bCs/>
          <w:sz w:val="20"/>
          <w:szCs w:val="20"/>
        </w:rPr>
      </w:pPr>
    </w:p>
    <w:p w:rsidR="00CE032C" w:rsidRPr="00C61A1F" w:rsidRDefault="00CE032C" w:rsidP="00CE032C">
      <w:pPr>
        <w:spacing w:line="360" w:lineRule="auto"/>
        <w:ind w:firstLine="720"/>
        <w:jc w:val="both"/>
        <w:rPr>
          <w:rFonts w:ascii="Verdana" w:hAnsi="Verdana"/>
          <w:b/>
          <w:bCs/>
          <w:sz w:val="20"/>
          <w:szCs w:val="20"/>
        </w:rPr>
      </w:pPr>
      <w:r w:rsidRPr="00C61A1F">
        <w:rPr>
          <w:rFonts w:ascii="Verdana" w:hAnsi="Verdana"/>
          <w:b/>
          <w:bCs/>
          <w:sz w:val="20"/>
          <w:szCs w:val="20"/>
        </w:rPr>
        <w:lastRenderedPageBreak/>
        <w:t>Причини, които налагат приемането на акта</w:t>
      </w:r>
    </w:p>
    <w:p w:rsidR="00C876BC" w:rsidRPr="00C61A1F" w:rsidRDefault="00CE032C" w:rsidP="00E7650C">
      <w:pPr>
        <w:spacing w:line="360" w:lineRule="auto"/>
        <w:ind w:firstLine="720"/>
        <w:jc w:val="both"/>
        <w:rPr>
          <w:rFonts w:ascii="Verdana" w:hAnsi="Verdana"/>
          <w:bCs/>
          <w:sz w:val="20"/>
          <w:szCs w:val="20"/>
        </w:rPr>
      </w:pPr>
      <w:r w:rsidRPr="00C61A1F">
        <w:rPr>
          <w:rFonts w:ascii="Verdana" w:hAnsi="Verdana"/>
          <w:bCs/>
          <w:sz w:val="20"/>
          <w:szCs w:val="20"/>
        </w:rPr>
        <w:t>В Европейския съюз (ЕС) през 2021 г. приключи реформата на Общата селскостопанска политика (ОСП), насочена към по-устойчиво селско стопанство, подпомагане на доходите на земеделските производители и жизнеспособността на тяхната дейност, намаляване на бюрокрацията и укрепване на европейските селски райони. В новата ОСП е заложено Съюзът да определи основните параметри на политиката въз основа на договорените цели и целеви показатели, например в областта на околната среда, изменението на климата и за устойчиво развитие. Въз основа на това всяка държава членка изготвя „Стратегически план за ОСП“, с който се осигурява максимален принос към целите на ЕС, като се отчитат по-добре местните условия и нужди спрямо тези цели и показатели. Държавите членки имат по-голяма субсидиарност при изготвянето на рамката за съответствие и контрол, прилагана спрямо бенефициентите, включително проверките и санкциите.</w:t>
      </w:r>
      <w:r w:rsidRPr="00C61A1F">
        <w:rPr>
          <w:rFonts w:ascii="Verdana" w:hAnsi="Verdana"/>
          <w:bCs/>
          <w:spacing w:val="2"/>
          <w:sz w:val="20"/>
          <w:szCs w:val="20"/>
        </w:rPr>
        <w:t xml:space="preserve"> Съгласно чл. 9, параграф 3 от Регламент (ЕС) 2021/2115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 (OВ L 435 от 6.12.2021 г.), държавите членки трябва да определят правната рамка, уреждаща предоставянето на подпомагане от Съюза на земеделските стопани и другите </w:t>
      </w:r>
      <w:proofErr w:type="spellStart"/>
      <w:r w:rsidRPr="00C61A1F">
        <w:rPr>
          <w:rFonts w:ascii="Verdana" w:hAnsi="Verdana"/>
          <w:bCs/>
          <w:spacing w:val="2"/>
          <w:sz w:val="20"/>
          <w:szCs w:val="20"/>
        </w:rPr>
        <w:t>бенефициери</w:t>
      </w:r>
      <w:proofErr w:type="spellEnd"/>
      <w:r w:rsidRPr="00C61A1F">
        <w:rPr>
          <w:rFonts w:ascii="Verdana" w:hAnsi="Verdana"/>
          <w:bCs/>
          <w:spacing w:val="2"/>
          <w:sz w:val="20"/>
          <w:szCs w:val="20"/>
        </w:rPr>
        <w:t xml:space="preserve"> в съответствие със стратегическите планове по ОСП, одобрени от Комисията и с принципите и изискванията, установени в същия регламент и в Регламент (ЕС) 2021/2116.</w:t>
      </w:r>
      <w:r w:rsidRPr="00C61A1F">
        <w:rPr>
          <w:rFonts w:ascii="Verdana" w:hAnsi="Verdana"/>
          <w:bCs/>
          <w:sz w:val="20"/>
          <w:szCs w:val="20"/>
        </w:rPr>
        <w:t xml:space="preserve"> </w:t>
      </w:r>
      <w:r w:rsidR="00E01802" w:rsidRPr="00C61A1F">
        <w:rPr>
          <w:rFonts w:ascii="Verdana" w:hAnsi="Verdana"/>
          <w:bCs/>
          <w:sz w:val="20"/>
          <w:szCs w:val="20"/>
        </w:rPr>
        <w:t>Това наложи издаването на нови нормативни актове за прилагане на одобрения от Европейската комисия Стратегически план за развитието на земеделието и селските райони на Република България за периода 2023-2027 г. В съответствие със законовата делегация, включена в Закона за изменение и допълнение на Закона за подпомагане на земеделските производители, обнародван в бр. 102 на „Държавен вестник“ от 23.12.2022 г., беше издадена Наредба № 3 от 2023 г. за условията и реда за прилагане на интервенциите под формата на директни плащания, включени в Стратегическия план, за проверките, намаления на плащанията и реда за налагане на административни санкции (</w:t>
      </w:r>
      <w:proofErr w:type="spellStart"/>
      <w:r w:rsidR="00E01802" w:rsidRPr="00C61A1F">
        <w:rPr>
          <w:rFonts w:ascii="Verdana" w:hAnsi="Verdana"/>
          <w:bCs/>
          <w:sz w:val="20"/>
          <w:szCs w:val="20"/>
        </w:rPr>
        <w:t>oбн</w:t>
      </w:r>
      <w:proofErr w:type="spellEnd"/>
      <w:r w:rsidR="00E01802" w:rsidRPr="00C61A1F">
        <w:rPr>
          <w:rFonts w:ascii="Verdana" w:hAnsi="Verdana"/>
          <w:bCs/>
          <w:sz w:val="20"/>
          <w:szCs w:val="20"/>
        </w:rPr>
        <w:t>.</w:t>
      </w:r>
      <w:r w:rsidR="00B36059">
        <w:rPr>
          <w:rFonts w:ascii="Verdana" w:hAnsi="Verdana"/>
          <w:bCs/>
          <w:sz w:val="20"/>
          <w:szCs w:val="20"/>
        </w:rPr>
        <w:t>,</w:t>
      </w:r>
      <w:r w:rsidR="00E01802" w:rsidRPr="00C61A1F">
        <w:rPr>
          <w:rFonts w:ascii="Verdana" w:hAnsi="Verdana"/>
          <w:bCs/>
          <w:sz w:val="20"/>
          <w:szCs w:val="20"/>
        </w:rPr>
        <w:t xml:space="preserve"> ДВ, бр. 23 от 2023 г.) (Наредба № 3 от 2023 г.)</w:t>
      </w:r>
      <w:r w:rsidR="00E7650C" w:rsidRPr="00C61A1F">
        <w:rPr>
          <w:rFonts w:ascii="Verdana" w:hAnsi="Verdana"/>
          <w:bCs/>
          <w:sz w:val="20"/>
          <w:szCs w:val="20"/>
        </w:rPr>
        <w:t>.</w:t>
      </w:r>
      <w:r w:rsidR="00E01802" w:rsidRPr="00C61A1F">
        <w:rPr>
          <w:rFonts w:ascii="Verdana" w:hAnsi="Verdana"/>
          <w:bCs/>
          <w:sz w:val="20"/>
          <w:szCs w:val="20"/>
        </w:rPr>
        <w:t xml:space="preserve"> Горепосочени</w:t>
      </w:r>
      <w:r w:rsidR="00E7650C" w:rsidRPr="00C61A1F">
        <w:rPr>
          <w:rFonts w:ascii="Verdana" w:hAnsi="Verdana"/>
          <w:bCs/>
          <w:sz w:val="20"/>
          <w:szCs w:val="20"/>
        </w:rPr>
        <w:t>ят акт регламентира</w:t>
      </w:r>
      <w:r w:rsidR="00E01802" w:rsidRPr="00C61A1F">
        <w:rPr>
          <w:rFonts w:ascii="Verdana" w:hAnsi="Verdana"/>
          <w:bCs/>
          <w:sz w:val="20"/>
          <w:szCs w:val="20"/>
        </w:rPr>
        <w:t xml:space="preserve"> получаването на подпомагане по линия на директните плащания във връзка с прилагането на Стратегическия план за развитието на земеделието и селските райони на Република България за периода 2023-2027 г. </w:t>
      </w:r>
      <w:r w:rsidR="00E7650C" w:rsidRPr="00C61A1F">
        <w:rPr>
          <w:rFonts w:ascii="Verdana" w:hAnsi="Verdana"/>
          <w:bCs/>
          <w:sz w:val="20"/>
          <w:szCs w:val="20"/>
        </w:rPr>
        <w:t>С п</w:t>
      </w:r>
      <w:r w:rsidRPr="00C61A1F">
        <w:rPr>
          <w:rFonts w:ascii="Verdana" w:hAnsi="Verdana"/>
          <w:bCs/>
          <w:sz w:val="20"/>
          <w:szCs w:val="20"/>
        </w:rPr>
        <w:t>редложен</w:t>
      </w:r>
      <w:r w:rsidR="00A1615D" w:rsidRPr="00C61A1F">
        <w:rPr>
          <w:rFonts w:ascii="Verdana" w:hAnsi="Verdana"/>
          <w:bCs/>
          <w:sz w:val="20"/>
          <w:szCs w:val="20"/>
        </w:rPr>
        <w:t xml:space="preserve">ите </w:t>
      </w:r>
      <w:r w:rsidRPr="00C61A1F">
        <w:rPr>
          <w:rFonts w:ascii="Verdana" w:hAnsi="Verdana"/>
          <w:bCs/>
          <w:sz w:val="20"/>
          <w:szCs w:val="20"/>
        </w:rPr>
        <w:t>допълнени</w:t>
      </w:r>
      <w:r w:rsidR="00A1615D" w:rsidRPr="00C61A1F">
        <w:rPr>
          <w:rFonts w:ascii="Verdana" w:hAnsi="Verdana"/>
          <w:bCs/>
          <w:sz w:val="20"/>
          <w:szCs w:val="20"/>
        </w:rPr>
        <w:t>я</w:t>
      </w:r>
      <w:r w:rsidRPr="00C61A1F">
        <w:rPr>
          <w:rFonts w:ascii="Verdana" w:hAnsi="Verdana"/>
          <w:bCs/>
          <w:sz w:val="20"/>
          <w:szCs w:val="20"/>
        </w:rPr>
        <w:t xml:space="preserve"> в Наредба № 3 от 2023 г. </w:t>
      </w:r>
      <w:r w:rsidR="00E7650C" w:rsidRPr="00C61A1F">
        <w:rPr>
          <w:rFonts w:ascii="Verdana" w:hAnsi="Verdana"/>
          <w:bCs/>
          <w:sz w:val="20"/>
          <w:szCs w:val="20"/>
        </w:rPr>
        <w:t xml:space="preserve">се създава допълнителна яснота за кандидатите във връзка с </w:t>
      </w:r>
      <w:r w:rsidR="00C876BC" w:rsidRPr="00C61A1F">
        <w:rPr>
          <w:rFonts w:ascii="Verdana" w:hAnsi="Verdana"/>
          <w:bCs/>
          <w:sz w:val="20"/>
          <w:szCs w:val="20"/>
        </w:rPr>
        <w:t>площите, заявени за подпомагане по интервенции</w:t>
      </w:r>
      <w:r w:rsidR="00E7650C" w:rsidRPr="00C61A1F">
        <w:rPr>
          <w:rFonts w:ascii="Verdana" w:hAnsi="Verdana"/>
          <w:bCs/>
          <w:sz w:val="20"/>
          <w:szCs w:val="20"/>
        </w:rPr>
        <w:t xml:space="preserve"> за директни плащания</w:t>
      </w:r>
      <w:r w:rsidR="00C876BC" w:rsidRPr="00C61A1F">
        <w:rPr>
          <w:rFonts w:ascii="Verdana" w:hAnsi="Verdana"/>
          <w:bCs/>
          <w:sz w:val="20"/>
          <w:szCs w:val="20"/>
        </w:rPr>
        <w:t xml:space="preserve">, базирани на площ, за които системата за мониторинг на площ е констатирала резултат „В съответствие“ и „Неубедителни доказателства за </w:t>
      </w:r>
      <w:r w:rsidR="00E7650C" w:rsidRPr="00C61A1F">
        <w:rPr>
          <w:rFonts w:ascii="Verdana" w:hAnsi="Verdana"/>
          <w:bCs/>
          <w:sz w:val="20"/>
          <w:szCs w:val="20"/>
        </w:rPr>
        <w:lastRenderedPageBreak/>
        <w:t>не</w:t>
      </w:r>
      <w:r w:rsidR="00C876BC" w:rsidRPr="00C61A1F">
        <w:rPr>
          <w:rFonts w:ascii="Verdana" w:hAnsi="Verdana"/>
          <w:bCs/>
          <w:sz w:val="20"/>
          <w:szCs w:val="20"/>
        </w:rPr>
        <w:t xml:space="preserve">съответствие“ </w:t>
      </w:r>
      <w:r w:rsidR="00E7650C" w:rsidRPr="00C61A1F">
        <w:rPr>
          <w:rFonts w:ascii="Verdana" w:hAnsi="Verdana"/>
          <w:bCs/>
          <w:sz w:val="20"/>
          <w:szCs w:val="20"/>
        </w:rPr>
        <w:t>и</w:t>
      </w:r>
      <w:r w:rsidR="00C876BC" w:rsidRPr="00C61A1F">
        <w:rPr>
          <w:rFonts w:ascii="Verdana" w:hAnsi="Verdana"/>
          <w:bCs/>
          <w:sz w:val="20"/>
          <w:szCs w:val="20"/>
        </w:rPr>
        <w:t xml:space="preserve"> „Несъответствие“, </w:t>
      </w:r>
      <w:r w:rsidR="00E7650C" w:rsidRPr="00C61A1F">
        <w:rPr>
          <w:rFonts w:ascii="Verdana" w:hAnsi="Verdana"/>
          <w:bCs/>
          <w:sz w:val="20"/>
          <w:szCs w:val="20"/>
        </w:rPr>
        <w:t xml:space="preserve">като в допълнителната разпоредба </w:t>
      </w:r>
      <w:r w:rsidR="00C876BC" w:rsidRPr="00C61A1F">
        <w:rPr>
          <w:rFonts w:ascii="Verdana" w:hAnsi="Verdana"/>
          <w:bCs/>
          <w:sz w:val="20"/>
          <w:szCs w:val="20"/>
        </w:rPr>
        <w:t>се създават дефиниции</w:t>
      </w:r>
      <w:r w:rsidR="00E7650C" w:rsidRPr="00C61A1F">
        <w:rPr>
          <w:rFonts w:ascii="Verdana" w:hAnsi="Verdana"/>
          <w:bCs/>
          <w:sz w:val="20"/>
          <w:szCs w:val="20"/>
        </w:rPr>
        <w:t xml:space="preserve"> за горепосочените резултати</w:t>
      </w:r>
      <w:r w:rsidR="00C876BC" w:rsidRPr="00C61A1F">
        <w:rPr>
          <w:rFonts w:ascii="Verdana" w:hAnsi="Verdana"/>
          <w:bCs/>
          <w:sz w:val="20"/>
          <w:szCs w:val="20"/>
        </w:rPr>
        <w:t>.</w:t>
      </w:r>
    </w:p>
    <w:p w:rsidR="00150E81" w:rsidRPr="00C61A1F" w:rsidRDefault="00150E81" w:rsidP="00E7650C">
      <w:pPr>
        <w:spacing w:line="360" w:lineRule="auto"/>
        <w:ind w:firstLine="720"/>
        <w:jc w:val="both"/>
        <w:rPr>
          <w:rFonts w:ascii="Verdana" w:hAnsi="Verdana"/>
          <w:bCs/>
          <w:sz w:val="20"/>
          <w:szCs w:val="20"/>
        </w:rPr>
      </w:pPr>
      <w:r w:rsidRPr="00C61A1F">
        <w:rPr>
          <w:rFonts w:ascii="Verdana" w:hAnsi="Verdana"/>
          <w:bCs/>
          <w:sz w:val="20"/>
          <w:szCs w:val="20"/>
        </w:rPr>
        <w:t xml:space="preserve">В Приложение 7 към чл. 21, ал. 5 в методиката за определяне на млечния еквивалент за млечни продукти се добавя млечният продукт </w:t>
      </w:r>
      <w:proofErr w:type="spellStart"/>
      <w:r w:rsidRPr="00C61A1F">
        <w:rPr>
          <w:rFonts w:ascii="Verdana" w:hAnsi="Verdana"/>
          <w:bCs/>
          <w:sz w:val="20"/>
          <w:szCs w:val="20"/>
        </w:rPr>
        <w:t>кефир</w:t>
      </w:r>
      <w:proofErr w:type="spellEnd"/>
      <w:r w:rsidRPr="00C61A1F">
        <w:rPr>
          <w:rFonts w:ascii="Verdana" w:hAnsi="Verdana"/>
          <w:bCs/>
          <w:sz w:val="20"/>
          <w:szCs w:val="20"/>
        </w:rPr>
        <w:t xml:space="preserve">. </w:t>
      </w:r>
    </w:p>
    <w:p w:rsidR="005615C2" w:rsidRPr="00C61A1F" w:rsidRDefault="005615C2" w:rsidP="005615C2">
      <w:pPr>
        <w:spacing w:line="360" w:lineRule="auto"/>
        <w:ind w:firstLine="720"/>
        <w:jc w:val="both"/>
        <w:rPr>
          <w:rFonts w:ascii="Verdana" w:hAnsi="Verdana"/>
          <w:bCs/>
          <w:sz w:val="20"/>
          <w:szCs w:val="20"/>
        </w:rPr>
      </w:pPr>
      <w:r w:rsidRPr="00C61A1F">
        <w:rPr>
          <w:rFonts w:ascii="Verdana" w:hAnsi="Verdana"/>
          <w:bCs/>
          <w:sz w:val="20"/>
          <w:szCs w:val="20"/>
        </w:rPr>
        <w:t xml:space="preserve">В заключителната разпоредба на проекта на наредба е предвидено изменение на Наредба № 4 </w:t>
      </w:r>
      <w:r w:rsidR="003A38C4" w:rsidRPr="00C61A1F">
        <w:rPr>
          <w:rFonts w:ascii="Verdana" w:hAnsi="Verdana"/>
          <w:bCs/>
          <w:sz w:val="20"/>
          <w:szCs w:val="20"/>
        </w:rPr>
        <w:t xml:space="preserve">от 30 май 2018 г. за условията и реда за изплащане, намаляване или отказ за изплащане, или за оттегляне на изплатената финансова помощ за мерките и </w:t>
      </w:r>
      <w:proofErr w:type="spellStart"/>
      <w:r w:rsidR="003A38C4" w:rsidRPr="00C61A1F">
        <w:rPr>
          <w:rFonts w:ascii="Verdana" w:hAnsi="Verdana"/>
          <w:bCs/>
          <w:sz w:val="20"/>
          <w:szCs w:val="20"/>
        </w:rPr>
        <w:t>подмерките</w:t>
      </w:r>
      <w:proofErr w:type="spellEnd"/>
      <w:r w:rsidR="003A38C4" w:rsidRPr="00C61A1F">
        <w:rPr>
          <w:rFonts w:ascii="Verdana" w:hAnsi="Verdana"/>
          <w:bCs/>
          <w:sz w:val="20"/>
          <w:szCs w:val="20"/>
        </w:rPr>
        <w:t xml:space="preserve"> по чл. 9б, т. 2 от Закона за подпомагане на земеделските производители</w:t>
      </w:r>
      <w:r w:rsidRPr="00C61A1F">
        <w:rPr>
          <w:rFonts w:ascii="Verdana" w:hAnsi="Verdana"/>
          <w:bCs/>
          <w:sz w:val="20"/>
          <w:szCs w:val="20"/>
        </w:rPr>
        <w:t xml:space="preserve"> (</w:t>
      </w:r>
      <w:proofErr w:type="spellStart"/>
      <w:r w:rsidRPr="00C61A1F">
        <w:rPr>
          <w:rFonts w:ascii="Verdana" w:hAnsi="Verdana"/>
          <w:bCs/>
          <w:sz w:val="20"/>
          <w:szCs w:val="20"/>
        </w:rPr>
        <w:t>обн</w:t>
      </w:r>
      <w:proofErr w:type="spellEnd"/>
      <w:r w:rsidRPr="00C61A1F">
        <w:rPr>
          <w:rFonts w:ascii="Verdana" w:hAnsi="Verdana"/>
          <w:bCs/>
          <w:sz w:val="20"/>
          <w:szCs w:val="20"/>
        </w:rPr>
        <w:t>., ДВ, бр. 48 от 2018 г.)</w:t>
      </w:r>
      <w:r w:rsidR="003A38C4" w:rsidRPr="00C61A1F">
        <w:rPr>
          <w:rFonts w:ascii="Verdana" w:hAnsi="Verdana"/>
          <w:bCs/>
          <w:sz w:val="20"/>
          <w:szCs w:val="20"/>
        </w:rPr>
        <w:t>,</w:t>
      </w:r>
      <w:r w:rsidRPr="00C61A1F">
        <w:rPr>
          <w:rFonts w:ascii="Verdana" w:hAnsi="Verdana"/>
          <w:bCs/>
          <w:sz w:val="20"/>
          <w:szCs w:val="20"/>
        </w:rPr>
        <w:t xml:space="preserve"> наричана по-нататък „Наредба № 4 от 2018 г.“. С предвижданото изменение на Наредба № 4 от 2018 г. се разширява кръгът на допустимите обезпечения за предоставяне на авансово плащане на публични бенефициенти за проекти, финансирани от Програма за развитие на селските райони за периода 2014</w:t>
      </w:r>
      <w:r w:rsidR="00B36059">
        <w:rPr>
          <w:rFonts w:ascii="Verdana" w:hAnsi="Verdana"/>
          <w:bCs/>
          <w:sz w:val="20"/>
          <w:szCs w:val="20"/>
        </w:rPr>
        <w:t xml:space="preserve"> – </w:t>
      </w:r>
      <w:r w:rsidRPr="00C61A1F">
        <w:rPr>
          <w:rFonts w:ascii="Verdana" w:hAnsi="Verdana"/>
          <w:bCs/>
          <w:sz w:val="20"/>
          <w:szCs w:val="20"/>
        </w:rPr>
        <w:t>2020 г. (ПРСР 2014</w:t>
      </w:r>
      <w:r w:rsidR="00B36059">
        <w:rPr>
          <w:rFonts w:ascii="Verdana" w:hAnsi="Verdana"/>
          <w:bCs/>
          <w:sz w:val="20"/>
          <w:szCs w:val="20"/>
        </w:rPr>
        <w:t xml:space="preserve"> – </w:t>
      </w:r>
      <w:r w:rsidRPr="00C61A1F">
        <w:rPr>
          <w:rFonts w:ascii="Verdana" w:hAnsi="Verdana"/>
          <w:bCs/>
          <w:sz w:val="20"/>
          <w:szCs w:val="20"/>
        </w:rPr>
        <w:t xml:space="preserve">2020 г.). </w:t>
      </w:r>
    </w:p>
    <w:p w:rsidR="005615C2" w:rsidRPr="00C61A1F" w:rsidRDefault="005615C2" w:rsidP="005615C2">
      <w:pPr>
        <w:spacing w:line="360" w:lineRule="auto"/>
        <w:ind w:firstLine="720"/>
        <w:jc w:val="both"/>
        <w:rPr>
          <w:rFonts w:ascii="Verdana" w:hAnsi="Verdana"/>
          <w:bCs/>
          <w:sz w:val="20"/>
          <w:szCs w:val="20"/>
        </w:rPr>
      </w:pPr>
      <w:r w:rsidRPr="00C61A1F">
        <w:rPr>
          <w:rFonts w:ascii="Verdana" w:hAnsi="Verdana"/>
          <w:bCs/>
          <w:sz w:val="20"/>
          <w:szCs w:val="20"/>
        </w:rPr>
        <w:t xml:space="preserve">В чл. 63 от Регламент (ЕС) № 1305/2013 на Европейския парламент и на Съвета от 17 декември 2013 година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 е предвидено, че авансовите плащания се подчиняват на условието за предоставяне на банкова гаранция или еквивалентна гаранция, съответстваща на 100 % от размера на авансовото плащане. По отношение на </w:t>
      </w:r>
      <w:proofErr w:type="spellStart"/>
      <w:r w:rsidRPr="00C61A1F">
        <w:rPr>
          <w:rFonts w:ascii="Verdana" w:hAnsi="Verdana"/>
          <w:bCs/>
          <w:sz w:val="20"/>
          <w:szCs w:val="20"/>
        </w:rPr>
        <w:t>публичноправните</w:t>
      </w:r>
      <w:proofErr w:type="spellEnd"/>
      <w:r w:rsidRPr="00C61A1F">
        <w:rPr>
          <w:rFonts w:ascii="Verdana" w:hAnsi="Verdana"/>
          <w:bCs/>
          <w:sz w:val="20"/>
          <w:szCs w:val="20"/>
        </w:rPr>
        <w:t xml:space="preserve"> </w:t>
      </w:r>
      <w:proofErr w:type="spellStart"/>
      <w:r w:rsidRPr="00C61A1F">
        <w:rPr>
          <w:rFonts w:ascii="Verdana" w:hAnsi="Verdana"/>
          <w:bCs/>
          <w:sz w:val="20"/>
          <w:szCs w:val="20"/>
        </w:rPr>
        <w:t>бенефициери</w:t>
      </w:r>
      <w:proofErr w:type="spellEnd"/>
      <w:r w:rsidRPr="00C61A1F">
        <w:rPr>
          <w:rFonts w:ascii="Verdana" w:hAnsi="Verdana"/>
          <w:bCs/>
          <w:sz w:val="20"/>
          <w:szCs w:val="20"/>
        </w:rPr>
        <w:t xml:space="preserve">, авансовите суми се изплащат на общини, регионални органи и техни сдружения, както и на </w:t>
      </w:r>
      <w:proofErr w:type="spellStart"/>
      <w:r w:rsidRPr="00C61A1F">
        <w:rPr>
          <w:rFonts w:ascii="Verdana" w:hAnsi="Verdana"/>
          <w:bCs/>
          <w:sz w:val="20"/>
          <w:szCs w:val="20"/>
        </w:rPr>
        <w:t>публичноправни</w:t>
      </w:r>
      <w:proofErr w:type="spellEnd"/>
      <w:r w:rsidRPr="00C61A1F">
        <w:rPr>
          <w:rFonts w:ascii="Verdana" w:hAnsi="Verdana"/>
          <w:bCs/>
          <w:sz w:val="20"/>
          <w:szCs w:val="20"/>
        </w:rPr>
        <w:t xml:space="preserve"> субекти.</w:t>
      </w:r>
    </w:p>
    <w:p w:rsidR="005615C2" w:rsidRPr="00C61A1F" w:rsidRDefault="005615C2" w:rsidP="005615C2">
      <w:pPr>
        <w:spacing w:line="360" w:lineRule="auto"/>
        <w:ind w:firstLine="720"/>
        <w:jc w:val="both"/>
        <w:rPr>
          <w:rFonts w:ascii="Verdana" w:hAnsi="Verdana"/>
          <w:bCs/>
          <w:sz w:val="20"/>
          <w:szCs w:val="20"/>
        </w:rPr>
      </w:pPr>
      <w:r w:rsidRPr="00C61A1F">
        <w:rPr>
          <w:rFonts w:ascii="Verdana" w:hAnsi="Verdana"/>
          <w:bCs/>
          <w:sz w:val="20"/>
          <w:szCs w:val="20"/>
        </w:rPr>
        <w:t xml:space="preserve">В параграф 2 на чл. 63 е посочено, че инструмент, предоставен като гаранция от </w:t>
      </w:r>
      <w:proofErr w:type="spellStart"/>
      <w:r w:rsidRPr="00C61A1F">
        <w:rPr>
          <w:rFonts w:ascii="Verdana" w:hAnsi="Verdana"/>
          <w:bCs/>
          <w:sz w:val="20"/>
          <w:szCs w:val="20"/>
        </w:rPr>
        <w:t>публичноправен</w:t>
      </w:r>
      <w:proofErr w:type="spellEnd"/>
      <w:r w:rsidRPr="00C61A1F">
        <w:rPr>
          <w:rFonts w:ascii="Verdana" w:hAnsi="Verdana"/>
          <w:bCs/>
          <w:sz w:val="20"/>
          <w:szCs w:val="20"/>
        </w:rPr>
        <w:t xml:space="preserve"> орган, се счита за еквивалентен на гаранцията, посочена в първата алинея, при условие че органът се задължава да плати сумата, покрита от тази гаранция, ако не се установи право за получаване на изплатения аванс.</w:t>
      </w:r>
    </w:p>
    <w:p w:rsidR="00E7650C" w:rsidRPr="00C61A1F" w:rsidRDefault="005615C2" w:rsidP="005615C2">
      <w:pPr>
        <w:spacing w:line="360" w:lineRule="auto"/>
        <w:ind w:firstLine="720"/>
        <w:jc w:val="both"/>
        <w:rPr>
          <w:rFonts w:ascii="Verdana" w:hAnsi="Verdana"/>
          <w:bCs/>
          <w:sz w:val="20"/>
          <w:szCs w:val="20"/>
        </w:rPr>
      </w:pPr>
      <w:r w:rsidRPr="00C61A1F">
        <w:rPr>
          <w:rFonts w:ascii="Verdana" w:hAnsi="Verdana"/>
          <w:bCs/>
          <w:sz w:val="20"/>
          <w:szCs w:val="20"/>
        </w:rPr>
        <w:t>През последните години страната преминава през различни кризи, които създават затруднения на бенефициентите за изпълнение на одобрени проекти по ПРСР 2014-2020 г., в тази връзка се предлага да се допълни вида на възможните гаранции за предоставяне на авансово плащане за държавните предприятия.</w:t>
      </w:r>
    </w:p>
    <w:p w:rsidR="005615C2" w:rsidRPr="00C61A1F" w:rsidRDefault="005615C2" w:rsidP="005615C2">
      <w:pPr>
        <w:spacing w:line="360" w:lineRule="auto"/>
        <w:ind w:firstLine="720"/>
        <w:jc w:val="both"/>
        <w:rPr>
          <w:rFonts w:ascii="Verdana" w:hAnsi="Verdana"/>
          <w:bCs/>
          <w:sz w:val="20"/>
          <w:szCs w:val="20"/>
        </w:rPr>
      </w:pPr>
    </w:p>
    <w:p w:rsidR="00CE032C" w:rsidRPr="00C61A1F" w:rsidRDefault="00CE032C" w:rsidP="00CE032C">
      <w:pPr>
        <w:spacing w:line="360" w:lineRule="auto"/>
        <w:ind w:firstLine="720"/>
        <w:jc w:val="both"/>
        <w:rPr>
          <w:rFonts w:ascii="Verdana" w:hAnsi="Verdana"/>
          <w:b/>
          <w:bCs/>
          <w:sz w:val="20"/>
          <w:szCs w:val="20"/>
        </w:rPr>
      </w:pPr>
      <w:r w:rsidRPr="00C61A1F">
        <w:rPr>
          <w:rFonts w:ascii="Verdana" w:hAnsi="Verdana"/>
          <w:b/>
          <w:bCs/>
          <w:sz w:val="20"/>
          <w:szCs w:val="20"/>
        </w:rPr>
        <w:t>Цели</w:t>
      </w:r>
    </w:p>
    <w:p w:rsidR="00CE032C" w:rsidRPr="00C61A1F" w:rsidRDefault="00CE032C" w:rsidP="00CE032C">
      <w:pPr>
        <w:spacing w:line="360" w:lineRule="auto"/>
        <w:ind w:firstLine="720"/>
        <w:jc w:val="both"/>
        <w:rPr>
          <w:rFonts w:ascii="Verdana" w:hAnsi="Verdana"/>
          <w:bCs/>
          <w:spacing w:val="4"/>
          <w:sz w:val="20"/>
          <w:szCs w:val="20"/>
        </w:rPr>
      </w:pPr>
      <w:r w:rsidRPr="00C61A1F">
        <w:rPr>
          <w:rFonts w:ascii="Verdana" w:hAnsi="Verdana"/>
          <w:bCs/>
          <w:spacing w:val="4"/>
          <w:sz w:val="20"/>
          <w:szCs w:val="20"/>
        </w:rPr>
        <w:t>Предложен</w:t>
      </w:r>
      <w:r w:rsidR="00A1615D" w:rsidRPr="00C61A1F">
        <w:rPr>
          <w:rFonts w:ascii="Verdana" w:hAnsi="Verdana"/>
          <w:bCs/>
          <w:spacing w:val="4"/>
          <w:sz w:val="20"/>
          <w:szCs w:val="20"/>
        </w:rPr>
        <w:t>ите</w:t>
      </w:r>
      <w:r w:rsidRPr="00C61A1F">
        <w:rPr>
          <w:rFonts w:ascii="Verdana" w:hAnsi="Verdana"/>
          <w:bCs/>
          <w:spacing w:val="4"/>
          <w:sz w:val="20"/>
          <w:szCs w:val="20"/>
        </w:rPr>
        <w:t xml:space="preserve"> </w:t>
      </w:r>
      <w:r w:rsidR="00A1615D" w:rsidRPr="00C61A1F">
        <w:rPr>
          <w:rFonts w:ascii="Verdana" w:hAnsi="Verdana"/>
          <w:bCs/>
          <w:spacing w:val="4"/>
          <w:sz w:val="20"/>
          <w:szCs w:val="20"/>
        </w:rPr>
        <w:t>промени в</w:t>
      </w:r>
      <w:r w:rsidRPr="00C61A1F">
        <w:rPr>
          <w:rFonts w:ascii="Verdana" w:hAnsi="Verdana"/>
          <w:bCs/>
          <w:spacing w:val="4"/>
          <w:sz w:val="20"/>
          <w:szCs w:val="20"/>
        </w:rPr>
        <w:t xml:space="preserve"> Наредба № 3 от 10 март 2023 г. за условията и реда за прилагане на  интервенциите под формата на директни плащания, включени в Стратегическия план, за проверките, намаления на плащанията и за реда за налагане на административни санкции са насочени към постигане на следните цели:</w:t>
      </w:r>
    </w:p>
    <w:p w:rsidR="00CE032C" w:rsidRPr="00C61A1F" w:rsidRDefault="00CE032C" w:rsidP="00CE032C">
      <w:pPr>
        <w:spacing w:line="360" w:lineRule="auto"/>
        <w:ind w:firstLine="720"/>
        <w:jc w:val="both"/>
        <w:rPr>
          <w:rFonts w:ascii="Verdana" w:hAnsi="Verdana"/>
          <w:bCs/>
          <w:spacing w:val="4"/>
          <w:sz w:val="20"/>
          <w:szCs w:val="20"/>
        </w:rPr>
      </w:pPr>
      <w:r w:rsidRPr="00C61A1F">
        <w:rPr>
          <w:rFonts w:ascii="Verdana" w:hAnsi="Verdana"/>
          <w:bCs/>
          <w:spacing w:val="4"/>
          <w:sz w:val="20"/>
          <w:szCs w:val="20"/>
        </w:rPr>
        <w:t>Точно и пълно отразяване на изискванията и показателите на Стратегическия план за развитие на земеделието и селските райони на Република България за програмен период 2023 – 2027 г. в нормативните актове за неговото прилагане;</w:t>
      </w:r>
    </w:p>
    <w:p w:rsidR="00CE032C" w:rsidRPr="00C61A1F" w:rsidRDefault="00CE032C" w:rsidP="00CE032C">
      <w:pPr>
        <w:spacing w:line="360" w:lineRule="auto"/>
        <w:ind w:firstLine="720"/>
        <w:jc w:val="both"/>
        <w:rPr>
          <w:rFonts w:ascii="Verdana" w:hAnsi="Verdana"/>
          <w:bCs/>
          <w:spacing w:val="4"/>
          <w:sz w:val="20"/>
          <w:szCs w:val="20"/>
        </w:rPr>
      </w:pPr>
      <w:r w:rsidRPr="00C61A1F">
        <w:rPr>
          <w:rFonts w:ascii="Verdana" w:hAnsi="Verdana"/>
          <w:bCs/>
          <w:spacing w:val="4"/>
          <w:sz w:val="20"/>
          <w:szCs w:val="20"/>
        </w:rPr>
        <w:lastRenderedPageBreak/>
        <w:t>Осигуряване на оптимална яснота и прецизиране на изискванията за прилагане на интервенциите за подпомагане с директни плащания;</w:t>
      </w:r>
    </w:p>
    <w:p w:rsidR="005615C2" w:rsidRPr="00C61A1F" w:rsidRDefault="005615C2" w:rsidP="00CE032C">
      <w:pPr>
        <w:spacing w:line="360" w:lineRule="auto"/>
        <w:ind w:firstLine="720"/>
        <w:jc w:val="both"/>
        <w:rPr>
          <w:rFonts w:ascii="Verdana" w:hAnsi="Verdana"/>
          <w:bCs/>
          <w:spacing w:val="4"/>
          <w:sz w:val="20"/>
          <w:szCs w:val="20"/>
        </w:rPr>
      </w:pPr>
      <w:r w:rsidRPr="00C61A1F">
        <w:rPr>
          <w:rFonts w:ascii="Verdana" w:hAnsi="Verdana"/>
          <w:bCs/>
          <w:spacing w:val="4"/>
          <w:sz w:val="20"/>
          <w:szCs w:val="20"/>
        </w:rPr>
        <w:t>С изменението на Наредба № 4 от 2018 г. се цел</w:t>
      </w:r>
      <w:r w:rsidR="00CD5671" w:rsidRPr="00C61A1F">
        <w:rPr>
          <w:rFonts w:ascii="Verdana" w:hAnsi="Verdana"/>
          <w:bCs/>
          <w:spacing w:val="4"/>
          <w:sz w:val="20"/>
          <w:szCs w:val="20"/>
        </w:rPr>
        <w:t xml:space="preserve">и създаване на предпоставки за </w:t>
      </w:r>
      <w:r w:rsidRPr="00C61A1F">
        <w:rPr>
          <w:rFonts w:ascii="Verdana" w:hAnsi="Verdana"/>
          <w:bCs/>
          <w:spacing w:val="4"/>
          <w:sz w:val="20"/>
          <w:szCs w:val="20"/>
        </w:rPr>
        <w:t>улеснение изпълнението на одобрени проекти по ПРСР 2014-2020 г.</w:t>
      </w:r>
    </w:p>
    <w:p w:rsidR="00CE032C" w:rsidRPr="00C61A1F" w:rsidRDefault="00CE032C" w:rsidP="00CE032C">
      <w:pPr>
        <w:spacing w:line="360" w:lineRule="auto"/>
        <w:ind w:firstLine="720"/>
        <w:jc w:val="both"/>
        <w:rPr>
          <w:rFonts w:ascii="Verdana" w:hAnsi="Verdana"/>
          <w:bCs/>
          <w:sz w:val="20"/>
          <w:szCs w:val="20"/>
        </w:rPr>
      </w:pPr>
    </w:p>
    <w:p w:rsidR="00CE032C" w:rsidRPr="00C61A1F" w:rsidRDefault="00CE032C" w:rsidP="00CE032C">
      <w:pPr>
        <w:spacing w:line="348" w:lineRule="auto"/>
        <w:ind w:firstLine="720"/>
        <w:jc w:val="both"/>
        <w:rPr>
          <w:rFonts w:ascii="Verdana" w:hAnsi="Verdana"/>
          <w:b/>
          <w:bCs/>
          <w:sz w:val="20"/>
          <w:szCs w:val="20"/>
        </w:rPr>
      </w:pPr>
      <w:r w:rsidRPr="00C61A1F">
        <w:rPr>
          <w:rFonts w:ascii="Verdana" w:hAnsi="Verdana"/>
          <w:b/>
          <w:bCs/>
          <w:sz w:val="20"/>
          <w:szCs w:val="20"/>
        </w:rPr>
        <w:t>Финансови и други средства, необходими за прилагането на новата уредба</w:t>
      </w:r>
    </w:p>
    <w:p w:rsidR="00CE032C" w:rsidRPr="00C61A1F" w:rsidRDefault="00CE032C" w:rsidP="00CE032C">
      <w:pPr>
        <w:spacing w:line="348" w:lineRule="auto"/>
        <w:ind w:firstLine="720"/>
        <w:jc w:val="both"/>
        <w:rPr>
          <w:rFonts w:ascii="Verdana" w:hAnsi="Verdana"/>
          <w:bCs/>
          <w:sz w:val="20"/>
          <w:szCs w:val="20"/>
        </w:rPr>
      </w:pPr>
      <w:r w:rsidRPr="00C61A1F">
        <w:rPr>
          <w:rFonts w:ascii="Verdana" w:hAnsi="Verdana"/>
          <w:bCs/>
          <w:sz w:val="20"/>
          <w:szCs w:val="20"/>
        </w:rPr>
        <w:t>За приемането на Наредбата за допълнение на Наредба № 3</w:t>
      </w:r>
      <w:r w:rsidR="00E7650C" w:rsidRPr="00C61A1F">
        <w:rPr>
          <w:rFonts w:ascii="Verdana" w:hAnsi="Verdana"/>
          <w:bCs/>
          <w:sz w:val="20"/>
          <w:szCs w:val="20"/>
        </w:rPr>
        <w:t xml:space="preserve"> от </w:t>
      </w:r>
      <w:r w:rsidRPr="00C61A1F">
        <w:rPr>
          <w:rFonts w:ascii="Verdana" w:hAnsi="Verdana"/>
          <w:bCs/>
          <w:sz w:val="20"/>
          <w:szCs w:val="20"/>
        </w:rPr>
        <w:t xml:space="preserve">2023 г. за условията и реда за прилагане на интервенциите под формата на директни плащания, </w:t>
      </w:r>
      <w:r w:rsidRPr="00C61A1F">
        <w:rPr>
          <w:rFonts w:ascii="Verdana" w:hAnsi="Verdana" w:cs="Tahoma"/>
          <w:color w:val="000000" w:themeColor="text1"/>
          <w:sz w:val="20"/>
          <w:szCs w:val="20"/>
        </w:rPr>
        <w:t xml:space="preserve">включени в Стратегическия план, </w:t>
      </w:r>
      <w:r w:rsidRPr="00C61A1F">
        <w:rPr>
          <w:rFonts w:ascii="Verdana" w:hAnsi="Verdana"/>
          <w:bCs/>
          <w:sz w:val="20"/>
          <w:szCs w:val="20"/>
        </w:rPr>
        <w:t xml:space="preserve">за проверките, намаления на плащанията и за реда за налагане на административни санкции не се предвижда разходването на допълнителни средства от бюджета на Министерството на земеделието </w:t>
      </w:r>
      <w:r w:rsidRPr="00C61A1F">
        <w:rPr>
          <w:rFonts w:ascii="Verdana" w:hAnsi="Verdana"/>
          <w:bCs/>
          <w:color w:val="000000" w:themeColor="text1"/>
          <w:sz w:val="20"/>
          <w:szCs w:val="20"/>
        </w:rPr>
        <w:t xml:space="preserve">и храните </w:t>
      </w:r>
      <w:r w:rsidRPr="00C61A1F">
        <w:rPr>
          <w:rFonts w:ascii="Verdana" w:hAnsi="Verdana"/>
          <w:bCs/>
          <w:sz w:val="20"/>
          <w:szCs w:val="20"/>
        </w:rPr>
        <w:t>и на Държавен фонд „Земеделие“ – Разплащателна агенция, както и допълнителна финансова тежест за кандидатите и бенефициентите на подпомагане по отношение на интервенциите, които ще бъдат финансирани от бюджета на Европейския фонд за гарантиране на земеделието.</w:t>
      </w:r>
    </w:p>
    <w:p w:rsidR="00CE032C" w:rsidRPr="00C61A1F" w:rsidRDefault="005615C2" w:rsidP="005615C2">
      <w:pPr>
        <w:spacing w:line="348" w:lineRule="auto"/>
        <w:ind w:firstLine="720"/>
        <w:jc w:val="both"/>
        <w:rPr>
          <w:rFonts w:ascii="Verdana" w:hAnsi="Verdana"/>
          <w:bCs/>
          <w:sz w:val="20"/>
          <w:szCs w:val="20"/>
        </w:rPr>
      </w:pPr>
      <w:r w:rsidRPr="00C61A1F">
        <w:rPr>
          <w:rFonts w:ascii="Verdana" w:hAnsi="Verdana"/>
          <w:bCs/>
          <w:sz w:val="20"/>
          <w:szCs w:val="20"/>
        </w:rPr>
        <w:t>Промените в Наредба № 4 от 2018 г. не предвижда</w:t>
      </w:r>
      <w:r w:rsidR="003A38C4" w:rsidRPr="00C61A1F">
        <w:rPr>
          <w:rFonts w:ascii="Verdana" w:hAnsi="Verdana"/>
          <w:bCs/>
          <w:sz w:val="20"/>
          <w:szCs w:val="20"/>
        </w:rPr>
        <w:t>т</w:t>
      </w:r>
      <w:r w:rsidRPr="00C61A1F">
        <w:rPr>
          <w:rFonts w:ascii="Verdana" w:hAnsi="Verdana"/>
          <w:bCs/>
          <w:sz w:val="20"/>
          <w:szCs w:val="20"/>
        </w:rPr>
        <w:t xml:space="preserve"> разходването на допълнителни средства от бюджета на Министерство на земеделието</w:t>
      </w:r>
      <w:r w:rsidRPr="00C61A1F">
        <w:t xml:space="preserve"> </w:t>
      </w:r>
      <w:r w:rsidRPr="00C61A1F">
        <w:rPr>
          <w:rFonts w:ascii="Verdana" w:hAnsi="Verdana"/>
          <w:bCs/>
          <w:sz w:val="20"/>
          <w:szCs w:val="20"/>
        </w:rPr>
        <w:t>и храните и на Държавен фонд „Земеделие“ – Разплащателна агенция. Финансовите средства</w:t>
      </w:r>
      <w:r w:rsidR="00250255" w:rsidRPr="00C61A1F">
        <w:rPr>
          <w:rFonts w:ascii="Verdana" w:hAnsi="Verdana"/>
          <w:bCs/>
          <w:sz w:val="20"/>
          <w:szCs w:val="20"/>
        </w:rPr>
        <w:t xml:space="preserve"> за авансови плащания</w:t>
      </w:r>
      <w:r w:rsidRPr="00C61A1F">
        <w:rPr>
          <w:rFonts w:ascii="Verdana" w:hAnsi="Verdana"/>
          <w:bCs/>
          <w:sz w:val="20"/>
          <w:szCs w:val="20"/>
        </w:rPr>
        <w:t xml:space="preserve"> </w:t>
      </w:r>
      <w:r w:rsidR="00250255" w:rsidRPr="00C61A1F">
        <w:rPr>
          <w:rFonts w:ascii="Verdana" w:hAnsi="Verdana"/>
          <w:bCs/>
          <w:sz w:val="20"/>
          <w:szCs w:val="20"/>
        </w:rPr>
        <w:t>са</w:t>
      </w:r>
      <w:r w:rsidRPr="00C61A1F">
        <w:rPr>
          <w:rFonts w:ascii="Verdana" w:hAnsi="Verdana"/>
          <w:bCs/>
          <w:sz w:val="20"/>
          <w:szCs w:val="20"/>
        </w:rPr>
        <w:t xml:space="preserve"> предвидени в сметката за средствата от Европейския съюз на Държавен фонд „Земеделие“.</w:t>
      </w:r>
    </w:p>
    <w:p w:rsidR="003853D1" w:rsidRPr="00C61A1F" w:rsidRDefault="003853D1" w:rsidP="00CE032C">
      <w:pPr>
        <w:spacing w:line="360" w:lineRule="auto"/>
        <w:ind w:firstLine="720"/>
        <w:jc w:val="both"/>
        <w:rPr>
          <w:rFonts w:ascii="Verdana" w:hAnsi="Verdana"/>
          <w:b/>
          <w:sz w:val="20"/>
          <w:szCs w:val="20"/>
        </w:rPr>
      </w:pPr>
    </w:p>
    <w:p w:rsidR="00CE032C" w:rsidRPr="00C61A1F" w:rsidRDefault="00CE032C" w:rsidP="00CE032C">
      <w:pPr>
        <w:spacing w:line="360" w:lineRule="auto"/>
        <w:ind w:firstLine="720"/>
        <w:jc w:val="both"/>
        <w:rPr>
          <w:rFonts w:ascii="Verdana" w:hAnsi="Verdana"/>
          <w:b/>
          <w:sz w:val="20"/>
          <w:szCs w:val="20"/>
        </w:rPr>
      </w:pPr>
      <w:r w:rsidRPr="00C61A1F">
        <w:rPr>
          <w:rFonts w:ascii="Verdana" w:hAnsi="Verdana"/>
          <w:b/>
          <w:sz w:val="20"/>
          <w:szCs w:val="20"/>
        </w:rPr>
        <w:t>Очаквани резултати от прилагането на акта</w:t>
      </w:r>
    </w:p>
    <w:p w:rsidR="00CE032C" w:rsidRPr="00C61A1F" w:rsidRDefault="00CE032C" w:rsidP="00CE032C">
      <w:pPr>
        <w:spacing w:line="360" w:lineRule="auto"/>
        <w:ind w:firstLine="720"/>
        <w:jc w:val="both"/>
        <w:rPr>
          <w:rFonts w:ascii="Verdana" w:hAnsi="Verdana"/>
          <w:sz w:val="20"/>
          <w:szCs w:val="20"/>
        </w:rPr>
      </w:pPr>
      <w:r w:rsidRPr="00C61A1F">
        <w:rPr>
          <w:rFonts w:ascii="Verdana" w:hAnsi="Verdana"/>
          <w:sz w:val="20"/>
          <w:szCs w:val="20"/>
        </w:rPr>
        <w:t xml:space="preserve">С прилагане на </w:t>
      </w:r>
      <w:r w:rsidR="00422F82" w:rsidRPr="00C61A1F">
        <w:rPr>
          <w:rFonts w:ascii="Verdana" w:hAnsi="Verdana"/>
          <w:sz w:val="20"/>
          <w:szCs w:val="20"/>
        </w:rPr>
        <w:t>Н</w:t>
      </w:r>
      <w:r w:rsidRPr="00C61A1F">
        <w:rPr>
          <w:rFonts w:ascii="Verdana" w:hAnsi="Verdana"/>
          <w:sz w:val="20"/>
          <w:szCs w:val="20"/>
        </w:rPr>
        <w:t>аредбата се очаква постигането на следните резултати:</w:t>
      </w:r>
    </w:p>
    <w:p w:rsidR="00CE032C" w:rsidRPr="00C61A1F" w:rsidRDefault="00CE032C" w:rsidP="00CE032C">
      <w:pPr>
        <w:spacing w:line="360" w:lineRule="auto"/>
        <w:ind w:firstLine="720"/>
        <w:jc w:val="both"/>
        <w:rPr>
          <w:rFonts w:ascii="Verdana" w:hAnsi="Verdana"/>
          <w:bCs/>
          <w:sz w:val="20"/>
          <w:szCs w:val="20"/>
        </w:rPr>
      </w:pPr>
      <w:r w:rsidRPr="00C61A1F">
        <w:rPr>
          <w:rFonts w:ascii="Verdana" w:hAnsi="Verdana"/>
          <w:bCs/>
          <w:sz w:val="20"/>
          <w:szCs w:val="20"/>
        </w:rPr>
        <w:t>Успешно прилагане през 2023 г. на Стратегическия план за развитие на земеделието и селските райони на Република България за програмен период 2023 – 2027 г.;</w:t>
      </w:r>
    </w:p>
    <w:p w:rsidR="00CE032C" w:rsidRPr="00C61A1F" w:rsidRDefault="008B2FDE" w:rsidP="00CE032C">
      <w:pPr>
        <w:spacing w:line="360" w:lineRule="auto"/>
        <w:ind w:firstLine="720"/>
        <w:jc w:val="both"/>
        <w:rPr>
          <w:rFonts w:ascii="Verdana" w:hAnsi="Verdana"/>
          <w:bCs/>
          <w:sz w:val="20"/>
          <w:szCs w:val="20"/>
        </w:rPr>
      </w:pPr>
      <w:r>
        <w:rPr>
          <w:rFonts w:ascii="Verdana" w:hAnsi="Verdana"/>
          <w:bCs/>
          <w:sz w:val="20"/>
          <w:szCs w:val="20"/>
        </w:rPr>
        <w:t xml:space="preserve">Ефективно управление </w:t>
      </w:r>
      <w:r w:rsidR="00CE032C" w:rsidRPr="00C61A1F">
        <w:rPr>
          <w:rFonts w:ascii="Verdana" w:hAnsi="Verdana"/>
          <w:bCs/>
          <w:sz w:val="20"/>
          <w:szCs w:val="20"/>
        </w:rPr>
        <w:t>на предвидения за страната ресурс за финансиране на интервенциите под формата на директни плащания, включени в Стратегическия план;</w:t>
      </w:r>
    </w:p>
    <w:p w:rsidR="00CE032C" w:rsidRPr="00C61A1F" w:rsidRDefault="00CE032C" w:rsidP="00CE032C">
      <w:pPr>
        <w:spacing w:line="360" w:lineRule="auto"/>
        <w:ind w:firstLine="720"/>
        <w:jc w:val="both"/>
        <w:rPr>
          <w:rFonts w:ascii="Verdana" w:hAnsi="Verdana"/>
          <w:bCs/>
          <w:spacing w:val="4"/>
          <w:sz w:val="20"/>
          <w:szCs w:val="20"/>
        </w:rPr>
      </w:pPr>
      <w:r w:rsidRPr="00C61A1F">
        <w:rPr>
          <w:rFonts w:ascii="Verdana" w:hAnsi="Verdana"/>
          <w:bCs/>
          <w:sz w:val="20"/>
          <w:szCs w:val="20"/>
        </w:rPr>
        <w:t>Създаване на всички необходими условия за правилното администриране на интервенциите</w:t>
      </w:r>
      <w:r w:rsidRPr="00C61A1F">
        <w:rPr>
          <w:rFonts w:ascii="Verdana" w:hAnsi="Verdana"/>
          <w:bCs/>
          <w:spacing w:val="4"/>
          <w:sz w:val="20"/>
          <w:szCs w:val="20"/>
        </w:rPr>
        <w:t xml:space="preserve"> за директни плащания.</w:t>
      </w:r>
    </w:p>
    <w:p w:rsidR="00250255" w:rsidRPr="00C61A1F" w:rsidRDefault="00250255" w:rsidP="00CE032C">
      <w:pPr>
        <w:spacing w:line="360" w:lineRule="auto"/>
        <w:ind w:firstLine="720"/>
        <w:jc w:val="both"/>
        <w:rPr>
          <w:rFonts w:ascii="Verdana" w:hAnsi="Verdana"/>
          <w:bCs/>
          <w:spacing w:val="4"/>
          <w:sz w:val="20"/>
          <w:szCs w:val="20"/>
        </w:rPr>
      </w:pPr>
      <w:r w:rsidRPr="00C61A1F">
        <w:rPr>
          <w:rFonts w:ascii="Verdana" w:hAnsi="Verdana"/>
          <w:bCs/>
          <w:spacing w:val="4"/>
          <w:sz w:val="20"/>
          <w:szCs w:val="20"/>
        </w:rPr>
        <w:t>Промените в Наредба № 4 от 2018 г. ще допринесат за ускоряване на  изпълнение на проектите по Програмата за развитие на селските райони за периода 2014 – 2020 г.</w:t>
      </w:r>
    </w:p>
    <w:p w:rsidR="00CE032C" w:rsidRPr="00C61A1F" w:rsidRDefault="00CE032C" w:rsidP="00CE032C">
      <w:pPr>
        <w:spacing w:line="348" w:lineRule="auto"/>
        <w:ind w:firstLine="720"/>
        <w:jc w:val="both"/>
        <w:rPr>
          <w:rFonts w:ascii="Verdana" w:hAnsi="Verdana"/>
          <w:bCs/>
          <w:sz w:val="20"/>
          <w:szCs w:val="20"/>
        </w:rPr>
      </w:pPr>
    </w:p>
    <w:p w:rsidR="00CE032C" w:rsidRPr="00C61A1F" w:rsidRDefault="00CE032C" w:rsidP="00CE032C">
      <w:pPr>
        <w:spacing w:line="360" w:lineRule="auto"/>
        <w:ind w:firstLine="720"/>
        <w:jc w:val="both"/>
        <w:rPr>
          <w:rFonts w:ascii="Verdana" w:hAnsi="Verdana"/>
          <w:bCs/>
          <w:sz w:val="20"/>
          <w:szCs w:val="20"/>
        </w:rPr>
      </w:pPr>
      <w:r w:rsidRPr="00C61A1F">
        <w:rPr>
          <w:rFonts w:ascii="Verdana" w:hAnsi="Verdana"/>
          <w:b/>
          <w:sz w:val="20"/>
          <w:szCs w:val="20"/>
        </w:rPr>
        <w:t>Анализ за съответствие с правото на Европейския съюз</w:t>
      </w:r>
    </w:p>
    <w:p w:rsidR="00CE032C" w:rsidRPr="00C61A1F" w:rsidRDefault="00CE032C" w:rsidP="00CE032C">
      <w:pPr>
        <w:spacing w:line="360" w:lineRule="auto"/>
        <w:ind w:firstLine="720"/>
        <w:jc w:val="both"/>
        <w:rPr>
          <w:rFonts w:ascii="Verdana" w:hAnsi="Verdana"/>
          <w:bCs/>
          <w:sz w:val="20"/>
          <w:szCs w:val="20"/>
        </w:rPr>
      </w:pPr>
      <w:r w:rsidRPr="00C61A1F">
        <w:rPr>
          <w:rFonts w:ascii="Verdana" w:hAnsi="Verdana"/>
          <w:bCs/>
          <w:sz w:val="20"/>
          <w:szCs w:val="20"/>
        </w:rPr>
        <w:t>Наредбата не е свързана с транспониране в националното законодателство на нормативни актове на институциите на Европейския съюз, поради което не е приложена таблица на съответствие с правото на Европейския съюз.</w:t>
      </w:r>
    </w:p>
    <w:p w:rsidR="00CE032C" w:rsidRPr="00C61A1F" w:rsidRDefault="00CE032C" w:rsidP="00CE032C">
      <w:pPr>
        <w:spacing w:line="348" w:lineRule="auto"/>
        <w:ind w:firstLine="720"/>
        <w:jc w:val="both"/>
        <w:rPr>
          <w:rFonts w:ascii="Verdana" w:hAnsi="Verdana"/>
          <w:bCs/>
          <w:sz w:val="20"/>
          <w:szCs w:val="20"/>
        </w:rPr>
      </w:pPr>
    </w:p>
    <w:p w:rsidR="00C61A1F" w:rsidRPr="00C61A1F" w:rsidRDefault="00C61A1F" w:rsidP="00CE032C">
      <w:pPr>
        <w:spacing w:line="348" w:lineRule="auto"/>
        <w:ind w:firstLine="720"/>
        <w:jc w:val="both"/>
        <w:rPr>
          <w:rFonts w:ascii="Verdana" w:hAnsi="Verdana"/>
          <w:bCs/>
          <w:sz w:val="20"/>
          <w:szCs w:val="20"/>
        </w:rPr>
      </w:pPr>
    </w:p>
    <w:p w:rsidR="00CE032C" w:rsidRPr="00C61A1F" w:rsidRDefault="00CE032C" w:rsidP="00CE032C">
      <w:pPr>
        <w:spacing w:line="360" w:lineRule="auto"/>
        <w:ind w:firstLine="720"/>
        <w:jc w:val="both"/>
        <w:rPr>
          <w:rFonts w:ascii="Verdana" w:hAnsi="Verdana"/>
          <w:b/>
          <w:bCs/>
          <w:sz w:val="20"/>
          <w:szCs w:val="20"/>
        </w:rPr>
      </w:pPr>
      <w:r w:rsidRPr="00C61A1F">
        <w:rPr>
          <w:rFonts w:ascii="Verdana" w:hAnsi="Verdana"/>
          <w:b/>
          <w:bCs/>
          <w:sz w:val="20"/>
          <w:szCs w:val="20"/>
        </w:rPr>
        <w:lastRenderedPageBreak/>
        <w:t>Информация за проведените обществени консултации</w:t>
      </w:r>
    </w:p>
    <w:p w:rsidR="00422F82" w:rsidRPr="00C61A1F" w:rsidRDefault="00CE032C" w:rsidP="00CE032C">
      <w:pPr>
        <w:spacing w:line="360" w:lineRule="auto"/>
        <w:ind w:firstLine="720"/>
        <w:jc w:val="both"/>
        <w:rPr>
          <w:rFonts w:ascii="Verdana" w:hAnsi="Verdana"/>
          <w:bCs/>
          <w:sz w:val="20"/>
          <w:szCs w:val="20"/>
        </w:rPr>
      </w:pPr>
      <w:r w:rsidRPr="00C61A1F">
        <w:rPr>
          <w:rFonts w:ascii="Verdana" w:hAnsi="Verdana"/>
          <w:bCs/>
          <w:sz w:val="20"/>
          <w:szCs w:val="20"/>
        </w:rPr>
        <w:t xml:space="preserve">Съгласно чл. 26, ал. 3 и 4 от Закона за нормативните актове проектите на наредба и доклад (мотиви) са публикувани на интернет страницата на Министерството на земеделието </w:t>
      </w:r>
      <w:r w:rsidRPr="00C61A1F">
        <w:rPr>
          <w:rFonts w:ascii="Verdana" w:hAnsi="Verdana"/>
          <w:bCs/>
          <w:color w:val="000000" w:themeColor="text1"/>
          <w:sz w:val="20"/>
          <w:szCs w:val="20"/>
        </w:rPr>
        <w:t xml:space="preserve">и храните </w:t>
      </w:r>
      <w:r w:rsidRPr="00C61A1F">
        <w:rPr>
          <w:rFonts w:ascii="Verdana" w:hAnsi="Verdana"/>
          <w:bCs/>
          <w:sz w:val="20"/>
          <w:szCs w:val="20"/>
        </w:rPr>
        <w:t xml:space="preserve">и на Портала за обществени консултации със срок за </w:t>
      </w:r>
      <w:r w:rsidRPr="00C61A1F">
        <w:rPr>
          <w:rFonts w:ascii="Verdana" w:hAnsi="Verdana"/>
          <w:bCs/>
          <w:spacing w:val="-2"/>
          <w:sz w:val="20"/>
          <w:szCs w:val="20"/>
        </w:rPr>
        <w:t xml:space="preserve">предложения </w:t>
      </w:r>
      <w:r w:rsidRPr="00C61A1F">
        <w:rPr>
          <w:rFonts w:ascii="Verdana" w:hAnsi="Verdana"/>
          <w:bCs/>
          <w:sz w:val="20"/>
          <w:szCs w:val="20"/>
        </w:rPr>
        <w:t xml:space="preserve">и становища </w:t>
      </w:r>
      <w:r w:rsidR="00E7650C" w:rsidRPr="00C61A1F">
        <w:rPr>
          <w:rFonts w:ascii="Verdana" w:hAnsi="Verdana"/>
          <w:bCs/>
          <w:sz w:val="20"/>
          <w:szCs w:val="20"/>
        </w:rPr>
        <w:t>14</w:t>
      </w:r>
      <w:r w:rsidRPr="00C61A1F">
        <w:rPr>
          <w:rFonts w:ascii="Verdana" w:hAnsi="Verdana"/>
          <w:bCs/>
          <w:sz w:val="20"/>
          <w:szCs w:val="20"/>
        </w:rPr>
        <w:t xml:space="preserve"> дни.</w:t>
      </w:r>
      <w:r w:rsidR="00B10944" w:rsidRPr="00C61A1F">
        <w:rPr>
          <w:rFonts w:ascii="Verdana" w:hAnsi="Verdana"/>
          <w:bCs/>
          <w:sz w:val="20"/>
          <w:szCs w:val="20"/>
        </w:rPr>
        <w:t xml:space="preserve"> В Наредба № 3 от 2023 г. е предвидена възможността кандидатите за подпомагане с директни плащания на площ за 2023 г. да извършват корекция или оттегляне на заявлението в срок до 20 ноември 2023 г.  на база данните от  системата за мониторинг на площ. Съответно до края на ноември 2023 г. Държавен фонд „Земеделие“ следва да извърши калкулация на плащанията въз основа резултатите в системата за мониторинг на площ относно допустимостта на площите, заявени за подпомагане. От началото на ноември 2023 г. Системата за мониторинг на площ ще визуализира три вида резултати: „В съответствие“, „Неубедителни доказателства за несъответствие“ и „Несъответствие“, като същите ще бъдат обозначени със зелен, жълт и червен цвят. В тази връзка е необходимо съответните резултати от системата за мониторинг на площ да бъдат своевременно дефинирани с цел информиране на земеделските стопани за значението им, което налага необходимостта от провеждане на обществената консултация по проекта в 14-дневен срок.</w:t>
      </w:r>
      <w:r w:rsidRPr="00C61A1F">
        <w:rPr>
          <w:rFonts w:ascii="Verdana" w:hAnsi="Verdana"/>
          <w:bCs/>
          <w:sz w:val="20"/>
          <w:szCs w:val="20"/>
        </w:rPr>
        <w:t xml:space="preserve"> </w:t>
      </w:r>
      <w:r w:rsidR="00B10944" w:rsidRPr="00C61A1F">
        <w:rPr>
          <w:rFonts w:ascii="Verdana" w:hAnsi="Verdana"/>
          <w:bCs/>
          <w:sz w:val="20"/>
          <w:szCs w:val="20"/>
        </w:rPr>
        <w:t>По-краткият срок за обсъждане се обуславя и от необходимостта от ускоряване изпълнението на Програмата за развитие на селските райони за периода 2014-2020 г., с оглед крайния срок за изпълнение. Разширяването на възможностите за заявяване на авансови плащания през 2023 г. ще съкрати времето за изпълнението на проектите по Програмата за развитие на селските райони 2014 - 2020 г. и ще засили темповете на изплащане на финансовата помощ. С промяната в Наредба № 4 от 2018 г. ще се намали риска от автоматично отчисляване на средства по правилото N+3, определено в чл. 38 от Регламент (ЕС) № 1306/2013 на Европейския парламент и на Съвета от 17 декември 2013 година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Съгласно чл. 38 от посочения регламент средствата от бюджет 2020 г. следва да бъдат разплатени до края на 2023 г.</w:t>
      </w:r>
    </w:p>
    <w:p w:rsidR="00CE032C" w:rsidRPr="00C61A1F" w:rsidRDefault="00CE032C" w:rsidP="00CE032C">
      <w:pPr>
        <w:spacing w:line="360" w:lineRule="auto"/>
        <w:ind w:firstLine="720"/>
        <w:jc w:val="both"/>
        <w:rPr>
          <w:rFonts w:ascii="Verdana" w:hAnsi="Verdana"/>
          <w:bCs/>
          <w:sz w:val="20"/>
          <w:szCs w:val="20"/>
        </w:rPr>
      </w:pPr>
      <w:r w:rsidRPr="00C61A1F">
        <w:rPr>
          <w:rFonts w:ascii="Verdana" w:hAnsi="Verdana"/>
          <w:bCs/>
          <w:sz w:val="20"/>
          <w:szCs w:val="20"/>
        </w:rPr>
        <w:t>Съгласно чл. 26, ал. 5 от Закона за нормативните актове справката за отразяване на постъпилите предложения и становища от проведената обществена консултация по проекта, заедно с обосновка за неприетите предложения е публикувана на интернет страницата на Министерството на земеделието и храните и на Портала за обществени консултации.</w:t>
      </w:r>
    </w:p>
    <w:p w:rsidR="00CE032C" w:rsidRPr="00C61A1F" w:rsidRDefault="00CE032C" w:rsidP="00CE032C">
      <w:pPr>
        <w:spacing w:line="360" w:lineRule="auto"/>
        <w:ind w:firstLine="720"/>
        <w:jc w:val="both"/>
        <w:rPr>
          <w:rFonts w:ascii="Verdana" w:hAnsi="Verdana"/>
          <w:bCs/>
          <w:sz w:val="20"/>
          <w:szCs w:val="20"/>
        </w:rPr>
      </w:pPr>
      <w:r w:rsidRPr="00C61A1F">
        <w:rPr>
          <w:rFonts w:ascii="Verdana" w:hAnsi="Verdana"/>
          <w:bCs/>
          <w:sz w:val="20"/>
          <w:szCs w:val="20"/>
        </w:rPr>
        <w:t>Проектът на наредба е съгласуван в съответствие с разпоредбите на Правилата за изготвяне и съгласуване на проекти на актове в системата на Министерството на земеделието, храните и горите. Направените целесъобразни бележки и предложения са отразени.</w:t>
      </w:r>
    </w:p>
    <w:p w:rsidR="00E7650C" w:rsidRPr="00C61A1F" w:rsidRDefault="00E7650C" w:rsidP="00E7650C">
      <w:pPr>
        <w:spacing w:after="120"/>
        <w:jc w:val="both"/>
        <w:rPr>
          <w:rFonts w:ascii="Verdana" w:hAnsi="Verdana"/>
          <w:b/>
          <w:noProof/>
          <w:sz w:val="20"/>
          <w:szCs w:val="20"/>
          <w:shd w:val="clear" w:color="auto" w:fill="FEFEFE"/>
        </w:rPr>
      </w:pPr>
    </w:p>
    <w:p w:rsidR="00CE032C" w:rsidRPr="00C61A1F" w:rsidRDefault="00CE032C" w:rsidP="00CE032C">
      <w:pPr>
        <w:spacing w:after="120" w:line="360" w:lineRule="auto"/>
        <w:jc w:val="both"/>
        <w:rPr>
          <w:rFonts w:ascii="Verdana" w:hAnsi="Verdana"/>
          <w:b/>
          <w:noProof/>
          <w:sz w:val="20"/>
          <w:szCs w:val="20"/>
          <w:shd w:val="clear" w:color="auto" w:fill="FEFEFE"/>
        </w:rPr>
      </w:pPr>
      <w:r w:rsidRPr="00C61A1F">
        <w:rPr>
          <w:rFonts w:ascii="Verdana" w:hAnsi="Verdana"/>
          <w:b/>
          <w:noProof/>
          <w:sz w:val="20"/>
          <w:szCs w:val="20"/>
          <w:shd w:val="clear" w:color="auto" w:fill="FEFEFE"/>
        </w:rPr>
        <w:lastRenderedPageBreak/>
        <w:t>УВАЖАЕМИ ГОСПОДИН МИНИСТЪР,</w:t>
      </w:r>
    </w:p>
    <w:p w:rsidR="00CE032C" w:rsidRPr="00C61A1F" w:rsidRDefault="00CE032C" w:rsidP="00CE032C">
      <w:pPr>
        <w:spacing w:line="360" w:lineRule="auto"/>
        <w:ind w:firstLine="720"/>
        <w:jc w:val="both"/>
        <w:rPr>
          <w:rFonts w:ascii="Verdana" w:hAnsi="Verdana"/>
          <w:bCs/>
          <w:noProof/>
          <w:sz w:val="20"/>
          <w:szCs w:val="20"/>
        </w:rPr>
      </w:pPr>
      <w:r w:rsidRPr="00C61A1F">
        <w:rPr>
          <w:rFonts w:ascii="Verdana" w:hAnsi="Verdana"/>
          <w:noProof/>
          <w:sz w:val="20"/>
          <w:szCs w:val="20"/>
          <w:shd w:val="clear" w:color="auto" w:fill="FEFEFE"/>
        </w:rPr>
        <w:t xml:space="preserve">Във връзка с гореизложеното, предлагам да издадете приложената </w:t>
      </w:r>
      <w:r w:rsidR="00A1615D" w:rsidRPr="00C61A1F">
        <w:rPr>
          <w:rFonts w:ascii="Verdana" w:hAnsi="Verdana"/>
          <w:noProof/>
          <w:sz w:val="20"/>
          <w:szCs w:val="20"/>
          <w:shd w:val="clear" w:color="auto" w:fill="FEFEFE"/>
        </w:rPr>
        <w:t>Наредба за допълнение на Наредба № 3 от 2023 г. за условията и реда за прилагане на интервенциите под формата на директни плащания, включени в Стратегическия план, за проверките, намаления на плащанията и реда за налагане на административни санкции</w:t>
      </w:r>
      <w:r w:rsidRPr="00C61A1F">
        <w:rPr>
          <w:rFonts w:ascii="Verdana" w:hAnsi="Verdana"/>
          <w:bCs/>
          <w:noProof/>
          <w:sz w:val="20"/>
          <w:szCs w:val="20"/>
        </w:rPr>
        <w:t>.</w:t>
      </w:r>
    </w:p>
    <w:p w:rsidR="00CE032C" w:rsidRPr="00C61A1F" w:rsidRDefault="00CE032C" w:rsidP="00CE032C">
      <w:pPr>
        <w:spacing w:line="360" w:lineRule="auto"/>
        <w:ind w:right="-1" w:firstLine="720"/>
        <w:jc w:val="both"/>
        <w:rPr>
          <w:rFonts w:ascii="Verdana" w:hAnsi="Verdana"/>
          <w:bCs/>
          <w:noProof/>
          <w:sz w:val="20"/>
          <w:szCs w:val="20"/>
        </w:rPr>
      </w:pPr>
    </w:p>
    <w:tbl>
      <w:tblPr>
        <w:tblW w:w="8654" w:type="dxa"/>
        <w:tblInd w:w="668" w:type="dxa"/>
        <w:tblLook w:val="01E0" w:firstRow="1" w:lastRow="1" w:firstColumn="1" w:lastColumn="1" w:noHBand="0" w:noVBand="0"/>
      </w:tblPr>
      <w:tblGrid>
        <w:gridCol w:w="1884"/>
        <w:gridCol w:w="6770"/>
      </w:tblGrid>
      <w:tr w:rsidR="00CE032C" w:rsidRPr="00C61A1F" w:rsidTr="00100A23">
        <w:tc>
          <w:tcPr>
            <w:tcW w:w="1884" w:type="dxa"/>
          </w:tcPr>
          <w:p w:rsidR="00CE032C" w:rsidRPr="00C61A1F" w:rsidRDefault="00CE032C" w:rsidP="00CE032C">
            <w:pPr>
              <w:spacing w:line="360" w:lineRule="auto"/>
              <w:rPr>
                <w:rFonts w:ascii="Verdana" w:hAnsi="Verdana"/>
                <w:b/>
                <w:bCs/>
                <w:noProof/>
                <w:sz w:val="20"/>
                <w:szCs w:val="20"/>
              </w:rPr>
            </w:pPr>
            <w:r w:rsidRPr="00C61A1F">
              <w:rPr>
                <w:rFonts w:ascii="Verdana" w:hAnsi="Verdana"/>
                <w:bCs/>
                <w:noProof/>
                <w:sz w:val="20"/>
                <w:szCs w:val="20"/>
              </w:rPr>
              <w:br w:type="page"/>
            </w:r>
            <w:r w:rsidRPr="00C61A1F">
              <w:rPr>
                <w:rFonts w:ascii="Verdana" w:hAnsi="Verdana"/>
                <w:b/>
                <w:bCs/>
                <w:noProof/>
                <w:sz w:val="20"/>
                <w:szCs w:val="20"/>
              </w:rPr>
              <w:t xml:space="preserve">Приложение: </w:t>
            </w:r>
          </w:p>
        </w:tc>
        <w:tc>
          <w:tcPr>
            <w:tcW w:w="6770" w:type="dxa"/>
          </w:tcPr>
          <w:p w:rsidR="00CE032C" w:rsidRPr="00C61A1F" w:rsidRDefault="00CE032C" w:rsidP="00A1615D">
            <w:pPr>
              <w:numPr>
                <w:ilvl w:val="0"/>
                <w:numId w:val="1"/>
              </w:numPr>
              <w:spacing w:line="360" w:lineRule="auto"/>
              <w:ind w:left="284" w:hanging="284"/>
              <w:jc w:val="both"/>
              <w:rPr>
                <w:rFonts w:ascii="Verdana" w:hAnsi="Verdana" w:cs="Verdana"/>
                <w:noProof/>
                <w:sz w:val="20"/>
                <w:szCs w:val="20"/>
              </w:rPr>
            </w:pPr>
            <w:r w:rsidRPr="00C61A1F">
              <w:rPr>
                <w:rFonts w:ascii="Verdana" w:hAnsi="Verdana" w:cs="Verdana"/>
                <w:noProof/>
                <w:sz w:val="20"/>
                <w:szCs w:val="20"/>
              </w:rPr>
              <w:t xml:space="preserve">Проект на </w:t>
            </w:r>
            <w:r w:rsidR="00A1615D" w:rsidRPr="00C61A1F">
              <w:rPr>
                <w:rFonts w:ascii="Verdana" w:hAnsi="Verdana" w:cs="Verdana"/>
                <w:noProof/>
                <w:sz w:val="20"/>
                <w:szCs w:val="20"/>
              </w:rPr>
              <w:t xml:space="preserve">Наредба за допълнение на Наредба № 3 от </w:t>
            </w:r>
            <w:r w:rsidR="00B36059">
              <w:rPr>
                <w:rFonts w:ascii="Verdana" w:hAnsi="Verdana" w:cs="Verdana"/>
                <w:noProof/>
                <w:sz w:val="20"/>
                <w:szCs w:val="20"/>
              </w:rPr>
              <w:br/>
            </w:r>
            <w:r w:rsidR="00A1615D" w:rsidRPr="00C61A1F">
              <w:rPr>
                <w:rFonts w:ascii="Verdana" w:hAnsi="Verdana" w:cs="Verdana"/>
                <w:noProof/>
                <w:sz w:val="20"/>
                <w:szCs w:val="20"/>
              </w:rPr>
              <w:t>2023 г. за условията и реда за прилагане на интервенциите под формата на директни плащания, включени в Стратегическия план, за проверките, намаления на плащанията и реда за налагане на административни санкции</w:t>
            </w:r>
            <w:r w:rsidRPr="00C61A1F">
              <w:rPr>
                <w:rFonts w:ascii="Verdana" w:hAnsi="Verdana" w:cs="Verdana"/>
                <w:noProof/>
                <w:sz w:val="20"/>
                <w:szCs w:val="20"/>
              </w:rPr>
              <w:t>;</w:t>
            </w:r>
          </w:p>
          <w:p w:rsidR="00CE032C" w:rsidRPr="00C61A1F" w:rsidRDefault="00CE032C" w:rsidP="00CE032C">
            <w:pPr>
              <w:numPr>
                <w:ilvl w:val="0"/>
                <w:numId w:val="1"/>
              </w:numPr>
              <w:spacing w:line="360" w:lineRule="auto"/>
              <w:ind w:left="284" w:hanging="284"/>
              <w:jc w:val="both"/>
              <w:rPr>
                <w:rFonts w:ascii="Verdana" w:hAnsi="Verdana" w:cs="Verdana"/>
                <w:noProof/>
                <w:sz w:val="20"/>
                <w:szCs w:val="20"/>
              </w:rPr>
            </w:pPr>
            <w:r w:rsidRPr="00C61A1F">
              <w:rPr>
                <w:rFonts w:ascii="Verdana" w:hAnsi="Verdana" w:cs="Verdana"/>
                <w:noProof/>
                <w:sz w:val="20"/>
                <w:szCs w:val="20"/>
              </w:rPr>
              <w:t>Справка да отразяване на постъпилите становища от вътрешноведомственото съгласуване;</w:t>
            </w:r>
          </w:p>
          <w:p w:rsidR="00CE032C" w:rsidRPr="00C61A1F" w:rsidRDefault="00CE032C" w:rsidP="00CE032C">
            <w:pPr>
              <w:numPr>
                <w:ilvl w:val="0"/>
                <w:numId w:val="1"/>
              </w:numPr>
              <w:spacing w:line="360" w:lineRule="auto"/>
              <w:ind w:left="284" w:hanging="284"/>
              <w:jc w:val="both"/>
              <w:rPr>
                <w:rFonts w:ascii="Verdana" w:hAnsi="Verdana" w:cs="Verdana"/>
                <w:noProof/>
                <w:sz w:val="20"/>
                <w:szCs w:val="20"/>
              </w:rPr>
            </w:pPr>
            <w:r w:rsidRPr="00C61A1F">
              <w:rPr>
                <w:rFonts w:ascii="Verdana" w:hAnsi="Verdana" w:cs="Verdana"/>
                <w:noProof/>
                <w:sz w:val="20"/>
                <w:szCs w:val="20"/>
              </w:rPr>
              <w:t>Постъпили становища;</w:t>
            </w:r>
          </w:p>
          <w:p w:rsidR="00CE032C" w:rsidRPr="00C61A1F" w:rsidRDefault="00CE032C" w:rsidP="00CE032C">
            <w:pPr>
              <w:numPr>
                <w:ilvl w:val="0"/>
                <w:numId w:val="1"/>
              </w:numPr>
              <w:spacing w:line="360" w:lineRule="auto"/>
              <w:ind w:left="284" w:hanging="284"/>
              <w:jc w:val="both"/>
              <w:rPr>
                <w:rFonts w:ascii="Verdana" w:hAnsi="Verdana" w:cs="Verdana"/>
                <w:noProof/>
                <w:sz w:val="20"/>
                <w:szCs w:val="20"/>
              </w:rPr>
            </w:pPr>
            <w:r w:rsidRPr="00C61A1F">
              <w:rPr>
                <w:rFonts w:ascii="Verdana" w:hAnsi="Verdana" w:cs="Verdana"/>
                <w:noProof/>
                <w:sz w:val="20"/>
                <w:szCs w:val="20"/>
              </w:rPr>
              <w:t>Справка за отразяване на постъпилите предложения и становища от обществената консултация, заедно с обосновка за неприетите предложения;</w:t>
            </w:r>
          </w:p>
          <w:p w:rsidR="00CE032C" w:rsidRPr="00C61A1F" w:rsidRDefault="00CE032C" w:rsidP="00CE032C">
            <w:pPr>
              <w:numPr>
                <w:ilvl w:val="0"/>
                <w:numId w:val="1"/>
              </w:numPr>
              <w:spacing w:line="360" w:lineRule="auto"/>
              <w:ind w:left="284" w:hanging="284"/>
              <w:jc w:val="both"/>
              <w:rPr>
                <w:rFonts w:ascii="Verdana" w:hAnsi="Verdana"/>
                <w:noProof/>
                <w:sz w:val="20"/>
                <w:szCs w:val="20"/>
              </w:rPr>
            </w:pPr>
            <w:r w:rsidRPr="00C61A1F">
              <w:rPr>
                <w:rFonts w:ascii="Verdana" w:hAnsi="Verdana" w:cs="Verdana"/>
                <w:noProof/>
                <w:sz w:val="20"/>
                <w:szCs w:val="20"/>
              </w:rPr>
              <w:t>Постъпили предложения и становища от проведената обществена консултация.</w:t>
            </w:r>
          </w:p>
        </w:tc>
      </w:tr>
    </w:tbl>
    <w:p w:rsidR="00E7650C" w:rsidRPr="00B36059" w:rsidRDefault="00E7650C" w:rsidP="00CE032C">
      <w:pPr>
        <w:spacing w:line="348" w:lineRule="auto"/>
        <w:rPr>
          <w:rFonts w:ascii="Verdana" w:hAnsi="Verdana"/>
          <w:caps/>
          <w:sz w:val="20"/>
          <w:szCs w:val="20"/>
          <w:lang w:eastAsia="en-GB"/>
        </w:rPr>
      </w:pPr>
    </w:p>
    <w:p w:rsidR="00256CD1" w:rsidRPr="00B36059" w:rsidRDefault="00256CD1" w:rsidP="00CE032C">
      <w:pPr>
        <w:spacing w:line="348" w:lineRule="auto"/>
        <w:rPr>
          <w:rFonts w:ascii="Verdana" w:hAnsi="Verdana"/>
          <w:caps/>
          <w:sz w:val="20"/>
          <w:szCs w:val="20"/>
          <w:lang w:eastAsia="en-GB"/>
        </w:rPr>
      </w:pPr>
    </w:p>
    <w:p w:rsidR="00B36059" w:rsidRPr="00B36059" w:rsidRDefault="00B36059" w:rsidP="00CE032C">
      <w:pPr>
        <w:spacing w:line="348" w:lineRule="auto"/>
        <w:rPr>
          <w:rFonts w:ascii="Verdana" w:hAnsi="Verdana"/>
          <w:caps/>
          <w:sz w:val="20"/>
          <w:szCs w:val="20"/>
          <w:lang w:eastAsia="en-GB"/>
        </w:rPr>
      </w:pPr>
    </w:p>
    <w:p w:rsidR="00CE032C" w:rsidRPr="00C61A1F" w:rsidRDefault="00CE032C" w:rsidP="00CE032C">
      <w:pPr>
        <w:spacing w:line="348" w:lineRule="auto"/>
        <w:rPr>
          <w:rFonts w:ascii="Verdana" w:hAnsi="Verdana"/>
          <w:b/>
          <w:caps/>
          <w:sz w:val="20"/>
          <w:szCs w:val="20"/>
          <w:lang w:eastAsia="en-GB"/>
        </w:rPr>
      </w:pPr>
      <w:r w:rsidRPr="00C61A1F">
        <w:rPr>
          <w:rFonts w:ascii="Verdana" w:hAnsi="Verdana"/>
          <w:b/>
          <w:caps/>
          <w:sz w:val="20"/>
          <w:szCs w:val="20"/>
          <w:lang w:eastAsia="en-GB"/>
        </w:rPr>
        <w:t>АЛЕКСАНДЪР ЙОЦЕВ</w:t>
      </w:r>
    </w:p>
    <w:p w:rsidR="00CE032C" w:rsidRPr="00C61A1F" w:rsidRDefault="00CE032C" w:rsidP="00CE032C">
      <w:pPr>
        <w:tabs>
          <w:tab w:val="left" w:pos="1843"/>
          <w:tab w:val="left" w:pos="2268"/>
        </w:tabs>
        <w:spacing w:line="348" w:lineRule="auto"/>
        <w:ind w:left="2268" w:hanging="2268"/>
        <w:jc w:val="both"/>
        <w:rPr>
          <w:rFonts w:ascii="Verdana" w:hAnsi="Verdana"/>
          <w:i/>
          <w:sz w:val="20"/>
          <w:szCs w:val="28"/>
          <w:lang w:eastAsia="en-GB"/>
        </w:rPr>
      </w:pPr>
      <w:r w:rsidRPr="00C61A1F">
        <w:rPr>
          <w:rFonts w:ascii="Verdana" w:hAnsi="Verdana"/>
          <w:i/>
          <w:sz w:val="20"/>
          <w:szCs w:val="28"/>
          <w:lang w:eastAsia="en-GB"/>
        </w:rPr>
        <w:t>Заместник-министър</w:t>
      </w:r>
    </w:p>
    <w:p w:rsidR="00E7650C" w:rsidRPr="00C61A1F" w:rsidRDefault="00E7650C" w:rsidP="00CE032C">
      <w:pPr>
        <w:tabs>
          <w:tab w:val="left" w:pos="1843"/>
          <w:tab w:val="left" w:pos="2268"/>
        </w:tabs>
        <w:spacing w:line="348" w:lineRule="auto"/>
        <w:ind w:left="2268" w:hanging="2268"/>
        <w:jc w:val="both"/>
        <w:rPr>
          <w:rFonts w:ascii="Verdana" w:hAnsi="Verdana" w:cs="Verdana"/>
          <w:smallCaps/>
          <w:sz w:val="18"/>
          <w:szCs w:val="18"/>
        </w:rPr>
      </w:pPr>
    </w:p>
    <w:p w:rsidR="00C764CF" w:rsidRPr="00C61A1F" w:rsidRDefault="00C764CF" w:rsidP="00E7650C">
      <w:pPr>
        <w:tabs>
          <w:tab w:val="left" w:pos="1843"/>
          <w:tab w:val="left" w:pos="2268"/>
        </w:tabs>
        <w:jc w:val="both"/>
        <w:rPr>
          <w:rFonts w:ascii="Verdana" w:hAnsi="Verdana"/>
          <w:sz w:val="20"/>
          <w:szCs w:val="20"/>
        </w:rPr>
      </w:pPr>
      <w:bookmarkStart w:id="0" w:name="_GoBack"/>
      <w:bookmarkEnd w:id="0"/>
    </w:p>
    <w:sectPr w:rsidR="00C764CF" w:rsidRPr="00C61A1F" w:rsidSect="00C61A1F">
      <w:footerReference w:type="default" r:id="rId8"/>
      <w:pgSz w:w="11906" w:h="16838" w:code="9"/>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BE6" w:rsidRDefault="00FA3BE6">
      <w:r>
        <w:separator/>
      </w:r>
    </w:p>
  </w:endnote>
  <w:endnote w:type="continuationSeparator" w:id="0">
    <w:p w:rsidR="00FA3BE6" w:rsidRDefault="00FA3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latinum Bg">
    <w:altName w:val="Times New Roman"/>
    <w:charset w:val="CC"/>
    <w:family w:val="auto"/>
    <w:pitch w:val="variable"/>
    <w:sig w:usb0="8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150078"/>
      <w:docPartObj>
        <w:docPartGallery w:val="Page Numbers (Bottom of Page)"/>
        <w:docPartUnique/>
      </w:docPartObj>
    </w:sdtPr>
    <w:sdtEndPr>
      <w:rPr>
        <w:rFonts w:ascii="Verdana" w:hAnsi="Verdana"/>
        <w:noProof/>
        <w:sz w:val="16"/>
        <w:szCs w:val="16"/>
      </w:rPr>
    </w:sdtEndPr>
    <w:sdtContent>
      <w:p w:rsidR="006C2912" w:rsidRPr="00140F30" w:rsidRDefault="006C2912" w:rsidP="006C2912">
        <w:pPr>
          <w:pStyle w:val="Footer"/>
          <w:jc w:val="right"/>
          <w:rPr>
            <w:rFonts w:ascii="Verdana" w:hAnsi="Verdana"/>
            <w:sz w:val="16"/>
            <w:szCs w:val="16"/>
          </w:rPr>
        </w:pPr>
        <w:r w:rsidRPr="00140F30">
          <w:rPr>
            <w:rFonts w:ascii="Verdana" w:hAnsi="Verdana"/>
            <w:sz w:val="16"/>
            <w:szCs w:val="16"/>
          </w:rPr>
          <w:fldChar w:fldCharType="begin"/>
        </w:r>
        <w:r w:rsidRPr="00140F30">
          <w:rPr>
            <w:rFonts w:ascii="Verdana" w:hAnsi="Verdana"/>
            <w:sz w:val="16"/>
            <w:szCs w:val="16"/>
          </w:rPr>
          <w:instrText xml:space="preserve"> PAGE   \* MERGEFORMAT </w:instrText>
        </w:r>
        <w:r w:rsidRPr="00140F30">
          <w:rPr>
            <w:rFonts w:ascii="Verdana" w:hAnsi="Verdana"/>
            <w:sz w:val="16"/>
            <w:szCs w:val="16"/>
          </w:rPr>
          <w:fldChar w:fldCharType="separate"/>
        </w:r>
        <w:r w:rsidR="009D20F7">
          <w:rPr>
            <w:rFonts w:ascii="Verdana" w:hAnsi="Verdana"/>
            <w:noProof/>
            <w:sz w:val="16"/>
            <w:szCs w:val="16"/>
          </w:rPr>
          <w:t>5</w:t>
        </w:r>
        <w:r w:rsidRPr="00140F30">
          <w:rPr>
            <w:rFonts w:ascii="Verdana" w:hAnsi="Verdana"/>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BE6" w:rsidRDefault="00FA3BE6">
      <w:r>
        <w:separator/>
      </w:r>
    </w:p>
  </w:footnote>
  <w:footnote w:type="continuationSeparator" w:id="0">
    <w:p w:rsidR="00FA3BE6" w:rsidRDefault="00FA3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B63177"/>
    <w:multiLevelType w:val="hybridMultilevel"/>
    <w:tmpl w:val="B5143098"/>
    <w:lvl w:ilvl="0" w:tplc="BD66859E">
      <w:start w:val="1"/>
      <w:numFmt w:val="decimal"/>
      <w:lvlText w:val="%1."/>
      <w:lvlJc w:val="left"/>
      <w:pPr>
        <w:ind w:left="1080" w:hanging="360"/>
      </w:pPr>
      <w:rPr>
        <w:rFonts w:ascii="Verdana" w:eastAsia="Times New Roman" w:hAnsi="Verdana"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86C5070"/>
    <w:multiLevelType w:val="multilevel"/>
    <w:tmpl w:val="3D94B5A8"/>
    <w:lvl w:ilvl="0">
      <w:start w:val="1"/>
      <w:numFmt w:val="decimal"/>
      <w:suff w:val="space"/>
      <w:lvlText w:val="%1."/>
      <w:lvlJc w:val="left"/>
      <w:pPr>
        <w:ind w:left="644" w:hanging="360"/>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7A5"/>
    <w:rsid w:val="000D27A5"/>
    <w:rsid w:val="000E40B3"/>
    <w:rsid w:val="00123443"/>
    <w:rsid w:val="00150E81"/>
    <w:rsid w:val="00165281"/>
    <w:rsid w:val="001A42FF"/>
    <w:rsid w:val="001A58D5"/>
    <w:rsid w:val="002310C8"/>
    <w:rsid w:val="00250255"/>
    <w:rsid w:val="00256CD1"/>
    <w:rsid w:val="002720EA"/>
    <w:rsid w:val="00272459"/>
    <w:rsid w:val="0028044B"/>
    <w:rsid w:val="002C08BE"/>
    <w:rsid w:val="002E4267"/>
    <w:rsid w:val="003146DF"/>
    <w:rsid w:val="00355855"/>
    <w:rsid w:val="00367F9B"/>
    <w:rsid w:val="00372C4A"/>
    <w:rsid w:val="00382CC7"/>
    <w:rsid w:val="003830D3"/>
    <w:rsid w:val="003853D1"/>
    <w:rsid w:val="003872FC"/>
    <w:rsid w:val="003A38C4"/>
    <w:rsid w:val="003F1B5A"/>
    <w:rsid w:val="00422F82"/>
    <w:rsid w:val="00433703"/>
    <w:rsid w:val="004852B1"/>
    <w:rsid w:val="004A593C"/>
    <w:rsid w:val="004D7FF8"/>
    <w:rsid w:val="004E2870"/>
    <w:rsid w:val="0055686F"/>
    <w:rsid w:val="005615C2"/>
    <w:rsid w:val="006344C8"/>
    <w:rsid w:val="0064200B"/>
    <w:rsid w:val="00660383"/>
    <w:rsid w:val="0067683F"/>
    <w:rsid w:val="006836B1"/>
    <w:rsid w:val="00683DA1"/>
    <w:rsid w:val="006A457C"/>
    <w:rsid w:val="006C2912"/>
    <w:rsid w:val="00745348"/>
    <w:rsid w:val="00786A00"/>
    <w:rsid w:val="007D2EC0"/>
    <w:rsid w:val="0080094D"/>
    <w:rsid w:val="00824A2A"/>
    <w:rsid w:val="008B2FDE"/>
    <w:rsid w:val="00914041"/>
    <w:rsid w:val="00947AD2"/>
    <w:rsid w:val="009703D3"/>
    <w:rsid w:val="009D20F7"/>
    <w:rsid w:val="00A1615D"/>
    <w:rsid w:val="00A469AB"/>
    <w:rsid w:val="00A55A87"/>
    <w:rsid w:val="00B10944"/>
    <w:rsid w:val="00B1328F"/>
    <w:rsid w:val="00B23CCF"/>
    <w:rsid w:val="00B36059"/>
    <w:rsid w:val="00B86896"/>
    <w:rsid w:val="00C61A1F"/>
    <w:rsid w:val="00C764CF"/>
    <w:rsid w:val="00C876BC"/>
    <w:rsid w:val="00CA23E4"/>
    <w:rsid w:val="00CD344C"/>
    <w:rsid w:val="00CD5671"/>
    <w:rsid w:val="00CE032C"/>
    <w:rsid w:val="00D679BA"/>
    <w:rsid w:val="00DD68C3"/>
    <w:rsid w:val="00DE43E0"/>
    <w:rsid w:val="00E01802"/>
    <w:rsid w:val="00E25648"/>
    <w:rsid w:val="00E52B9E"/>
    <w:rsid w:val="00E71D90"/>
    <w:rsid w:val="00E7650C"/>
    <w:rsid w:val="00EB242D"/>
    <w:rsid w:val="00F3569F"/>
    <w:rsid w:val="00F953E3"/>
    <w:rsid w:val="00FA3BE6"/>
    <w:rsid w:val="00FE503C"/>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42CFD"/>
  <w15:docId w15:val="{A60E4851-EF24-4FEC-A0DB-68E398C6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15D"/>
    <w:pPr>
      <w:spacing w:after="0" w:line="240" w:lineRule="auto"/>
    </w:pPr>
    <w:rPr>
      <w:rFonts w:ascii="Times New Roman" w:eastAsia="Times New Roman" w:hAnsi="Times New Roman" w:cs="Times New Roman"/>
      <w:kern w:val="0"/>
      <w:sz w:val="24"/>
      <w:szCs w:val="24"/>
      <w:lang w:val="bg-BG" w:eastAsia="bg-BG"/>
      <w14:ligatures w14:val="none"/>
    </w:rPr>
  </w:style>
  <w:style w:type="paragraph" w:styleId="Heading1">
    <w:name w:val="heading 1"/>
    <w:basedOn w:val="Normal"/>
    <w:next w:val="Normal"/>
    <w:link w:val="Heading1Char"/>
    <w:qFormat/>
    <w:rsid w:val="00C764CF"/>
    <w:pPr>
      <w:keepNext/>
      <w:jc w:val="center"/>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64CF"/>
    <w:rPr>
      <w:rFonts w:ascii="Times New Roman" w:eastAsia="Times New Roman" w:hAnsi="Times New Roman" w:cs="Times New Roman"/>
      <w:b/>
      <w:kern w:val="0"/>
      <w:sz w:val="28"/>
      <w:szCs w:val="20"/>
      <w:lang w:val="bg-BG" w:eastAsia="bg-BG"/>
      <w14:ligatures w14:val="none"/>
    </w:rPr>
  </w:style>
  <w:style w:type="paragraph" w:styleId="Footer">
    <w:name w:val="footer"/>
    <w:basedOn w:val="Normal"/>
    <w:link w:val="FooterChar"/>
    <w:uiPriority w:val="99"/>
    <w:rsid w:val="00C764CF"/>
    <w:pPr>
      <w:tabs>
        <w:tab w:val="center" w:pos="4536"/>
        <w:tab w:val="right" w:pos="9072"/>
      </w:tabs>
    </w:pPr>
  </w:style>
  <w:style w:type="character" w:customStyle="1" w:styleId="FooterChar">
    <w:name w:val="Footer Char"/>
    <w:basedOn w:val="DefaultParagraphFont"/>
    <w:link w:val="Footer"/>
    <w:uiPriority w:val="99"/>
    <w:rsid w:val="00C764CF"/>
    <w:rPr>
      <w:rFonts w:ascii="Times New Roman" w:eastAsia="Times New Roman" w:hAnsi="Times New Roman" w:cs="Times New Roman"/>
      <w:kern w:val="0"/>
      <w:sz w:val="24"/>
      <w:szCs w:val="24"/>
      <w:lang w:val="bg-BG" w:eastAsia="bg-BG"/>
      <w14:ligatures w14:val="none"/>
    </w:rPr>
  </w:style>
  <w:style w:type="character" w:customStyle="1" w:styleId="FontStyle52">
    <w:name w:val="Font Style52"/>
    <w:uiPriority w:val="99"/>
    <w:rsid w:val="00C764CF"/>
    <w:rPr>
      <w:rFonts w:ascii="Verdana" w:hAnsi="Verdana" w:cs="Verdana"/>
      <w:sz w:val="18"/>
      <w:szCs w:val="18"/>
    </w:rPr>
  </w:style>
  <w:style w:type="paragraph" w:styleId="BalloonText">
    <w:name w:val="Balloon Text"/>
    <w:basedOn w:val="Normal"/>
    <w:link w:val="BalloonTextChar"/>
    <w:uiPriority w:val="99"/>
    <w:semiHidden/>
    <w:unhideWhenUsed/>
    <w:rsid w:val="00382C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CC7"/>
    <w:rPr>
      <w:rFonts w:ascii="Segoe UI" w:eastAsia="Times New Roman" w:hAnsi="Segoe UI" w:cs="Segoe UI"/>
      <w:kern w:val="0"/>
      <w:sz w:val="18"/>
      <w:szCs w:val="18"/>
      <w:lang w:val="bg-BG" w:eastAsia="bg-BG"/>
      <w14:ligatures w14:val="none"/>
    </w:rPr>
  </w:style>
  <w:style w:type="paragraph" w:styleId="NoSpacing">
    <w:name w:val="No Spacing"/>
    <w:uiPriority w:val="1"/>
    <w:qFormat/>
    <w:rsid w:val="00CE032C"/>
    <w:pPr>
      <w:spacing w:after="0" w:line="240" w:lineRule="auto"/>
    </w:pPr>
    <w:rPr>
      <w:rFonts w:ascii="Times New Roman" w:eastAsia="Times New Roman" w:hAnsi="Times New Roman" w:cs="Times New Roman"/>
      <w:kern w:val="0"/>
      <w:sz w:val="24"/>
      <w:szCs w:val="24"/>
      <w:lang w:val="bg-BG" w:eastAsia="bg-BG"/>
      <w14:ligatures w14:val="none"/>
    </w:rPr>
  </w:style>
  <w:style w:type="character" w:styleId="Hyperlink">
    <w:name w:val="Hyperlink"/>
    <w:basedOn w:val="DefaultParagraphFont"/>
    <w:uiPriority w:val="99"/>
    <w:unhideWhenUsed/>
    <w:rsid w:val="00CE032C"/>
    <w:rPr>
      <w:color w:val="0000FF" w:themeColor="hyperlink"/>
      <w:u w:val="single"/>
    </w:rPr>
  </w:style>
  <w:style w:type="paragraph" w:styleId="ListParagraph">
    <w:name w:val="List Paragraph"/>
    <w:basedOn w:val="Normal"/>
    <w:uiPriority w:val="34"/>
    <w:qFormat/>
    <w:rsid w:val="00422F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228450">
      <w:bodyDiv w:val="1"/>
      <w:marLeft w:val="390"/>
      <w:marRight w:val="390"/>
      <w:marTop w:val="0"/>
      <w:marBottom w:val="0"/>
      <w:divBdr>
        <w:top w:val="none" w:sz="0" w:space="0" w:color="auto"/>
        <w:left w:val="none" w:sz="0" w:space="0" w:color="auto"/>
        <w:bottom w:val="none" w:sz="0" w:space="0" w:color="auto"/>
        <w:right w:val="none" w:sz="0" w:space="0" w:color="auto"/>
      </w:divBdr>
      <w:divsChild>
        <w:div w:id="509569876">
          <w:marLeft w:val="0"/>
          <w:marRight w:val="0"/>
          <w:marTop w:val="0"/>
          <w:marBottom w:val="120"/>
          <w:divBdr>
            <w:top w:val="none" w:sz="0" w:space="0" w:color="auto"/>
            <w:left w:val="none" w:sz="0" w:space="0" w:color="auto"/>
            <w:bottom w:val="none" w:sz="0" w:space="0" w:color="auto"/>
            <w:right w:val="none" w:sz="0" w:space="0" w:color="auto"/>
          </w:divBdr>
          <w:divsChild>
            <w:div w:id="1007364919">
              <w:marLeft w:val="0"/>
              <w:marRight w:val="0"/>
              <w:marTop w:val="0"/>
              <w:marBottom w:val="0"/>
              <w:divBdr>
                <w:top w:val="none" w:sz="0" w:space="0" w:color="auto"/>
                <w:left w:val="none" w:sz="0" w:space="0" w:color="auto"/>
                <w:bottom w:val="none" w:sz="0" w:space="0" w:color="auto"/>
                <w:right w:val="none" w:sz="0" w:space="0" w:color="auto"/>
              </w:divBdr>
            </w:div>
            <w:div w:id="1877542992">
              <w:marLeft w:val="0"/>
              <w:marRight w:val="0"/>
              <w:marTop w:val="0"/>
              <w:marBottom w:val="0"/>
              <w:divBdr>
                <w:top w:val="none" w:sz="0" w:space="0" w:color="auto"/>
                <w:left w:val="none" w:sz="0" w:space="0" w:color="auto"/>
                <w:bottom w:val="none" w:sz="0" w:space="0" w:color="auto"/>
                <w:right w:val="none" w:sz="0" w:space="0" w:color="auto"/>
              </w:divBdr>
            </w:div>
            <w:div w:id="4360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1921</Words>
  <Characters>10953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Milena Simeonova</cp:lastModifiedBy>
  <cp:revision>7</cp:revision>
  <cp:lastPrinted>2023-10-26T11:17:00Z</cp:lastPrinted>
  <dcterms:created xsi:type="dcterms:W3CDTF">2023-10-26T06:17:00Z</dcterms:created>
  <dcterms:modified xsi:type="dcterms:W3CDTF">2023-10-27T08:04:00Z</dcterms:modified>
</cp:coreProperties>
</file>