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FE" w:rsidRPr="007D0AFE" w:rsidRDefault="007D0AFE" w:rsidP="000B6AE5">
      <w:pPr>
        <w:widowControl w:val="0"/>
        <w:autoSpaceDE w:val="0"/>
        <w:autoSpaceDN w:val="0"/>
        <w:adjustRightInd w:val="0"/>
        <w:ind w:left="283"/>
        <w:rPr>
          <w:rFonts w:ascii="Verdana" w:hAnsi="Verdana" w:cs="Verdana"/>
          <w:bCs/>
          <w:smallCaps/>
          <w:sz w:val="18"/>
          <w:szCs w:val="18"/>
        </w:rPr>
      </w:pPr>
    </w:p>
    <w:p w:rsidR="007D0AFE" w:rsidRPr="007D0AFE" w:rsidRDefault="007D0AFE" w:rsidP="000B6AE5">
      <w:pPr>
        <w:widowControl w:val="0"/>
        <w:autoSpaceDE w:val="0"/>
        <w:autoSpaceDN w:val="0"/>
        <w:adjustRightInd w:val="0"/>
        <w:ind w:left="283"/>
        <w:rPr>
          <w:rFonts w:ascii="Verdana" w:hAnsi="Verdana" w:cs="Verdana"/>
          <w:bCs/>
          <w:smallCaps/>
          <w:sz w:val="18"/>
          <w:szCs w:val="18"/>
        </w:rPr>
      </w:pPr>
    </w:p>
    <w:p w:rsidR="007D0AFE" w:rsidRDefault="007D0AFE" w:rsidP="007D0AFE">
      <w:pPr>
        <w:rPr>
          <w:rFonts w:ascii="Verdana" w:hAnsi="Verdana"/>
          <w:sz w:val="20"/>
          <w:szCs w:val="20"/>
        </w:rPr>
      </w:pPr>
    </w:p>
    <w:p w:rsidR="004C20D8" w:rsidRDefault="004C20D8" w:rsidP="007D0AFE">
      <w:pPr>
        <w:rPr>
          <w:rFonts w:ascii="Verdana" w:hAnsi="Verdana"/>
          <w:sz w:val="20"/>
          <w:szCs w:val="20"/>
        </w:rPr>
      </w:pPr>
    </w:p>
    <w:p w:rsidR="004C20D8" w:rsidRDefault="004C20D8" w:rsidP="007D0AFE">
      <w:pPr>
        <w:rPr>
          <w:rFonts w:ascii="Verdana" w:hAnsi="Verdana"/>
          <w:sz w:val="20"/>
          <w:szCs w:val="20"/>
        </w:rPr>
      </w:pPr>
    </w:p>
    <w:p w:rsidR="004C20D8" w:rsidRPr="007D0AFE" w:rsidRDefault="004C20D8" w:rsidP="007D0AFE">
      <w:pPr>
        <w:rPr>
          <w:rFonts w:ascii="Verdana" w:hAnsi="Verdana"/>
          <w:sz w:val="20"/>
          <w:szCs w:val="20"/>
        </w:rPr>
      </w:pPr>
    </w:p>
    <w:tbl>
      <w:tblPr>
        <w:tblW w:w="15650"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7D0AFE" w:rsidRPr="007D0AFE" w:rsidTr="002B600B">
        <w:trPr>
          <w:trHeight w:val="958"/>
        </w:trPr>
        <w:tc>
          <w:tcPr>
            <w:tcW w:w="15650" w:type="dxa"/>
            <w:shd w:val="clear" w:color="auto" w:fill="BDD6EE"/>
          </w:tcPr>
          <w:p w:rsidR="007D0AFE" w:rsidRPr="007D0AFE" w:rsidRDefault="007D0AFE" w:rsidP="000D303D">
            <w:pPr>
              <w:tabs>
                <w:tab w:val="left" w:pos="2190"/>
              </w:tabs>
              <w:spacing w:before="120" w:after="120" w:line="360" w:lineRule="auto"/>
              <w:ind w:left="283" w:right="283"/>
              <w:jc w:val="center"/>
              <w:rPr>
                <w:rFonts w:ascii="Verdana" w:hAnsi="Verdana"/>
                <w:b/>
                <w:sz w:val="20"/>
                <w:szCs w:val="20"/>
              </w:rPr>
            </w:pPr>
            <w:r w:rsidRPr="007D0AFE">
              <w:rPr>
                <w:rFonts w:ascii="Verdana" w:hAnsi="Verdana"/>
                <w:b/>
                <w:spacing w:val="70"/>
              </w:rPr>
              <w:t>СПРАВКА</w:t>
            </w:r>
            <w:r>
              <w:rPr>
                <w:rFonts w:ascii="Verdana" w:hAnsi="Verdana"/>
                <w:b/>
                <w:spacing w:val="70"/>
              </w:rPr>
              <w:br/>
            </w:r>
            <w:r w:rsidRPr="007D0AFE">
              <w:rPr>
                <w:rFonts w:ascii="Verdana" w:hAnsi="Verdana"/>
                <w:b/>
                <w:sz w:val="20"/>
                <w:szCs w:val="20"/>
              </w:rPr>
              <w:t xml:space="preserve">ЗА ОТРАЗЯВАНЕ НА ПОСТЪПИЛИТЕ ПРЕДЛОЖЕНИЯ И СТАНОВИЩА </w:t>
            </w:r>
            <w:r w:rsidR="000D303D" w:rsidRPr="000D303D">
              <w:rPr>
                <w:rFonts w:ascii="Verdana" w:hAnsi="Verdana"/>
                <w:b/>
                <w:caps/>
                <w:sz w:val="20"/>
                <w:szCs w:val="20"/>
              </w:rPr>
              <w:t>от обществената консултация по</w:t>
            </w:r>
            <w:r w:rsidR="000D303D" w:rsidRPr="007D0AFE">
              <w:rPr>
                <w:rFonts w:ascii="Verdana" w:hAnsi="Verdana"/>
                <w:b/>
                <w:sz w:val="20"/>
                <w:szCs w:val="20"/>
              </w:rPr>
              <w:t xml:space="preserve"> </w:t>
            </w:r>
            <w:r w:rsidRPr="007D0AFE">
              <w:rPr>
                <w:rFonts w:ascii="Verdana" w:hAnsi="Verdana"/>
                <w:b/>
                <w:sz w:val="20"/>
                <w:szCs w:val="20"/>
              </w:rPr>
              <w:t xml:space="preserve">ПРОЕКТА </w:t>
            </w:r>
            <w:r w:rsidR="00AF2E3F">
              <w:rPr>
                <w:rFonts w:ascii="Verdana" w:hAnsi="Verdana"/>
                <w:b/>
                <w:sz w:val="20"/>
                <w:szCs w:val="20"/>
              </w:rPr>
              <w:t xml:space="preserve">НА </w:t>
            </w:r>
            <w:r w:rsidR="00AF2E3F" w:rsidRPr="00AF2E3F">
              <w:rPr>
                <w:rFonts w:ascii="Verdana" w:hAnsi="Verdana"/>
                <w:b/>
                <w:sz w:val="20"/>
                <w:szCs w:val="20"/>
              </w:rPr>
              <w:t>НАРЕДБА ЗА ИЗМЕНЕНИЕ И ДОПЪЛНЕНИЕ НА НАРЕДБА № 8 ОТ 2011 Г. ЗА СЕЧИТЕ В ГОРИТЕ</w:t>
            </w:r>
          </w:p>
        </w:tc>
      </w:tr>
    </w:tbl>
    <w:p w:rsidR="007D0AFE" w:rsidRPr="009A1B04" w:rsidRDefault="007D0AFE" w:rsidP="007D0AFE">
      <w:pPr>
        <w:ind w:left="283" w:right="283"/>
        <w:rPr>
          <w:rFonts w:ascii="Verdana" w:hAnsi="Verdana"/>
          <w:sz w:val="16"/>
          <w:szCs w:val="16"/>
        </w:rPr>
      </w:pPr>
    </w:p>
    <w:tbl>
      <w:tblPr>
        <w:tblW w:w="15650" w:type="dxa"/>
        <w:tblBorders>
          <w:top w:val="single" w:sz="18" w:space="0" w:color="2E74B5"/>
          <w:left w:val="single" w:sz="18" w:space="0" w:color="2E74B5"/>
          <w:bottom w:val="single" w:sz="18" w:space="0" w:color="2E74B5"/>
          <w:right w:val="single" w:sz="18" w:space="0" w:color="2E74B5"/>
          <w:insideH w:val="single" w:sz="12" w:space="0" w:color="2E74B5"/>
          <w:insideV w:val="single" w:sz="12" w:space="0" w:color="2E74B5"/>
        </w:tblBorders>
        <w:tblLayout w:type="fixed"/>
        <w:tblLook w:val="0000" w:firstRow="0" w:lastRow="0" w:firstColumn="0" w:lastColumn="0" w:noHBand="0" w:noVBand="0"/>
      </w:tblPr>
      <w:tblGrid>
        <w:gridCol w:w="622"/>
        <w:gridCol w:w="2463"/>
        <w:gridCol w:w="5812"/>
        <w:gridCol w:w="1559"/>
        <w:gridCol w:w="5194"/>
      </w:tblGrid>
      <w:tr w:rsidR="007D0AFE" w:rsidRPr="00434EBC" w:rsidTr="002B600B">
        <w:trPr>
          <w:tblHeader/>
        </w:trPr>
        <w:tc>
          <w:tcPr>
            <w:tcW w:w="622" w:type="dxa"/>
            <w:tcBorders>
              <w:top w:val="single" w:sz="18" w:space="0" w:color="2E74B5"/>
              <w:bottom w:val="single" w:sz="18" w:space="0" w:color="2E74B5"/>
            </w:tcBorders>
            <w:shd w:val="clear" w:color="auto" w:fill="DEEAF6"/>
            <w:vAlign w:val="center"/>
          </w:tcPr>
          <w:p w:rsidR="007D0AFE" w:rsidRPr="00434EBC" w:rsidRDefault="007D0AFE" w:rsidP="002635AC">
            <w:pPr>
              <w:tabs>
                <w:tab w:val="left" w:pos="192"/>
              </w:tabs>
              <w:jc w:val="center"/>
              <w:rPr>
                <w:rFonts w:ascii="Verdana" w:hAnsi="Verdana"/>
                <w:b/>
                <w:sz w:val="18"/>
                <w:szCs w:val="18"/>
              </w:rPr>
            </w:pPr>
            <w:r w:rsidRPr="00434EBC">
              <w:rPr>
                <w:rFonts w:ascii="Verdana" w:hAnsi="Verdana"/>
                <w:b/>
                <w:sz w:val="18"/>
                <w:szCs w:val="18"/>
              </w:rPr>
              <w:t>№</w:t>
            </w:r>
          </w:p>
        </w:tc>
        <w:tc>
          <w:tcPr>
            <w:tcW w:w="2463" w:type="dxa"/>
            <w:tcBorders>
              <w:top w:val="single" w:sz="18" w:space="0" w:color="2E74B5"/>
              <w:bottom w:val="single" w:sz="18" w:space="0" w:color="2E74B5"/>
            </w:tcBorders>
            <w:shd w:val="clear" w:color="auto" w:fill="DEEAF6"/>
            <w:vAlign w:val="center"/>
          </w:tcPr>
          <w:p w:rsidR="007D0AFE" w:rsidRPr="00434EBC" w:rsidRDefault="007D0AFE" w:rsidP="002635AC">
            <w:pPr>
              <w:spacing w:before="60"/>
              <w:jc w:val="center"/>
              <w:rPr>
                <w:rFonts w:ascii="Verdana" w:hAnsi="Verdana"/>
                <w:b/>
                <w:sz w:val="18"/>
                <w:szCs w:val="18"/>
              </w:rPr>
            </w:pPr>
            <w:r w:rsidRPr="00434EBC">
              <w:rPr>
                <w:rFonts w:ascii="Verdana" w:hAnsi="Verdana"/>
                <w:b/>
                <w:sz w:val="18"/>
                <w:szCs w:val="18"/>
              </w:rPr>
              <w:t>Организация/</w:t>
            </w:r>
            <w:r w:rsidR="00434EBC">
              <w:rPr>
                <w:rFonts w:ascii="Verdana" w:hAnsi="Verdana"/>
                <w:b/>
                <w:sz w:val="18"/>
                <w:szCs w:val="18"/>
              </w:rPr>
              <w:br/>
            </w:r>
            <w:r w:rsidRPr="00434EBC">
              <w:rPr>
                <w:rFonts w:ascii="Verdana" w:hAnsi="Verdana"/>
                <w:b/>
                <w:sz w:val="18"/>
                <w:szCs w:val="18"/>
              </w:rPr>
              <w:t>потребител</w:t>
            </w:r>
          </w:p>
          <w:p w:rsidR="007D0AFE" w:rsidRPr="00434EBC" w:rsidRDefault="007D0AFE" w:rsidP="002635AC">
            <w:pPr>
              <w:spacing w:after="40"/>
              <w:jc w:val="center"/>
              <w:rPr>
                <w:rFonts w:ascii="Verdana" w:hAnsi="Verdana"/>
                <w:b/>
                <w:sz w:val="13"/>
                <w:szCs w:val="13"/>
              </w:rPr>
            </w:pPr>
            <w:r w:rsidRPr="00434EBC">
              <w:rPr>
                <w:rFonts w:ascii="Verdana" w:hAnsi="Verdana"/>
                <w:b/>
                <w:sz w:val="13"/>
                <w:szCs w:val="13"/>
              </w:rPr>
              <w:t>(вкл. начина на получаване на предложението)</w:t>
            </w:r>
          </w:p>
        </w:tc>
        <w:tc>
          <w:tcPr>
            <w:tcW w:w="5812" w:type="dxa"/>
            <w:tcBorders>
              <w:top w:val="single" w:sz="18" w:space="0" w:color="2E74B5"/>
              <w:bottom w:val="single" w:sz="18" w:space="0" w:color="2E74B5"/>
            </w:tcBorders>
            <w:shd w:val="clear" w:color="auto" w:fill="DEEAF6"/>
            <w:vAlign w:val="center"/>
          </w:tcPr>
          <w:p w:rsidR="007D0AFE" w:rsidRPr="00434EBC" w:rsidRDefault="007D0AFE" w:rsidP="002635AC">
            <w:pPr>
              <w:jc w:val="center"/>
              <w:rPr>
                <w:rFonts w:ascii="Verdana" w:hAnsi="Verdana"/>
                <w:b/>
                <w:sz w:val="18"/>
                <w:szCs w:val="18"/>
              </w:rPr>
            </w:pPr>
            <w:r w:rsidRPr="00434EBC">
              <w:rPr>
                <w:rFonts w:ascii="Verdana" w:hAnsi="Verdana"/>
                <w:b/>
                <w:sz w:val="18"/>
                <w:szCs w:val="18"/>
              </w:rPr>
              <w:t>Предложения и становища</w:t>
            </w:r>
          </w:p>
        </w:tc>
        <w:tc>
          <w:tcPr>
            <w:tcW w:w="1559" w:type="dxa"/>
            <w:tcBorders>
              <w:top w:val="single" w:sz="18" w:space="0" w:color="2E74B5"/>
              <w:bottom w:val="single" w:sz="18" w:space="0" w:color="2E74B5"/>
            </w:tcBorders>
            <w:shd w:val="clear" w:color="auto" w:fill="DEEAF6"/>
            <w:vAlign w:val="center"/>
          </w:tcPr>
          <w:p w:rsidR="007D0AFE" w:rsidRPr="00434EBC" w:rsidRDefault="007D0AFE" w:rsidP="002635AC">
            <w:pPr>
              <w:jc w:val="center"/>
              <w:rPr>
                <w:rFonts w:ascii="Verdana" w:hAnsi="Verdana"/>
                <w:b/>
                <w:sz w:val="18"/>
                <w:szCs w:val="18"/>
              </w:rPr>
            </w:pPr>
            <w:r w:rsidRPr="00434EBC">
              <w:rPr>
                <w:rFonts w:ascii="Verdana" w:hAnsi="Verdana"/>
                <w:b/>
                <w:sz w:val="18"/>
                <w:szCs w:val="18"/>
              </w:rPr>
              <w:t>Приети/</w:t>
            </w:r>
          </w:p>
          <w:p w:rsidR="007D0AFE" w:rsidRPr="00434EBC" w:rsidRDefault="007D0AFE" w:rsidP="002635AC">
            <w:pPr>
              <w:jc w:val="center"/>
              <w:rPr>
                <w:rFonts w:ascii="Verdana" w:hAnsi="Verdana"/>
                <w:b/>
                <w:sz w:val="18"/>
                <w:szCs w:val="18"/>
              </w:rPr>
            </w:pPr>
            <w:r w:rsidRPr="00434EBC">
              <w:rPr>
                <w:rFonts w:ascii="Verdana" w:hAnsi="Verdana"/>
                <w:b/>
                <w:sz w:val="18"/>
                <w:szCs w:val="18"/>
              </w:rPr>
              <w:t>неприети</w:t>
            </w:r>
          </w:p>
        </w:tc>
        <w:tc>
          <w:tcPr>
            <w:tcW w:w="5194" w:type="dxa"/>
            <w:tcBorders>
              <w:top w:val="single" w:sz="18" w:space="0" w:color="2E74B5"/>
              <w:bottom w:val="single" w:sz="18" w:space="0" w:color="2E74B5"/>
            </w:tcBorders>
            <w:shd w:val="clear" w:color="auto" w:fill="DEEAF6"/>
            <w:vAlign w:val="center"/>
          </w:tcPr>
          <w:p w:rsidR="007D0AFE" w:rsidRPr="00434EBC" w:rsidRDefault="007D0AFE" w:rsidP="002635AC">
            <w:pPr>
              <w:jc w:val="center"/>
              <w:rPr>
                <w:rFonts w:ascii="Verdana" w:hAnsi="Verdana"/>
                <w:sz w:val="18"/>
                <w:szCs w:val="18"/>
              </w:rPr>
            </w:pPr>
            <w:r w:rsidRPr="00434EBC">
              <w:rPr>
                <w:rFonts w:ascii="Verdana" w:hAnsi="Verdana"/>
                <w:b/>
                <w:sz w:val="18"/>
                <w:szCs w:val="18"/>
              </w:rPr>
              <w:t>Мотиви</w:t>
            </w:r>
          </w:p>
        </w:tc>
      </w:tr>
      <w:tr w:rsidR="007D0AFE" w:rsidRPr="00434EBC" w:rsidTr="002B600B">
        <w:trPr>
          <w:trHeight w:val="596"/>
        </w:trPr>
        <w:tc>
          <w:tcPr>
            <w:tcW w:w="622" w:type="dxa"/>
            <w:tcBorders>
              <w:top w:val="single" w:sz="18" w:space="0" w:color="2E74B5"/>
            </w:tcBorders>
            <w:shd w:val="clear" w:color="auto" w:fill="auto"/>
          </w:tcPr>
          <w:p w:rsidR="007D0AFE" w:rsidRPr="00434EBC" w:rsidRDefault="007D0AFE" w:rsidP="002635AC">
            <w:pPr>
              <w:pStyle w:val="ListParagraph"/>
              <w:numPr>
                <w:ilvl w:val="0"/>
                <w:numId w:val="6"/>
              </w:numPr>
              <w:tabs>
                <w:tab w:val="left" w:pos="192"/>
              </w:tabs>
              <w:jc w:val="center"/>
              <w:rPr>
                <w:rFonts w:ascii="Verdana" w:hAnsi="Verdana"/>
                <w:b/>
                <w:sz w:val="18"/>
                <w:szCs w:val="18"/>
              </w:rPr>
            </w:pPr>
          </w:p>
        </w:tc>
        <w:tc>
          <w:tcPr>
            <w:tcW w:w="2463" w:type="dxa"/>
            <w:tcBorders>
              <w:top w:val="single" w:sz="18" w:space="0" w:color="2E74B5"/>
            </w:tcBorders>
            <w:shd w:val="clear" w:color="auto" w:fill="auto"/>
          </w:tcPr>
          <w:p w:rsidR="00726706" w:rsidRPr="00726706" w:rsidRDefault="00726706" w:rsidP="00726706">
            <w:pPr>
              <w:rPr>
                <w:rFonts w:ascii="Verdana" w:hAnsi="Verdana"/>
                <w:b/>
                <w:sz w:val="18"/>
                <w:szCs w:val="18"/>
              </w:rPr>
            </w:pPr>
            <w:r w:rsidRPr="00726706">
              <w:rPr>
                <w:rFonts w:ascii="Verdana" w:hAnsi="Verdana"/>
                <w:b/>
                <w:sz w:val="18"/>
                <w:szCs w:val="18"/>
              </w:rPr>
              <w:t>Кроношпан България ЕООД</w:t>
            </w:r>
          </w:p>
          <w:p w:rsidR="00726706" w:rsidRPr="00726706" w:rsidRDefault="00726706" w:rsidP="00726706">
            <w:pPr>
              <w:rPr>
                <w:rFonts w:ascii="Verdana" w:hAnsi="Verdana"/>
                <w:b/>
                <w:sz w:val="18"/>
                <w:szCs w:val="18"/>
              </w:rPr>
            </w:pPr>
          </w:p>
          <w:p w:rsidR="00726706" w:rsidRPr="00726706" w:rsidRDefault="00726706" w:rsidP="00726706">
            <w:pPr>
              <w:rPr>
                <w:rFonts w:ascii="Verdana" w:hAnsi="Verdana"/>
                <w:b/>
                <w:sz w:val="18"/>
                <w:szCs w:val="18"/>
              </w:rPr>
            </w:pPr>
          </w:p>
          <w:p w:rsidR="00726706" w:rsidRPr="00726706" w:rsidRDefault="00726706" w:rsidP="00726706">
            <w:pPr>
              <w:rPr>
                <w:rFonts w:ascii="Verdana" w:hAnsi="Verdana"/>
                <w:b/>
                <w:sz w:val="18"/>
                <w:szCs w:val="18"/>
              </w:rPr>
            </w:pPr>
            <w:r w:rsidRPr="00726706">
              <w:rPr>
                <w:rFonts w:ascii="Verdana" w:hAnsi="Verdana"/>
                <w:b/>
                <w:sz w:val="18"/>
                <w:szCs w:val="18"/>
              </w:rPr>
              <w:t>вх. № ИАГ-19725/</w:t>
            </w:r>
            <w:r w:rsidR="00270093">
              <w:rPr>
                <w:rFonts w:ascii="Verdana" w:hAnsi="Verdana"/>
                <w:b/>
                <w:sz w:val="18"/>
                <w:szCs w:val="18"/>
                <w:lang w:val="en-US"/>
              </w:rPr>
              <w:t xml:space="preserve"> </w:t>
            </w:r>
            <w:r w:rsidRPr="00726706">
              <w:rPr>
                <w:rFonts w:ascii="Verdana" w:hAnsi="Verdana"/>
                <w:b/>
                <w:sz w:val="18"/>
                <w:szCs w:val="18"/>
              </w:rPr>
              <w:t>24.08.2023 г.</w:t>
            </w:r>
          </w:p>
          <w:p w:rsidR="00726706" w:rsidRPr="00726706" w:rsidRDefault="00726706" w:rsidP="00726706">
            <w:pPr>
              <w:rPr>
                <w:rFonts w:ascii="Verdana" w:hAnsi="Verdana"/>
                <w:b/>
                <w:sz w:val="18"/>
                <w:szCs w:val="18"/>
              </w:rPr>
            </w:pPr>
          </w:p>
          <w:p w:rsidR="00434EBC" w:rsidRPr="00434EBC" w:rsidRDefault="00726706" w:rsidP="00270093">
            <w:pPr>
              <w:rPr>
                <w:rFonts w:ascii="Verdana" w:hAnsi="Verdana"/>
                <w:b/>
                <w:sz w:val="18"/>
                <w:szCs w:val="18"/>
              </w:rPr>
            </w:pPr>
            <w:r w:rsidRPr="00726706">
              <w:rPr>
                <w:rFonts w:ascii="Verdana" w:hAnsi="Verdana"/>
                <w:b/>
                <w:sz w:val="18"/>
                <w:szCs w:val="18"/>
              </w:rPr>
              <w:t xml:space="preserve">постъпило по ел. поща на </w:t>
            </w:r>
            <w:r w:rsidR="00270093">
              <w:rPr>
                <w:rFonts w:ascii="Verdana" w:hAnsi="Verdana"/>
                <w:b/>
                <w:sz w:val="18"/>
                <w:szCs w:val="18"/>
              </w:rPr>
              <w:br/>
            </w:r>
            <w:r w:rsidRPr="00726706">
              <w:rPr>
                <w:rFonts w:ascii="Verdana" w:hAnsi="Verdana"/>
                <w:b/>
                <w:sz w:val="18"/>
                <w:szCs w:val="18"/>
              </w:rPr>
              <w:t>24.08.2023</w:t>
            </w:r>
            <w:r w:rsidR="00270093">
              <w:rPr>
                <w:rFonts w:ascii="Verdana" w:hAnsi="Verdana"/>
                <w:b/>
                <w:sz w:val="18"/>
                <w:szCs w:val="18"/>
                <w:lang w:val="en-US"/>
              </w:rPr>
              <w:t xml:space="preserve"> </w:t>
            </w:r>
            <w:r w:rsidRPr="00726706">
              <w:rPr>
                <w:rFonts w:ascii="Verdana" w:hAnsi="Verdana"/>
                <w:b/>
                <w:sz w:val="18"/>
                <w:szCs w:val="18"/>
              </w:rPr>
              <w:t>г.</w:t>
            </w:r>
          </w:p>
        </w:tc>
        <w:tc>
          <w:tcPr>
            <w:tcW w:w="5812" w:type="dxa"/>
            <w:tcBorders>
              <w:top w:val="single" w:sz="18" w:space="0" w:color="2E74B5"/>
            </w:tcBorders>
            <w:shd w:val="clear" w:color="auto" w:fill="auto"/>
          </w:tcPr>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1.</w:t>
            </w:r>
            <w:r w:rsidR="00434EBC" w:rsidRPr="00270093">
              <w:rPr>
                <w:rFonts w:ascii="Verdana" w:hAnsi="Verdana"/>
                <w:sz w:val="18"/>
                <w:szCs w:val="18"/>
              </w:rPr>
              <w:t xml:space="preserve"> </w:t>
            </w:r>
            <w:r w:rsidRPr="00270093">
              <w:rPr>
                <w:rFonts w:ascii="Verdana" w:hAnsi="Verdana"/>
                <w:sz w:val="18"/>
                <w:szCs w:val="18"/>
              </w:rPr>
              <w:t>Предложение за промени: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1. Чл. 6(4) да се добави“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При провеждане на отгледните сечи не се допуска еднократно отсичане на повече от 30 % от запаса на насаждението с изключение на случаите, когато се прилагат схематични методи на отгледната сеч или при извършване на механизирано изпълнение на дейностите за сеч и разкройване на дървесина от машина от типа на „дърводобивен комбайн(харвестър)”.</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При извършване на механизирано изпълнение на дейностите за сеч и разкройване на дървесина от машина от типа на „дърводобивен комбайн(харвестър)” се допуска изграждане на технологичните просеки с разстояния между тях не по-малки от 25 м и широчина до 4 м</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 xml:space="preserve">Чл. 24 (4) Подготвителната фаза ее провежда при склопеност над 0,8, когато липсва семенно възобновяване от целевите дървесни видове. Склопеността се намалява до 0,7 </w:t>
            </w:r>
            <w:r w:rsidR="00434EBC" w:rsidRPr="00270093">
              <w:rPr>
                <w:rFonts w:ascii="Verdana" w:hAnsi="Verdana"/>
                <w:sz w:val="18"/>
                <w:szCs w:val="18"/>
              </w:rPr>
              <w:t>–</w:t>
            </w:r>
            <w:r w:rsidRPr="00270093">
              <w:rPr>
                <w:rFonts w:ascii="Verdana" w:hAnsi="Verdana"/>
                <w:sz w:val="18"/>
                <w:szCs w:val="18"/>
              </w:rPr>
              <w:t xml:space="preserve"> 0;8, а интензивността на сечта е до</w:t>
            </w:r>
            <w:r w:rsidR="00434EBC" w:rsidRPr="00270093">
              <w:rPr>
                <w:rFonts w:ascii="Verdana" w:hAnsi="Verdana"/>
                <w:sz w:val="18"/>
                <w:szCs w:val="18"/>
              </w:rPr>
              <w:t xml:space="preserve"> </w:t>
            </w:r>
            <w:r w:rsidRPr="00270093">
              <w:rPr>
                <w:rFonts w:ascii="Verdana" w:hAnsi="Verdana"/>
                <w:sz w:val="18"/>
                <w:szCs w:val="18"/>
              </w:rPr>
              <w:t>25 на сто.</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При извършване на механизирано изпълнение на дейностите за сеч и разкройване на дървесина от машина от типа на „дърводобивен комбайн(харвестър)" се допуска изграждане на технологичните просеки с разстояния между тях не по-малки от 25 м и широчина до 4 м.</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1.</w:t>
            </w:r>
            <w:r w:rsidR="00434EBC" w:rsidRPr="00270093">
              <w:rPr>
                <w:rFonts w:ascii="Verdana" w:hAnsi="Verdana"/>
                <w:sz w:val="18"/>
                <w:szCs w:val="18"/>
              </w:rPr>
              <w:t xml:space="preserve"> </w:t>
            </w:r>
            <w:r w:rsidRPr="00270093">
              <w:rPr>
                <w:rFonts w:ascii="Verdana" w:hAnsi="Verdana"/>
                <w:sz w:val="18"/>
                <w:szCs w:val="18"/>
              </w:rPr>
              <w:t xml:space="preserve">Осеменителната фаза се провежда с интензивност до 30 на сто, като склопеността се намалява до 0,5 - 0,6. </w:t>
            </w:r>
            <w:r w:rsidRPr="00270093">
              <w:rPr>
                <w:rFonts w:ascii="Verdana" w:hAnsi="Verdana"/>
                <w:sz w:val="18"/>
                <w:szCs w:val="18"/>
              </w:rPr>
              <w:lastRenderedPageBreak/>
              <w:t>Тази фаза на сечта се провежда не по-рано от 5 години след подготвителната фаза.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При извършване на механизирано изпълнение на дейностите за сеч и разкройване на дървесина от машина от типа на „дърводобивен комбайн(харвестър)” се допуска изграждане на технологичните просеки с разстояния между тях не по-малки от 25 м и широчина до 4 м.</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(6) (Изм. - ДВ, бр. 72 от 2015 г.; предишна ал. 5, доп., бр. 71 от 2017 г.; изм., бр. 84 от 2020 г., в сила от 29.09.2020 г.) Интензивността на сечта е до 30 на сто при всяка лесовъдска намеса. Възобновителният период на постепенно-котловинната сеч е не по-малък от 20 години, като за горите в „Натура 2000" е 30 години, а периодът между отделните лесовъдски намеси е не по-малък от 5 години, като за насаждения в „Натура 2000" е 8 години. При склопеност на насаждението под 0,3 между котлите и наличие на достатъчно количество укрепнал подраст интензивността на сечта е до 90 %.</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При извършване на механизирано изпълнение на дейностите за сеч и разкройване на дървесина от машина от типа на „дърводобивен комбайн(харвестър)” се допуска изграждане на технологичните просеки с разстояния между тях не по-малки от 25 м и широчина до 4 м</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Или да се добави нов чл.</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При извършване на механизирано изпълнение на дейностите за сеч и разкройване на дървесина от машина от типа на „дърводобивен комбайн(харвестър)”, изискването за интензивността на сечите е препоръчително, при спазване на останалите критерии - склопеност / пълнота. При извършване на механизирано изпълнение на дейностите за сеч и разкройване на дървесина от машина от типа на „дърводобивен комбайн(харвестър)" се допуска изграждане на технологичните просеки с разстояния между тях не по-малки от 25 м и широчина до 4 м.</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lastRenderedPageBreak/>
              <w:t>Отгледни сечи: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9. (1) Прочистките се провеждат от склопяване на насажденията до възрастта, в която започва интензивно нарастване на дърветата по височина.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(3) Пълнотата на насаждението след провеждане на сечта не се допуска да бъде по-малка от 0 8</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Мотивът е : При тази сеч да не се допуснат фатални грешки и да се запази механичната устойчивост на насаждението.</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На практика: Правят се схематични сечи със залагане на първи технологични просеки и маркирането във всички случаи е по низов метод.</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За да се даде растежен простор в тези млади насаждения, трябва да се подпомогне качествения дървостой и ограниченията в пълнотата да се премахнат, защото всяко насаждение е със собствени характеристики.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Да се добавят начални технологични просеки и освен в досието, да се отразяват в ГСП, респективно в картните листи, като се увеличават, съобразно височината на дървостоя и неговата гъстота, от маркиращия лесовъд.</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10. (1) Прорежданията се провеждат в периода на интензивен растеж на дърветата по височина с цел осигуряване на благоприятни условия за растежа им и подобряване и поддържане на жизнеността и формиране на индивидуална механична стабилност на дърветата.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(2) След провеждане на сечта пълнотата на насаждението не се допуска да бъде по-малка от 0.7.</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11. (1) Пробирките се провеждат в периода на интензивен растеж на дърветата по диаметър до започване на възобновителна сеч за създаване на условия за нарастването на дърветата с желани стъблени форми по диаметър, както и за подобряване на индивидуалната им жизненост и механична стабилност, като след сечта пълнотата на насаждението не се допуска да бъде по-малка от 0.7.</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lastRenderedPageBreak/>
              <w:t>Пълнотите в младите издънкови насаждения и новосъздадените горски култури са завишени максимално с цел защита на тези насаждения.</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Пример :</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дъов. вид</w:t>
            </w:r>
            <w:r w:rsidRPr="00270093">
              <w:rPr>
                <w:rFonts w:ascii="Verdana" w:hAnsi="Verdana"/>
                <w:sz w:val="18"/>
                <w:szCs w:val="18"/>
              </w:rPr>
              <w:tab/>
              <w:t>естествени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насаждения</w:t>
            </w:r>
            <w:r w:rsidRPr="00270093">
              <w:rPr>
                <w:rFonts w:ascii="Verdana" w:hAnsi="Verdana"/>
                <w:sz w:val="18"/>
                <w:szCs w:val="18"/>
              </w:rPr>
              <w:tab/>
              <w:t>ГОРСКИ KWITVDH</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бр. / ha</w:t>
            </w:r>
            <w:r w:rsidRPr="00270093">
              <w:rPr>
                <w:rFonts w:ascii="Verdana" w:hAnsi="Verdana"/>
                <w:sz w:val="18"/>
                <w:szCs w:val="18"/>
              </w:rPr>
              <w:tab/>
              <w:t>бр. / ha</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дъб</w:t>
            </w:r>
            <w:r w:rsidRPr="00270093">
              <w:rPr>
                <w:rFonts w:ascii="Verdana" w:hAnsi="Verdana"/>
                <w:sz w:val="18"/>
                <w:szCs w:val="18"/>
              </w:rPr>
              <w:tab/>
              <w:t>11 000</w:t>
            </w:r>
            <w:r w:rsidRPr="00270093">
              <w:rPr>
                <w:rFonts w:ascii="Verdana" w:hAnsi="Verdana"/>
                <w:sz w:val="18"/>
                <w:szCs w:val="18"/>
              </w:rPr>
              <w:tab/>
              <w:t>6 000</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цер</w:t>
            </w:r>
            <w:r w:rsidRPr="00270093">
              <w:rPr>
                <w:rFonts w:ascii="Verdana" w:hAnsi="Verdana"/>
                <w:sz w:val="18"/>
                <w:szCs w:val="18"/>
              </w:rPr>
              <w:tab/>
              <w:t>8 500</w:t>
            </w:r>
            <w:r w:rsidRPr="00270093">
              <w:rPr>
                <w:rFonts w:ascii="Verdana" w:hAnsi="Verdana"/>
                <w:sz w:val="18"/>
                <w:szCs w:val="18"/>
              </w:rPr>
              <w:tab/>
              <w:t>6 000</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липа</w:t>
            </w:r>
            <w:r w:rsidRPr="00270093">
              <w:rPr>
                <w:rFonts w:ascii="Verdana" w:hAnsi="Verdana"/>
                <w:sz w:val="18"/>
                <w:szCs w:val="18"/>
              </w:rPr>
              <w:tab/>
              <w:t>4 000</w:t>
            </w:r>
            <w:r w:rsidRPr="00270093">
              <w:rPr>
                <w:rFonts w:ascii="Verdana" w:hAnsi="Verdana"/>
                <w:sz w:val="18"/>
                <w:szCs w:val="18"/>
              </w:rPr>
              <w:tab/>
              <w:t>5 000</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ясен</w:t>
            </w:r>
            <w:r w:rsidRPr="00270093">
              <w:rPr>
                <w:rFonts w:ascii="Verdana" w:hAnsi="Verdana"/>
                <w:sz w:val="18"/>
                <w:szCs w:val="18"/>
              </w:rPr>
              <w:tab/>
              <w:t>13 000</w:t>
            </w:r>
            <w:r w:rsidRPr="00270093">
              <w:rPr>
                <w:rFonts w:ascii="Verdana" w:hAnsi="Verdana"/>
                <w:sz w:val="18"/>
                <w:szCs w:val="18"/>
              </w:rPr>
              <w:tab/>
              <w:t>5 000</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За насаждение до 20г, пълнота единица на ха, приемаме мин. по Наредба 2 : за дб 6000 бр./ха = 1,0.</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при премахването (сеч) на 2000 бр/ха - пълнота 0,8 при следващите сечи - 4000бр / ха - пълнота 1,0</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за да се изпълни условието на чл.10 ал.2 , при намесата не се допуска да бъдат</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под 2800бр/ха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2800 бр/ха - пълнота 1,00</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по чл.11 ал.1 не се допуска под 1560 бр/ха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След 40г до 60г сме осигурили 6,41 кв.м кръгова площ за тези останали дървета да нарастват и на тази възраст приблизително корона D=2.86M, на тази възраст тази корона е крайно недостатъчна.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Във връзка с новите технологии и невъзможността от лесовъдски намеси с голям брой квалифицирана работна ръка, както през 20 век, следва намесите да са по- раздалечени във времето и да се правят на база икономическо-екологичен анализ за необходимостта от намеса.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В раздел II Възобновителни сечи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 xml:space="preserve">Подходът за ограничаване в размера на ползването и за по-чести лесовъдски намеси е неправилен, защото проблемът при издънковите гори е, че са неустойчиви и при многократни малки намеси влошаваме естественото </w:t>
            </w:r>
            <w:r w:rsidRPr="00270093">
              <w:rPr>
                <w:rFonts w:ascii="Verdana" w:hAnsi="Verdana"/>
                <w:sz w:val="18"/>
                <w:szCs w:val="18"/>
              </w:rPr>
              <w:lastRenderedPageBreak/>
              <w:t>възобновяване с настаняване на подлесна растителност.</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24. (4) Подготвителната фаза се провежда при склопеност над 0,8, когато липсва семенно възобновяване от целевите дървесни видове. Склопеността се намалява до 0,7-0,8, а интензивността на сечта е до 25 на сто.</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За подготвителна фаза след извеждането на пробирка в издънковите гори, следва де не се прави нищо.</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Чл.24 (5) Осеменителната фаза се провежда с интензивност до 30 на сто, като склопеността се намалява до 0,5- 0,6. Тази фаза на сечта се провежда не по-рано от 5 години след подготвителната фаза.</w:t>
            </w:r>
          </w:p>
          <w:p w:rsidR="003C2B49" w:rsidRPr="00270093" w:rsidRDefault="00967293" w:rsidP="00270093">
            <w:pPr>
              <w:spacing w:line="276" w:lineRule="auto"/>
              <w:jc w:val="both"/>
              <w:rPr>
                <w:rFonts w:ascii="Verdana" w:hAnsi="Verdana"/>
                <w:sz w:val="18"/>
                <w:szCs w:val="18"/>
              </w:rPr>
            </w:pPr>
            <w:r w:rsidRPr="00270093">
              <w:rPr>
                <w:rFonts w:ascii="Verdana" w:hAnsi="Verdana"/>
                <w:sz w:val="18"/>
                <w:szCs w:val="18"/>
              </w:rPr>
              <w:t xml:space="preserve">2. </w:t>
            </w:r>
            <w:r w:rsidR="003C2B49" w:rsidRPr="00270093">
              <w:rPr>
                <w:rFonts w:ascii="Verdana" w:hAnsi="Verdana"/>
                <w:sz w:val="18"/>
                <w:szCs w:val="18"/>
              </w:rPr>
              <w:t xml:space="preserve">Осветителната фаза се провежда не по-рано от 5 години след осеменителната фаза при покритие над 50 на сто на площта на сечището с достатъчно количество подраст. Интензивността на сечта е до 50 на сто, като склопеността се намалява до 0,3 </w:t>
            </w:r>
            <w:r w:rsidRPr="00270093">
              <w:rPr>
                <w:rFonts w:ascii="Verdana" w:hAnsi="Verdana"/>
                <w:sz w:val="18"/>
                <w:szCs w:val="18"/>
              </w:rPr>
              <w:t>–</w:t>
            </w:r>
            <w:r w:rsidR="003C2B49" w:rsidRPr="00270093">
              <w:rPr>
                <w:rFonts w:ascii="Verdana" w:hAnsi="Verdana"/>
                <w:sz w:val="18"/>
                <w:szCs w:val="18"/>
              </w:rPr>
              <w:t xml:space="preserve"> 0,4.</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Могат да се заменят с две фази: осветителна - до 50% от дървостоя и след 5-10 години окончателна фаза.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Раздробяването на насажденията с цел създаване на по-устойчиви гори е процес, който затрудни усвояването на издънковите гори, със забавянето на тяхното превръщане в семенни. В следствие на увеличената им възраст, особено в липовите и церови гори, губим скъпо струващи сортименти за преработка и увеличаваме себестойността на технологичната дървесина.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 xml:space="preserve">Издънковите гори следва да се стопанисват много по-рационално, а превръщането им в семенни насаждения може да се осъществи след промяна на концепцията за създаване на горски култури и въвеждането на производство на контейнерни фиданки от ценни дървесни видове, които да се толерират в бъдеще. Контейнерни фиданки от лдб, здб, дчрш, пляс, бк, бб, см и др., които са ценни за преработвателната промишленост, следва да се залесяват в голи или окончателни фази по 100 до 200 бр/ха. Преминаването от издънково към средностъблено и </w:t>
            </w:r>
            <w:r w:rsidRPr="00270093">
              <w:rPr>
                <w:rFonts w:ascii="Verdana" w:hAnsi="Verdana"/>
                <w:sz w:val="18"/>
                <w:szCs w:val="18"/>
              </w:rPr>
              <w:lastRenderedPageBreak/>
              <w:t>семенно насаждение, следва да е концепцията на нови лесовъдски разработки, с цел повишаване качеството на горите на България.</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Административните тежести и бюрокрацията да се трансформират в усилия в посока на подготовка на квалифицирани кадри, които да знаят какво оставят на бъдещите поколения.</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За липовите и тополовите насаждения концепцията е неправилна. Тези насаждения следва да се ползват след като в тях са проведени всички лесовъдски намеси за производство на дървесина за преработка.</w:t>
            </w:r>
          </w:p>
          <w:p w:rsidR="007D0AFE" w:rsidRPr="00270093" w:rsidRDefault="003C2B49" w:rsidP="00270093">
            <w:pPr>
              <w:spacing w:line="276" w:lineRule="auto"/>
              <w:jc w:val="both"/>
              <w:rPr>
                <w:rFonts w:ascii="Verdana" w:hAnsi="Verdana"/>
                <w:sz w:val="18"/>
                <w:szCs w:val="18"/>
              </w:rPr>
            </w:pPr>
            <w:r w:rsidRPr="00270093">
              <w:rPr>
                <w:rFonts w:ascii="Verdana" w:hAnsi="Verdana"/>
                <w:sz w:val="18"/>
                <w:szCs w:val="18"/>
              </w:rPr>
              <w:t>Всички издънкови насаждения, които предоставят само дърва за огрев и технологична дървесина, следва да се усвояват своевременно, защото те никога няма повишат своята стойност във времето.</w:t>
            </w:r>
          </w:p>
        </w:tc>
        <w:tc>
          <w:tcPr>
            <w:tcW w:w="1559" w:type="dxa"/>
            <w:tcBorders>
              <w:top w:val="single" w:sz="18" w:space="0" w:color="2E74B5"/>
            </w:tcBorders>
            <w:shd w:val="clear" w:color="auto" w:fill="auto"/>
          </w:tcPr>
          <w:p w:rsidR="007D0AFE" w:rsidRPr="00434EBC" w:rsidRDefault="003C2B49" w:rsidP="002B600B">
            <w:pPr>
              <w:jc w:val="both"/>
              <w:rPr>
                <w:rFonts w:ascii="Verdana" w:hAnsi="Verdana"/>
                <w:sz w:val="18"/>
                <w:szCs w:val="18"/>
              </w:rPr>
            </w:pPr>
            <w:r w:rsidRPr="00434EBC">
              <w:rPr>
                <w:rFonts w:ascii="Verdana" w:hAnsi="Verdana"/>
                <w:sz w:val="18"/>
                <w:szCs w:val="18"/>
              </w:rPr>
              <w:lastRenderedPageBreak/>
              <w:t>Не се приема</w:t>
            </w:r>
          </w:p>
        </w:tc>
        <w:tc>
          <w:tcPr>
            <w:tcW w:w="5194" w:type="dxa"/>
            <w:tcBorders>
              <w:top w:val="single" w:sz="18" w:space="0" w:color="2E74B5"/>
            </w:tcBorders>
            <w:shd w:val="clear" w:color="auto" w:fill="auto"/>
          </w:tcPr>
          <w:p w:rsidR="007D0AFE" w:rsidRPr="00434EBC" w:rsidRDefault="003C2B49" w:rsidP="002B600B">
            <w:pPr>
              <w:jc w:val="both"/>
              <w:rPr>
                <w:rFonts w:ascii="Verdana" w:hAnsi="Verdana"/>
                <w:sz w:val="18"/>
                <w:szCs w:val="18"/>
              </w:rPr>
            </w:pPr>
            <w:r w:rsidRPr="00434EBC">
              <w:rPr>
                <w:rFonts w:ascii="Verdana" w:hAnsi="Verdana"/>
                <w:sz w:val="18"/>
                <w:szCs w:val="18"/>
              </w:rPr>
              <w:t>Представеното становище и предложения са напълно извън обхвата на представения проект за изменение и допълнение на Наредбата. Не са обвързани с мотивите и предолженията за изменение, свързани единствено с прилагане на измененията</w:t>
            </w:r>
            <w:r w:rsidR="00816A2F">
              <w:rPr>
                <w:rFonts w:ascii="Verdana" w:hAnsi="Verdana"/>
                <w:sz w:val="18"/>
                <w:szCs w:val="18"/>
              </w:rPr>
              <w:t xml:space="preserve"> </w:t>
            </w:r>
            <w:r w:rsidRPr="00434EBC">
              <w:rPr>
                <w:rFonts w:ascii="Verdana" w:hAnsi="Verdana"/>
                <w:sz w:val="18"/>
                <w:szCs w:val="18"/>
              </w:rPr>
              <w:t>в Закона за горите и влязлото в сила съдебно решение по отношение на план-извлеченията, санитарни и принудителни сечи и сечи в изключителни случаи.</w:t>
            </w:r>
          </w:p>
        </w:tc>
      </w:tr>
      <w:tr w:rsidR="007D0AFE" w:rsidRPr="00434EBC" w:rsidTr="002B600B">
        <w:trPr>
          <w:trHeight w:val="596"/>
        </w:trPr>
        <w:tc>
          <w:tcPr>
            <w:tcW w:w="622" w:type="dxa"/>
            <w:shd w:val="clear" w:color="auto" w:fill="auto"/>
          </w:tcPr>
          <w:p w:rsidR="007D0AFE" w:rsidRPr="00434EBC" w:rsidRDefault="007D0AFE" w:rsidP="002635AC">
            <w:pPr>
              <w:pStyle w:val="ListParagraph"/>
              <w:numPr>
                <w:ilvl w:val="0"/>
                <w:numId w:val="6"/>
              </w:numPr>
              <w:tabs>
                <w:tab w:val="left" w:pos="192"/>
              </w:tabs>
              <w:jc w:val="center"/>
              <w:rPr>
                <w:rFonts w:ascii="Verdana" w:hAnsi="Verdana"/>
                <w:b/>
                <w:sz w:val="18"/>
                <w:szCs w:val="18"/>
              </w:rPr>
            </w:pPr>
          </w:p>
        </w:tc>
        <w:tc>
          <w:tcPr>
            <w:tcW w:w="2463" w:type="dxa"/>
            <w:shd w:val="clear" w:color="auto" w:fill="auto"/>
          </w:tcPr>
          <w:p w:rsidR="00726706" w:rsidRPr="00726706" w:rsidRDefault="00726706" w:rsidP="00726706">
            <w:pPr>
              <w:rPr>
                <w:rFonts w:ascii="Verdana" w:hAnsi="Verdana"/>
                <w:b/>
                <w:sz w:val="18"/>
                <w:szCs w:val="18"/>
              </w:rPr>
            </w:pPr>
            <w:r w:rsidRPr="00726706">
              <w:rPr>
                <w:rFonts w:ascii="Verdana" w:hAnsi="Verdana"/>
                <w:b/>
                <w:sz w:val="18"/>
                <w:szCs w:val="18"/>
              </w:rPr>
              <w:t>Булпрофор</w:t>
            </w:r>
          </w:p>
          <w:p w:rsidR="00726706" w:rsidRPr="00726706" w:rsidRDefault="00726706" w:rsidP="00726706">
            <w:pPr>
              <w:rPr>
                <w:rFonts w:ascii="Verdana" w:hAnsi="Verdana"/>
                <w:b/>
                <w:sz w:val="18"/>
                <w:szCs w:val="18"/>
              </w:rPr>
            </w:pPr>
          </w:p>
          <w:p w:rsidR="00726706" w:rsidRPr="00726706" w:rsidRDefault="00726706" w:rsidP="00726706">
            <w:pPr>
              <w:rPr>
                <w:rFonts w:ascii="Verdana" w:hAnsi="Verdana"/>
                <w:b/>
                <w:sz w:val="18"/>
                <w:szCs w:val="18"/>
              </w:rPr>
            </w:pPr>
            <w:r w:rsidRPr="00726706">
              <w:rPr>
                <w:rFonts w:ascii="Verdana" w:hAnsi="Verdana"/>
                <w:b/>
                <w:sz w:val="18"/>
                <w:szCs w:val="18"/>
              </w:rPr>
              <w:t>вх. № ИАГ-21786/</w:t>
            </w:r>
            <w:r w:rsidR="00270093">
              <w:rPr>
                <w:rFonts w:ascii="Verdana" w:hAnsi="Verdana"/>
                <w:b/>
                <w:sz w:val="18"/>
                <w:szCs w:val="18"/>
                <w:lang w:val="en-US"/>
              </w:rPr>
              <w:t xml:space="preserve"> </w:t>
            </w:r>
            <w:r w:rsidRPr="00726706">
              <w:rPr>
                <w:rFonts w:ascii="Verdana" w:hAnsi="Verdana"/>
                <w:b/>
                <w:sz w:val="18"/>
                <w:szCs w:val="18"/>
              </w:rPr>
              <w:t>15.09.2023 г.</w:t>
            </w:r>
          </w:p>
          <w:p w:rsidR="00726706" w:rsidRPr="00726706" w:rsidRDefault="00726706" w:rsidP="00726706">
            <w:pPr>
              <w:rPr>
                <w:rFonts w:ascii="Verdana" w:hAnsi="Verdana"/>
                <w:b/>
                <w:sz w:val="18"/>
                <w:szCs w:val="18"/>
              </w:rPr>
            </w:pPr>
          </w:p>
          <w:p w:rsidR="00967293" w:rsidRPr="00726706" w:rsidRDefault="00726706" w:rsidP="00270093">
            <w:pPr>
              <w:rPr>
                <w:rFonts w:ascii="Verdana" w:hAnsi="Verdana"/>
                <w:b/>
                <w:sz w:val="18"/>
                <w:szCs w:val="18"/>
              </w:rPr>
            </w:pPr>
            <w:r w:rsidRPr="00726706">
              <w:rPr>
                <w:rFonts w:ascii="Verdana" w:hAnsi="Verdana"/>
                <w:b/>
                <w:sz w:val="18"/>
                <w:szCs w:val="18"/>
              </w:rPr>
              <w:t xml:space="preserve">постъпило по ел. поща на </w:t>
            </w:r>
            <w:r w:rsidR="00270093">
              <w:rPr>
                <w:rFonts w:ascii="Verdana" w:hAnsi="Verdana"/>
                <w:b/>
                <w:sz w:val="18"/>
                <w:szCs w:val="18"/>
              </w:rPr>
              <w:br/>
            </w:r>
            <w:r w:rsidRPr="00726706">
              <w:rPr>
                <w:rFonts w:ascii="Verdana" w:hAnsi="Verdana"/>
                <w:b/>
                <w:sz w:val="18"/>
                <w:szCs w:val="18"/>
              </w:rPr>
              <w:t>15.09. 2023</w:t>
            </w:r>
            <w:r w:rsidR="00270093">
              <w:rPr>
                <w:rFonts w:ascii="Verdana" w:hAnsi="Verdana"/>
                <w:b/>
                <w:sz w:val="18"/>
                <w:szCs w:val="18"/>
                <w:lang w:val="en-US"/>
              </w:rPr>
              <w:t xml:space="preserve"> </w:t>
            </w:r>
            <w:r w:rsidRPr="00726706">
              <w:rPr>
                <w:rFonts w:ascii="Verdana" w:hAnsi="Verdana"/>
                <w:b/>
                <w:sz w:val="18"/>
                <w:szCs w:val="18"/>
              </w:rPr>
              <w:t>г.</w:t>
            </w:r>
          </w:p>
        </w:tc>
        <w:tc>
          <w:tcPr>
            <w:tcW w:w="5812" w:type="dxa"/>
            <w:shd w:val="clear" w:color="auto" w:fill="auto"/>
          </w:tcPr>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Предложения за изменение в Наредба №</w:t>
            </w:r>
            <w:r w:rsidR="00337557" w:rsidRPr="00270093">
              <w:rPr>
                <w:rFonts w:ascii="Verdana" w:hAnsi="Verdana"/>
                <w:sz w:val="18"/>
                <w:szCs w:val="18"/>
              </w:rPr>
              <w:t xml:space="preserve"> </w:t>
            </w:r>
            <w:r w:rsidRPr="00270093">
              <w:rPr>
                <w:rFonts w:ascii="Verdana" w:hAnsi="Verdana"/>
                <w:sz w:val="18"/>
                <w:szCs w:val="18"/>
              </w:rPr>
              <w:t>8</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7. Отгледните сечи са осветления, прочистки, прореждания, пробирки, схематично-селекционни, селекционни сечи и сечи за индивидуално производство на висококачествена дървесина.</w:t>
            </w:r>
          </w:p>
          <w:p w:rsidR="00DA15DA" w:rsidRPr="00270093" w:rsidRDefault="003C2B49" w:rsidP="00270093">
            <w:pPr>
              <w:spacing w:line="276" w:lineRule="auto"/>
              <w:jc w:val="both"/>
              <w:rPr>
                <w:rFonts w:ascii="Verdana" w:hAnsi="Verdana"/>
                <w:sz w:val="18"/>
                <w:szCs w:val="18"/>
              </w:rPr>
            </w:pPr>
            <w:r w:rsidRPr="00270093">
              <w:rPr>
                <w:rFonts w:ascii="Verdana" w:hAnsi="Verdana"/>
                <w:sz w:val="18"/>
                <w:szCs w:val="18"/>
              </w:rPr>
              <w:t>Чл. 8. Осветленията се провеждат от възникване до склопяване на насажденията за регулиране на състава и произхода им. В т.ч. на осветленията е и „подрязване на пънче“ на увредения подраст. (Това е най-важно мероприятие след изсичане на дървостоя.)</w:t>
            </w:r>
            <w:r w:rsidR="00DA15DA" w:rsidRPr="00270093">
              <w:rPr>
                <w:rFonts w:ascii="Verdana" w:hAnsi="Verdana"/>
                <w:sz w:val="18"/>
                <w:szCs w:val="18"/>
              </w:rPr>
              <w:t xml:space="preserve"> </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19. (1) При провеждане на прочистките и първите прорежданията еднократно могат да се прилагат схематични методи на отгледната сеч с цел технологично обезпечаване усвояването на насажденията.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3.</w:t>
            </w:r>
            <w:r w:rsidR="00967293" w:rsidRPr="00270093">
              <w:rPr>
                <w:rFonts w:ascii="Verdana" w:hAnsi="Verdana"/>
                <w:sz w:val="18"/>
                <w:szCs w:val="18"/>
              </w:rPr>
              <w:t xml:space="preserve"> </w:t>
            </w:r>
            <w:r w:rsidRPr="00270093">
              <w:rPr>
                <w:rFonts w:ascii="Verdana" w:hAnsi="Verdana"/>
                <w:sz w:val="18"/>
                <w:szCs w:val="18"/>
              </w:rPr>
              <w:t>Схематични методи не се прилагат в насаждения със средна височина, по голяма от 10 м, в насаждения на ерозирани терени, на терени с наклон над 25 градуса, в зоната на горната граница на гората, в защитните горски пояси, както и в насаждения с ниска механична устойчивост.</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lastRenderedPageBreak/>
              <w:t>Чл. 24. (Изм. - ДВ, бр. 72 от 2015 г., бр. 84 от 2020 г., в сила от 29.09.2020 г.) (1) Краткосрочно-постепенната сеч се провежда с цел равномерно възобновяване на насажденията до пълното им възобновяване (до 90%). на малки площи с размер на отделното сечище до 2 ха.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(2)</w:t>
            </w:r>
            <w:r w:rsidR="00967293" w:rsidRPr="00270093">
              <w:rPr>
                <w:rFonts w:ascii="Verdana" w:hAnsi="Verdana"/>
                <w:sz w:val="18"/>
                <w:szCs w:val="18"/>
              </w:rPr>
              <w:t xml:space="preserve"> </w:t>
            </w:r>
            <w:r w:rsidRPr="00270093">
              <w:rPr>
                <w:rFonts w:ascii="Verdana" w:hAnsi="Verdana"/>
                <w:sz w:val="18"/>
                <w:szCs w:val="18"/>
              </w:rPr>
              <w:t>В насаждения с доминиращо участие на бука над 5/10 от състава на дървостоя, допустимият размер на отделното сечище е до 10 ха.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(3)</w:t>
            </w:r>
            <w:r w:rsidR="00967293" w:rsidRPr="00270093">
              <w:rPr>
                <w:rFonts w:ascii="Verdana" w:hAnsi="Verdana"/>
                <w:sz w:val="18"/>
                <w:szCs w:val="18"/>
              </w:rPr>
              <w:t xml:space="preserve"> </w:t>
            </w:r>
            <w:r w:rsidRPr="00270093">
              <w:rPr>
                <w:rFonts w:ascii="Verdana" w:hAnsi="Verdana"/>
                <w:sz w:val="18"/>
                <w:szCs w:val="18"/>
              </w:rPr>
              <w:t>Сечта се провежда чрез отсичане на дърветата равномерно по площта на отделното сечище на 2,</w:t>
            </w:r>
            <w:r w:rsidR="00967293" w:rsidRPr="00270093">
              <w:rPr>
                <w:rFonts w:ascii="Verdana" w:hAnsi="Verdana"/>
                <w:sz w:val="18"/>
                <w:szCs w:val="18"/>
              </w:rPr>
              <w:t xml:space="preserve"> </w:t>
            </w:r>
            <w:r w:rsidRPr="00270093">
              <w:rPr>
                <w:rFonts w:ascii="Verdana" w:hAnsi="Verdana"/>
                <w:sz w:val="18"/>
                <w:szCs w:val="18"/>
              </w:rPr>
              <w:t>3</w:t>
            </w:r>
            <w:r w:rsidRPr="00270093">
              <w:rPr>
                <w:rFonts w:ascii="Verdana" w:hAnsi="Verdana"/>
                <w:sz w:val="18"/>
                <w:szCs w:val="18"/>
              </w:rPr>
              <w:tab/>
              <w:t>или</w:t>
            </w:r>
            <w:r w:rsidR="00967293" w:rsidRPr="00270093">
              <w:rPr>
                <w:rFonts w:ascii="Verdana" w:hAnsi="Verdana"/>
                <w:sz w:val="18"/>
                <w:szCs w:val="18"/>
              </w:rPr>
              <w:t xml:space="preserve"> </w:t>
            </w:r>
            <w:r w:rsidRPr="00270093">
              <w:rPr>
                <w:rFonts w:ascii="Verdana" w:hAnsi="Verdana"/>
                <w:sz w:val="18"/>
                <w:szCs w:val="18"/>
              </w:rPr>
              <w:t>4</w:t>
            </w:r>
            <w:r w:rsidR="00967293" w:rsidRPr="00270093">
              <w:rPr>
                <w:rFonts w:ascii="Verdana" w:hAnsi="Verdana"/>
                <w:sz w:val="18"/>
                <w:szCs w:val="18"/>
              </w:rPr>
              <w:t xml:space="preserve"> </w:t>
            </w:r>
            <w:r w:rsidRPr="00270093">
              <w:rPr>
                <w:rFonts w:ascii="Verdana" w:hAnsi="Verdana"/>
                <w:sz w:val="18"/>
                <w:szCs w:val="18"/>
              </w:rPr>
              <w:t>фази,</w:t>
            </w:r>
            <w:r w:rsidR="00967293" w:rsidRPr="00270093">
              <w:rPr>
                <w:rFonts w:ascii="Verdana" w:hAnsi="Verdana"/>
                <w:sz w:val="18"/>
                <w:szCs w:val="18"/>
              </w:rPr>
              <w:t xml:space="preserve"> </w:t>
            </w:r>
            <w:r w:rsidRPr="00270093">
              <w:rPr>
                <w:rFonts w:ascii="Verdana" w:hAnsi="Verdana"/>
                <w:sz w:val="18"/>
                <w:szCs w:val="18"/>
              </w:rPr>
              <w:t>в</w:t>
            </w:r>
            <w:r w:rsidR="00967293" w:rsidRPr="00270093">
              <w:rPr>
                <w:rFonts w:ascii="Verdana" w:hAnsi="Verdana"/>
                <w:sz w:val="18"/>
                <w:szCs w:val="18"/>
              </w:rPr>
              <w:t xml:space="preserve"> </w:t>
            </w:r>
            <w:r w:rsidRPr="00270093">
              <w:rPr>
                <w:rFonts w:ascii="Verdana" w:hAnsi="Verdana"/>
                <w:sz w:val="18"/>
                <w:szCs w:val="18"/>
              </w:rPr>
              <w:t>зависимост от състоянието на насаждението и на подраста. Възобновителният</w:t>
            </w:r>
            <w:r w:rsidR="00967293" w:rsidRPr="00270093">
              <w:rPr>
                <w:rFonts w:ascii="Verdana" w:hAnsi="Verdana"/>
                <w:sz w:val="18"/>
                <w:szCs w:val="18"/>
              </w:rPr>
              <w:t xml:space="preserve"> </w:t>
            </w:r>
            <w:r w:rsidRPr="00270093">
              <w:rPr>
                <w:rFonts w:ascii="Verdana" w:hAnsi="Verdana"/>
                <w:sz w:val="18"/>
                <w:szCs w:val="18"/>
              </w:rPr>
              <w:t>период за отделните сечища зависи от тяхното семенно възобновяване с жизнен подраст от целевият /целевите дървесни видове. и не може да бъде по кратък от 15 години.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(4)</w:t>
            </w:r>
            <w:r w:rsidR="00967293" w:rsidRPr="00270093">
              <w:rPr>
                <w:rFonts w:ascii="Verdana" w:hAnsi="Verdana"/>
                <w:sz w:val="18"/>
                <w:szCs w:val="18"/>
              </w:rPr>
              <w:t xml:space="preserve"> </w:t>
            </w:r>
            <w:r w:rsidRPr="00270093">
              <w:rPr>
                <w:rFonts w:ascii="Verdana" w:hAnsi="Verdana"/>
                <w:sz w:val="18"/>
                <w:szCs w:val="18"/>
              </w:rPr>
              <w:t>Подготвителната фаза се провежда при склопеност над 0,8, когато липсва семенно възобновяване от целевите дървесни видове. Склопеността се намалява до 0,7 - 0,8, а интензивността на сечта е до 25 на сто от установения при маркирането актуален запас.</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(5) Осеменителната фаза се провежда за създаване на условия за поява на поници и развитие на подраст, като склопеността се намалява до 0,5 за насаждения от светлолюбиви и до 0,6 за насаждения от сенкоиздръжливи дървесни видове. с интензивност до 30 на сто от установения при маркирането актуален запас, като склопеността се намалява до 0,5 - 0,6. Тази фаза на сечта се провежда не по рано от 5 години след подготвителната фаза.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(6) Осветителната фаза се провежда не по рано от 5 години след осеменителната фаза при покритие над 50 на сто на площта на насаждението сечището с достатъчно количество подраст. Интензивността на сечта е до 50 на сто, като склопеността се намалява до 0,3—0,4 0,2 - 0,4.</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 xml:space="preserve">Когато се цели удължаване на възобновителния период, </w:t>
            </w:r>
            <w:r w:rsidRPr="00270093">
              <w:rPr>
                <w:rFonts w:ascii="Verdana" w:hAnsi="Verdana"/>
                <w:sz w:val="18"/>
                <w:szCs w:val="18"/>
              </w:rPr>
              <w:lastRenderedPageBreak/>
              <w:t>осветителната фаза може да се проведе на два пъти.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(7)</w:t>
            </w:r>
            <w:r w:rsidR="00967293" w:rsidRPr="00270093">
              <w:rPr>
                <w:rFonts w:ascii="Verdana" w:hAnsi="Verdana"/>
                <w:sz w:val="18"/>
                <w:szCs w:val="18"/>
              </w:rPr>
              <w:t xml:space="preserve"> </w:t>
            </w:r>
            <w:r w:rsidRPr="00270093">
              <w:rPr>
                <w:rFonts w:ascii="Verdana" w:hAnsi="Verdana"/>
                <w:sz w:val="18"/>
                <w:szCs w:val="18"/>
              </w:rPr>
              <w:t>Окончателната фаза се провежда при склопеност на дървостоя в сечището не по-голяма от 0,4 ^N1 0,5 (или да отпадне склопеността като фактор) и покритие над 80 на сто на площта с достатъчно</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количество укрепнал подраст. При по-слабо от изискуемото се възобновяване, за пристъпване към следващата фаза на сечта, се провежда подпомагане без залесяване - изсичане на храстите и на подлеса от нежелани дървесни видове. При провеждането на окончателната фаза в площните сечища се оставят от 3 до 5 биотопни дървета от зрелия дървостой на един хектар. Окончателна фаза се провежда не по рано от 3 години след предходната фаза. След окончателна фаза се извежда задължтелно „отглеждане на подраста“ (за издънковите насаждения) до 2г. след провеждане на сечта, или се провежда „осветление“ в т.ч. и подрязване на „пънче” от 1 до 3 пъти до склопяване, също до 2г. след провеждане на сечта. (Тогава, никой няма да си позволи да сече ок.ф. ако не е обезпечено провеждането на осветления!!!)</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(8) При провеждане на фазите на краткосрочно постепенната сеч по ал. 1 се спазват следните изисквания:</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1. площта от насаждението, в която не се провеждат сечи, е не по малка от площта, в която се провеждат, с изключение на случаите с насаждения и имоти с площ до 2 ха и до 10 ха в случаите по ал. 2;</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2. окончателната фаза на сечта започва, след като младият дървостой в съседните отсечени площи от насаждението достигне средна височина не по малко от 2 м;</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 xml:space="preserve">3. не се допуска сливане на сечища, в които се провеждат окончателни фази в съседни насаждения с обща площ, по голяма от 2 ха и до 10 ха в случаите по ал. 2, когато </w:t>
            </w:r>
            <w:r w:rsidRPr="00270093">
              <w:rPr>
                <w:rFonts w:ascii="Verdana" w:hAnsi="Verdana"/>
                <w:sz w:val="18"/>
                <w:szCs w:val="18"/>
              </w:rPr>
              <w:lastRenderedPageBreak/>
              <w:t>попадат в един имот; за целта да се спазват изискванията по т. 2.</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(9) В насаждения и имоти с площ до 2 ха включително и до 10 ха в случаите по ал. 2 краткосрочно-постепенната сеч може да се провежда върху цялата площ.</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24а. (Нов - ДВ, бр. 72 от 2015 г.) (1) (Изм. - ДВ, бр. 71 от 2017 г., бр. 84 от 2020 г., в сила от 29.09.2020 г.) Краткосрочно-постепенна сеч на тесни ивици се провежда с широчина на отделната ивица до 2 пъти средната височина на дървостоя, но не повече от 40 м. Сечта започва с едновременно залагане на ивиците върху цялата площ, като разстоянието между тях се определя от избраната широчина на отделната ивица и броя на останалите фази. Възобновителният период за отделните ивици е не по кратък от 15 години и не по дълъг от 20 г..</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(2) (Доп. - ДВ, бр. 71 от 2017 г.) Сечта се провежда чрез отсичане на дърветата равномерно по площта на отделната ивица на 3 или 4 фази, в зависимост от състоянието на насаждението.</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(3) (Изм. - ДВ, бр. 71 от 2017 г.) Сечта започва чрез залагане на ивиците, в които ще се провежда първата фаза на краткосрочно-постепенната сеч. След не по малко от 5 години от извеждане на сечта в първоначално заложените ивици се провежда следващата фаза на сечта, като до първоначално заложените ивици се залагат нови ивици, в които се извежда предходната фаза на сечта. В тази последователност се залагат ивици и се извежда сечта върху цялата площ на насаждението.</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(4) При провеждане на отделните фази на сечта се прилагат изискванията по чл. 24, ал. 3 - 7.</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 xml:space="preserve">Чл. 25. (1) (Доп. - ДВ, бр. 84 от 2020 г., в сила от 29.09.2020 г.) Постепенно- котловинната сеч се провежда предимно в гори от светлолюбиви дървесни видове независимо от произхода им. (дава възможност сечта да се води в смесени насаждения и по изключение в гори с </w:t>
            </w:r>
            <w:r w:rsidRPr="00270093">
              <w:rPr>
                <w:rFonts w:ascii="Verdana" w:hAnsi="Verdana"/>
                <w:sz w:val="18"/>
                <w:szCs w:val="18"/>
              </w:rPr>
              <w:lastRenderedPageBreak/>
              <w:t>преобладание на сенкоиздръжливи видове</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(2) (Доп. - ДВ, бр. 72 от 2015 г., изм., бр. 71 от 2017 г., бр. 84 от 2020 г., в сила от 29.09.2020 г.) В насаждения със склопеност, по голяма от 0,8, и липса на възобновяване склопеността се намалява до 0,6—0,7 с цел поява на естествено възобновяване. В насаждения със склопеност по-голяма от 0,6 и липса на възобновяване, първите сечи се провеждат по правилата на подготвителната и осеменителната фаза на краткосрочно - постепенната сеч.</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(3) (Нова - ДВ, бр. 71 от 2017 г., отм., бр. 84 от 2020 г., в сила от 29.09.2020 г.).</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Page</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(4) (Изм. - ДВ, бр. 72 от 2015 г., предишна ал. 3, изм., бр. 71 от 2017 г., бр. 84 от 2020 г., в сила от 29.09.2020 г.) Възобновените участъци се отварят под формата на котли, като сумарната площ на котлите не надвишава 30 % от площта на насаждението. В местата с достатъчно количество подраст се отварят до 3 котела на един хектар, всеки с диаметър до два пъти средната височина на насаждението. Дървостоят около котлите в ивица с ширина 15—20 м може да се изрежда до склопеност не по-малка от 0,4 - 0,5. 0,5—0,6.</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(5)</w:t>
            </w:r>
            <w:r w:rsidR="00967293" w:rsidRPr="00270093">
              <w:rPr>
                <w:rFonts w:ascii="Verdana" w:hAnsi="Verdana"/>
                <w:sz w:val="18"/>
                <w:szCs w:val="18"/>
              </w:rPr>
              <w:t xml:space="preserve"> </w:t>
            </w:r>
            <w:r w:rsidRPr="00270093">
              <w:rPr>
                <w:rFonts w:ascii="Verdana" w:hAnsi="Verdana"/>
                <w:sz w:val="18"/>
                <w:szCs w:val="18"/>
              </w:rPr>
              <w:t>(Предишна ал. 4 - ДВ, бр. 71 от 2017 г., изм., бр. 84 от 2020 г., в сила от 29.09.2020 г.) Котлите се разширяват, когато по периферията им се появи достатъчно количество подраст. Разширяването се извършва равномерно или неравномерно в зависимост от посоката на възобновяване до окончателното отсичане на зрелия дървостой.. Около разширените котли може да се формира ивица с ширина 15—20 м и се допуска изреждане до склопеност 0,5—0,6</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 xml:space="preserve">(6) (Изм. - ДВ, бр. 72 от 2015 г., предишна ал. 5, доп., бр. 71 от 2017 г., изм., бр. 84 от 2020 г., в сила от 29.09.2020 г.) Интензивността на сечта е до^О 50 на сто, като за </w:t>
            </w:r>
            <w:r w:rsidRPr="00270093">
              <w:rPr>
                <w:rFonts w:ascii="Verdana" w:hAnsi="Verdana"/>
                <w:sz w:val="18"/>
                <w:szCs w:val="18"/>
              </w:rPr>
              <w:lastRenderedPageBreak/>
              <w:t>горите в "Натура 2000" е до 30 на сто, при всяка лесовъдска намеса. Възобновителният период на постепенно-котловинната сеч е не по-малък от 20 години, като за горите в "Натура 2000" е до 30 години, а периодът между отделните лесовъдски намеси е не по малък от 5 години, като за насаждения в "Натура 2000" е 8 години. При склопеност на насаждението под 0,3 между котлите и наличие на достатъчно количество укрепнал подраст интензивността на сечта е до 90 %. се провежда окончателната фаза на сечта, при условията на чл.24, ал.7.</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(7) (Предишна ал. 6 - ДВ, бр. 71 от 2017 г.) Едновременно със сечта във възобновените участъци се провеждат съответните отгледни сечи, включително и отглеждане на подраста.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26. (1) Групово-постепенна сеч се провежда във:</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5. (отм. - ДВ, бр. 84 от 2020 г., в сила от 29.09.2020 г.). . високобонитетни чисти и смесени издънкови букови насаждения за превръщане в семенни.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(2) (Изм. - ДВ, бр. 72 от 2015 г., доп., бр. 84 от 2020 г., в сила от 29.09.2020 г.) Групово- постепенната сеч се провежда с цел формиране и поддържане на неравномерна възрастова, хоризонтална и вертикална структура с възобновителен период от 40 години за високостъблените насаждения не по малък от 40 години за високостъблените и 30 години за издънковите насаждения.</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(3) Групово-постепенната сеч се провежда при спазване на следните правила: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1. (доп. - ДВ, бр. 84 от 2020 г., в сила от 29.09.2020 г.) дървостоят се отсича постепенно под формата на прозорци, които се разширяват а лесовъдските намеси се провеждат най малко на 4 пъти, като периодът между отделните намеси е не по малък от 7 години;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 xml:space="preserve">2. прозорците се залагат в местата със започнал </w:t>
            </w:r>
            <w:r w:rsidRPr="00270093">
              <w:rPr>
                <w:rFonts w:ascii="Verdana" w:hAnsi="Verdana"/>
                <w:sz w:val="18"/>
                <w:szCs w:val="18"/>
              </w:rPr>
              <w:lastRenderedPageBreak/>
              <w:t>възобновителен процес;</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3. (изм. - ДВ, бр. 72 от 2015 г., бр. 71 от 2017 г.) при липса на възобновяване прозорците се залагат на два пъти в места със склопеност, по-голяма от 0,6, като първия път склопеността в прозореца се свежда до 0,4 в семеносна година, а окончателното изсичане на дървостоя в прозореца се извършва при започнал възобновителен процес;</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4. (доп. - ДВ, бр. 71 от 2017 г., изм., бр. 84 от 2020 г., в сила от 29.09.2020 г.) на 1 ха се залагат до 3 прозореца;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5. дървостоят около прозорците в ивица с ширина 15 - 20 м се изрежда до склопеност 0,4 - 0,5 - °£;</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6. разширяването на прозорците се извършва, когато подрастът е в достатъчно количество и е укрепнал;</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7. едновременно с разширяването на прозорците във възобновените участъци се провеждат съответните отгледни сечи, включително и отглеждане на подраста;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8. (нова - ДВ, бр. 72 от 2015 г., отм., бр. 84 от 2020 г., в сила от 29.09.2020 г.).</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27. (1) (Изм. - ДВ, бр. 71 от 2017 г., бр. 84 от 2020 г., в сила от 29.09.2020 г.) Неравномерно-постепенната сеч се провежда за формиране на насаждения или групи от съседни насаждения със сложна вертикална, хоризонтална и възрастова структура при възобновителен период не по-малък от 40 години за високостъблените светлолюбиви дървесни видове, не по- малък от 25 години за издънковите светлолюбиви дървесни видове и не по-малък от 60 години за високостъблените сенкоиздръжливи дървесни видове и 30 години за издънковите сенкоиздръжливи дървесни видове.</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(2)</w:t>
            </w:r>
            <w:r w:rsidR="00967293" w:rsidRPr="00270093">
              <w:rPr>
                <w:rFonts w:ascii="Verdana" w:hAnsi="Verdana"/>
                <w:sz w:val="18"/>
                <w:szCs w:val="18"/>
              </w:rPr>
              <w:t xml:space="preserve"> </w:t>
            </w:r>
            <w:r w:rsidRPr="00270093">
              <w:rPr>
                <w:rFonts w:ascii="Verdana" w:hAnsi="Verdana"/>
                <w:sz w:val="18"/>
                <w:szCs w:val="18"/>
              </w:rPr>
              <w:t xml:space="preserve">(Изм. - ДВ, бр. 84 от 2020 г., в сила от 29.09.2020 г.) Сечта по ал. 1 се прилага в насаждения или групи от насаждения в добро здравословно състояние с общи граници и възможност за единен технологичен план за усвояване с площ не по-малка от 5 10 ха и склопеност </w:t>
            </w:r>
            <w:r w:rsidRPr="00270093">
              <w:rPr>
                <w:rFonts w:ascii="Verdana" w:hAnsi="Verdana"/>
                <w:sz w:val="18"/>
                <w:szCs w:val="18"/>
              </w:rPr>
              <w:lastRenderedPageBreak/>
              <w:t>над 0,6. Границите на gj,</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насаждението или групата насаждения се запазват до окончателното отсичане на зрелия дървостой.</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(3) (Изм.—ДВ, бр. 84 от 2020 г., в сила от 29.09.2020 г.) При провеждане на неравномерно постепенната сеч в насажденията се оформят участъци за възобновяване, участъци за отглеждане и участъци с висока склопеност, в които се задържа възобновяването, които се посочват в карнет описа и технологичния план.</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(4) (Изм. - ДВ, бр. 72 от 2015 г.) При неравномерно-постепенната сеч интензивността на сечта е до 25 на сто, при повторяемост за високостъблените дървесни видове през 5 до 15 години, в зависимост от възобновителния период и хода на възобновителните процеси.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(5) (Изм. - ДВ, бр. 84 от 2020 г., в сила от 29.09.2020 г.) Сечта започва около възобновителните центрове чрез отваряне на прозорци, котли или ивици в местата с подраст, а при липса на възобновяване прозорците, котлите или ивиците се отварят на два или повече пъти. По възможност сечта трябва да започва в зоната на транспортната граница. При всяка следваща сеч се разширяват някои от съществуващите прозорци, котли или ивици в посока към извозния път, следвайки хода на естественото възобновяване, а при необходимост се отварят нови.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28. (Доп. - ДВ, бр. 71 от 2017 г.) По време на провеждане на постепенните сечи се отстранява подлесът, когато затруднява възобновяването и се отглежда подрастът във възобновените участъци. Семенния подлес от целевите видове се възприема като част от възобновяването и се толерира.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30. (1) Единично-изборна сеч се провежда в разновъзрастни насаждения с преобладание на сенкоиздръжливи иглолистни дървесни видове с неравномерна вертикална структура.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lastRenderedPageBreak/>
              <w:t>(4)(Изм. - ДВ, бр. 72 от 2015 г.) Повторяемостта на единично-изборната сеч е през 8-10 години. съобразно възприетия турнус на стопанството.</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31. (1) (Изм. - ДВ, бр. 72 от 2015 г.) Групово-изборна сеч се провежда в насаждения с участие в състава им на светлолюбиви дървесни видове, както и в смесените смърчово-елово- буковите и в смърчовите високопланински гори.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(2) (Доп. - ДВ, бр. 72 от 2015 г.) При групово-изборната сеч по цялата площ на насаждението се отсичат групи дървета с цел оформяне на котли с диаметър от 1 до 1,5 пъти от височината на дървостоя, приоритетно в местата с налично възобновяване.</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(3) Броят на котлите е в зависимост от наклона и изложението на терена.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(4) В пространствата между котлите не се провежда сеч.</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(5) След възобновяване на котлите, заложени при предходната сеч, се отварят нови котли, без да се разширяват старите.</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(6) (Изм. - ДВ, бр. 72 от 2015 г., доп., бр. 84 от 2020 г., в сила от 29.09.2020 г.) Интензивността на сечта е до 20 на сто, с изключение на високопланинските смърчови гори, където е до 25 %.</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(7) (Нова - ДВ, бр. 72 от 2015 г.) Повторяемостта на групово-изборната сеч е през 8-10 години. съобразно възприетия турнус на стопанството.</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32. (Изм. - ДВ, бр. 63 от 2013 г., в сила от 16.07.2013 г., бр. 72 от 2015 г.) (1) Голите сечи са възобновителни сечи с последващо изкуствено и/или издънково възобновяване.</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 xml:space="preserve">(2)Голи сечи с изкуствено възобновяване се провеждат в тополови гори, както и в насаждения от келяв габър и мъждрян, растящи на средно богати и богати месторастения, и издънкови акациеви насаждения, за възстановяване на производствения им потенциал, като </w:t>
            </w:r>
            <w:r w:rsidRPr="00270093">
              <w:rPr>
                <w:rFonts w:ascii="Verdana" w:hAnsi="Verdana"/>
                <w:sz w:val="18"/>
                <w:szCs w:val="18"/>
              </w:rPr>
              <w:lastRenderedPageBreak/>
              <w:t>се изсичат всички дървета и храсти, независимо от вида им, с изключение случаите на оформени групи от редки и ценни дървесни видове или специфични изисквания на нормативната уредба.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33. Възобновителните сечи в насаждения, одобрени за базови източници за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производство на репродуктивни материали, се провеждат при възраст един клас над определения турнус на сеч. „Възобновителните сечи в насаждения, одобрени за базови източници за производство на репродуктивни материали, се провеждат под надзора и с одобрението на ГСС според състоянието и целите в отделните насаждения”.</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Трансформация на горски насаждения</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37. (Изм. - ДВ, бр. 63 от 2013 г., в сила от 16.07.2013 г., бр. 72 от 2015 г., бр. 84 от 2020 г., в сила от 29.09.2020 г</w:t>
            </w:r>
            <w:r w:rsidRPr="00270093">
              <w:rPr>
                <w:rFonts w:ascii="Verdana" w:hAnsi="Verdana"/>
                <w:sz w:val="18"/>
                <w:szCs w:val="18"/>
              </w:rPr>
              <w:tab/>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(5) Интензивността на отделната лесовъдска намеса при изборно прореждане е до 35 25 на сто.</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(6) Не се допуска отваряне на възобновителни пространства с диаметър, по-голям от половината от височината на дървостоя.</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(7) Повторяемостта на сечта се определя от състоянието и структурата на насаждението след предходната сеч, но не по-рано от 5 10 години.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(8) Насажденията за изборно прореждане се включват към изборен стопански клас и вид гори— изборни.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40. (1) (Изм. - ДВ, бр. 84 от 2020 г., в сила от 29.09.2020 г.)</w:t>
            </w:r>
            <w:r w:rsidRPr="00270093">
              <w:rPr>
                <w:rFonts w:ascii="Verdana" w:hAnsi="Verdana"/>
                <w:sz w:val="18"/>
                <w:szCs w:val="18"/>
              </w:rPr>
              <w:tab/>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(7)нова При наличие на повреди от биотичен произход, както и механични от климатичен характер (снеговалеж, ветрове и наводнения и др.п.), сечта за трансформация на изкуствени иглолистни горски насаждения трябва да започне веднага след установяването на съответните повреди.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lastRenderedPageBreak/>
              <w:t>Чл. 51а. (Нов - ДВ, бр. 63 от 2013 г., в сила от 16.07.2013 г.) (1) Решение за отсичане на единични, до 10бр., но не-повече от 3 бр.на дка, немаркирани дървета в обекти за добив на дървесина с цел предотвратяване на опасност за живота и здравето на хората се взема от лицето, на което е издадено позволителното за сеч.</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(2) Лицето по ал. 1 маркира с контролна горска марка челата на пъновете на отсечените немаркирани дървета, като използва жълт цвят, и съставя констативен протокол, който се прилага към досието по чл. 64, ал. 1. В констативния протокол се вписват броят на дърветата и техният обем.</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(3) Отсечените немаркирани дървета по ал. 1 се оставят в насажденията като биотопна дървесина.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Чл. 66. (1) В зависимост от особеностите на дървесните видове и състоянието на насажденията, попадащи в горските типове природни местообитания по приложението, за възобновяването им с предимство се провеждат постепенно-котловинна, групово-постепенна, неравномерно-постепенна и изборна сеч.</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(2) (Изм.—ДВ, бр. 72 от 2015 г.) Допуска се провеждане на краткосрочно постепенна сеч на малки площи и на тесни ивици в издънкови гори с влошено състояние, предвидени за превръщането им в семенни.</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Условието се явява пречка за превръщането на издънковите гори в семенни - един процес достатъчно труден, за да се налагат такива кардинални ограничения.</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Явно не се разбира или силно се подценява тази необходимост от специалисти, еколози и общественост, които не са станали свидетели на пагубни последствия в тези гори - визирам масовото съхнене на дървостои в района на североизточна България през 2000г.</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 xml:space="preserve">Всъщност, като се отчете, че България е с най-голям % защитени зони по натура 2000 ,които са уф изключително в горски територии, може да се остойности размера на </w:t>
            </w:r>
            <w:r w:rsidRPr="00270093">
              <w:rPr>
                <w:rFonts w:ascii="Verdana" w:hAnsi="Verdana"/>
                <w:sz w:val="18"/>
                <w:szCs w:val="18"/>
              </w:rPr>
              <w:lastRenderedPageBreak/>
              <w:t>рестрикцията. Освен това - в тези ЗЗ се определиха не малко площи, където човешката намеса се изключва напълно- ГФС и др.. pt</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34. "Укрепнал подраст" е подраст с височина на жизнените фиданки, които могат да формират пълноценно младо насаждение след окончателно изсичане на зрялото насаждение, както следва:</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Насаждения</w:t>
            </w:r>
            <w:r w:rsidRPr="00270093">
              <w:rPr>
                <w:rFonts w:ascii="Verdana" w:hAnsi="Verdana"/>
                <w:sz w:val="18"/>
                <w:szCs w:val="18"/>
              </w:rPr>
              <w:tab/>
              <w:t>Височина на подраста, см</w:t>
            </w:r>
          </w:p>
          <w:p w:rsidR="003C2B49" w:rsidRPr="00270093" w:rsidRDefault="003C2B49" w:rsidP="00270093">
            <w:pPr>
              <w:spacing w:line="276" w:lineRule="auto"/>
              <w:jc w:val="both"/>
              <w:rPr>
                <w:rFonts w:ascii="Verdana" w:hAnsi="Verdana"/>
                <w:sz w:val="18"/>
                <w:szCs w:val="18"/>
              </w:rPr>
            </w:pPr>
            <w:r w:rsidRPr="00270093">
              <w:rPr>
                <w:rFonts w:ascii="Verdana" w:hAnsi="Verdana"/>
                <w:sz w:val="18"/>
                <w:szCs w:val="18"/>
              </w:rPr>
              <w:t>Дъбови</w:t>
            </w:r>
            <w:r w:rsidRPr="00270093">
              <w:rPr>
                <w:rFonts w:ascii="Verdana" w:hAnsi="Verdana"/>
                <w:sz w:val="18"/>
                <w:szCs w:val="18"/>
              </w:rPr>
              <w:tab/>
              <w:t>30 60</w:t>
            </w:r>
          </w:p>
          <w:p w:rsidR="007D0AFE" w:rsidRPr="00270093" w:rsidRDefault="003C2B49" w:rsidP="00270093">
            <w:pPr>
              <w:spacing w:line="276" w:lineRule="auto"/>
              <w:jc w:val="both"/>
              <w:rPr>
                <w:rFonts w:ascii="Verdana" w:hAnsi="Verdana"/>
                <w:sz w:val="18"/>
                <w:szCs w:val="18"/>
              </w:rPr>
            </w:pPr>
            <w:r w:rsidRPr="00270093">
              <w:rPr>
                <w:rFonts w:ascii="Verdana" w:hAnsi="Verdana"/>
                <w:sz w:val="18"/>
                <w:szCs w:val="18"/>
              </w:rPr>
              <w:t>Лонгозни</w:t>
            </w:r>
            <w:r w:rsidRPr="00270093">
              <w:rPr>
                <w:rFonts w:ascii="Verdana" w:hAnsi="Verdana"/>
                <w:sz w:val="18"/>
                <w:szCs w:val="18"/>
              </w:rPr>
              <w:tab/>
              <w:t>50-80</w:t>
            </w:r>
          </w:p>
        </w:tc>
        <w:tc>
          <w:tcPr>
            <w:tcW w:w="1559" w:type="dxa"/>
            <w:shd w:val="clear" w:color="auto" w:fill="auto"/>
          </w:tcPr>
          <w:p w:rsidR="007D0AFE" w:rsidRPr="00434EBC" w:rsidRDefault="003C2B49" w:rsidP="002B600B">
            <w:pPr>
              <w:jc w:val="both"/>
              <w:rPr>
                <w:rFonts w:ascii="Verdana" w:hAnsi="Verdana"/>
                <w:sz w:val="18"/>
                <w:szCs w:val="18"/>
              </w:rPr>
            </w:pPr>
            <w:r w:rsidRPr="00434EBC">
              <w:rPr>
                <w:rFonts w:ascii="Verdana" w:hAnsi="Verdana"/>
                <w:sz w:val="18"/>
                <w:szCs w:val="18"/>
              </w:rPr>
              <w:lastRenderedPageBreak/>
              <w:t>Не се приема</w:t>
            </w:r>
          </w:p>
        </w:tc>
        <w:tc>
          <w:tcPr>
            <w:tcW w:w="5194" w:type="dxa"/>
            <w:shd w:val="clear" w:color="auto" w:fill="auto"/>
          </w:tcPr>
          <w:p w:rsidR="007D0AFE" w:rsidRPr="00434EBC" w:rsidRDefault="003C2B49" w:rsidP="002B600B">
            <w:pPr>
              <w:jc w:val="both"/>
              <w:rPr>
                <w:rFonts w:ascii="Verdana" w:hAnsi="Verdana"/>
                <w:sz w:val="18"/>
                <w:szCs w:val="18"/>
              </w:rPr>
            </w:pPr>
            <w:r w:rsidRPr="00434EBC">
              <w:rPr>
                <w:rFonts w:ascii="Verdana" w:hAnsi="Verdana"/>
                <w:sz w:val="18"/>
                <w:szCs w:val="18"/>
              </w:rPr>
              <w:t>Представеното становище и предложения са напълно извън обхвата на представения проект за изменение и допълнение на Наредбата. Не са обвързани с мотивите и предолженията за изменение, свързани единствено с прилагане на изменениятав Закона за горите и влязлото в сила съдебно решение по отношение на план-извлеченията, санитарни и принудителни сечи и сечи в изключителни случаи</w:t>
            </w:r>
          </w:p>
        </w:tc>
      </w:tr>
      <w:tr w:rsidR="00B44469" w:rsidRPr="00434EBC" w:rsidTr="00B44469">
        <w:trPr>
          <w:trHeight w:val="596"/>
        </w:trPr>
        <w:tc>
          <w:tcPr>
            <w:tcW w:w="622" w:type="dxa"/>
            <w:tcBorders>
              <w:bottom w:val="dotted" w:sz="4" w:space="0" w:color="auto"/>
            </w:tcBorders>
            <w:shd w:val="clear" w:color="auto" w:fill="auto"/>
          </w:tcPr>
          <w:p w:rsidR="00B44469" w:rsidRPr="00434EBC" w:rsidRDefault="00B44469" w:rsidP="002635AC">
            <w:pPr>
              <w:pStyle w:val="ListParagraph"/>
              <w:numPr>
                <w:ilvl w:val="0"/>
                <w:numId w:val="6"/>
              </w:numPr>
              <w:tabs>
                <w:tab w:val="left" w:pos="192"/>
              </w:tabs>
              <w:jc w:val="center"/>
              <w:rPr>
                <w:rFonts w:ascii="Verdana" w:hAnsi="Verdana"/>
                <w:b/>
                <w:sz w:val="18"/>
                <w:szCs w:val="18"/>
              </w:rPr>
            </w:pPr>
          </w:p>
        </w:tc>
        <w:tc>
          <w:tcPr>
            <w:tcW w:w="2463" w:type="dxa"/>
            <w:tcBorders>
              <w:bottom w:val="dotted" w:sz="4" w:space="0" w:color="auto"/>
            </w:tcBorders>
            <w:shd w:val="clear" w:color="auto" w:fill="auto"/>
          </w:tcPr>
          <w:p w:rsidR="00B44469" w:rsidRPr="00376589" w:rsidRDefault="00B44469" w:rsidP="00B44469">
            <w:pPr>
              <w:rPr>
                <w:rFonts w:ascii="Verdana" w:hAnsi="Verdana"/>
                <w:b/>
                <w:sz w:val="18"/>
                <w:szCs w:val="18"/>
              </w:rPr>
            </w:pPr>
            <w:r w:rsidRPr="00376589">
              <w:rPr>
                <w:rFonts w:ascii="Verdana" w:hAnsi="Verdana"/>
                <w:b/>
                <w:sz w:val="18"/>
                <w:szCs w:val="18"/>
              </w:rPr>
              <w:t>ВВФ България</w:t>
            </w:r>
          </w:p>
          <w:p w:rsidR="00B44469" w:rsidRPr="00376589" w:rsidRDefault="00B44469" w:rsidP="00B44469">
            <w:pPr>
              <w:rPr>
                <w:rFonts w:ascii="Verdana" w:hAnsi="Verdana"/>
                <w:b/>
                <w:sz w:val="18"/>
                <w:szCs w:val="18"/>
              </w:rPr>
            </w:pPr>
          </w:p>
          <w:p w:rsidR="00B44469" w:rsidRPr="00376589" w:rsidRDefault="00B44469" w:rsidP="00B44469">
            <w:pPr>
              <w:rPr>
                <w:rFonts w:ascii="Verdana" w:hAnsi="Verdana"/>
                <w:b/>
                <w:sz w:val="18"/>
                <w:szCs w:val="18"/>
              </w:rPr>
            </w:pPr>
            <w:r w:rsidRPr="00376589">
              <w:rPr>
                <w:rFonts w:ascii="Verdana" w:hAnsi="Verdana"/>
                <w:b/>
                <w:sz w:val="18"/>
                <w:szCs w:val="18"/>
              </w:rPr>
              <w:t>вх. №ИАГ-21694/</w:t>
            </w:r>
            <w:r w:rsidR="00270093">
              <w:rPr>
                <w:rFonts w:ascii="Verdana" w:hAnsi="Verdana"/>
                <w:b/>
                <w:sz w:val="18"/>
                <w:szCs w:val="18"/>
                <w:lang w:val="en-US"/>
              </w:rPr>
              <w:t xml:space="preserve"> </w:t>
            </w:r>
            <w:r w:rsidRPr="00376589">
              <w:rPr>
                <w:rFonts w:ascii="Verdana" w:hAnsi="Verdana"/>
                <w:b/>
                <w:sz w:val="18"/>
                <w:szCs w:val="18"/>
              </w:rPr>
              <w:t>14.09.2023 г.</w:t>
            </w:r>
          </w:p>
          <w:p w:rsidR="00B44469" w:rsidRPr="00376589" w:rsidRDefault="00B44469" w:rsidP="00B44469">
            <w:pPr>
              <w:rPr>
                <w:rFonts w:ascii="Verdana" w:hAnsi="Verdana"/>
                <w:b/>
                <w:sz w:val="18"/>
                <w:szCs w:val="18"/>
              </w:rPr>
            </w:pPr>
          </w:p>
          <w:p w:rsidR="00B44469" w:rsidRPr="00726706" w:rsidRDefault="00B44469" w:rsidP="00270093">
            <w:pPr>
              <w:rPr>
                <w:rFonts w:ascii="Verdana" w:hAnsi="Verdana"/>
                <w:b/>
                <w:sz w:val="18"/>
                <w:szCs w:val="18"/>
              </w:rPr>
            </w:pPr>
            <w:r w:rsidRPr="00376589">
              <w:rPr>
                <w:rFonts w:ascii="Verdana" w:hAnsi="Verdana"/>
                <w:b/>
                <w:sz w:val="18"/>
                <w:szCs w:val="18"/>
              </w:rPr>
              <w:t>постъпило по ел. поща на</w:t>
            </w:r>
            <w:r w:rsidR="00270093">
              <w:rPr>
                <w:rFonts w:ascii="Verdana" w:hAnsi="Verdana"/>
                <w:b/>
                <w:sz w:val="18"/>
                <w:szCs w:val="18"/>
              </w:rPr>
              <w:br/>
            </w:r>
            <w:r w:rsidRPr="00376589">
              <w:rPr>
                <w:rFonts w:ascii="Verdana" w:hAnsi="Verdana"/>
                <w:b/>
                <w:sz w:val="18"/>
                <w:szCs w:val="18"/>
              </w:rPr>
              <w:t>14.09. 2023</w:t>
            </w:r>
            <w:r w:rsidR="00270093">
              <w:rPr>
                <w:rFonts w:ascii="Verdana" w:hAnsi="Verdana"/>
                <w:b/>
                <w:sz w:val="18"/>
                <w:szCs w:val="18"/>
                <w:lang w:val="en-US"/>
              </w:rPr>
              <w:t xml:space="preserve"> </w:t>
            </w:r>
            <w:r w:rsidRPr="00376589">
              <w:rPr>
                <w:rFonts w:ascii="Verdana" w:hAnsi="Verdana"/>
                <w:b/>
                <w:sz w:val="18"/>
                <w:szCs w:val="18"/>
              </w:rPr>
              <w:t>г.</w:t>
            </w:r>
          </w:p>
        </w:tc>
        <w:tc>
          <w:tcPr>
            <w:tcW w:w="5812" w:type="dxa"/>
            <w:shd w:val="clear" w:color="auto" w:fill="auto"/>
          </w:tcPr>
          <w:p w:rsidR="00B44469" w:rsidRPr="00270093" w:rsidRDefault="00B44469" w:rsidP="00270093">
            <w:pPr>
              <w:pStyle w:val="Heading20"/>
              <w:keepNext/>
              <w:keepLines/>
              <w:numPr>
                <w:ilvl w:val="0"/>
                <w:numId w:val="7"/>
              </w:numPr>
              <w:shd w:val="clear" w:color="auto" w:fill="auto"/>
              <w:tabs>
                <w:tab w:val="left" w:pos="365"/>
              </w:tabs>
              <w:spacing w:before="0" w:after="0" w:line="276" w:lineRule="auto"/>
              <w:rPr>
                <w:rFonts w:ascii="Verdana" w:hAnsi="Verdana"/>
                <w:sz w:val="18"/>
                <w:szCs w:val="18"/>
              </w:rPr>
            </w:pPr>
            <w:bookmarkStart w:id="0" w:name="bookmark1"/>
            <w:r w:rsidRPr="00270093">
              <w:rPr>
                <w:rStyle w:val="Heading2"/>
                <w:rFonts w:ascii="Verdana" w:hAnsi="Verdana"/>
                <w:b/>
                <w:bCs/>
                <w:color w:val="000000"/>
                <w:sz w:val="18"/>
                <w:szCs w:val="18"/>
                <w:lang w:eastAsia="bg-BG"/>
              </w:rPr>
              <w:t>Относно предложените изменения на чл. 5, ал. 1 от наредбата за сечите.</w:t>
            </w:r>
            <w:bookmarkEnd w:id="0"/>
          </w:p>
          <w:p w:rsidR="00B44469" w:rsidRPr="00270093" w:rsidRDefault="00B44469" w:rsidP="00270093">
            <w:pPr>
              <w:pStyle w:val="Bodytext60"/>
              <w:shd w:val="clear" w:color="auto" w:fill="auto"/>
              <w:spacing w:before="0" w:after="0" w:line="276" w:lineRule="auto"/>
              <w:rPr>
                <w:rFonts w:ascii="Verdana" w:hAnsi="Verdana"/>
                <w:sz w:val="18"/>
                <w:szCs w:val="18"/>
              </w:rPr>
            </w:pPr>
            <w:r w:rsidRPr="00270093">
              <w:rPr>
                <w:rStyle w:val="Bodytext6NotItalic"/>
                <w:rFonts w:ascii="Verdana" w:hAnsi="Verdana"/>
                <w:i w:val="0"/>
                <w:iCs w:val="0"/>
                <w:color w:val="000000"/>
                <w:sz w:val="18"/>
                <w:szCs w:val="18"/>
              </w:rPr>
              <w:t xml:space="preserve">Текстът </w:t>
            </w:r>
            <w:r w:rsidRPr="00270093">
              <w:rPr>
                <w:rStyle w:val="Bodytext6"/>
                <w:rFonts w:ascii="Verdana" w:hAnsi="Verdana"/>
                <w:i/>
                <w:iCs/>
                <w:color w:val="000000"/>
                <w:sz w:val="18"/>
                <w:szCs w:val="18"/>
                <w:lang w:eastAsia="bg-BG"/>
              </w:rPr>
              <w:t>,,с изключение на случаите по чл. 34, ал. 1 и чл. 35, ал. 1.“</w:t>
            </w:r>
            <w:r w:rsidRPr="00270093">
              <w:rPr>
                <w:rStyle w:val="Bodytext6NotItalic"/>
                <w:rFonts w:ascii="Verdana" w:hAnsi="Verdana"/>
                <w:i w:val="0"/>
                <w:iCs w:val="0"/>
                <w:color w:val="000000"/>
                <w:sz w:val="18"/>
                <w:szCs w:val="18"/>
              </w:rPr>
              <w:t xml:space="preserve"> следва да отпадне.</w:t>
            </w:r>
          </w:p>
          <w:p w:rsidR="00B44469" w:rsidRPr="00270093" w:rsidRDefault="00B44469"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 xml:space="preserve">В Приложение №1 се създава насока на стопанисване </w:t>
            </w:r>
            <w:r w:rsidRPr="00270093">
              <w:rPr>
                <w:rStyle w:val="BodytextItalic"/>
                <w:rFonts w:ascii="Verdana" w:hAnsi="Verdana"/>
                <w:color w:val="000000"/>
                <w:sz w:val="18"/>
                <w:szCs w:val="18"/>
              </w:rPr>
              <w:t>„Санитарна“,</w:t>
            </w:r>
            <w:r w:rsidRPr="00270093">
              <w:rPr>
                <w:rStyle w:val="BodyTextChar1"/>
                <w:rFonts w:ascii="Verdana" w:hAnsi="Verdana"/>
                <w:color w:val="000000"/>
                <w:sz w:val="18"/>
                <w:szCs w:val="18"/>
              </w:rPr>
              <w:t xml:space="preserve"> а в колоната с кореспондиращите сечи се записват </w:t>
            </w:r>
            <w:r w:rsidRPr="00270093">
              <w:rPr>
                <w:rStyle w:val="BodytextItalic"/>
                <w:rFonts w:ascii="Verdana" w:hAnsi="Verdana"/>
                <w:color w:val="000000"/>
                <w:sz w:val="18"/>
                <w:szCs w:val="18"/>
              </w:rPr>
              <w:t>„ санитарни сечи и принудителни сечи “</w:t>
            </w:r>
          </w:p>
          <w:p w:rsidR="00B44469" w:rsidRPr="00270093" w:rsidRDefault="00B44469" w:rsidP="00270093">
            <w:pPr>
              <w:pStyle w:val="Heading20"/>
              <w:keepNext/>
              <w:keepLines/>
              <w:shd w:val="clear" w:color="auto" w:fill="auto"/>
              <w:spacing w:before="0" w:after="0" w:line="276" w:lineRule="auto"/>
              <w:rPr>
                <w:rFonts w:ascii="Verdana" w:hAnsi="Verdana"/>
                <w:sz w:val="18"/>
                <w:szCs w:val="18"/>
              </w:rPr>
            </w:pPr>
            <w:bookmarkStart w:id="1" w:name="bookmark2"/>
            <w:r w:rsidRPr="00270093">
              <w:rPr>
                <w:rStyle w:val="Heading2"/>
                <w:rFonts w:ascii="Verdana" w:hAnsi="Verdana"/>
                <w:b/>
                <w:bCs/>
                <w:color w:val="000000"/>
                <w:sz w:val="18"/>
                <w:szCs w:val="18"/>
                <w:lang w:eastAsia="bg-BG"/>
              </w:rPr>
              <w:t>Мотиви:</w:t>
            </w:r>
            <w:bookmarkEnd w:id="1"/>
          </w:p>
          <w:p w:rsidR="00B44469" w:rsidRPr="00270093" w:rsidRDefault="00B44469" w:rsidP="00270093">
            <w:pPr>
              <w:spacing w:line="276" w:lineRule="auto"/>
              <w:jc w:val="both"/>
              <w:rPr>
                <w:rStyle w:val="BodyTextChar1"/>
                <w:rFonts w:ascii="Verdana" w:hAnsi="Verdana"/>
                <w:color w:val="000000"/>
                <w:sz w:val="18"/>
                <w:szCs w:val="18"/>
              </w:rPr>
            </w:pPr>
            <w:r w:rsidRPr="00270093">
              <w:rPr>
                <w:rStyle w:val="BodyTextChar1"/>
                <w:rFonts w:ascii="Verdana" w:hAnsi="Verdana"/>
                <w:color w:val="000000"/>
                <w:sz w:val="18"/>
                <w:szCs w:val="18"/>
              </w:rPr>
              <w:t xml:space="preserve">С разпоредбата на § 56 от ДР на ЗГ и по-специално текста </w:t>
            </w:r>
            <w:r w:rsidRPr="00270093">
              <w:rPr>
                <w:rStyle w:val="BodytextItalic"/>
                <w:rFonts w:ascii="Verdana" w:hAnsi="Verdana"/>
                <w:color w:val="000000"/>
                <w:sz w:val="18"/>
                <w:szCs w:val="18"/>
              </w:rPr>
              <w:t>„с който се изменя насоката за стопанисване при провеждане на санитарна и/или принудителна сеч“,</w:t>
            </w:r>
            <w:r w:rsidRPr="00270093">
              <w:rPr>
                <w:rStyle w:val="BodyTextChar1"/>
                <w:rFonts w:ascii="Verdana" w:hAnsi="Verdana"/>
                <w:color w:val="000000"/>
                <w:sz w:val="18"/>
                <w:szCs w:val="18"/>
              </w:rPr>
              <w:t xml:space="preserve"> законодателят е приел, че при провеждането на тези сечи, насоката на стопанисване придобива различно измерение от насоката заложена в горскостопанския план или програма.</w:t>
            </w:r>
          </w:p>
          <w:p w:rsidR="00B44469" w:rsidRPr="00270093" w:rsidRDefault="00B44469"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Що се отнася до смисъла на термина „насока на стопанисване“, в Решение № 3305/28.03.2023 г. по адм. дело №6844/2022, в което ВАС се произнася в светлината на изменените и допълнени разпоредби на ЗГ (обн. в Държавен вестник, бр. 11 от 02.02.2023 г.), съдебният състав приема този термин за съответстващ на целите на провеждане на сечите в горите посочени в чл. 101, ал. 1 от ЗГ - за възобновяване, отглеждане и подобряване състоянието на горите.</w:t>
            </w:r>
          </w:p>
          <w:p w:rsidR="00B44469" w:rsidRPr="00270093" w:rsidRDefault="00B44469"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lastRenderedPageBreak/>
              <w:t>С оглед характера на санитарните и принудителните сечи, същността на насоката на стопанисване при тяхното провеждане, е подобряване на здравословното състояние на горите, като ключов елемент от подобряването на състоянието но горите, което съгласно разпоредбите на чл. 101 от ЗГ е между основните цели на провеждането на сечите в горите.</w:t>
            </w:r>
          </w:p>
          <w:p w:rsidR="00B44469" w:rsidRPr="00270093" w:rsidRDefault="00B44469"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По изложените съображения, предлагаме отпадането от съдържанието на чл. 5, ал. 1 от наредбата на въпросните текстове отнасящи се до санитарните и принудителните сечи, като в Приложение №1 предвидено с въпросната разпоредба, следва да се създаде и насока на стопанисване за подобряване на здравословното състояние на горите с кореспондиращи санитарни и принудителни сечи. Нашето предложение, е наименованието на тази насока на стопанисване да е „Санитарна“, но може да бъде и друго наименование, стига да е смислово свързано с подобряване на здравословното състояние на горите.</w:t>
            </w:r>
          </w:p>
        </w:tc>
        <w:tc>
          <w:tcPr>
            <w:tcW w:w="1559" w:type="dxa"/>
            <w:shd w:val="clear" w:color="auto" w:fill="auto"/>
          </w:tcPr>
          <w:p w:rsidR="00B44469" w:rsidRPr="00270093" w:rsidRDefault="00B44469" w:rsidP="00270093">
            <w:pPr>
              <w:spacing w:line="276" w:lineRule="auto"/>
              <w:jc w:val="both"/>
              <w:rPr>
                <w:rFonts w:ascii="Verdana" w:hAnsi="Verdana"/>
                <w:sz w:val="18"/>
                <w:szCs w:val="18"/>
              </w:rPr>
            </w:pPr>
            <w:r w:rsidRPr="00270093">
              <w:rPr>
                <w:rFonts w:ascii="Verdana" w:hAnsi="Verdana"/>
                <w:sz w:val="18"/>
                <w:szCs w:val="18"/>
              </w:rPr>
              <w:lastRenderedPageBreak/>
              <w:t>Не се приема</w:t>
            </w:r>
          </w:p>
          <w:p w:rsidR="00B44469" w:rsidRPr="00270093" w:rsidRDefault="00B44469" w:rsidP="00270093">
            <w:pPr>
              <w:spacing w:line="276" w:lineRule="auto"/>
              <w:jc w:val="both"/>
              <w:rPr>
                <w:rFonts w:ascii="Verdana" w:hAnsi="Verdana"/>
                <w:sz w:val="18"/>
                <w:szCs w:val="18"/>
              </w:rPr>
            </w:pPr>
          </w:p>
        </w:tc>
        <w:tc>
          <w:tcPr>
            <w:tcW w:w="5194" w:type="dxa"/>
            <w:shd w:val="clear" w:color="auto" w:fill="auto"/>
          </w:tcPr>
          <w:p w:rsidR="00B44469" w:rsidRPr="00270093" w:rsidRDefault="00B44469" w:rsidP="00270093">
            <w:pPr>
              <w:spacing w:line="276" w:lineRule="auto"/>
              <w:jc w:val="both"/>
              <w:rPr>
                <w:rFonts w:ascii="Verdana" w:hAnsi="Verdana"/>
                <w:sz w:val="18"/>
                <w:szCs w:val="18"/>
              </w:rPr>
            </w:pPr>
            <w:r w:rsidRPr="00270093">
              <w:rPr>
                <w:rFonts w:ascii="Verdana" w:hAnsi="Verdana"/>
                <w:sz w:val="18"/>
                <w:szCs w:val="18"/>
              </w:rPr>
              <w:t>Насоките на стопанисване се определят с Наредба №18 за инвентаризация и планиране в горските територии. Наредба № 8 определя реда и начина за провеждане на сечите. След изменение на Наредба № 18, ще се отрази и в Наредба № 8</w:t>
            </w:r>
          </w:p>
          <w:p w:rsidR="00B44469" w:rsidRPr="00270093" w:rsidRDefault="00B44469" w:rsidP="00270093">
            <w:pPr>
              <w:spacing w:line="276" w:lineRule="auto"/>
              <w:jc w:val="both"/>
              <w:rPr>
                <w:rFonts w:ascii="Verdana" w:hAnsi="Verdana"/>
                <w:sz w:val="18"/>
                <w:szCs w:val="18"/>
              </w:rPr>
            </w:pPr>
          </w:p>
        </w:tc>
      </w:tr>
      <w:tr w:rsidR="00B44469" w:rsidRPr="00434EBC" w:rsidTr="00B44469">
        <w:trPr>
          <w:trHeight w:val="596"/>
        </w:trPr>
        <w:tc>
          <w:tcPr>
            <w:tcW w:w="622" w:type="dxa"/>
            <w:tcBorders>
              <w:top w:val="dotted" w:sz="4" w:space="0" w:color="auto"/>
              <w:bottom w:val="dotted" w:sz="4" w:space="0" w:color="auto"/>
            </w:tcBorders>
            <w:shd w:val="clear" w:color="auto" w:fill="auto"/>
          </w:tcPr>
          <w:p w:rsidR="00B44469" w:rsidRPr="00434EBC" w:rsidRDefault="00B44469"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B44469" w:rsidRPr="00726706" w:rsidRDefault="00B44469" w:rsidP="00726706">
            <w:pPr>
              <w:rPr>
                <w:rFonts w:ascii="Verdana" w:hAnsi="Verdana"/>
                <w:b/>
                <w:sz w:val="18"/>
                <w:szCs w:val="18"/>
              </w:rPr>
            </w:pPr>
          </w:p>
        </w:tc>
        <w:tc>
          <w:tcPr>
            <w:tcW w:w="5812" w:type="dxa"/>
            <w:shd w:val="clear" w:color="auto" w:fill="auto"/>
          </w:tcPr>
          <w:p w:rsidR="00A3307B" w:rsidRPr="00270093" w:rsidRDefault="00A3307B" w:rsidP="00270093">
            <w:pPr>
              <w:pStyle w:val="Heading20"/>
              <w:keepNext/>
              <w:keepLines/>
              <w:numPr>
                <w:ilvl w:val="0"/>
                <w:numId w:val="7"/>
              </w:numPr>
              <w:shd w:val="clear" w:color="auto" w:fill="auto"/>
              <w:tabs>
                <w:tab w:val="left" w:pos="323"/>
              </w:tabs>
              <w:spacing w:before="0" w:after="0" w:line="276" w:lineRule="auto"/>
              <w:rPr>
                <w:rFonts w:ascii="Verdana" w:hAnsi="Verdana"/>
                <w:sz w:val="18"/>
                <w:szCs w:val="18"/>
              </w:rPr>
            </w:pPr>
            <w:bookmarkStart w:id="2" w:name="bookmark4"/>
            <w:r w:rsidRPr="00270093">
              <w:rPr>
                <w:rStyle w:val="Heading2"/>
                <w:rFonts w:ascii="Verdana" w:hAnsi="Verdana"/>
                <w:b/>
                <w:bCs/>
                <w:color w:val="000000"/>
                <w:sz w:val="18"/>
                <w:szCs w:val="18"/>
                <w:lang w:eastAsia="bg-BG"/>
              </w:rPr>
              <w:t>Относно предложените изменения на чл. 34 от наредбата за сечите</w:t>
            </w:r>
            <w:bookmarkEnd w:id="2"/>
          </w:p>
          <w:p w:rsidR="00A3307B" w:rsidRPr="00270093" w:rsidRDefault="00A3307B"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Предложената чл. 34, ал. 3, се изменя по следния начин:</w:t>
            </w:r>
          </w:p>
          <w:p w:rsidR="00B44469" w:rsidRPr="00270093" w:rsidRDefault="00A3307B" w:rsidP="00270093">
            <w:pPr>
              <w:spacing w:line="276" w:lineRule="auto"/>
              <w:jc w:val="both"/>
              <w:rPr>
                <w:rFonts w:ascii="Verdana" w:hAnsi="Verdana"/>
                <w:sz w:val="18"/>
                <w:szCs w:val="18"/>
              </w:rPr>
            </w:pPr>
            <w:r w:rsidRPr="00270093">
              <w:rPr>
                <w:rStyle w:val="BodyTextChar1"/>
                <w:rFonts w:ascii="Verdana" w:hAnsi="Verdana"/>
                <w:color w:val="000000"/>
                <w:sz w:val="18"/>
                <w:szCs w:val="18"/>
              </w:rPr>
              <w:t xml:space="preserve">В т. б) след края на текста се добавя </w:t>
            </w:r>
            <w:r w:rsidRPr="00270093">
              <w:rPr>
                <w:rStyle w:val="BodytextItalic"/>
                <w:rFonts w:ascii="Verdana" w:hAnsi="Verdana"/>
                <w:color w:val="000000"/>
                <w:sz w:val="18"/>
                <w:szCs w:val="18"/>
              </w:rPr>
              <w:t>„за тяхното провеждане</w:t>
            </w:r>
          </w:p>
        </w:tc>
        <w:tc>
          <w:tcPr>
            <w:tcW w:w="1559"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Приема се</w:t>
            </w:r>
          </w:p>
          <w:p w:rsidR="00B44469" w:rsidRPr="00270093" w:rsidRDefault="00B44469" w:rsidP="00270093">
            <w:pPr>
              <w:spacing w:line="276" w:lineRule="auto"/>
              <w:jc w:val="both"/>
              <w:rPr>
                <w:rFonts w:ascii="Verdana" w:hAnsi="Verdana"/>
                <w:sz w:val="18"/>
                <w:szCs w:val="18"/>
              </w:rPr>
            </w:pPr>
          </w:p>
        </w:tc>
        <w:tc>
          <w:tcPr>
            <w:tcW w:w="5194" w:type="dxa"/>
            <w:shd w:val="clear" w:color="auto" w:fill="auto"/>
          </w:tcPr>
          <w:p w:rsidR="00B44469" w:rsidRPr="00270093" w:rsidRDefault="00B44469" w:rsidP="00270093">
            <w:pPr>
              <w:spacing w:line="276" w:lineRule="auto"/>
              <w:jc w:val="both"/>
              <w:rPr>
                <w:rFonts w:ascii="Verdana" w:hAnsi="Verdana"/>
                <w:sz w:val="18"/>
                <w:szCs w:val="18"/>
              </w:rPr>
            </w:pPr>
          </w:p>
        </w:tc>
      </w:tr>
      <w:tr w:rsidR="00B44469" w:rsidRPr="00434EBC" w:rsidTr="00B44469">
        <w:trPr>
          <w:trHeight w:val="596"/>
        </w:trPr>
        <w:tc>
          <w:tcPr>
            <w:tcW w:w="622" w:type="dxa"/>
            <w:tcBorders>
              <w:top w:val="dotted" w:sz="4" w:space="0" w:color="auto"/>
              <w:bottom w:val="dotted" w:sz="4" w:space="0" w:color="auto"/>
            </w:tcBorders>
            <w:shd w:val="clear" w:color="auto" w:fill="auto"/>
          </w:tcPr>
          <w:p w:rsidR="00B44469" w:rsidRPr="00434EBC" w:rsidRDefault="00B44469"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B44469" w:rsidRPr="00726706" w:rsidRDefault="00B44469" w:rsidP="00726706">
            <w:pPr>
              <w:rPr>
                <w:rFonts w:ascii="Verdana" w:hAnsi="Verdana"/>
                <w:b/>
                <w:sz w:val="18"/>
                <w:szCs w:val="18"/>
              </w:rPr>
            </w:pPr>
          </w:p>
        </w:tc>
        <w:tc>
          <w:tcPr>
            <w:tcW w:w="5812"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color w:val="000000"/>
                <w:sz w:val="18"/>
                <w:szCs w:val="18"/>
              </w:rPr>
              <w:t>Точка в) придобива следната съдържание:</w:t>
            </w:r>
          </w:p>
          <w:p w:rsidR="00B44469" w:rsidRPr="00270093" w:rsidRDefault="00A3307B" w:rsidP="00270093">
            <w:pPr>
              <w:widowControl w:val="0"/>
              <w:spacing w:line="276" w:lineRule="auto"/>
              <w:jc w:val="both"/>
              <w:rPr>
                <w:rFonts w:ascii="Verdana" w:hAnsi="Verdana"/>
                <w:sz w:val="18"/>
                <w:szCs w:val="18"/>
              </w:rPr>
            </w:pPr>
            <w:r w:rsidRPr="00270093">
              <w:rPr>
                <w:rFonts w:ascii="Verdana" w:hAnsi="Verdana"/>
                <w:color w:val="000000"/>
                <w:sz w:val="18"/>
                <w:szCs w:val="18"/>
                <w:shd w:val="clear" w:color="auto" w:fill="FFFFFF"/>
                <w:lang w:val="en-US"/>
              </w:rPr>
              <w:t>„ в) са предвидени в одобрено план - извлечение.“</w:t>
            </w:r>
          </w:p>
        </w:tc>
        <w:tc>
          <w:tcPr>
            <w:tcW w:w="1559"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Приема се по принцип</w:t>
            </w:r>
          </w:p>
          <w:p w:rsidR="00B44469" w:rsidRPr="00270093" w:rsidRDefault="00B44469" w:rsidP="00270093">
            <w:pPr>
              <w:spacing w:line="276" w:lineRule="auto"/>
              <w:jc w:val="both"/>
              <w:rPr>
                <w:rFonts w:ascii="Verdana" w:hAnsi="Verdana"/>
                <w:sz w:val="18"/>
                <w:szCs w:val="18"/>
              </w:rPr>
            </w:pPr>
          </w:p>
        </w:tc>
        <w:tc>
          <w:tcPr>
            <w:tcW w:w="5194"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Направена е редакция на текста</w:t>
            </w:r>
          </w:p>
          <w:p w:rsidR="00B44469" w:rsidRPr="00270093" w:rsidRDefault="00B44469" w:rsidP="00270093">
            <w:pPr>
              <w:spacing w:line="276" w:lineRule="auto"/>
              <w:jc w:val="both"/>
              <w:rPr>
                <w:rFonts w:ascii="Verdana" w:hAnsi="Verdana"/>
                <w:sz w:val="18"/>
                <w:szCs w:val="18"/>
              </w:rPr>
            </w:pPr>
          </w:p>
        </w:tc>
      </w:tr>
      <w:tr w:rsidR="00B44469" w:rsidRPr="00434EBC" w:rsidTr="00B44469">
        <w:trPr>
          <w:trHeight w:val="596"/>
        </w:trPr>
        <w:tc>
          <w:tcPr>
            <w:tcW w:w="622" w:type="dxa"/>
            <w:tcBorders>
              <w:top w:val="dotted" w:sz="4" w:space="0" w:color="auto"/>
              <w:bottom w:val="dotted" w:sz="4" w:space="0" w:color="auto"/>
            </w:tcBorders>
            <w:shd w:val="clear" w:color="auto" w:fill="auto"/>
          </w:tcPr>
          <w:p w:rsidR="00B44469" w:rsidRPr="00434EBC" w:rsidRDefault="00B44469"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B44469" w:rsidRPr="00726706" w:rsidRDefault="00B44469" w:rsidP="00726706">
            <w:pPr>
              <w:rPr>
                <w:rFonts w:ascii="Verdana" w:hAnsi="Verdana"/>
                <w:b/>
                <w:sz w:val="18"/>
                <w:szCs w:val="18"/>
              </w:rPr>
            </w:pPr>
          </w:p>
        </w:tc>
        <w:tc>
          <w:tcPr>
            <w:tcW w:w="5812" w:type="dxa"/>
            <w:shd w:val="clear" w:color="auto" w:fill="auto"/>
          </w:tcPr>
          <w:p w:rsidR="00A3307B" w:rsidRPr="00270093" w:rsidRDefault="00A3307B" w:rsidP="00270093">
            <w:pPr>
              <w:pStyle w:val="BodyText"/>
              <w:spacing w:after="0" w:line="276" w:lineRule="auto"/>
              <w:ind w:left="20"/>
              <w:jc w:val="both"/>
              <w:rPr>
                <w:rFonts w:ascii="Verdana" w:hAnsi="Verdana"/>
                <w:sz w:val="18"/>
                <w:szCs w:val="18"/>
              </w:rPr>
            </w:pPr>
            <w:r w:rsidRPr="00270093">
              <w:rPr>
                <w:rStyle w:val="BodyTextChar1"/>
                <w:rFonts w:ascii="Verdana" w:hAnsi="Verdana"/>
                <w:color w:val="000000"/>
                <w:sz w:val="18"/>
                <w:szCs w:val="18"/>
              </w:rPr>
              <w:t>Създава се нова ал. 3а със следното съдържание:</w:t>
            </w:r>
          </w:p>
          <w:p w:rsidR="00A3307B" w:rsidRPr="00270093" w:rsidRDefault="00A3307B" w:rsidP="00270093">
            <w:pPr>
              <w:pStyle w:val="Bodytext60"/>
              <w:shd w:val="clear" w:color="auto" w:fill="auto"/>
              <w:spacing w:before="0" w:after="0" w:line="276" w:lineRule="auto"/>
              <w:rPr>
                <w:rFonts w:ascii="Verdana" w:hAnsi="Verdana"/>
                <w:sz w:val="18"/>
                <w:szCs w:val="18"/>
              </w:rPr>
            </w:pPr>
            <w:r w:rsidRPr="00270093">
              <w:rPr>
                <w:rStyle w:val="Bodytext6"/>
                <w:rFonts w:ascii="Verdana" w:hAnsi="Verdana"/>
                <w:i/>
                <w:iCs/>
                <w:color w:val="000000"/>
                <w:sz w:val="18"/>
                <w:szCs w:val="18"/>
              </w:rPr>
              <w:t xml:space="preserve">(3a) </w:t>
            </w:r>
            <w:r w:rsidRPr="00270093">
              <w:rPr>
                <w:rStyle w:val="Bodytext6"/>
                <w:rFonts w:ascii="Verdana" w:hAnsi="Verdana"/>
                <w:i/>
                <w:iCs/>
                <w:color w:val="000000"/>
                <w:sz w:val="18"/>
                <w:szCs w:val="18"/>
                <w:lang w:eastAsia="bg-BG"/>
              </w:rPr>
              <w:t>Във всички случаи, когато провеждането на санитарни сечи се извършва въз основа одобрено план-извлечение в горски територии, за които се изготвят горскостопански планове, насоката на стопанисване се изменя на Санитарна съгласно Приложение №1.“</w:t>
            </w:r>
          </w:p>
          <w:p w:rsidR="00A3307B" w:rsidRPr="00270093" w:rsidRDefault="00A3307B" w:rsidP="00270093">
            <w:pPr>
              <w:pStyle w:val="Heading20"/>
              <w:keepNext/>
              <w:keepLines/>
              <w:shd w:val="clear" w:color="auto" w:fill="auto"/>
              <w:spacing w:before="0" w:after="0" w:line="276" w:lineRule="auto"/>
              <w:rPr>
                <w:rFonts w:ascii="Verdana" w:hAnsi="Verdana"/>
                <w:sz w:val="18"/>
                <w:szCs w:val="18"/>
              </w:rPr>
            </w:pPr>
            <w:bookmarkStart w:id="3" w:name="bookmark5"/>
            <w:r w:rsidRPr="00270093">
              <w:rPr>
                <w:rStyle w:val="Heading2"/>
                <w:rFonts w:ascii="Verdana" w:hAnsi="Verdana"/>
                <w:b/>
                <w:bCs/>
                <w:color w:val="000000"/>
                <w:sz w:val="18"/>
                <w:szCs w:val="18"/>
                <w:lang w:eastAsia="bg-BG"/>
              </w:rPr>
              <w:t>Мотиви:</w:t>
            </w:r>
            <w:bookmarkEnd w:id="3"/>
          </w:p>
          <w:p w:rsidR="00A3307B" w:rsidRPr="00270093" w:rsidRDefault="00A3307B"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lastRenderedPageBreak/>
              <w:t>Корекцията на чл. 34, ал. 3, т. б, е с цел по-ясна и прецизна формулировка на разпоредбата, като се изключва възможността с предписание за принудителна сеч, да се проведе санитарна сеч, което е възможно при съдържанието на предложените от вносителя на проекта за изменение на наредбата текстове.</w:t>
            </w:r>
          </w:p>
          <w:p w:rsidR="00A3307B" w:rsidRPr="00270093" w:rsidRDefault="00A3307B"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 xml:space="preserve">Корекцията на чл. 34, ал. 3, т. в, е с цел привеждане разпоредбата в съответствие с разпоредбите на чл. 106 от ЗГ и § 56 от ДР на ЗГ. Чл. 106 от ЗГ е императивна разпоредба и с нея се уреждат </w:t>
            </w:r>
            <w:r w:rsidRPr="00270093">
              <w:rPr>
                <w:rStyle w:val="BodytextBold"/>
                <w:rFonts w:ascii="Verdana" w:hAnsi="Verdana"/>
                <w:color w:val="000000"/>
                <w:sz w:val="18"/>
                <w:szCs w:val="18"/>
              </w:rPr>
              <w:t>изчерпателно случаите</w:t>
            </w:r>
            <w:r w:rsidRPr="00270093">
              <w:rPr>
                <w:rStyle w:val="BodyTextChar1"/>
                <w:rFonts w:ascii="Verdana" w:hAnsi="Verdana"/>
                <w:color w:val="000000"/>
                <w:sz w:val="18"/>
                <w:szCs w:val="18"/>
              </w:rPr>
              <w:t>, при които следва да се проведат санитарни и принудителни и сечи и правните инструменти, чрез които да бъде разрешено тяхното провеждане. Тези правни инструменти са горскостопанските планове и програми (ГСПП), предписанията издадени от РДГ и ЛЗС и план-извлеченията. Когато в ГСПП не е предвидена санитарна сеч, липсва такъв план или програма или последните са в процес на изработване, санитарни сечи могат да се проведат, ако се предвидят в план-излечение или се издаде предписание за тяхното провеждане. Това е смисълът на разпоредбата на чл. 106 от ЗГ.</w:t>
            </w:r>
          </w:p>
          <w:p w:rsidR="00A3307B" w:rsidRPr="00270093" w:rsidRDefault="00A3307B"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Поради изложеното, разпоредбата на чл. 106 от ЗГ не следва да се съобразява кумулативно с разпоредбата на § 56 от ДР на ЗГ, създаваща законово определение за план-извлечение и случаите на неговото приложение. Как и дали ще се изменят насоките на стопанисване с план-извлечение в съответствие с § 56 от ДР на ЗГ, е отделен въпрос от въпроса кога могат да се провеждат санитарни и принудителни сечи и кои са правните инструменти за тяхното разрешаване.</w:t>
            </w:r>
          </w:p>
          <w:p w:rsidR="00A3307B" w:rsidRPr="00270093" w:rsidRDefault="00A3307B"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 xml:space="preserve">Това, което обаче добавя § 56 от ДР на ЗГ, е насока на стопанисване кореспондираща със санитарните и принудителни сечи, както и че при тяхното одобрение с план-извлечение автоматично се изменя съществуваща насока на стопанисване в такава кореспондираща със </w:t>
            </w:r>
            <w:r w:rsidRPr="00270093">
              <w:rPr>
                <w:rStyle w:val="BodyTextChar1"/>
                <w:rFonts w:ascii="Verdana" w:hAnsi="Verdana"/>
                <w:color w:val="000000"/>
                <w:sz w:val="18"/>
                <w:szCs w:val="18"/>
              </w:rPr>
              <w:lastRenderedPageBreak/>
              <w:t>санитарните и принудителни сечи, или когато няма определена насока на стопанисване се създава насока на стопанисване кореспондираща със санитарните и принудителни сечи. Ние предложихме в предходната точка тази насока за санитарните и принудителни сечи да се нарича „Санитарна“.</w:t>
            </w:r>
          </w:p>
          <w:p w:rsidR="00B44469" w:rsidRPr="00270093" w:rsidRDefault="00A3307B"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Изречение първо от § 56 от ДР на ЗГ, ограничава изменението на насоката на стопанисване с план-извлечение само по отношение горскостопанските планове, но не и за горскостопанските програми и затова автоматичното изменение на насоката на стопанисване в „Санитарна“ при одобряване на санитарна или принудителна сеч с план- извлечение е валидно само за територии, за които се изготвят горскостопански планове.</w:t>
            </w:r>
          </w:p>
        </w:tc>
        <w:tc>
          <w:tcPr>
            <w:tcW w:w="1559"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lastRenderedPageBreak/>
              <w:t>Не се приема</w:t>
            </w:r>
          </w:p>
          <w:p w:rsidR="00B44469" w:rsidRPr="00270093" w:rsidRDefault="00B44469" w:rsidP="00270093">
            <w:pPr>
              <w:spacing w:line="276" w:lineRule="auto"/>
              <w:jc w:val="both"/>
              <w:rPr>
                <w:rFonts w:ascii="Verdana" w:hAnsi="Verdana"/>
                <w:sz w:val="18"/>
                <w:szCs w:val="18"/>
              </w:rPr>
            </w:pPr>
          </w:p>
        </w:tc>
        <w:tc>
          <w:tcPr>
            <w:tcW w:w="5194"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Няма такава насока по смисъла на Наредба № 18 към датата на разглеждане на проекта на Наредба № 8</w:t>
            </w:r>
          </w:p>
          <w:p w:rsidR="00B44469" w:rsidRPr="00270093" w:rsidRDefault="00B44469" w:rsidP="00270093">
            <w:pPr>
              <w:spacing w:line="276" w:lineRule="auto"/>
              <w:jc w:val="both"/>
              <w:rPr>
                <w:rFonts w:ascii="Verdana" w:hAnsi="Verdana"/>
                <w:sz w:val="18"/>
                <w:szCs w:val="18"/>
              </w:rPr>
            </w:pPr>
          </w:p>
        </w:tc>
      </w:tr>
      <w:tr w:rsidR="00A3307B" w:rsidRPr="00434EBC" w:rsidTr="00B44469">
        <w:trPr>
          <w:trHeight w:val="596"/>
        </w:trPr>
        <w:tc>
          <w:tcPr>
            <w:tcW w:w="622" w:type="dxa"/>
            <w:tcBorders>
              <w:top w:val="dotted" w:sz="4" w:space="0" w:color="auto"/>
              <w:bottom w:val="dotted" w:sz="4" w:space="0" w:color="auto"/>
            </w:tcBorders>
            <w:shd w:val="clear" w:color="auto" w:fill="auto"/>
          </w:tcPr>
          <w:p w:rsidR="00A3307B" w:rsidRPr="00434EBC" w:rsidRDefault="00A3307B"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A3307B" w:rsidRPr="00726706" w:rsidRDefault="00A3307B" w:rsidP="00726706">
            <w:pPr>
              <w:rPr>
                <w:rFonts w:ascii="Verdana" w:hAnsi="Verdana"/>
                <w:b/>
                <w:sz w:val="18"/>
                <w:szCs w:val="18"/>
              </w:rPr>
            </w:pPr>
          </w:p>
        </w:tc>
        <w:tc>
          <w:tcPr>
            <w:tcW w:w="5812" w:type="dxa"/>
            <w:shd w:val="clear" w:color="auto" w:fill="auto"/>
          </w:tcPr>
          <w:p w:rsidR="00A3307B" w:rsidRPr="00270093" w:rsidRDefault="00A3307B" w:rsidP="00270093">
            <w:pPr>
              <w:pStyle w:val="Heading20"/>
              <w:keepNext/>
              <w:keepLines/>
              <w:numPr>
                <w:ilvl w:val="0"/>
                <w:numId w:val="7"/>
              </w:numPr>
              <w:shd w:val="clear" w:color="auto" w:fill="auto"/>
              <w:spacing w:before="0" w:after="0" w:line="276" w:lineRule="auto"/>
              <w:rPr>
                <w:rFonts w:ascii="Verdana" w:hAnsi="Verdana"/>
                <w:sz w:val="18"/>
                <w:szCs w:val="18"/>
              </w:rPr>
            </w:pPr>
            <w:bookmarkStart w:id="4" w:name="bookmark7"/>
            <w:r w:rsidRPr="00270093">
              <w:rPr>
                <w:rStyle w:val="Heading2"/>
                <w:rFonts w:ascii="Verdana" w:hAnsi="Verdana"/>
                <w:b/>
                <w:bCs/>
                <w:color w:val="000000"/>
                <w:sz w:val="18"/>
                <w:szCs w:val="18"/>
                <w:lang w:eastAsia="bg-BG"/>
              </w:rPr>
              <w:t>Относно предложените изменения на чл. 35 от наредбата за сечите.</w:t>
            </w:r>
            <w:bookmarkEnd w:id="4"/>
          </w:p>
          <w:p w:rsidR="00A3307B" w:rsidRPr="00270093" w:rsidRDefault="00A3307B"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Предложената чл. 35, ал. 3, се изменя по следния начин:</w:t>
            </w:r>
          </w:p>
          <w:p w:rsidR="00A3307B" w:rsidRPr="00270093" w:rsidRDefault="00A3307B" w:rsidP="00270093">
            <w:pPr>
              <w:pStyle w:val="Bodytext60"/>
              <w:shd w:val="clear" w:color="auto" w:fill="auto"/>
              <w:spacing w:before="0" w:after="0" w:line="276" w:lineRule="auto"/>
              <w:rPr>
                <w:rFonts w:ascii="Verdana" w:hAnsi="Verdana"/>
                <w:sz w:val="18"/>
                <w:szCs w:val="18"/>
              </w:rPr>
            </w:pPr>
            <w:r w:rsidRPr="00270093">
              <w:rPr>
                <w:rStyle w:val="Bodytext6"/>
                <w:rFonts w:ascii="Verdana" w:hAnsi="Verdana"/>
                <w:i/>
                <w:iCs/>
                <w:color w:val="000000"/>
                <w:sz w:val="18"/>
                <w:szCs w:val="18"/>
                <w:lang w:eastAsia="bg-BG"/>
              </w:rPr>
              <w:t>„(3) Принудителни сечи се провеждат при условията посочени в чл. 34, ал. 3 и за тях се прилагат разпоредбите на чл. 34, ал. 3а “</w:t>
            </w:r>
          </w:p>
          <w:p w:rsidR="00A3307B" w:rsidRPr="00270093" w:rsidRDefault="00A3307B" w:rsidP="00270093">
            <w:pPr>
              <w:pStyle w:val="Heading20"/>
              <w:keepNext/>
              <w:keepLines/>
              <w:shd w:val="clear" w:color="auto" w:fill="auto"/>
              <w:spacing w:before="0" w:after="0" w:line="276" w:lineRule="auto"/>
              <w:rPr>
                <w:rFonts w:ascii="Verdana" w:hAnsi="Verdana"/>
                <w:sz w:val="18"/>
                <w:szCs w:val="18"/>
              </w:rPr>
            </w:pPr>
            <w:bookmarkStart w:id="5" w:name="bookmark8"/>
            <w:r w:rsidRPr="00270093">
              <w:rPr>
                <w:rStyle w:val="Heading2"/>
                <w:rFonts w:ascii="Verdana" w:hAnsi="Verdana"/>
                <w:b/>
                <w:bCs/>
                <w:color w:val="000000"/>
                <w:sz w:val="18"/>
                <w:szCs w:val="18"/>
                <w:lang w:eastAsia="bg-BG"/>
              </w:rPr>
              <w:t>Мотиви:</w:t>
            </w:r>
            <w:bookmarkEnd w:id="5"/>
          </w:p>
          <w:p w:rsidR="00A3307B" w:rsidRPr="00270093" w:rsidRDefault="00A3307B" w:rsidP="00270093">
            <w:pPr>
              <w:pStyle w:val="BodyText"/>
              <w:spacing w:after="0" w:line="276" w:lineRule="auto"/>
              <w:jc w:val="both"/>
              <w:rPr>
                <w:rStyle w:val="BodyTextChar1"/>
                <w:rFonts w:ascii="Verdana" w:hAnsi="Verdana"/>
                <w:color w:val="000000"/>
                <w:sz w:val="18"/>
                <w:szCs w:val="18"/>
              </w:rPr>
            </w:pPr>
            <w:r w:rsidRPr="00270093">
              <w:rPr>
                <w:rStyle w:val="BodyTextChar1"/>
                <w:rFonts w:ascii="Verdana" w:hAnsi="Verdana"/>
                <w:color w:val="000000"/>
                <w:sz w:val="18"/>
                <w:szCs w:val="18"/>
              </w:rPr>
              <w:t>Мотивите за предложените корекции, са абсолютно същите, както и мотивите по предходната точка от становището ни.</w:t>
            </w:r>
          </w:p>
        </w:tc>
        <w:tc>
          <w:tcPr>
            <w:tcW w:w="1559"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Не се приема</w:t>
            </w:r>
          </w:p>
          <w:p w:rsidR="00A3307B" w:rsidRPr="00270093" w:rsidRDefault="00A3307B" w:rsidP="00270093">
            <w:pPr>
              <w:spacing w:line="276" w:lineRule="auto"/>
              <w:jc w:val="both"/>
              <w:rPr>
                <w:rFonts w:ascii="Verdana" w:hAnsi="Verdana"/>
                <w:sz w:val="18"/>
                <w:szCs w:val="18"/>
              </w:rPr>
            </w:pPr>
          </w:p>
        </w:tc>
        <w:tc>
          <w:tcPr>
            <w:tcW w:w="5194"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С оглед неприемането на предложенията за редакция на чл. 34, ал. 3 и чл. 34, ал. 3а</w:t>
            </w:r>
          </w:p>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Направена е редакция на текста</w:t>
            </w:r>
          </w:p>
          <w:p w:rsidR="00A3307B" w:rsidRPr="00270093" w:rsidRDefault="00A3307B" w:rsidP="00270093">
            <w:pPr>
              <w:spacing w:line="276" w:lineRule="auto"/>
              <w:jc w:val="both"/>
              <w:rPr>
                <w:rFonts w:ascii="Verdana" w:hAnsi="Verdana"/>
                <w:sz w:val="18"/>
                <w:szCs w:val="18"/>
              </w:rPr>
            </w:pPr>
          </w:p>
        </w:tc>
      </w:tr>
      <w:tr w:rsidR="00A3307B" w:rsidRPr="00434EBC" w:rsidTr="00B44469">
        <w:trPr>
          <w:trHeight w:val="596"/>
        </w:trPr>
        <w:tc>
          <w:tcPr>
            <w:tcW w:w="622" w:type="dxa"/>
            <w:tcBorders>
              <w:top w:val="dotted" w:sz="4" w:space="0" w:color="auto"/>
              <w:bottom w:val="dotted" w:sz="4" w:space="0" w:color="auto"/>
            </w:tcBorders>
            <w:shd w:val="clear" w:color="auto" w:fill="auto"/>
          </w:tcPr>
          <w:p w:rsidR="00A3307B" w:rsidRPr="00434EBC" w:rsidRDefault="00A3307B"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A3307B" w:rsidRPr="00726706" w:rsidRDefault="00A3307B" w:rsidP="00726706">
            <w:pPr>
              <w:rPr>
                <w:rFonts w:ascii="Verdana" w:hAnsi="Verdana"/>
                <w:b/>
                <w:sz w:val="18"/>
                <w:szCs w:val="18"/>
              </w:rPr>
            </w:pPr>
          </w:p>
        </w:tc>
        <w:tc>
          <w:tcPr>
            <w:tcW w:w="5812" w:type="dxa"/>
            <w:shd w:val="clear" w:color="auto" w:fill="auto"/>
          </w:tcPr>
          <w:p w:rsidR="00A3307B" w:rsidRPr="00270093" w:rsidRDefault="00A3307B" w:rsidP="00270093">
            <w:pPr>
              <w:pStyle w:val="Heading20"/>
              <w:keepNext/>
              <w:keepLines/>
              <w:numPr>
                <w:ilvl w:val="0"/>
                <w:numId w:val="7"/>
              </w:numPr>
              <w:shd w:val="clear" w:color="auto" w:fill="auto"/>
              <w:spacing w:before="0" w:after="0" w:line="276" w:lineRule="auto"/>
              <w:rPr>
                <w:rFonts w:ascii="Verdana" w:hAnsi="Verdana"/>
                <w:sz w:val="18"/>
                <w:szCs w:val="18"/>
              </w:rPr>
            </w:pPr>
            <w:bookmarkStart w:id="6" w:name="bookmark9"/>
            <w:r w:rsidRPr="00270093">
              <w:rPr>
                <w:rStyle w:val="Heading2"/>
                <w:rFonts w:ascii="Verdana" w:hAnsi="Verdana"/>
                <w:b/>
                <w:bCs/>
                <w:color w:val="000000"/>
                <w:sz w:val="18"/>
                <w:szCs w:val="18"/>
                <w:lang w:eastAsia="bg-BG"/>
              </w:rPr>
              <w:t>Относно предложените изменения на чл. 45 от наредбата за сечите.</w:t>
            </w:r>
            <w:bookmarkEnd w:id="6"/>
          </w:p>
          <w:p w:rsidR="00A3307B" w:rsidRPr="00270093" w:rsidRDefault="00A3307B" w:rsidP="00270093">
            <w:pPr>
              <w:pStyle w:val="BodyText"/>
              <w:spacing w:after="0" w:line="276" w:lineRule="auto"/>
              <w:ind w:left="20"/>
              <w:jc w:val="both"/>
              <w:rPr>
                <w:rFonts w:ascii="Verdana" w:hAnsi="Verdana"/>
                <w:sz w:val="18"/>
                <w:szCs w:val="18"/>
              </w:rPr>
            </w:pPr>
            <w:r w:rsidRPr="00270093">
              <w:rPr>
                <w:rStyle w:val="BodyTextChar1"/>
                <w:rFonts w:ascii="Verdana" w:hAnsi="Verdana"/>
                <w:color w:val="000000"/>
                <w:sz w:val="18"/>
                <w:szCs w:val="18"/>
              </w:rPr>
              <w:t>Предлагаме чл. 45, ал.1 да придобие следното съдържание:</w:t>
            </w:r>
          </w:p>
          <w:p w:rsidR="00A3307B" w:rsidRPr="00270093" w:rsidRDefault="00A3307B" w:rsidP="00270093">
            <w:pPr>
              <w:pStyle w:val="Bodytext60"/>
              <w:shd w:val="clear" w:color="auto" w:fill="auto"/>
              <w:spacing w:before="0" w:after="0" w:line="276" w:lineRule="auto"/>
              <w:rPr>
                <w:rStyle w:val="BodyTextChar1"/>
                <w:rFonts w:ascii="Verdana" w:hAnsi="Verdana"/>
                <w:color w:val="000000"/>
                <w:sz w:val="18"/>
                <w:szCs w:val="18"/>
              </w:rPr>
            </w:pPr>
            <w:r w:rsidRPr="00270093">
              <w:rPr>
                <w:rStyle w:val="Bodytext6"/>
                <w:rFonts w:ascii="Verdana" w:hAnsi="Verdana"/>
                <w:i/>
                <w:iCs/>
                <w:color w:val="000000"/>
                <w:sz w:val="18"/>
                <w:szCs w:val="18"/>
                <w:lang w:eastAsia="bg-BG"/>
              </w:rPr>
              <w:t>„(1) Сечите в горите се провеждат съгласно предвижданията на горскостопанските планове и програми, плановете за дейности по опазване от пожари, план - извлеченията, предписанията за санитарни и принудителни сечи и в изключителни случаи. “</w:t>
            </w:r>
          </w:p>
        </w:tc>
        <w:tc>
          <w:tcPr>
            <w:tcW w:w="1559"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Приема се по принцип</w:t>
            </w:r>
          </w:p>
          <w:p w:rsidR="00A3307B" w:rsidRPr="00270093" w:rsidRDefault="00A3307B" w:rsidP="00270093">
            <w:pPr>
              <w:spacing w:line="276" w:lineRule="auto"/>
              <w:jc w:val="both"/>
              <w:rPr>
                <w:rFonts w:ascii="Verdana" w:hAnsi="Verdana"/>
                <w:sz w:val="18"/>
                <w:szCs w:val="18"/>
              </w:rPr>
            </w:pPr>
          </w:p>
        </w:tc>
        <w:tc>
          <w:tcPr>
            <w:tcW w:w="5194"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Направена е редакция на текста</w:t>
            </w:r>
          </w:p>
          <w:p w:rsidR="00A3307B" w:rsidRPr="00270093" w:rsidRDefault="00A3307B" w:rsidP="00270093">
            <w:pPr>
              <w:spacing w:line="276" w:lineRule="auto"/>
              <w:jc w:val="both"/>
              <w:rPr>
                <w:rFonts w:ascii="Verdana" w:hAnsi="Verdana"/>
                <w:sz w:val="18"/>
                <w:szCs w:val="18"/>
              </w:rPr>
            </w:pPr>
          </w:p>
        </w:tc>
      </w:tr>
      <w:tr w:rsidR="00A3307B" w:rsidRPr="00434EBC" w:rsidTr="00B44469">
        <w:trPr>
          <w:trHeight w:val="596"/>
        </w:trPr>
        <w:tc>
          <w:tcPr>
            <w:tcW w:w="622" w:type="dxa"/>
            <w:tcBorders>
              <w:top w:val="dotted" w:sz="4" w:space="0" w:color="auto"/>
              <w:bottom w:val="dotted" w:sz="4" w:space="0" w:color="auto"/>
            </w:tcBorders>
            <w:shd w:val="clear" w:color="auto" w:fill="auto"/>
          </w:tcPr>
          <w:p w:rsidR="00A3307B" w:rsidRPr="00434EBC" w:rsidRDefault="00A3307B"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A3307B" w:rsidRPr="00726706" w:rsidRDefault="00A3307B" w:rsidP="00726706">
            <w:pPr>
              <w:rPr>
                <w:rFonts w:ascii="Verdana" w:hAnsi="Verdana"/>
                <w:b/>
                <w:sz w:val="18"/>
                <w:szCs w:val="18"/>
              </w:rPr>
            </w:pPr>
          </w:p>
        </w:tc>
        <w:tc>
          <w:tcPr>
            <w:tcW w:w="5812" w:type="dxa"/>
            <w:shd w:val="clear" w:color="auto" w:fill="auto"/>
          </w:tcPr>
          <w:p w:rsidR="00A3307B" w:rsidRPr="00270093" w:rsidRDefault="00A3307B" w:rsidP="00270093">
            <w:pPr>
              <w:pStyle w:val="Bodytext60"/>
              <w:shd w:val="clear" w:color="auto" w:fill="auto"/>
              <w:spacing w:before="0" w:after="283" w:line="276" w:lineRule="auto"/>
              <w:ind w:left="20" w:right="20"/>
              <w:rPr>
                <w:rFonts w:ascii="Verdana" w:hAnsi="Verdana"/>
                <w:sz w:val="18"/>
                <w:szCs w:val="18"/>
              </w:rPr>
            </w:pPr>
            <w:r w:rsidRPr="00270093">
              <w:rPr>
                <w:rStyle w:val="Bodytext6NotItalic"/>
                <w:rFonts w:ascii="Verdana" w:hAnsi="Verdana"/>
                <w:i w:val="0"/>
                <w:iCs w:val="0"/>
                <w:color w:val="000000"/>
                <w:sz w:val="18"/>
                <w:szCs w:val="18"/>
              </w:rPr>
              <w:t xml:space="preserve">Предложеното допълнение на чл. 45, ал. 2, т. 2, се изменя по следния начин: </w:t>
            </w:r>
            <w:r w:rsidRPr="00270093">
              <w:rPr>
                <w:rStyle w:val="Bodytext6"/>
                <w:rFonts w:ascii="Verdana" w:hAnsi="Verdana"/>
                <w:i/>
                <w:iCs/>
                <w:color w:val="000000"/>
                <w:sz w:val="18"/>
                <w:szCs w:val="18"/>
                <w:lang w:eastAsia="bg-BG"/>
              </w:rPr>
              <w:t>„освен при провеждане на сечи в изключителните случаи посочени в § 57 от ДР на ЗГ“</w:t>
            </w:r>
          </w:p>
          <w:p w:rsidR="00A3307B" w:rsidRPr="00270093" w:rsidRDefault="00A3307B" w:rsidP="00270093">
            <w:pPr>
              <w:pStyle w:val="Heading20"/>
              <w:keepNext/>
              <w:keepLines/>
              <w:shd w:val="clear" w:color="auto" w:fill="auto"/>
              <w:spacing w:before="0" w:after="210" w:line="276" w:lineRule="auto"/>
              <w:ind w:left="20"/>
              <w:rPr>
                <w:rFonts w:ascii="Verdana" w:hAnsi="Verdana"/>
                <w:sz w:val="18"/>
                <w:szCs w:val="18"/>
              </w:rPr>
            </w:pPr>
            <w:bookmarkStart w:id="7" w:name="bookmark11"/>
            <w:r w:rsidRPr="00270093">
              <w:rPr>
                <w:rStyle w:val="Heading2"/>
                <w:rFonts w:ascii="Verdana" w:hAnsi="Verdana"/>
                <w:b/>
                <w:bCs/>
                <w:color w:val="000000"/>
                <w:sz w:val="18"/>
                <w:szCs w:val="18"/>
                <w:lang w:eastAsia="bg-BG"/>
              </w:rPr>
              <w:t>Мотиви:</w:t>
            </w:r>
            <w:bookmarkEnd w:id="7"/>
          </w:p>
          <w:p w:rsidR="00A3307B" w:rsidRPr="00270093" w:rsidRDefault="00A3307B" w:rsidP="00270093">
            <w:pPr>
              <w:pStyle w:val="BodyText"/>
              <w:spacing w:after="236" w:line="276" w:lineRule="auto"/>
              <w:ind w:left="20" w:right="20"/>
              <w:jc w:val="both"/>
              <w:rPr>
                <w:rFonts w:ascii="Verdana" w:hAnsi="Verdana"/>
                <w:sz w:val="18"/>
                <w:szCs w:val="18"/>
              </w:rPr>
            </w:pPr>
            <w:r w:rsidRPr="00270093">
              <w:rPr>
                <w:rStyle w:val="BodyTextChar1"/>
                <w:rFonts w:ascii="Verdana" w:hAnsi="Verdana"/>
                <w:color w:val="000000"/>
                <w:sz w:val="18"/>
                <w:szCs w:val="18"/>
              </w:rPr>
              <w:t>Предложената от нас формулировка на чл. 45, ал. 1, е по-изчистена и по-прецизна, като в нея се премахнати ловностопанските планове, които не са сред предвидените в ЗГ инструменти за планиране или разрешаване на сечи. След, като се налага изменение на тази разпоредба във връзка новите разпоредби на ЗГ, необходимо е да се коригира и нерегламентираното допълнение на закона, извършено с настоящият текст на чл. 45, ал. 1, според който, сечите в горите следва да се провеждат в съответствие с ловностопанските планове.</w:t>
            </w:r>
          </w:p>
          <w:p w:rsidR="00A3307B" w:rsidRPr="00270093" w:rsidRDefault="00A3307B" w:rsidP="00270093">
            <w:pPr>
              <w:pStyle w:val="BodyText"/>
              <w:spacing w:after="0" w:line="276" w:lineRule="auto"/>
              <w:ind w:left="20"/>
              <w:jc w:val="both"/>
              <w:rPr>
                <w:rStyle w:val="BodyTextChar1"/>
                <w:rFonts w:ascii="Verdana" w:hAnsi="Verdana"/>
                <w:color w:val="000000"/>
                <w:sz w:val="18"/>
                <w:szCs w:val="18"/>
              </w:rPr>
            </w:pPr>
            <w:r w:rsidRPr="00270093">
              <w:rPr>
                <w:rStyle w:val="BodyTextChar1"/>
                <w:rFonts w:ascii="Verdana" w:hAnsi="Verdana"/>
                <w:color w:val="000000"/>
                <w:sz w:val="18"/>
                <w:szCs w:val="18"/>
              </w:rPr>
              <w:t>С предложените от нас корекции на допълнението на чл. 45, ал. 2, т. 2 предвидено с проекта за изменение на наредбата, се постига съответствие на разпоредбата с § 57 от ДР на ЗГ.</w:t>
            </w:r>
          </w:p>
        </w:tc>
        <w:tc>
          <w:tcPr>
            <w:tcW w:w="1559"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Приема се</w:t>
            </w:r>
          </w:p>
          <w:p w:rsidR="00A3307B" w:rsidRPr="00270093" w:rsidRDefault="00A3307B" w:rsidP="00270093">
            <w:pPr>
              <w:spacing w:line="276" w:lineRule="auto"/>
              <w:jc w:val="both"/>
              <w:rPr>
                <w:rFonts w:ascii="Verdana" w:hAnsi="Verdana"/>
                <w:sz w:val="18"/>
                <w:szCs w:val="18"/>
              </w:rPr>
            </w:pPr>
          </w:p>
        </w:tc>
        <w:tc>
          <w:tcPr>
            <w:tcW w:w="5194" w:type="dxa"/>
            <w:shd w:val="clear" w:color="auto" w:fill="auto"/>
          </w:tcPr>
          <w:p w:rsidR="00A3307B" w:rsidRPr="00270093" w:rsidRDefault="00A3307B" w:rsidP="00270093">
            <w:pPr>
              <w:spacing w:line="276" w:lineRule="auto"/>
              <w:jc w:val="both"/>
              <w:rPr>
                <w:rFonts w:ascii="Verdana" w:hAnsi="Verdana"/>
                <w:sz w:val="18"/>
                <w:szCs w:val="18"/>
              </w:rPr>
            </w:pPr>
          </w:p>
        </w:tc>
      </w:tr>
      <w:tr w:rsidR="00A3307B" w:rsidRPr="00434EBC" w:rsidTr="00B44469">
        <w:trPr>
          <w:trHeight w:val="596"/>
        </w:trPr>
        <w:tc>
          <w:tcPr>
            <w:tcW w:w="622" w:type="dxa"/>
            <w:tcBorders>
              <w:top w:val="dotted" w:sz="4" w:space="0" w:color="auto"/>
              <w:bottom w:val="dotted" w:sz="4" w:space="0" w:color="auto"/>
            </w:tcBorders>
            <w:shd w:val="clear" w:color="auto" w:fill="auto"/>
          </w:tcPr>
          <w:p w:rsidR="00A3307B" w:rsidRPr="00434EBC" w:rsidRDefault="00A3307B"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A3307B" w:rsidRPr="00726706" w:rsidRDefault="00A3307B" w:rsidP="00726706">
            <w:pPr>
              <w:rPr>
                <w:rFonts w:ascii="Verdana" w:hAnsi="Verdana"/>
                <w:b/>
                <w:sz w:val="18"/>
                <w:szCs w:val="18"/>
              </w:rPr>
            </w:pPr>
          </w:p>
        </w:tc>
        <w:tc>
          <w:tcPr>
            <w:tcW w:w="5812" w:type="dxa"/>
            <w:shd w:val="clear" w:color="auto" w:fill="auto"/>
          </w:tcPr>
          <w:p w:rsidR="00A3307B" w:rsidRPr="00270093" w:rsidRDefault="00A3307B" w:rsidP="00270093">
            <w:pPr>
              <w:pStyle w:val="Heading20"/>
              <w:keepNext/>
              <w:keepLines/>
              <w:numPr>
                <w:ilvl w:val="0"/>
                <w:numId w:val="7"/>
              </w:numPr>
              <w:shd w:val="clear" w:color="auto" w:fill="auto"/>
              <w:tabs>
                <w:tab w:val="left" w:pos="318"/>
              </w:tabs>
              <w:spacing w:before="0" w:after="0" w:line="276" w:lineRule="auto"/>
              <w:ind w:left="20"/>
              <w:rPr>
                <w:rFonts w:ascii="Verdana" w:hAnsi="Verdana"/>
                <w:sz w:val="18"/>
                <w:szCs w:val="18"/>
              </w:rPr>
            </w:pPr>
            <w:bookmarkStart w:id="8" w:name="bookmark12"/>
            <w:r w:rsidRPr="00270093">
              <w:rPr>
                <w:rStyle w:val="Heading2"/>
                <w:rFonts w:ascii="Verdana" w:hAnsi="Verdana"/>
                <w:b/>
                <w:bCs/>
                <w:color w:val="000000"/>
                <w:sz w:val="18"/>
                <w:szCs w:val="18"/>
                <w:lang w:eastAsia="bg-BG"/>
              </w:rPr>
              <w:t>Относно предложените изменения на чл. 46, ал. 1 от наредбата за сечите.</w:t>
            </w:r>
            <w:bookmarkEnd w:id="8"/>
          </w:p>
          <w:p w:rsidR="00A3307B" w:rsidRPr="00270093" w:rsidRDefault="00A3307B" w:rsidP="00270093">
            <w:pPr>
              <w:pStyle w:val="BodyText"/>
              <w:spacing w:after="0" w:line="276" w:lineRule="auto"/>
              <w:jc w:val="both"/>
              <w:rPr>
                <w:rStyle w:val="BodyTextChar1"/>
                <w:rFonts w:ascii="Verdana" w:hAnsi="Verdana"/>
                <w:color w:val="000000"/>
                <w:sz w:val="18"/>
                <w:szCs w:val="18"/>
              </w:rPr>
            </w:pPr>
            <w:r w:rsidRPr="00270093">
              <w:rPr>
                <w:rStyle w:val="BodyTextChar1"/>
                <w:rFonts w:ascii="Verdana" w:hAnsi="Verdana"/>
                <w:color w:val="000000"/>
                <w:sz w:val="18"/>
                <w:szCs w:val="18"/>
              </w:rPr>
              <w:t>Предлагаме предвидените изменения в чл. 46, ал. 1 от наредбата да отпаднат.</w:t>
            </w:r>
          </w:p>
        </w:tc>
        <w:tc>
          <w:tcPr>
            <w:tcW w:w="1559"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Не се приема</w:t>
            </w:r>
          </w:p>
          <w:p w:rsidR="00A3307B" w:rsidRPr="00270093" w:rsidRDefault="00A3307B" w:rsidP="00270093">
            <w:pPr>
              <w:spacing w:line="276" w:lineRule="auto"/>
              <w:jc w:val="both"/>
              <w:rPr>
                <w:rFonts w:ascii="Verdana" w:hAnsi="Verdana"/>
                <w:sz w:val="18"/>
                <w:szCs w:val="18"/>
              </w:rPr>
            </w:pPr>
          </w:p>
        </w:tc>
        <w:tc>
          <w:tcPr>
            <w:tcW w:w="5194" w:type="dxa"/>
            <w:shd w:val="clear" w:color="auto" w:fill="auto"/>
          </w:tcPr>
          <w:p w:rsidR="00A3307B" w:rsidRPr="00270093" w:rsidRDefault="00A3307B" w:rsidP="00270093">
            <w:pPr>
              <w:spacing w:line="276" w:lineRule="auto"/>
              <w:jc w:val="both"/>
              <w:rPr>
                <w:rFonts w:ascii="Verdana" w:hAnsi="Verdana"/>
                <w:sz w:val="18"/>
                <w:szCs w:val="18"/>
              </w:rPr>
            </w:pPr>
            <w:r w:rsidRPr="00270093">
              <w:rPr>
                <w:rFonts w:ascii="Verdana" w:hAnsi="Verdana"/>
                <w:sz w:val="18"/>
                <w:szCs w:val="18"/>
              </w:rPr>
              <w:t>Законът за горите (Параграф 1, т.57 от ДР) предвижда провеждането на сечи с научно-изследователски цели, поради което наредбата следва да уреди реда и условията за провеждането им. Освен това текстът не касае планиране /това е предмет на друга наредба/, а провеждането на съответните сечи.</w:t>
            </w:r>
          </w:p>
          <w:p w:rsidR="00A3307B" w:rsidRPr="00270093" w:rsidRDefault="00A3307B" w:rsidP="00270093">
            <w:pPr>
              <w:spacing w:line="276" w:lineRule="auto"/>
              <w:jc w:val="both"/>
              <w:rPr>
                <w:rFonts w:ascii="Verdana" w:hAnsi="Verdana"/>
                <w:sz w:val="18"/>
                <w:szCs w:val="18"/>
              </w:rPr>
            </w:pPr>
          </w:p>
        </w:tc>
      </w:tr>
      <w:tr w:rsidR="00A3307B" w:rsidRPr="00434EBC" w:rsidTr="00B44469">
        <w:trPr>
          <w:trHeight w:val="596"/>
        </w:trPr>
        <w:tc>
          <w:tcPr>
            <w:tcW w:w="622" w:type="dxa"/>
            <w:tcBorders>
              <w:top w:val="dotted" w:sz="4" w:space="0" w:color="auto"/>
              <w:bottom w:val="dotted" w:sz="4" w:space="0" w:color="auto"/>
            </w:tcBorders>
            <w:shd w:val="clear" w:color="auto" w:fill="auto"/>
          </w:tcPr>
          <w:p w:rsidR="00A3307B" w:rsidRPr="00434EBC" w:rsidRDefault="00A3307B"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A3307B" w:rsidRPr="00726706" w:rsidRDefault="00A3307B" w:rsidP="00726706">
            <w:pPr>
              <w:rPr>
                <w:rFonts w:ascii="Verdana" w:hAnsi="Verdana"/>
                <w:b/>
                <w:sz w:val="18"/>
                <w:szCs w:val="18"/>
              </w:rPr>
            </w:pPr>
          </w:p>
        </w:tc>
        <w:tc>
          <w:tcPr>
            <w:tcW w:w="5812" w:type="dxa"/>
            <w:shd w:val="clear" w:color="auto" w:fill="auto"/>
          </w:tcPr>
          <w:p w:rsidR="00280AAC" w:rsidRPr="00270093" w:rsidRDefault="00280AAC"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Предлагаме и цялостно отпадане на чл. 46 от наредбата.</w:t>
            </w:r>
          </w:p>
          <w:p w:rsidR="00280AAC" w:rsidRPr="00270093" w:rsidRDefault="00280AAC" w:rsidP="00270093">
            <w:pPr>
              <w:pStyle w:val="Heading20"/>
              <w:keepNext/>
              <w:keepLines/>
              <w:shd w:val="clear" w:color="auto" w:fill="auto"/>
              <w:spacing w:before="0" w:after="0" w:line="276" w:lineRule="auto"/>
              <w:rPr>
                <w:rFonts w:ascii="Verdana" w:hAnsi="Verdana"/>
                <w:sz w:val="18"/>
                <w:szCs w:val="18"/>
              </w:rPr>
            </w:pPr>
            <w:bookmarkStart w:id="9" w:name="bookmark13"/>
            <w:r w:rsidRPr="00270093">
              <w:rPr>
                <w:rStyle w:val="Heading2"/>
                <w:rFonts w:ascii="Verdana" w:hAnsi="Verdana"/>
                <w:b/>
                <w:bCs/>
                <w:color w:val="000000"/>
                <w:sz w:val="18"/>
                <w:szCs w:val="18"/>
                <w:lang w:eastAsia="bg-BG"/>
              </w:rPr>
              <w:t>Мотиви:</w:t>
            </w:r>
            <w:bookmarkEnd w:id="9"/>
          </w:p>
          <w:p w:rsidR="00280AAC" w:rsidRPr="00270093" w:rsidRDefault="00280AAC"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 xml:space="preserve">В Решение № 3305/28.03.2023 г. по адм. дело №6844/2022, в което ВАС се произнася в светлината на изменените и допълнени разпоредби на ЗГ (обн. в Държавен вестник, бр. 11 от 02.02.2023 г.), позовавайки </w:t>
            </w:r>
            <w:r w:rsidRPr="00270093">
              <w:rPr>
                <w:rStyle w:val="BodyTextChar1"/>
                <w:rFonts w:ascii="Verdana" w:hAnsi="Verdana"/>
                <w:color w:val="000000"/>
                <w:sz w:val="18"/>
                <w:szCs w:val="18"/>
              </w:rPr>
              <w:lastRenderedPageBreak/>
              <w:t>се на чл. 91, ал. 1 и чл. 101 от ЗГ, съдебният състав приема, че принципно всички видове сечи следва да се планирани в горскостопанските планове и програми.</w:t>
            </w:r>
          </w:p>
          <w:p w:rsidR="00280AAC" w:rsidRPr="00270093" w:rsidRDefault="00280AAC"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Изключение от това правило представлява разпоредбата на чл. 106 от ЗГ, в която изрично е посочено, че санитарните и принудителните сечи могат да се провеждат и без да са планирани в горскостопанските планове и програми.</w:t>
            </w:r>
          </w:p>
          <w:p w:rsidR="00280AAC" w:rsidRPr="00270093" w:rsidRDefault="00280AAC"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За изключение от правилото за планиране на сечите в ГСПП може да се приемат и случаите, при които се усвоява дървесина от имоти с променено предназначение, имоти, върху които е учредено право на строеж, право на ползване и сервитути по реда на Закона за горите и Закона за енергетиката.</w:t>
            </w:r>
          </w:p>
          <w:p w:rsidR="00280AAC" w:rsidRPr="00270093" w:rsidRDefault="00280AAC"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За изключение от правилото за планиране на сечите в ГСПП, може да се приеме и разпоредбата на § 57 от ДР на ЗГ, уреждаща сечите в изключителни случаи, макар и това да не е изрично посочено в тази разпоредба. От смисъла на тази разпоредба може да се заключи, че сечите по § 57 от ДР на ЗГ преследват защита на приоритетен обществен интерес и ако тази цел налага задължителното им провеждане без дори да необходимо да се издаде позволително за сеч, то на по-силното основание тези сечи следва да се проведат и без значение дали са планирани в ГСПП.</w:t>
            </w:r>
          </w:p>
          <w:p w:rsidR="00280AAC" w:rsidRPr="00270093" w:rsidRDefault="00280AAC"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Известни изключения от правилото за планиране на сечите в ГСПП, се въвеждат и с разпоредбите на § 56 от ДР на ЗГ, но тук законодателят борави с различни термини уреждайки различни случаи - определяне или изменение на насока на стопанисване, провеждане на сечи, планиране и провеждане на сечи. По отношение сечите с изследователска и опитна цел, законодателят не е посочил план-извлечението, като документ за тяхното планиране, а само като документ за тяхното провеждане.</w:t>
            </w:r>
          </w:p>
          <w:p w:rsidR="00280AAC" w:rsidRPr="00270093" w:rsidRDefault="00280AAC"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 xml:space="preserve">Отделно от изложеното, в чл. 13, ал. 4 от ЗГ </w:t>
            </w:r>
            <w:r w:rsidRPr="00270093">
              <w:rPr>
                <w:rStyle w:val="BodyTextChar1"/>
                <w:rFonts w:ascii="Verdana" w:hAnsi="Verdana"/>
                <w:color w:val="000000"/>
                <w:sz w:val="18"/>
                <w:szCs w:val="18"/>
              </w:rPr>
              <w:lastRenderedPageBreak/>
              <w:t>законодателят е установил правилото ГСПП да определят максимално допустимия размер на ползването на горските ресурси за срок 10 години. Изключение от това правило е приложимо само за сечите по чл. 106 и § 57 от ДР на ЗГ, с оглед изложеното в предходните редове относно тези законови разпоредби. В съдържанието на § 56 от ДР на ЗГ, не се открива изключение от правилото по чл. 13, ал. 4 от ЗГ.</w:t>
            </w:r>
          </w:p>
          <w:p w:rsidR="00280AAC" w:rsidRPr="00270093" w:rsidRDefault="00280AAC"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По изложените съображения не считаме, че други сечи, освен санитарни, принудителни, в изключителните случаи, за усвояване на дървесина от имоти с променено предназначение, имоти, върху които е учредено право на строеж, право на ползване и сервитути, може да се провеждат без да са планирани в ГСПП.</w:t>
            </w:r>
          </w:p>
          <w:p w:rsidR="00280AAC" w:rsidRPr="00270093" w:rsidRDefault="00280AAC" w:rsidP="00270093">
            <w:pPr>
              <w:pStyle w:val="BodyText"/>
              <w:spacing w:after="0" w:line="276" w:lineRule="auto"/>
              <w:jc w:val="both"/>
              <w:rPr>
                <w:rFonts w:ascii="Verdana" w:hAnsi="Verdana"/>
                <w:sz w:val="18"/>
                <w:szCs w:val="18"/>
              </w:rPr>
            </w:pPr>
            <w:r w:rsidRPr="00270093">
              <w:rPr>
                <w:rStyle w:val="BodyTextChar1"/>
                <w:rFonts w:ascii="Verdana" w:hAnsi="Verdana"/>
                <w:color w:val="000000"/>
                <w:sz w:val="18"/>
                <w:szCs w:val="18"/>
              </w:rPr>
              <w:t>В регламентираните от закона случаи на изменение на сечи планирани в ГСПП, наредбата трябва да отчете, че в резултат от такива промени, без изменение на самите ГСПП, не може да се превиши ползването определено в ГСПП.</w:t>
            </w:r>
          </w:p>
          <w:p w:rsidR="00A3307B" w:rsidRPr="00270093" w:rsidRDefault="00280AAC" w:rsidP="00270093">
            <w:pPr>
              <w:pStyle w:val="BodyText"/>
              <w:spacing w:after="0" w:line="276" w:lineRule="auto"/>
              <w:jc w:val="both"/>
              <w:rPr>
                <w:rStyle w:val="BodyTextChar1"/>
                <w:rFonts w:ascii="Verdana" w:hAnsi="Verdana"/>
                <w:color w:val="000000"/>
                <w:sz w:val="18"/>
                <w:szCs w:val="18"/>
              </w:rPr>
            </w:pPr>
            <w:r w:rsidRPr="00270093">
              <w:rPr>
                <w:rStyle w:val="BodyTextChar1"/>
                <w:rFonts w:ascii="Verdana" w:hAnsi="Verdana"/>
                <w:color w:val="000000"/>
                <w:sz w:val="18"/>
                <w:szCs w:val="18"/>
              </w:rPr>
              <w:t>По изложените съображения, предложеното ново съдържание на чл. 46, ал. 1 и цялото съдържание на настоящия чл. 46, противоречат на разпоредбите на Закона за горите и следва да отпаднат.</w:t>
            </w:r>
          </w:p>
        </w:tc>
        <w:tc>
          <w:tcPr>
            <w:tcW w:w="1559" w:type="dxa"/>
            <w:shd w:val="clear" w:color="auto" w:fill="auto"/>
          </w:tcPr>
          <w:p w:rsidR="00280AAC" w:rsidRPr="00270093" w:rsidRDefault="00280AAC" w:rsidP="00280AAC">
            <w:pPr>
              <w:rPr>
                <w:rFonts w:ascii="Verdana" w:hAnsi="Verdana"/>
                <w:sz w:val="18"/>
                <w:szCs w:val="18"/>
              </w:rPr>
            </w:pPr>
            <w:r w:rsidRPr="00270093">
              <w:rPr>
                <w:rFonts w:ascii="Verdana" w:hAnsi="Verdana"/>
                <w:sz w:val="18"/>
                <w:szCs w:val="18"/>
              </w:rPr>
              <w:lastRenderedPageBreak/>
              <w:t>Не се приема</w:t>
            </w:r>
          </w:p>
          <w:p w:rsidR="00A3307B" w:rsidRPr="00270093" w:rsidRDefault="00A3307B" w:rsidP="00A3307B">
            <w:pPr>
              <w:rPr>
                <w:rFonts w:ascii="Verdana" w:hAnsi="Verdana"/>
                <w:sz w:val="18"/>
                <w:szCs w:val="18"/>
              </w:rPr>
            </w:pPr>
          </w:p>
        </w:tc>
        <w:tc>
          <w:tcPr>
            <w:tcW w:w="5194" w:type="dxa"/>
            <w:shd w:val="clear" w:color="auto" w:fill="auto"/>
          </w:tcPr>
          <w:p w:rsidR="00700612" w:rsidRPr="00270093" w:rsidRDefault="00700612" w:rsidP="00700612">
            <w:pPr>
              <w:spacing w:line="276" w:lineRule="auto"/>
              <w:jc w:val="both"/>
              <w:rPr>
                <w:rFonts w:ascii="Verdana" w:hAnsi="Verdana"/>
                <w:sz w:val="18"/>
                <w:szCs w:val="18"/>
              </w:rPr>
            </w:pPr>
            <w:r w:rsidRPr="00270093">
              <w:rPr>
                <w:rFonts w:ascii="Verdana" w:hAnsi="Verdana"/>
                <w:sz w:val="18"/>
                <w:szCs w:val="18"/>
              </w:rPr>
              <w:t>Законът за горите (Параграф 1, т.57 от ДР) предвижда провеждането на сечи с научно-изследователски цели, поради което наредбата следва да уреди реда и условията за провеждането им. Освен т</w:t>
            </w:r>
            <w:r>
              <w:rPr>
                <w:rFonts w:ascii="Verdana" w:hAnsi="Verdana"/>
                <w:sz w:val="18"/>
                <w:szCs w:val="18"/>
              </w:rPr>
              <w:t>ова текстът не касае планиране</w:t>
            </w:r>
            <w:r w:rsidRPr="00270093">
              <w:rPr>
                <w:rFonts w:ascii="Verdana" w:hAnsi="Verdana"/>
                <w:sz w:val="18"/>
                <w:szCs w:val="18"/>
              </w:rPr>
              <w:t>, а провеждането на съответните сечи.</w:t>
            </w:r>
          </w:p>
          <w:p w:rsidR="00A3307B" w:rsidRPr="00630579" w:rsidRDefault="00A3307B" w:rsidP="00A3307B">
            <w:pPr>
              <w:rPr>
                <w:rFonts w:ascii="Verdana" w:hAnsi="Verdana"/>
                <w:b/>
                <w:sz w:val="18"/>
                <w:szCs w:val="18"/>
              </w:rPr>
            </w:pPr>
          </w:p>
        </w:tc>
      </w:tr>
      <w:tr w:rsidR="00280AAC" w:rsidRPr="00434EBC" w:rsidTr="00B44469">
        <w:trPr>
          <w:trHeight w:val="596"/>
        </w:trPr>
        <w:tc>
          <w:tcPr>
            <w:tcW w:w="622" w:type="dxa"/>
            <w:tcBorders>
              <w:top w:val="dotted" w:sz="4" w:space="0" w:color="auto"/>
              <w:bottom w:val="dotted" w:sz="4" w:space="0" w:color="auto"/>
            </w:tcBorders>
            <w:shd w:val="clear" w:color="auto" w:fill="auto"/>
          </w:tcPr>
          <w:p w:rsidR="00280AAC" w:rsidRPr="00434EBC" w:rsidRDefault="00280AAC"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280AAC" w:rsidRPr="00726706" w:rsidRDefault="00280AAC" w:rsidP="00726706">
            <w:pPr>
              <w:rPr>
                <w:rFonts w:ascii="Verdana" w:hAnsi="Verdana"/>
                <w:b/>
                <w:sz w:val="18"/>
                <w:szCs w:val="18"/>
              </w:rPr>
            </w:pPr>
          </w:p>
        </w:tc>
        <w:tc>
          <w:tcPr>
            <w:tcW w:w="5812" w:type="dxa"/>
            <w:shd w:val="clear" w:color="auto" w:fill="auto"/>
          </w:tcPr>
          <w:p w:rsidR="00280AAC" w:rsidRPr="00270093" w:rsidRDefault="00280AAC" w:rsidP="00270093">
            <w:pPr>
              <w:pStyle w:val="Heading20"/>
              <w:keepNext/>
              <w:keepLines/>
              <w:numPr>
                <w:ilvl w:val="0"/>
                <w:numId w:val="7"/>
              </w:numPr>
              <w:shd w:val="clear" w:color="auto" w:fill="auto"/>
              <w:tabs>
                <w:tab w:val="left" w:pos="318"/>
              </w:tabs>
              <w:spacing w:before="0" w:after="0" w:line="220" w:lineRule="exact"/>
              <w:rPr>
                <w:rFonts w:ascii="Verdana" w:hAnsi="Verdana"/>
                <w:sz w:val="18"/>
                <w:szCs w:val="18"/>
              </w:rPr>
            </w:pPr>
            <w:bookmarkStart w:id="10" w:name="bookmark15"/>
            <w:r w:rsidRPr="00270093">
              <w:rPr>
                <w:rStyle w:val="Heading2"/>
                <w:rFonts w:ascii="Verdana" w:hAnsi="Verdana"/>
                <w:b/>
                <w:bCs/>
                <w:color w:val="000000"/>
                <w:sz w:val="18"/>
                <w:szCs w:val="18"/>
                <w:lang w:eastAsia="bg-BG"/>
              </w:rPr>
              <w:t>Относно предложенията нов чл. 51 в от наредбата за сечите.</w:t>
            </w:r>
            <w:bookmarkEnd w:id="10"/>
          </w:p>
          <w:p w:rsidR="00280AAC" w:rsidRPr="00270093" w:rsidRDefault="00280AAC" w:rsidP="00270093">
            <w:pPr>
              <w:pStyle w:val="BodyText"/>
              <w:spacing w:after="0" w:line="269" w:lineRule="exact"/>
              <w:jc w:val="both"/>
              <w:rPr>
                <w:rStyle w:val="BodyTextChar1"/>
                <w:rFonts w:ascii="Verdana" w:hAnsi="Verdana"/>
                <w:color w:val="000000"/>
                <w:sz w:val="18"/>
                <w:szCs w:val="18"/>
              </w:rPr>
            </w:pPr>
            <w:r w:rsidRPr="00270093">
              <w:rPr>
                <w:rStyle w:val="BodyTextChar1"/>
                <w:rFonts w:ascii="Verdana" w:hAnsi="Verdana"/>
                <w:color w:val="000000"/>
                <w:sz w:val="18"/>
                <w:szCs w:val="18"/>
              </w:rPr>
              <w:t>Предлагаме реда за провеждане на сечите в изключителни случаи да се регламентира в чл. 46, вместо настоящето му съдържание, което в предходната точка предложихме да отпадне.</w:t>
            </w:r>
          </w:p>
        </w:tc>
        <w:tc>
          <w:tcPr>
            <w:tcW w:w="1559" w:type="dxa"/>
            <w:shd w:val="clear" w:color="auto" w:fill="auto"/>
          </w:tcPr>
          <w:p w:rsidR="00280AAC" w:rsidRPr="00270093" w:rsidRDefault="00280AAC" w:rsidP="00270093">
            <w:pPr>
              <w:jc w:val="both"/>
              <w:rPr>
                <w:rFonts w:ascii="Verdana" w:hAnsi="Verdana"/>
                <w:sz w:val="18"/>
                <w:szCs w:val="18"/>
              </w:rPr>
            </w:pPr>
            <w:r w:rsidRPr="00270093">
              <w:rPr>
                <w:rFonts w:ascii="Verdana" w:hAnsi="Verdana"/>
                <w:sz w:val="18"/>
                <w:szCs w:val="18"/>
              </w:rPr>
              <w:t>Не се приема</w:t>
            </w:r>
          </w:p>
          <w:p w:rsidR="00280AAC" w:rsidRPr="00270093" w:rsidRDefault="00280AAC" w:rsidP="00270093">
            <w:pPr>
              <w:jc w:val="both"/>
              <w:rPr>
                <w:rFonts w:ascii="Verdana" w:hAnsi="Verdana"/>
                <w:sz w:val="18"/>
                <w:szCs w:val="18"/>
              </w:rPr>
            </w:pPr>
          </w:p>
        </w:tc>
        <w:tc>
          <w:tcPr>
            <w:tcW w:w="5194" w:type="dxa"/>
            <w:shd w:val="clear" w:color="auto" w:fill="auto"/>
          </w:tcPr>
          <w:p w:rsidR="00280AAC" w:rsidRPr="00270093" w:rsidRDefault="00280AAC" w:rsidP="00270093">
            <w:pPr>
              <w:jc w:val="both"/>
              <w:rPr>
                <w:rFonts w:ascii="Verdana" w:hAnsi="Verdana"/>
                <w:sz w:val="18"/>
                <w:szCs w:val="18"/>
              </w:rPr>
            </w:pPr>
            <w:r w:rsidRPr="00270093">
              <w:rPr>
                <w:rFonts w:ascii="Verdana" w:hAnsi="Verdana"/>
                <w:sz w:val="18"/>
                <w:szCs w:val="18"/>
              </w:rPr>
              <w:t>Не е приета отмяната на чл.46, а освен това систематичното място на чл. 51в следва да е в Глава трета, Раздел II – Маркиране на насажденията за сеч, в разпоредбите се предвижда маркиране на челата на пъновете на отсечените немаркирани дървета.</w:t>
            </w:r>
          </w:p>
        </w:tc>
      </w:tr>
      <w:tr w:rsidR="00280AAC" w:rsidRPr="00434EBC" w:rsidTr="00B44469">
        <w:trPr>
          <w:trHeight w:val="596"/>
        </w:trPr>
        <w:tc>
          <w:tcPr>
            <w:tcW w:w="622" w:type="dxa"/>
            <w:tcBorders>
              <w:top w:val="dotted" w:sz="4" w:space="0" w:color="auto"/>
              <w:bottom w:val="dotted" w:sz="4" w:space="0" w:color="auto"/>
            </w:tcBorders>
            <w:shd w:val="clear" w:color="auto" w:fill="auto"/>
          </w:tcPr>
          <w:p w:rsidR="00280AAC" w:rsidRPr="00434EBC" w:rsidRDefault="00280AAC"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280AAC" w:rsidRPr="00726706" w:rsidRDefault="00280AAC" w:rsidP="00726706">
            <w:pPr>
              <w:rPr>
                <w:rFonts w:ascii="Verdana" w:hAnsi="Verdana"/>
                <w:b/>
                <w:sz w:val="18"/>
                <w:szCs w:val="18"/>
              </w:rPr>
            </w:pPr>
          </w:p>
        </w:tc>
        <w:tc>
          <w:tcPr>
            <w:tcW w:w="5812" w:type="dxa"/>
            <w:shd w:val="clear" w:color="auto" w:fill="auto"/>
          </w:tcPr>
          <w:p w:rsidR="00280AAC" w:rsidRPr="00270093" w:rsidRDefault="00280AAC" w:rsidP="00270093">
            <w:pPr>
              <w:pStyle w:val="BodyText"/>
              <w:spacing w:after="0" w:line="278" w:lineRule="exact"/>
              <w:jc w:val="both"/>
              <w:rPr>
                <w:rStyle w:val="BodyTextChar1"/>
                <w:rFonts w:ascii="Verdana" w:hAnsi="Verdana"/>
                <w:color w:val="000000"/>
                <w:sz w:val="18"/>
                <w:szCs w:val="18"/>
              </w:rPr>
            </w:pPr>
            <w:r w:rsidRPr="00270093">
              <w:rPr>
                <w:rStyle w:val="BodyTextChar1"/>
                <w:rFonts w:ascii="Verdana" w:hAnsi="Verdana"/>
                <w:color w:val="000000"/>
                <w:sz w:val="18"/>
                <w:szCs w:val="18"/>
              </w:rPr>
              <w:t xml:space="preserve">В предложените текстове на нов чл. 51 в, ал. 2, текста </w:t>
            </w:r>
            <w:r w:rsidRPr="00270093">
              <w:rPr>
                <w:rStyle w:val="BodytextItalic"/>
                <w:rFonts w:ascii="Verdana" w:hAnsi="Verdana"/>
                <w:color w:val="000000"/>
                <w:sz w:val="18"/>
                <w:szCs w:val="18"/>
              </w:rPr>
              <w:t>„по тяхно решение“</w:t>
            </w:r>
            <w:r w:rsidRPr="00270093">
              <w:rPr>
                <w:rStyle w:val="BodyTextChar1"/>
                <w:rFonts w:ascii="Verdana" w:hAnsi="Verdana"/>
                <w:color w:val="000000"/>
                <w:sz w:val="18"/>
                <w:szCs w:val="18"/>
              </w:rPr>
              <w:t xml:space="preserve"> следва да се замени с текста </w:t>
            </w:r>
            <w:r w:rsidRPr="00270093">
              <w:rPr>
                <w:rStyle w:val="BodytextItalic"/>
                <w:rFonts w:ascii="Verdana" w:hAnsi="Verdana"/>
                <w:color w:val="000000"/>
                <w:sz w:val="18"/>
                <w:szCs w:val="18"/>
              </w:rPr>
              <w:t>„ по тяхна инициатива</w:t>
            </w:r>
            <w:r w:rsidRPr="00270093">
              <w:rPr>
                <w:rStyle w:val="BodyTextChar1"/>
                <w:rFonts w:ascii="Verdana" w:hAnsi="Verdana"/>
                <w:color w:val="000000"/>
                <w:sz w:val="18"/>
                <w:szCs w:val="18"/>
              </w:rPr>
              <w:t xml:space="preserve"> “</w:t>
            </w:r>
          </w:p>
        </w:tc>
        <w:tc>
          <w:tcPr>
            <w:tcW w:w="1559" w:type="dxa"/>
            <w:shd w:val="clear" w:color="auto" w:fill="auto"/>
          </w:tcPr>
          <w:p w:rsidR="00280AAC" w:rsidRPr="00270093" w:rsidRDefault="00280AAC" w:rsidP="00270093">
            <w:pPr>
              <w:jc w:val="both"/>
              <w:rPr>
                <w:rFonts w:ascii="Verdana" w:hAnsi="Verdana"/>
                <w:sz w:val="18"/>
                <w:szCs w:val="18"/>
              </w:rPr>
            </w:pPr>
            <w:r w:rsidRPr="00270093">
              <w:rPr>
                <w:rFonts w:ascii="Verdana" w:hAnsi="Verdana"/>
                <w:sz w:val="18"/>
                <w:szCs w:val="18"/>
              </w:rPr>
              <w:t>Не се приема</w:t>
            </w:r>
          </w:p>
          <w:p w:rsidR="00280AAC" w:rsidRPr="00270093" w:rsidRDefault="00280AAC" w:rsidP="00270093">
            <w:pPr>
              <w:jc w:val="both"/>
              <w:rPr>
                <w:rFonts w:ascii="Verdana" w:hAnsi="Verdana"/>
                <w:sz w:val="18"/>
                <w:szCs w:val="18"/>
              </w:rPr>
            </w:pPr>
          </w:p>
        </w:tc>
        <w:tc>
          <w:tcPr>
            <w:tcW w:w="5194" w:type="dxa"/>
            <w:shd w:val="clear" w:color="auto" w:fill="auto"/>
          </w:tcPr>
          <w:p w:rsidR="00280AAC" w:rsidRPr="00270093" w:rsidRDefault="00280AAC" w:rsidP="00270093">
            <w:pPr>
              <w:jc w:val="both"/>
              <w:rPr>
                <w:rFonts w:ascii="Verdana" w:hAnsi="Verdana"/>
                <w:sz w:val="18"/>
                <w:szCs w:val="18"/>
              </w:rPr>
            </w:pPr>
            <w:r w:rsidRPr="00270093">
              <w:rPr>
                <w:rFonts w:ascii="Verdana" w:hAnsi="Verdana"/>
                <w:sz w:val="18"/>
                <w:szCs w:val="18"/>
              </w:rPr>
              <w:t>Противоречи на текста на § 1, т. 57 от ДР на ЗГ, според който за сечи в изключителни случаи се взима „решение“ от компетентен държавен орган</w:t>
            </w:r>
          </w:p>
          <w:p w:rsidR="00280AAC" w:rsidRPr="00270093" w:rsidRDefault="00280AAC" w:rsidP="00270093">
            <w:pPr>
              <w:jc w:val="both"/>
              <w:rPr>
                <w:rFonts w:ascii="Verdana" w:hAnsi="Verdana"/>
                <w:sz w:val="18"/>
                <w:szCs w:val="18"/>
              </w:rPr>
            </w:pPr>
          </w:p>
        </w:tc>
      </w:tr>
      <w:tr w:rsidR="00280AAC" w:rsidRPr="00270093" w:rsidTr="00B44469">
        <w:trPr>
          <w:trHeight w:val="596"/>
        </w:trPr>
        <w:tc>
          <w:tcPr>
            <w:tcW w:w="622" w:type="dxa"/>
            <w:tcBorders>
              <w:top w:val="dotted" w:sz="4" w:space="0" w:color="auto"/>
              <w:bottom w:val="dotted" w:sz="4" w:space="0" w:color="auto"/>
            </w:tcBorders>
            <w:shd w:val="clear" w:color="auto" w:fill="auto"/>
          </w:tcPr>
          <w:p w:rsidR="00280AAC" w:rsidRPr="00434EBC" w:rsidRDefault="00280AAC"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280AAC" w:rsidRPr="00726706" w:rsidRDefault="00280AAC" w:rsidP="00726706">
            <w:pPr>
              <w:rPr>
                <w:rFonts w:ascii="Verdana" w:hAnsi="Verdana"/>
                <w:b/>
                <w:sz w:val="18"/>
                <w:szCs w:val="18"/>
              </w:rPr>
            </w:pPr>
          </w:p>
        </w:tc>
        <w:tc>
          <w:tcPr>
            <w:tcW w:w="5812" w:type="dxa"/>
            <w:shd w:val="clear" w:color="auto" w:fill="auto"/>
          </w:tcPr>
          <w:p w:rsidR="00280AAC" w:rsidRPr="00270093" w:rsidRDefault="00280AAC" w:rsidP="00270093">
            <w:pPr>
              <w:pStyle w:val="BodyText"/>
              <w:spacing w:after="0" w:line="274" w:lineRule="exact"/>
              <w:rPr>
                <w:rFonts w:ascii="Verdana" w:hAnsi="Verdana"/>
                <w:sz w:val="18"/>
                <w:szCs w:val="18"/>
              </w:rPr>
            </w:pPr>
            <w:r w:rsidRPr="00270093">
              <w:rPr>
                <w:rStyle w:val="BodyTextChar1"/>
                <w:rFonts w:ascii="Verdana" w:hAnsi="Verdana"/>
                <w:color w:val="000000"/>
                <w:sz w:val="18"/>
                <w:szCs w:val="18"/>
              </w:rPr>
              <w:t>В ал. 3 следва да се опише реда за взимане на решението и неговата форма и да се посочи разумен срок за изпълнение задължението за уведомяване на собственика и такъв срок за алтернативното уведомяване на кмета на съответното населено място.</w:t>
            </w:r>
          </w:p>
          <w:p w:rsidR="00280AAC" w:rsidRPr="00270093" w:rsidRDefault="00280AAC" w:rsidP="00280AAC">
            <w:pPr>
              <w:pStyle w:val="BodyText"/>
              <w:spacing w:after="0" w:line="547" w:lineRule="exact"/>
              <w:ind w:left="20"/>
              <w:rPr>
                <w:rStyle w:val="BodyTextChar1"/>
                <w:rFonts w:ascii="Verdana" w:hAnsi="Verdana"/>
                <w:color w:val="000000"/>
                <w:sz w:val="18"/>
                <w:szCs w:val="18"/>
              </w:rPr>
            </w:pPr>
            <w:r w:rsidRPr="00270093">
              <w:rPr>
                <w:rStyle w:val="BodyTextChar1"/>
                <w:rFonts w:ascii="Verdana" w:hAnsi="Verdana"/>
                <w:color w:val="000000"/>
                <w:sz w:val="18"/>
                <w:szCs w:val="18"/>
              </w:rPr>
              <w:t xml:space="preserve">Ал. </w:t>
            </w:r>
            <w:r w:rsidRPr="00270093">
              <w:rPr>
                <w:rStyle w:val="BodytextSpacing1pt"/>
                <w:rFonts w:ascii="Verdana" w:hAnsi="Verdana"/>
                <w:color w:val="000000"/>
                <w:sz w:val="18"/>
                <w:szCs w:val="18"/>
              </w:rPr>
              <w:t>3,4,</w:t>
            </w:r>
            <w:r w:rsidRPr="00270093">
              <w:rPr>
                <w:rStyle w:val="BodyTextChar1"/>
                <w:rFonts w:ascii="Verdana" w:hAnsi="Verdana"/>
                <w:color w:val="000000"/>
                <w:sz w:val="18"/>
                <w:szCs w:val="18"/>
                <w:lang w:val="en-US"/>
              </w:rPr>
              <w:t xml:space="preserve"> 5 </w:t>
            </w:r>
            <w:r w:rsidRPr="00270093">
              <w:rPr>
                <w:rStyle w:val="BodyTextChar1"/>
                <w:rFonts w:ascii="Verdana" w:hAnsi="Verdana"/>
                <w:color w:val="000000"/>
                <w:sz w:val="18"/>
                <w:szCs w:val="18"/>
              </w:rPr>
              <w:t>и 6 стават съответно ал. 4, 5, 6 и 7.</w:t>
            </w:r>
          </w:p>
        </w:tc>
        <w:tc>
          <w:tcPr>
            <w:tcW w:w="1559" w:type="dxa"/>
            <w:shd w:val="clear" w:color="auto" w:fill="auto"/>
          </w:tcPr>
          <w:p w:rsidR="00280AAC" w:rsidRPr="00270093" w:rsidRDefault="00280AAC" w:rsidP="00280AAC">
            <w:pPr>
              <w:rPr>
                <w:rFonts w:ascii="Verdana" w:hAnsi="Verdana"/>
                <w:sz w:val="18"/>
                <w:szCs w:val="18"/>
              </w:rPr>
            </w:pPr>
            <w:r w:rsidRPr="00270093">
              <w:rPr>
                <w:rFonts w:ascii="Verdana" w:hAnsi="Verdana"/>
                <w:sz w:val="18"/>
                <w:szCs w:val="18"/>
              </w:rPr>
              <w:t>Приема се по принцип</w:t>
            </w:r>
          </w:p>
          <w:p w:rsidR="00280AAC" w:rsidRPr="00270093" w:rsidRDefault="00280AAC" w:rsidP="00280AAC">
            <w:pPr>
              <w:rPr>
                <w:rFonts w:ascii="Verdana" w:hAnsi="Verdana"/>
                <w:sz w:val="18"/>
                <w:szCs w:val="18"/>
              </w:rPr>
            </w:pPr>
          </w:p>
        </w:tc>
        <w:tc>
          <w:tcPr>
            <w:tcW w:w="5194" w:type="dxa"/>
            <w:shd w:val="clear" w:color="auto" w:fill="auto"/>
          </w:tcPr>
          <w:p w:rsidR="00280AAC" w:rsidRPr="00270093" w:rsidRDefault="00280AAC" w:rsidP="00280AAC">
            <w:pPr>
              <w:rPr>
                <w:rFonts w:ascii="Verdana" w:hAnsi="Verdana"/>
                <w:sz w:val="18"/>
                <w:szCs w:val="18"/>
              </w:rPr>
            </w:pPr>
            <w:r w:rsidRPr="00270093">
              <w:rPr>
                <w:rFonts w:ascii="Verdana" w:hAnsi="Verdana"/>
                <w:sz w:val="18"/>
                <w:szCs w:val="18"/>
              </w:rPr>
              <w:t>Направена е редакция на текста</w:t>
            </w:r>
          </w:p>
          <w:p w:rsidR="00280AAC" w:rsidRPr="00270093" w:rsidRDefault="00280AAC" w:rsidP="00A3307B">
            <w:pPr>
              <w:rPr>
                <w:rFonts w:ascii="Verdana" w:hAnsi="Verdana"/>
                <w:sz w:val="18"/>
                <w:szCs w:val="18"/>
              </w:rPr>
            </w:pPr>
          </w:p>
        </w:tc>
      </w:tr>
      <w:tr w:rsidR="00280AAC" w:rsidRPr="00434EBC" w:rsidTr="00B44469">
        <w:trPr>
          <w:trHeight w:val="596"/>
        </w:trPr>
        <w:tc>
          <w:tcPr>
            <w:tcW w:w="622" w:type="dxa"/>
            <w:tcBorders>
              <w:top w:val="dotted" w:sz="4" w:space="0" w:color="auto"/>
              <w:bottom w:val="dotted" w:sz="4" w:space="0" w:color="auto"/>
            </w:tcBorders>
            <w:shd w:val="clear" w:color="auto" w:fill="auto"/>
          </w:tcPr>
          <w:p w:rsidR="00280AAC" w:rsidRPr="00434EBC" w:rsidRDefault="00280AAC"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280AAC" w:rsidRPr="00726706" w:rsidRDefault="00280AAC" w:rsidP="00726706">
            <w:pPr>
              <w:rPr>
                <w:rFonts w:ascii="Verdana" w:hAnsi="Verdana"/>
                <w:b/>
                <w:sz w:val="18"/>
                <w:szCs w:val="18"/>
              </w:rPr>
            </w:pPr>
          </w:p>
        </w:tc>
        <w:tc>
          <w:tcPr>
            <w:tcW w:w="5812" w:type="dxa"/>
            <w:shd w:val="clear" w:color="auto" w:fill="auto"/>
          </w:tcPr>
          <w:p w:rsidR="00280AAC" w:rsidRPr="007858B8" w:rsidRDefault="00280AAC" w:rsidP="007858B8">
            <w:pPr>
              <w:pStyle w:val="BodyText"/>
              <w:spacing w:after="0" w:line="276" w:lineRule="auto"/>
              <w:jc w:val="both"/>
              <w:rPr>
                <w:rFonts w:ascii="Verdana" w:hAnsi="Verdana"/>
                <w:sz w:val="18"/>
                <w:szCs w:val="18"/>
              </w:rPr>
            </w:pPr>
            <w:r w:rsidRPr="007858B8">
              <w:rPr>
                <w:rStyle w:val="BodyTextChar1"/>
                <w:rFonts w:ascii="Verdana" w:hAnsi="Verdana"/>
                <w:color w:val="000000"/>
                <w:sz w:val="18"/>
                <w:szCs w:val="18"/>
              </w:rPr>
              <w:t>Предлагаме да се създадат нови ал. 8 и ал. 9 със следното съдържание:</w:t>
            </w:r>
          </w:p>
          <w:p w:rsidR="00280AAC" w:rsidRPr="007858B8" w:rsidRDefault="00280AAC" w:rsidP="007858B8">
            <w:pPr>
              <w:pStyle w:val="Bodytext60"/>
              <w:shd w:val="clear" w:color="auto" w:fill="auto"/>
              <w:spacing w:before="0" w:after="0" w:line="276" w:lineRule="auto"/>
              <w:rPr>
                <w:rFonts w:ascii="Verdana" w:hAnsi="Verdana"/>
                <w:sz w:val="18"/>
                <w:szCs w:val="18"/>
              </w:rPr>
            </w:pPr>
            <w:r w:rsidRPr="007858B8">
              <w:rPr>
                <w:rStyle w:val="Bodytext6"/>
                <w:rFonts w:ascii="Verdana" w:hAnsi="Verdana"/>
                <w:i/>
                <w:iCs/>
                <w:color w:val="000000"/>
                <w:sz w:val="18"/>
                <w:szCs w:val="18"/>
                <w:lang w:eastAsia="bg-BG"/>
              </w:rPr>
              <w:t>„(8) Разрешаването и провеждането на сечите по ал. 1 и ал.2 в специални горски територии, се извършва при спазване изискванията на съответните специални закони.</w:t>
            </w:r>
          </w:p>
          <w:p w:rsidR="00280AAC" w:rsidRPr="007858B8" w:rsidRDefault="00280AAC" w:rsidP="007858B8">
            <w:pPr>
              <w:pStyle w:val="Bodytext60"/>
              <w:shd w:val="clear" w:color="auto" w:fill="auto"/>
              <w:spacing w:before="0" w:after="0" w:line="276" w:lineRule="auto"/>
              <w:rPr>
                <w:rFonts w:ascii="Verdana" w:hAnsi="Verdana"/>
                <w:sz w:val="18"/>
                <w:szCs w:val="18"/>
              </w:rPr>
            </w:pPr>
            <w:r w:rsidRPr="007858B8">
              <w:rPr>
                <w:rStyle w:val="Bodytext6"/>
                <w:rFonts w:ascii="Verdana" w:hAnsi="Verdana"/>
                <w:i/>
                <w:iCs/>
                <w:color w:val="000000"/>
                <w:sz w:val="18"/>
                <w:szCs w:val="18"/>
                <w:lang w:eastAsia="bg-BG"/>
              </w:rPr>
              <w:t>(9) Органите по ал.1 и ал. 2 оповестяват публично в 3 дневен от срок взетото от тях решение “</w:t>
            </w:r>
          </w:p>
          <w:p w:rsidR="00280AAC" w:rsidRPr="007858B8" w:rsidRDefault="00280AAC" w:rsidP="007858B8">
            <w:pPr>
              <w:pStyle w:val="Heading20"/>
              <w:keepNext/>
              <w:keepLines/>
              <w:shd w:val="clear" w:color="auto" w:fill="auto"/>
              <w:spacing w:before="0" w:after="0" w:line="276" w:lineRule="auto"/>
              <w:rPr>
                <w:rFonts w:ascii="Verdana" w:hAnsi="Verdana"/>
                <w:sz w:val="18"/>
                <w:szCs w:val="18"/>
              </w:rPr>
            </w:pPr>
            <w:bookmarkStart w:id="11" w:name="bookmark17"/>
            <w:r w:rsidRPr="007858B8">
              <w:rPr>
                <w:rStyle w:val="Heading2"/>
                <w:rFonts w:ascii="Verdana" w:hAnsi="Verdana"/>
                <w:b/>
                <w:bCs/>
                <w:color w:val="000000"/>
                <w:sz w:val="18"/>
                <w:szCs w:val="18"/>
                <w:lang w:eastAsia="bg-BG"/>
              </w:rPr>
              <w:t>Мотиви:</w:t>
            </w:r>
            <w:bookmarkEnd w:id="11"/>
          </w:p>
          <w:p w:rsidR="00280AAC" w:rsidRPr="007858B8" w:rsidRDefault="00280AAC" w:rsidP="007858B8">
            <w:pPr>
              <w:pStyle w:val="BodyText"/>
              <w:spacing w:after="0" w:line="276" w:lineRule="auto"/>
              <w:jc w:val="both"/>
              <w:rPr>
                <w:rFonts w:ascii="Verdana" w:hAnsi="Verdana"/>
                <w:sz w:val="18"/>
                <w:szCs w:val="18"/>
              </w:rPr>
            </w:pPr>
            <w:r w:rsidRPr="007858B8">
              <w:rPr>
                <w:rStyle w:val="BodyTextChar1"/>
                <w:rFonts w:ascii="Verdana" w:hAnsi="Verdana"/>
                <w:color w:val="000000"/>
                <w:sz w:val="18"/>
                <w:szCs w:val="18"/>
              </w:rPr>
              <w:t>Систематичното място на разпоредбите регламентиращи реда за взимане на решенията за сечи в изключителните случаи по § 57 от ДР на ЗГ и конкретните органи, които следва да вземат тези решения, е именно в Глава трета „ПРАВИЛА ЗА ПРОВЕЖДАНЕ НА СЕЧИТЕ“, Раздел I „Условия и ред за провеждане на сечите“</w:t>
            </w:r>
          </w:p>
          <w:p w:rsidR="00280AAC" w:rsidRPr="007858B8" w:rsidRDefault="00280AAC" w:rsidP="007858B8">
            <w:pPr>
              <w:pStyle w:val="BodyText"/>
              <w:spacing w:after="0" w:line="276" w:lineRule="auto"/>
              <w:jc w:val="both"/>
              <w:rPr>
                <w:rFonts w:ascii="Verdana" w:hAnsi="Verdana"/>
                <w:sz w:val="18"/>
                <w:szCs w:val="18"/>
              </w:rPr>
            </w:pPr>
            <w:r w:rsidRPr="007858B8">
              <w:rPr>
                <w:rStyle w:val="BodyTextChar1"/>
                <w:rFonts w:ascii="Verdana" w:hAnsi="Verdana"/>
                <w:color w:val="000000"/>
                <w:sz w:val="18"/>
                <w:szCs w:val="18"/>
              </w:rPr>
              <w:t xml:space="preserve">Решението за провеждане на сечи в изключителните случаи по § 57 от ДР на ЗГ, по смисъла на тази разпоредба </w:t>
            </w:r>
            <w:r w:rsidRPr="007858B8">
              <w:rPr>
                <w:rStyle w:val="BodytextBold"/>
                <w:rFonts w:ascii="Verdana" w:hAnsi="Verdana"/>
                <w:color w:val="000000"/>
                <w:sz w:val="18"/>
                <w:szCs w:val="18"/>
              </w:rPr>
              <w:t xml:space="preserve">следва да предхожда </w:t>
            </w:r>
            <w:r w:rsidRPr="007858B8">
              <w:rPr>
                <w:rStyle w:val="BodyTextChar1"/>
                <w:rFonts w:ascii="Verdana" w:hAnsi="Verdana"/>
                <w:color w:val="000000"/>
                <w:sz w:val="18"/>
                <w:szCs w:val="18"/>
              </w:rPr>
              <w:t>практическото провеждане на сечта. Това решение следва да е писмено или устно волеизявление на съответният орган.</w:t>
            </w:r>
          </w:p>
          <w:p w:rsidR="00280AAC" w:rsidRPr="007858B8" w:rsidRDefault="00280AAC" w:rsidP="007858B8">
            <w:pPr>
              <w:pStyle w:val="BodyText"/>
              <w:spacing w:after="240" w:line="276" w:lineRule="auto"/>
              <w:ind w:left="40" w:right="20"/>
              <w:jc w:val="both"/>
              <w:rPr>
                <w:rFonts w:ascii="Verdana" w:hAnsi="Verdana"/>
                <w:sz w:val="18"/>
                <w:szCs w:val="18"/>
              </w:rPr>
            </w:pPr>
            <w:r w:rsidRPr="007858B8">
              <w:rPr>
                <w:rStyle w:val="BodyTextChar1"/>
                <w:rFonts w:ascii="Verdana" w:hAnsi="Verdana"/>
                <w:color w:val="000000"/>
                <w:sz w:val="18"/>
                <w:szCs w:val="18"/>
              </w:rPr>
              <w:t xml:space="preserve">Констативният протокол, съгласно предложените разпоредби на наредбата е документ, за чието изготвяне е необходима информация, част от която ще е налична едва след извеждането на съответната сеч и за чието изготвяне е необходимо технологично време, което може да надхвърли дори технологичното време за издаване на позволително за сеч, чрез информационната система на ИАГ. В същото време, § 57 от ДР на ЗГ беше създаден с </w:t>
            </w:r>
            <w:r w:rsidRPr="007858B8">
              <w:rPr>
                <w:rStyle w:val="BodyTextChar1"/>
                <w:rFonts w:ascii="Verdana" w:hAnsi="Verdana"/>
                <w:color w:val="000000"/>
                <w:sz w:val="18"/>
                <w:szCs w:val="18"/>
              </w:rPr>
              <w:lastRenderedPageBreak/>
              <w:t>цел максимално бързо провеждане на сечи в описаните в разпоредбата случаи, за които явно законодателят е преценил, че дори не следва да се забавят повече от краткото време за издаване на позволително за сеч.</w:t>
            </w:r>
          </w:p>
          <w:p w:rsidR="00280AAC" w:rsidRPr="007858B8" w:rsidRDefault="00280AAC" w:rsidP="007858B8">
            <w:pPr>
              <w:pStyle w:val="BodyText"/>
              <w:spacing w:after="0" w:line="276" w:lineRule="auto"/>
              <w:jc w:val="both"/>
              <w:rPr>
                <w:rFonts w:ascii="Verdana" w:hAnsi="Verdana"/>
                <w:sz w:val="18"/>
                <w:szCs w:val="18"/>
              </w:rPr>
            </w:pPr>
            <w:r w:rsidRPr="007858B8">
              <w:rPr>
                <w:rStyle w:val="BodyTextChar1"/>
                <w:rFonts w:ascii="Verdana" w:hAnsi="Verdana"/>
                <w:color w:val="000000"/>
                <w:sz w:val="18"/>
                <w:szCs w:val="18"/>
              </w:rPr>
              <w:t>По изложените съображения, в разпоредбите регламентиращи реда за провеждане на сечите в изключителни случаи, изрично трябва да се посочи и какъв е реда за взимането на решението и каква е неговата форма, което да позволява изключително бърза реакция, за да се отговори на смисъла и целите на § 57 от ДР на ЗГ.</w:t>
            </w:r>
          </w:p>
          <w:p w:rsidR="00280AAC" w:rsidRPr="007858B8" w:rsidRDefault="00280AAC" w:rsidP="007858B8">
            <w:pPr>
              <w:pStyle w:val="BodyText"/>
              <w:spacing w:after="0" w:line="276" w:lineRule="auto"/>
              <w:jc w:val="both"/>
              <w:rPr>
                <w:rFonts w:ascii="Verdana" w:hAnsi="Verdana"/>
                <w:sz w:val="18"/>
                <w:szCs w:val="18"/>
              </w:rPr>
            </w:pPr>
            <w:r w:rsidRPr="007858B8">
              <w:rPr>
                <w:rStyle w:val="BodyTextChar1"/>
                <w:rFonts w:ascii="Verdana" w:hAnsi="Verdana"/>
                <w:color w:val="000000"/>
                <w:sz w:val="18"/>
                <w:szCs w:val="18"/>
              </w:rPr>
              <w:t>Това може да се осъществи, чрез някакъв документ по образец, който лицата оправомощени да издават решенията за сечите в изключителни случаи да подписват, което би представлявало решение в писмена форма. Възможно е решението да се вземе и чрез устно разпореждане, като добре е това да стане в присъствие на поне един свидетел и после решението да се отрази в съответния констативен протокол. Каквато и форма за взимане на решение да се избере, то трябва да се взима бързо, за да отговори на целите и смисъла на § 57 от ДР на ЗГ и да взето преди извършването на съответната сеч.</w:t>
            </w:r>
          </w:p>
          <w:p w:rsidR="00280AAC" w:rsidRPr="007858B8" w:rsidRDefault="00280AAC" w:rsidP="007858B8">
            <w:pPr>
              <w:pStyle w:val="BodyText"/>
              <w:spacing w:after="0" w:line="276" w:lineRule="auto"/>
              <w:jc w:val="both"/>
              <w:rPr>
                <w:rFonts w:ascii="Verdana" w:hAnsi="Verdana"/>
                <w:sz w:val="18"/>
                <w:szCs w:val="18"/>
              </w:rPr>
            </w:pPr>
            <w:r w:rsidRPr="007858B8">
              <w:rPr>
                <w:rStyle w:val="BodyTextChar1"/>
                <w:rFonts w:ascii="Verdana" w:hAnsi="Verdana"/>
                <w:color w:val="000000"/>
                <w:sz w:val="18"/>
                <w:szCs w:val="18"/>
              </w:rPr>
              <w:t>Принципът на правна сигурност налага съществуването на разумен срок за изпълнение задължението за уведомяване относно въпросното решение на собственика на имота и такъв срок за алтернативното уведомяване на кмета на съответното населено място.</w:t>
            </w:r>
          </w:p>
          <w:p w:rsidR="00280AAC" w:rsidRPr="007858B8" w:rsidRDefault="00280AAC" w:rsidP="007858B8">
            <w:pPr>
              <w:pStyle w:val="BodyText"/>
              <w:spacing w:after="0" w:line="276" w:lineRule="auto"/>
              <w:jc w:val="both"/>
              <w:rPr>
                <w:rFonts w:ascii="Verdana" w:hAnsi="Verdana"/>
                <w:sz w:val="18"/>
                <w:szCs w:val="18"/>
              </w:rPr>
            </w:pPr>
            <w:r w:rsidRPr="007858B8">
              <w:rPr>
                <w:rStyle w:val="BodyTextChar1"/>
                <w:rFonts w:ascii="Verdana" w:hAnsi="Verdana"/>
                <w:color w:val="000000"/>
                <w:sz w:val="18"/>
                <w:szCs w:val="18"/>
              </w:rPr>
              <w:t xml:space="preserve">Разпоредбата на § 57 от ДР на ЗГ създава изключения от регулации въведени със Закона за горите. Неговото прилагане не засяга действието на останалите закони въвеждащи специални правила за специалните горски територии по чл. 5, ал. 3 от ЗГ. С предложената от нас ал. 8 се създава яснота относно провеждането на сечи в изключителни случаи в специални горски територии и по </w:t>
            </w:r>
            <w:r w:rsidRPr="007858B8">
              <w:rPr>
                <w:rStyle w:val="BodyTextChar1"/>
                <w:rFonts w:ascii="Verdana" w:hAnsi="Verdana"/>
                <w:color w:val="000000"/>
                <w:sz w:val="18"/>
                <w:szCs w:val="18"/>
              </w:rPr>
              <w:lastRenderedPageBreak/>
              <w:t>този начин се ограничават възможностите за извършване на административни нарушения или престъпления по НК, поради грешна интерпретация на § 57 от ДР на ЗГ.</w:t>
            </w:r>
          </w:p>
          <w:p w:rsidR="00280AAC" w:rsidRDefault="00280AAC" w:rsidP="007858B8">
            <w:pPr>
              <w:pStyle w:val="BodyText"/>
              <w:spacing w:after="18" w:line="276" w:lineRule="auto"/>
              <w:ind w:left="40" w:right="20"/>
              <w:jc w:val="both"/>
              <w:rPr>
                <w:rStyle w:val="BodyTextChar1"/>
                <w:color w:val="000000"/>
              </w:rPr>
            </w:pPr>
            <w:r w:rsidRPr="007858B8">
              <w:rPr>
                <w:rStyle w:val="BodyTextChar1"/>
                <w:rFonts w:ascii="Verdana" w:hAnsi="Verdana"/>
                <w:color w:val="000000"/>
                <w:sz w:val="18"/>
                <w:szCs w:val="18"/>
              </w:rPr>
              <w:t>Предложението за нова ал. 9 е свързано с осигуряване на повече публичност и прозрачност при провеждане на сечите в горите.</w:t>
            </w:r>
          </w:p>
        </w:tc>
        <w:tc>
          <w:tcPr>
            <w:tcW w:w="1559" w:type="dxa"/>
            <w:shd w:val="clear" w:color="auto" w:fill="auto"/>
          </w:tcPr>
          <w:p w:rsidR="00280AAC" w:rsidRDefault="00280AAC" w:rsidP="007858B8">
            <w:pPr>
              <w:spacing w:line="276" w:lineRule="auto"/>
              <w:jc w:val="both"/>
              <w:rPr>
                <w:rFonts w:ascii="Verdana" w:hAnsi="Verdana"/>
                <w:sz w:val="18"/>
                <w:szCs w:val="18"/>
              </w:rPr>
            </w:pPr>
            <w:r>
              <w:rPr>
                <w:rFonts w:ascii="Verdana" w:hAnsi="Verdana"/>
                <w:sz w:val="18"/>
                <w:szCs w:val="18"/>
              </w:rPr>
              <w:lastRenderedPageBreak/>
              <w:t>Не се приема</w:t>
            </w:r>
          </w:p>
          <w:p w:rsidR="00280AAC" w:rsidRDefault="00280AAC" w:rsidP="007858B8">
            <w:pPr>
              <w:spacing w:line="276" w:lineRule="auto"/>
              <w:jc w:val="both"/>
              <w:rPr>
                <w:rFonts w:ascii="Verdana" w:hAnsi="Verdana"/>
                <w:sz w:val="18"/>
                <w:szCs w:val="18"/>
              </w:rPr>
            </w:pPr>
          </w:p>
        </w:tc>
        <w:tc>
          <w:tcPr>
            <w:tcW w:w="5194" w:type="dxa"/>
            <w:shd w:val="clear" w:color="auto" w:fill="auto"/>
          </w:tcPr>
          <w:p w:rsidR="00280AAC" w:rsidRDefault="00280AAC" w:rsidP="007858B8">
            <w:pPr>
              <w:spacing w:line="276" w:lineRule="auto"/>
              <w:jc w:val="both"/>
              <w:rPr>
                <w:rFonts w:ascii="Verdana" w:hAnsi="Verdana"/>
                <w:sz w:val="18"/>
                <w:szCs w:val="18"/>
              </w:rPr>
            </w:pPr>
            <w:r w:rsidRPr="00434EBC">
              <w:rPr>
                <w:rFonts w:ascii="Verdana" w:hAnsi="Verdana"/>
                <w:sz w:val="18"/>
                <w:szCs w:val="18"/>
              </w:rPr>
              <w:t>При предотвратяване, потушаване на пожари, защита при природни бедствия и други бедствия и аварии, приоритет е  спасяването на човешкия живот пред останалите дейности по защитата. Освен това действат специални закони, даващи правомощия на органите на МВР, както и на звената по Пожарна и аварийна безопасност, поради което спазването на специални изисквания за специални горски територии е ирелевантно.</w:t>
            </w:r>
          </w:p>
          <w:p w:rsidR="00280AAC" w:rsidRPr="00434EBC" w:rsidRDefault="00280AAC" w:rsidP="007858B8">
            <w:pPr>
              <w:spacing w:line="276" w:lineRule="auto"/>
              <w:jc w:val="both"/>
              <w:rPr>
                <w:rFonts w:ascii="Verdana" w:hAnsi="Verdana"/>
                <w:sz w:val="18"/>
                <w:szCs w:val="18"/>
              </w:rPr>
            </w:pPr>
          </w:p>
        </w:tc>
      </w:tr>
      <w:tr w:rsidR="00280AAC" w:rsidRPr="00434EBC" w:rsidTr="00B44469">
        <w:trPr>
          <w:trHeight w:val="596"/>
        </w:trPr>
        <w:tc>
          <w:tcPr>
            <w:tcW w:w="622" w:type="dxa"/>
            <w:tcBorders>
              <w:top w:val="dotted" w:sz="4" w:space="0" w:color="auto"/>
              <w:bottom w:val="dotted" w:sz="4" w:space="0" w:color="auto"/>
            </w:tcBorders>
            <w:shd w:val="clear" w:color="auto" w:fill="auto"/>
          </w:tcPr>
          <w:p w:rsidR="00280AAC" w:rsidRPr="00434EBC" w:rsidRDefault="00280AAC"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280AAC" w:rsidRPr="00726706" w:rsidRDefault="00280AAC" w:rsidP="00726706">
            <w:pPr>
              <w:rPr>
                <w:rFonts w:ascii="Verdana" w:hAnsi="Verdana"/>
                <w:b/>
                <w:sz w:val="18"/>
                <w:szCs w:val="18"/>
              </w:rPr>
            </w:pPr>
          </w:p>
        </w:tc>
        <w:tc>
          <w:tcPr>
            <w:tcW w:w="5812" w:type="dxa"/>
            <w:shd w:val="clear" w:color="auto" w:fill="auto"/>
          </w:tcPr>
          <w:p w:rsidR="00E86BF1" w:rsidRPr="007858B8" w:rsidRDefault="00E86BF1" w:rsidP="007858B8">
            <w:pPr>
              <w:pStyle w:val="Heading20"/>
              <w:keepNext/>
              <w:keepLines/>
              <w:numPr>
                <w:ilvl w:val="0"/>
                <w:numId w:val="7"/>
              </w:numPr>
              <w:shd w:val="clear" w:color="auto" w:fill="auto"/>
              <w:tabs>
                <w:tab w:val="left" w:pos="348"/>
              </w:tabs>
              <w:spacing w:before="0" w:after="0" w:line="276" w:lineRule="auto"/>
              <w:rPr>
                <w:rFonts w:ascii="Verdana" w:hAnsi="Verdana"/>
                <w:sz w:val="18"/>
                <w:szCs w:val="18"/>
              </w:rPr>
            </w:pPr>
            <w:bookmarkStart w:id="12" w:name="bookmark19"/>
            <w:r w:rsidRPr="007858B8">
              <w:rPr>
                <w:rStyle w:val="Heading2"/>
                <w:rFonts w:ascii="Verdana" w:hAnsi="Verdana"/>
                <w:b/>
                <w:bCs/>
                <w:color w:val="000000"/>
                <w:sz w:val="18"/>
                <w:szCs w:val="18"/>
                <w:lang w:eastAsia="bg-BG"/>
              </w:rPr>
              <w:t>Относно предложенията за нов чл. 52б от наредбата за сечите.</w:t>
            </w:r>
            <w:bookmarkEnd w:id="12"/>
          </w:p>
          <w:p w:rsidR="00280AAC" w:rsidRPr="007858B8" w:rsidRDefault="00E86BF1" w:rsidP="007858B8">
            <w:pPr>
              <w:pStyle w:val="BodyText"/>
              <w:spacing w:after="0" w:line="276" w:lineRule="auto"/>
              <w:ind w:left="40"/>
              <w:jc w:val="both"/>
              <w:rPr>
                <w:rStyle w:val="BodyTextChar1"/>
                <w:rFonts w:ascii="Verdana" w:hAnsi="Verdana"/>
                <w:color w:val="000000"/>
                <w:sz w:val="18"/>
                <w:szCs w:val="18"/>
              </w:rPr>
            </w:pPr>
            <w:r w:rsidRPr="007858B8">
              <w:rPr>
                <w:rStyle w:val="BodyTextChar1"/>
                <w:rFonts w:ascii="Verdana" w:hAnsi="Verdana"/>
                <w:color w:val="000000"/>
                <w:sz w:val="18"/>
                <w:szCs w:val="18"/>
              </w:rPr>
              <w:t>Предлагаме чл. 52б да стане чл. 46а.</w:t>
            </w:r>
          </w:p>
        </w:tc>
        <w:tc>
          <w:tcPr>
            <w:tcW w:w="1559" w:type="dxa"/>
            <w:shd w:val="clear" w:color="auto" w:fill="auto"/>
          </w:tcPr>
          <w:p w:rsidR="00E86BF1" w:rsidRPr="007858B8" w:rsidRDefault="00E86BF1" w:rsidP="007858B8">
            <w:pPr>
              <w:spacing w:line="276" w:lineRule="auto"/>
              <w:jc w:val="both"/>
              <w:rPr>
                <w:rFonts w:ascii="Verdana" w:hAnsi="Verdana"/>
                <w:sz w:val="18"/>
                <w:szCs w:val="18"/>
              </w:rPr>
            </w:pPr>
            <w:r w:rsidRPr="007858B8">
              <w:rPr>
                <w:rFonts w:ascii="Verdana" w:hAnsi="Verdana"/>
                <w:sz w:val="18"/>
                <w:szCs w:val="18"/>
              </w:rPr>
              <w:t>Не се приема</w:t>
            </w:r>
          </w:p>
          <w:p w:rsidR="00280AAC" w:rsidRPr="007858B8" w:rsidRDefault="00280AAC" w:rsidP="007858B8">
            <w:pPr>
              <w:spacing w:line="276" w:lineRule="auto"/>
              <w:jc w:val="both"/>
              <w:rPr>
                <w:rFonts w:ascii="Verdana" w:hAnsi="Verdana"/>
                <w:sz w:val="18"/>
                <w:szCs w:val="18"/>
              </w:rPr>
            </w:pPr>
          </w:p>
        </w:tc>
        <w:tc>
          <w:tcPr>
            <w:tcW w:w="5194" w:type="dxa"/>
            <w:shd w:val="clear" w:color="auto" w:fill="auto"/>
          </w:tcPr>
          <w:p w:rsidR="00280AAC" w:rsidRPr="007858B8" w:rsidRDefault="00E86BF1" w:rsidP="007858B8">
            <w:pPr>
              <w:spacing w:line="276" w:lineRule="auto"/>
              <w:jc w:val="both"/>
              <w:rPr>
                <w:rFonts w:ascii="Verdana" w:hAnsi="Verdana"/>
                <w:sz w:val="18"/>
                <w:szCs w:val="18"/>
              </w:rPr>
            </w:pPr>
            <w:r w:rsidRPr="007858B8">
              <w:rPr>
                <w:rFonts w:ascii="Verdana" w:hAnsi="Verdana"/>
                <w:sz w:val="18"/>
                <w:szCs w:val="18"/>
              </w:rPr>
              <w:t>Систематичното място на чл. 52б следва да е в Глава трета, Раздел III – Условия и ред за издаване на позволително за сеч, защото план-извлеченията са основание за издаване на позволителното за сеч.</w:t>
            </w:r>
          </w:p>
        </w:tc>
      </w:tr>
      <w:tr w:rsidR="00280AAC" w:rsidRPr="00434EBC" w:rsidTr="00B44469">
        <w:trPr>
          <w:trHeight w:val="596"/>
        </w:trPr>
        <w:tc>
          <w:tcPr>
            <w:tcW w:w="622" w:type="dxa"/>
            <w:tcBorders>
              <w:top w:val="dotted" w:sz="4" w:space="0" w:color="auto"/>
              <w:bottom w:val="dotted" w:sz="4" w:space="0" w:color="auto"/>
            </w:tcBorders>
            <w:shd w:val="clear" w:color="auto" w:fill="auto"/>
          </w:tcPr>
          <w:p w:rsidR="00280AAC" w:rsidRPr="00434EBC" w:rsidRDefault="00280AAC"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280AAC" w:rsidRPr="00726706" w:rsidRDefault="00280AAC" w:rsidP="00726706">
            <w:pPr>
              <w:rPr>
                <w:rFonts w:ascii="Verdana" w:hAnsi="Verdana"/>
                <w:b/>
                <w:sz w:val="18"/>
                <w:szCs w:val="18"/>
              </w:rPr>
            </w:pPr>
          </w:p>
        </w:tc>
        <w:tc>
          <w:tcPr>
            <w:tcW w:w="5812" w:type="dxa"/>
            <w:shd w:val="clear" w:color="auto" w:fill="auto"/>
          </w:tcPr>
          <w:p w:rsidR="00280AAC" w:rsidRPr="007858B8" w:rsidRDefault="00E86BF1" w:rsidP="007858B8">
            <w:pPr>
              <w:pStyle w:val="BodyText"/>
              <w:spacing w:after="0" w:line="276" w:lineRule="auto"/>
              <w:jc w:val="both"/>
              <w:rPr>
                <w:rStyle w:val="BodyTextChar1"/>
                <w:rFonts w:ascii="Verdana" w:hAnsi="Verdana"/>
                <w:color w:val="000000"/>
                <w:sz w:val="18"/>
                <w:szCs w:val="18"/>
              </w:rPr>
            </w:pPr>
            <w:r w:rsidRPr="007858B8">
              <w:rPr>
                <w:rStyle w:val="BodyTextChar1"/>
                <w:rFonts w:ascii="Verdana" w:hAnsi="Verdana"/>
                <w:color w:val="000000"/>
                <w:sz w:val="18"/>
                <w:szCs w:val="18"/>
              </w:rPr>
              <w:t>Ал. 1 следва да отпадне или да се преработи в съответствие с разпоредбите на ЗГ.</w:t>
            </w:r>
          </w:p>
        </w:tc>
        <w:tc>
          <w:tcPr>
            <w:tcW w:w="1559" w:type="dxa"/>
            <w:shd w:val="clear" w:color="auto" w:fill="auto"/>
          </w:tcPr>
          <w:p w:rsidR="00E86BF1" w:rsidRPr="007858B8" w:rsidRDefault="00E86BF1" w:rsidP="007858B8">
            <w:pPr>
              <w:jc w:val="both"/>
              <w:rPr>
                <w:rFonts w:ascii="Verdana" w:hAnsi="Verdana"/>
                <w:sz w:val="18"/>
                <w:szCs w:val="18"/>
              </w:rPr>
            </w:pPr>
            <w:r w:rsidRPr="007858B8">
              <w:rPr>
                <w:rFonts w:ascii="Verdana" w:hAnsi="Verdana"/>
                <w:sz w:val="18"/>
                <w:szCs w:val="18"/>
              </w:rPr>
              <w:t>Не се приема</w:t>
            </w:r>
          </w:p>
          <w:p w:rsidR="00280AAC" w:rsidRPr="007858B8" w:rsidRDefault="00280AAC" w:rsidP="007858B8">
            <w:pPr>
              <w:jc w:val="both"/>
              <w:rPr>
                <w:rFonts w:ascii="Verdana" w:hAnsi="Verdana"/>
                <w:sz w:val="18"/>
                <w:szCs w:val="18"/>
              </w:rPr>
            </w:pPr>
          </w:p>
        </w:tc>
        <w:tc>
          <w:tcPr>
            <w:tcW w:w="5194" w:type="dxa"/>
            <w:shd w:val="clear" w:color="auto" w:fill="auto"/>
          </w:tcPr>
          <w:p w:rsidR="00E86BF1" w:rsidRPr="007858B8" w:rsidRDefault="00E86BF1" w:rsidP="007858B8">
            <w:pPr>
              <w:jc w:val="both"/>
              <w:rPr>
                <w:rFonts w:ascii="Verdana" w:hAnsi="Verdana"/>
                <w:sz w:val="18"/>
                <w:szCs w:val="18"/>
              </w:rPr>
            </w:pPr>
            <w:r w:rsidRPr="007858B8">
              <w:rPr>
                <w:rFonts w:ascii="Verdana" w:hAnsi="Verdana"/>
                <w:sz w:val="18"/>
                <w:szCs w:val="18"/>
              </w:rPr>
              <w:t>Чл. 52б, ал. 1 кореспондира с чл. 76, ал. 2 от Наредба №18 за инвентаризация и планиране в горските територии</w:t>
            </w:r>
          </w:p>
          <w:p w:rsidR="00280AAC" w:rsidRPr="007858B8" w:rsidRDefault="00280AAC" w:rsidP="007858B8">
            <w:pPr>
              <w:jc w:val="both"/>
              <w:rPr>
                <w:rFonts w:ascii="Verdana" w:hAnsi="Verdana"/>
                <w:sz w:val="18"/>
                <w:szCs w:val="18"/>
              </w:rPr>
            </w:pPr>
          </w:p>
        </w:tc>
      </w:tr>
      <w:tr w:rsidR="00E86BF1" w:rsidRPr="00434EBC" w:rsidTr="00B44469">
        <w:trPr>
          <w:trHeight w:val="596"/>
        </w:trPr>
        <w:tc>
          <w:tcPr>
            <w:tcW w:w="622" w:type="dxa"/>
            <w:tcBorders>
              <w:top w:val="dotted" w:sz="4" w:space="0" w:color="auto"/>
              <w:bottom w:val="dotted" w:sz="4" w:space="0" w:color="auto"/>
            </w:tcBorders>
            <w:shd w:val="clear" w:color="auto" w:fill="auto"/>
          </w:tcPr>
          <w:p w:rsidR="00E86BF1" w:rsidRPr="00434EBC" w:rsidRDefault="00E86BF1"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E86BF1" w:rsidRPr="00726706" w:rsidRDefault="00E86BF1" w:rsidP="00726706">
            <w:pPr>
              <w:rPr>
                <w:rFonts w:ascii="Verdana" w:hAnsi="Verdana"/>
                <w:b/>
                <w:sz w:val="18"/>
                <w:szCs w:val="18"/>
              </w:rPr>
            </w:pPr>
          </w:p>
        </w:tc>
        <w:tc>
          <w:tcPr>
            <w:tcW w:w="5812" w:type="dxa"/>
            <w:shd w:val="clear" w:color="auto" w:fill="auto"/>
          </w:tcPr>
          <w:p w:rsidR="00E86BF1" w:rsidRPr="007858B8" w:rsidRDefault="00E86BF1" w:rsidP="007858B8">
            <w:pPr>
              <w:pStyle w:val="BodyText"/>
              <w:spacing w:after="0" w:line="276" w:lineRule="auto"/>
              <w:jc w:val="both"/>
              <w:rPr>
                <w:rFonts w:ascii="Verdana" w:hAnsi="Verdana"/>
                <w:sz w:val="18"/>
                <w:szCs w:val="18"/>
              </w:rPr>
            </w:pPr>
            <w:r w:rsidRPr="007858B8">
              <w:rPr>
                <w:rStyle w:val="BodyTextChar1"/>
                <w:rFonts w:ascii="Verdana" w:hAnsi="Verdana"/>
                <w:color w:val="000000"/>
                <w:sz w:val="18"/>
                <w:szCs w:val="18"/>
              </w:rPr>
              <w:t>Ал 3 се изменя последния начин:</w:t>
            </w:r>
          </w:p>
          <w:p w:rsidR="00E86BF1" w:rsidRPr="007858B8" w:rsidRDefault="00E86BF1" w:rsidP="007858B8">
            <w:pPr>
              <w:pStyle w:val="Bodytext60"/>
              <w:shd w:val="clear" w:color="auto" w:fill="auto"/>
              <w:spacing w:before="0" w:after="0" w:line="276" w:lineRule="auto"/>
              <w:rPr>
                <w:rStyle w:val="BodyTextChar1"/>
                <w:rFonts w:ascii="Verdana" w:hAnsi="Verdana"/>
                <w:color w:val="000000"/>
                <w:sz w:val="18"/>
                <w:szCs w:val="18"/>
              </w:rPr>
            </w:pPr>
            <w:r w:rsidRPr="007858B8">
              <w:rPr>
                <w:rStyle w:val="Bodytext6"/>
                <w:rFonts w:ascii="Verdana" w:hAnsi="Verdana"/>
                <w:i/>
                <w:iCs/>
                <w:color w:val="000000"/>
                <w:sz w:val="18"/>
                <w:szCs w:val="18"/>
                <w:lang w:eastAsia="bg-BG"/>
              </w:rPr>
              <w:t>„(3) Предложението за определяне на предвидената насока на стопанисване, когато няма утвърден горскостопански план, се подава до съответната регионална дирекция по горите, придружено със: “</w:t>
            </w:r>
          </w:p>
        </w:tc>
        <w:tc>
          <w:tcPr>
            <w:tcW w:w="1559" w:type="dxa"/>
            <w:shd w:val="clear" w:color="auto" w:fill="auto"/>
          </w:tcPr>
          <w:p w:rsidR="00F212A9" w:rsidRPr="007858B8" w:rsidRDefault="00F212A9" w:rsidP="007858B8">
            <w:pPr>
              <w:jc w:val="both"/>
              <w:rPr>
                <w:rFonts w:ascii="Verdana" w:hAnsi="Verdana"/>
                <w:sz w:val="18"/>
                <w:szCs w:val="18"/>
              </w:rPr>
            </w:pPr>
            <w:r w:rsidRPr="007858B8">
              <w:rPr>
                <w:rFonts w:ascii="Verdana" w:hAnsi="Verdana"/>
                <w:sz w:val="18"/>
                <w:szCs w:val="18"/>
              </w:rPr>
              <w:t>Не се приема</w:t>
            </w:r>
          </w:p>
          <w:p w:rsidR="00E86BF1" w:rsidRPr="007858B8" w:rsidRDefault="00E86BF1" w:rsidP="007858B8">
            <w:pPr>
              <w:jc w:val="both"/>
              <w:rPr>
                <w:rFonts w:ascii="Verdana" w:hAnsi="Verdana"/>
                <w:sz w:val="18"/>
                <w:szCs w:val="18"/>
              </w:rPr>
            </w:pPr>
          </w:p>
        </w:tc>
        <w:tc>
          <w:tcPr>
            <w:tcW w:w="5194" w:type="dxa"/>
            <w:shd w:val="clear" w:color="auto" w:fill="auto"/>
          </w:tcPr>
          <w:p w:rsidR="00F212A9" w:rsidRPr="007858B8" w:rsidRDefault="00F212A9" w:rsidP="007858B8">
            <w:pPr>
              <w:jc w:val="both"/>
              <w:rPr>
                <w:rFonts w:ascii="Verdana" w:hAnsi="Verdana"/>
                <w:sz w:val="18"/>
                <w:szCs w:val="18"/>
              </w:rPr>
            </w:pPr>
            <w:r w:rsidRPr="007858B8">
              <w:rPr>
                <w:rFonts w:ascii="Verdana" w:hAnsi="Verdana"/>
                <w:sz w:val="18"/>
                <w:szCs w:val="18"/>
              </w:rPr>
              <w:t>Стеснява се приложното поле на законовата норма.</w:t>
            </w:r>
          </w:p>
          <w:p w:rsidR="00F212A9" w:rsidRPr="007858B8" w:rsidRDefault="00F212A9" w:rsidP="007858B8">
            <w:pPr>
              <w:jc w:val="both"/>
              <w:rPr>
                <w:rFonts w:ascii="Verdana" w:hAnsi="Verdana"/>
                <w:sz w:val="18"/>
                <w:szCs w:val="18"/>
              </w:rPr>
            </w:pPr>
          </w:p>
          <w:p w:rsidR="00E86BF1" w:rsidRPr="007858B8" w:rsidRDefault="00E86BF1" w:rsidP="007858B8">
            <w:pPr>
              <w:jc w:val="both"/>
              <w:rPr>
                <w:rFonts w:ascii="Verdana" w:hAnsi="Verdana"/>
                <w:sz w:val="18"/>
                <w:szCs w:val="18"/>
              </w:rPr>
            </w:pPr>
          </w:p>
        </w:tc>
      </w:tr>
      <w:tr w:rsidR="00E86BF1" w:rsidRPr="00434EBC" w:rsidTr="00B44469">
        <w:trPr>
          <w:trHeight w:val="596"/>
        </w:trPr>
        <w:tc>
          <w:tcPr>
            <w:tcW w:w="622" w:type="dxa"/>
            <w:tcBorders>
              <w:top w:val="dotted" w:sz="4" w:space="0" w:color="auto"/>
              <w:bottom w:val="dotted" w:sz="4" w:space="0" w:color="auto"/>
            </w:tcBorders>
            <w:shd w:val="clear" w:color="auto" w:fill="auto"/>
          </w:tcPr>
          <w:p w:rsidR="00E86BF1" w:rsidRPr="00434EBC" w:rsidRDefault="00E86BF1"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E86BF1" w:rsidRPr="00726706" w:rsidRDefault="00E86BF1" w:rsidP="00726706">
            <w:pPr>
              <w:rPr>
                <w:rFonts w:ascii="Verdana" w:hAnsi="Verdana"/>
                <w:b/>
                <w:sz w:val="18"/>
                <w:szCs w:val="18"/>
              </w:rPr>
            </w:pPr>
          </w:p>
        </w:tc>
        <w:tc>
          <w:tcPr>
            <w:tcW w:w="5812" w:type="dxa"/>
            <w:shd w:val="clear" w:color="auto" w:fill="auto"/>
          </w:tcPr>
          <w:p w:rsidR="00E86BF1" w:rsidRPr="007858B8" w:rsidRDefault="00F212A9" w:rsidP="007858B8">
            <w:pPr>
              <w:pStyle w:val="Bodytext60"/>
              <w:shd w:val="clear" w:color="auto" w:fill="auto"/>
              <w:spacing w:before="0" w:after="0" w:line="274" w:lineRule="exact"/>
              <w:rPr>
                <w:rStyle w:val="BodyTextChar1"/>
                <w:rFonts w:ascii="Verdana" w:hAnsi="Verdana"/>
                <w:color w:val="000000"/>
                <w:sz w:val="18"/>
                <w:szCs w:val="18"/>
              </w:rPr>
            </w:pPr>
            <w:r w:rsidRPr="007858B8">
              <w:rPr>
                <w:rStyle w:val="Bodytext6NotItalic"/>
                <w:rFonts w:ascii="Verdana" w:hAnsi="Verdana"/>
                <w:i w:val="0"/>
                <w:iCs w:val="0"/>
                <w:color w:val="000000"/>
                <w:sz w:val="18"/>
                <w:szCs w:val="18"/>
              </w:rPr>
              <w:t xml:space="preserve">Ал. 7 се допълва с ново изречение със следното съдържание: </w:t>
            </w:r>
            <w:r w:rsidRPr="007858B8">
              <w:rPr>
                <w:rStyle w:val="Bodytext6"/>
                <w:rFonts w:ascii="Verdana" w:hAnsi="Verdana"/>
                <w:i/>
                <w:iCs/>
                <w:color w:val="000000"/>
                <w:sz w:val="18"/>
                <w:szCs w:val="18"/>
                <w:lang w:eastAsia="bg-BG"/>
              </w:rPr>
              <w:t>„ Одобреното план-извлечение се оповестява публикува в седемдневен срок на интернет страницата на органа отговорен за неговото одобряване.“</w:t>
            </w:r>
          </w:p>
        </w:tc>
        <w:tc>
          <w:tcPr>
            <w:tcW w:w="1559" w:type="dxa"/>
            <w:shd w:val="clear" w:color="auto" w:fill="auto"/>
          </w:tcPr>
          <w:p w:rsidR="00F212A9" w:rsidRPr="007858B8" w:rsidRDefault="00F212A9" w:rsidP="007858B8">
            <w:pPr>
              <w:jc w:val="both"/>
              <w:rPr>
                <w:rFonts w:ascii="Verdana" w:hAnsi="Verdana"/>
                <w:sz w:val="18"/>
                <w:szCs w:val="18"/>
              </w:rPr>
            </w:pPr>
            <w:r w:rsidRPr="007858B8">
              <w:rPr>
                <w:rFonts w:ascii="Verdana" w:hAnsi="Verdana"/>
                <w:sz w:val="18"/>
                <w:szCs w:val="18"/>
              </w:rPr>
              <w:t>Приема се</w:t>
            </w:r>
          </w:p>
          <w:p w:rsidR="00E86BF1" w:rsidRPr="007858B8" w:rsidRDefault="00E86BF1" w:rsidP="007858B8">
            <w:pPr>
              <w:jc w:val="both"/>
              <w:rPr>
                <w:rFonts w:ascii="Verdana" w:hAnsi="Verdana"/>
                <w:sz w:val="18"/>
                <w:szCs w:val="18"/>
              </w:rPr>
            </w:pPr>
          </w:p>
        </w:tc>
        <w:tc>
          <w:tcPr>
            <w:tcW w:w="5194" w:type="dxa"/>
            <w:shd w:val="clear" w:color="auto" w:fill="auto"/>
          </w:tcPr>
          <w:p w:rsidR="00E86BF1" w:rsidRPr="007858B8" w:rsidRDefault="00E86BF1" w:rsidP="007858B8">
            <w:pPr>
              <w:jc w:val="both"/>
              <w:rPr>
                <w:rFonts w:ascii="Verdana" w:hAnsi="Verdana"/>
                <w:sz w:val="18"/>
                <w:szCs w:val="18"/>
              </w:rPr>
            </w:pPr>
          </w:p>
        </w:tc>
      </w:tr>
      <w:tr w:rsidR="00E86BF1" w:rsidRPr="00434EBC" w:rsidTr="00B44469">
        <w:trPr>
          <w:trHeight w:val="596"/>
        </w:trPr>
        <w:tc>
          <w:tcPr>
            <w:tcW w:w="622" w:type="dxa"/>
            <w:tcBorders>
              <w:top w:val="dotted" w:sz="4" w:space="0" w:color="auto"/>
              <w:bottom w:val="dotted" w:sz="4" w:space="0" w:color="auto"/>
            </w:tcBorders>
            <w:shd w:val="clear" w:color="auto" w:fill="auto"/>
          </w:tcPr>
          <w:p w:rsidR="00E86BF1" w:rsidRPr="00434EBC" w:rsidRDefault="00E86BF1"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E86BF1" w:rsidRPr="00726706" w:rsidRDefault="00E86BF1" w:rsidP="00726706">
            <w:pPr>
              <w:rPr>
                <w:rFonts w:ascii="Verdana" w:hAnsi="Verdana"/>
                <w:b/>
                <w:sz w:val="18"/>
                <w:szCs w:val="18"/>
              </w:rPr>
            </w:pPr>
          </w:p>
        </w:tc>
        <w:tc>
          <w:tcPr>
            <w:tcW w:w="5812" w:type="dxa"/>
            <w:shd w:val="clear" w:color="auto" w:fill="auto"/>
          </w:tcPr>
          <w:p w:rsidR="00F212A9" w:rsidRPr="007858B8" w:rsidRDefault="00F212A9" w:rsidP="007858B8">
            <w:pPr>
              <w:pStyle w:val="BodyText"/>
              <w:spacing w:after="0" w:line="220" w:lineRule="exact"/>
              <w:jc w:val="both"/>
              <w:rPr>
                <w:rFonts w:ascii="Verdana" w:hAnsi="Verdana"/>
                <w:sz w:val="18"/>
                <w:szCs w:val="18"/>
              </w:rPr>
            </w:pPr>
            <w:r w:rsidRPr="007858B8">
              <w:rPr>
                <w:rStyle w:val="BodyTextChar1"/>
                <w:rFonts w:ascii="Verdana" w:hAnsi="Verdana"/>
                <w:color w:val="000000"/>
                <w:sz w:val="18"/>
                <w:szCs w:val="18"/>
              </w:rPr>
              <w:t>Ал. 8 се изменя по следния начин:</w:t>
            </w:r>
          </w:p>
          <w:p w:rsidR="00E86BF1" w:rsidRPr="007858B8" w:rsidRDefault="00F212A9" w:rsidP="007858B8">
            <w:pPr>
              <w:pStyle w:val="Bodytext60"/>
              <w:shd w:val="clear" w:color="auto" w:fill="auto"/>
              <w:spacing w:before="0" w:after="0" w:line="274" w:lineRule="exact"/>
              <w:rPr>
                <w:rStyle w:val="BodyTextChar1"/>
                <w:rFonts w:ascii="Verdana" w:hAnsi="Verdana"/>
                <w:color w:val="000000"/>
                <w:sz w:val="18"/>
                <w:szCs w:val="18"/>
              </w:rPr>
            </w:pPr>
            <w:r w:rsidRPr="007858B8">
              <w:rPr>
                <w:rStyle w:val="Bodytext6"/>
                <w:rFonts w:ascii="Verdana" w:hAnsi="Verdana"/>
                <w:i/>
                <w:iCs/>
                <w:color w:val="000000"/>
                <w:sz w:val="18"/>
                <w:szCs w:val="18"/>
                <w:lang w:eastAsia="bg-BG"/>
              </w:rPr>
              <w:t>„(8) План-извлеченията и предписанията за санитарни и принудителни сечи се предоставят за информация на лицето, на което е възложено изработването на съответния план или програма. “</w:t>
            </w:r>
          </w:p>
        </w:tc>
        <w:tc>
          <w:tcPr>
            <w:tcW w:w="1559" w:type="dxa"/>
            <w:shd w:val="clear" w:color="auto" w:fill="auto"/>
          </w:tcPr>
          <w:p w:rsidR="00F212A9" w:rsidRPr="007858B8" w:rsidRDefault="00F212A9" w:rsidP="007858B8">
            <w:pPr>
              <w:jc w:val="both"/>
              <w:rPr>
                <w:rFonts w:ascii="Verdana" w:hAnsi="Verdana"/>
                <w:sz w:val="18"/>
                <w:szCs w:val="18"/>
              </w:rPr>
            </w:pPr>
            <w:r w:rsidRPr="007858B8">
              <w:rPr>
                <w:rFonts w:ascii="Verdana" w:hAnsi="Verdana"/>
                <w:sz w:val="18"/>
                <w:szCs w:val="18"/>
              </w:rPr>
              <w:t>Не се приема</w:t>
            </w:r>
          </w:p>
          <w:p w:rsidR="00E86BF1" w:rsidRPr="007858B8" w:rsidRDefault="00E86BF1" w:rsidP="007858B8">
            <w:pPr>
              <w:jc w:val="both"/>
              <w:rPr>
                <w:rFonts w:ascii="Verdana" w:hAnsi="Verdana"/>
                <w:sz w:val="18"/>
                <w:szCs w:val="18"/>
              </w:rPr>
            </w:pPr>
          </w:p>
        </w:tc>
        <w:tc>
          <w:tcPr>
            <w:tcW w:w="5194" w:type="dxa"/>
            <w:shd w:val="clear" w:color="auto" w:fill="auto"/>
          </w:tcPr>
          <w:p w:rsidR="00F212A9" w:rsidRPr="007858B8" w:rsidRDefault="00F212A9" w:rsidP="007858B8">
            <w:pPr>
              <w:jc w:val="both"/>
              <w:rPr>
                <w:rFonts w:ascii="Verdana" w:hAnsi="Verdana"/>
                <w:sz w:val="18"/>
                <w:szCs w:val="18"/>
              </w:rPr>
            </w:pPr>
            <w:r w:rsidRPr="007858B8">
              <w:rPr>
                <w:rFonts w:ascii="Verdana" w:hAnsi="Verdana"/>
                <w:sz w:val="18"/>
                <w:szCs w:val="18"/>
              </w:rPr>
              <w:t>Предложеният в проекта текст за ал.8 урежда реда и условията за издаване на план-извлечения, когато горскостопанският план е в процес на изработване. Това е в съответствие със законовата разпоредба, че план-извлечение е допустимо когато няма горскостопански план или когато той е в процес на изработване. В този смисъл следва да се уреди и втората хипотеза.</w:t>
            </w:r>
          </w:p>
          <w:p w:rsidR="00E86BF1" w:rsidRPr="007858B8" w:rsidRDefault="00E86BF1" w:rsidP="007858B8">
            <w:pPr>
              <w:jc w:val="both"/>
              <w:rPr>
                <w:rFonts w:ascii="Verdana" w:hAnsi="Verdana"/>
                <w:sz w:val="18"/>
                <w:szCs w:val="18"/>
              </w:rPr>
            </w:pPr>
          </w:p>
        </w:tc>
      </w:tr>
      <w:tr w:rsidR="00E86BF1" w:rsidRPr="00434EBC" w:rsidTr="00B44469">
        <w:trPr>
          <w:trHeight w:val="596"/>
        </w:trPr>
        <w:tc>
          <w:tcPr>
            <w:tcW w:w="622" w:type="dxa"/>
            <w:tcBorders>
              <w:top w:val="dotted" w:sz="4" w:space="0" w:color="auto"/>
              <w:bottom w:val="dotted" w:sz="4" w:space="0" w:color="auto"/>
            </w:tcBorders>
            <w:shd w:val="clear" w:color="auto" w:fill="auto"/>
          </w:tcPr>
          <w:p w:rsidR="00E86BF1" w:rsidRPr="00434EBC" w:rsidRDefault="00E86BF1"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E86BF1" w:rsidRPr="00726706" w:rsidRDefault="00E86BF1" w:rsidP="007858B8">
            <w:pPr>
              <w:rPr>
                <w:rFonts w:ascii="Verdana" w:hAnsi="Verdana"/>
                <w:b/>
                <w:sz w:val="18"/>
                <w:szCs w:val="18"/>
              </w:rPr>
            </w:pPr>
          </w:p>
        </w:tc>
        <w:tc>
          <w:tcPr>
            <w:tcW w:w="5812" w:type="dxa"/>
            <w:shd w:val="clear" w:color="auto" w:fill="auto"/>
          </w:tcPr>
          <w:p w:rsidR="00F212A9" w:rsidRDefault="00F212A9" w:rsidP="007858B8">
            <w:pPr>
              <w:pStyle w:val="BodyText"/>
              <w:spacing w:after="0"/>
              <w:rPr>
                <w:rStyle w:val="BodyTextChar1"/>
                <w:rFonts w:ascii="Verdana" w:hAnsi="Verdana"/>
                <w:color w:val="000000"/>
                <w:sz w:val="18"/>
                <w:szCs w:val="18"/>
              </w:rPr>
            </w:pPr>
            <w:r w:rsidRPr="007858B8">
              <w:rPr>
                <w:rStyle w:val="BodyTextChar1"/>
                <w:rFonts w:ascii="Verdana" w:hAnsi="Verdana"/>
                <w:color w:val="000000"/>
                <w:sz w:val="18"/>
                <w:szCs w:val="18"/>
              </w:rPr>
              <w:t>Ал. 9 отпада, а останалите алинеи се преномерират.</w:t>
            </w:r>
          </w:p>
          <w:p w:rsidR="00FD3B2C" w:rsidRPr="007858B8" w:rsidRDefault="00FD3B2C" w:rsidP="007858B8">
            <w:pPr>
              <w:pStyle w:val="BodyText"/>
              <w:spacing w:after="0"/>
              <w:rPr>
                <w:rStyle w:val="BodyTextChar1"/>
                <w:rFonts w:ascii="Verdana" w:hAnsi="Verdana"/>
                <w:color w:val="000000"/>
                <w:sz w:val="18"/>
                <w:szCs w:val="18"/>
              </w:rPr>
            </w:pPr>
          </w:p>
          <w:p w:rsidR="00E86BF1" w:rsidRDefault="00F212A9" w:rsidP="007858B8">
            <w:pPr>
              <w:pStyle w:val="BodyText"/>
              <w:spacing w:after="0"/>
              <w:rPr>
                <w:rStyle w:val="BodyTextChar1"/>
                <w:color w:val="000000"/>
              </w:rPr>
            </w:pPr>
            <w:r w:rsidRPr="007858B8">
              <w:rPr>
                <w:rStyle w:val="BodyTextChar1"/>
                <w:rFonts w:ascii="Verdana" w:hAnsi="Verdana"/>
                <w:color w:val="000000"/>
                <w:sz w:val="18"/>
                <w:szCs w:val="18"/>
              </w:rPr>
              <w:t>От ал. 10, т. 1 след</w:t>
            </w:r>
            <w:r w:rsidR="007858B8">
              <w:rPr>
                <w:rStyle w:val="BodyTextChar1"/>
                <w:rFonts w:ascii="Verdana" w:hAnsi="Verdana"/>
                <w:color w:val="000000"/>
                <w:sz w:val="18"/>
                <w:szCs w:val="18"/>
              </w:rPr>
              <w:t>ва да отпадне текста „програма“</w:t>
            </w:r>
          </w:p>
        </w:tc>
        <w:tc>
          <w:tcPr>
            <w:tcW w:w="1559" w:type="dxa"/>
            <w:shd w:val="clear" w:color="auto" w:fill="auto"/>
          </w:tcPr>
          <w:p w:rsidR="00F212A9" w:rsidRPr="00700612" w:rsidRDefault="00F212A9" w:rsidP="00F212A9">
            <w:pPr>
              <w:rPr>
                <w:rFonts w:ascii="Verdana" w:hAnsi="Verdana"/>
                <w:b/>
                <w:sz w:val="18"/>
                <w:szCs w:val="18"/>
              </w:rPr>
            </w:pPr>
            <w:r w:rsidRPr="00700612">
              <w:rPr>
                <w:rFonts w:ascii="Verdana" w:hAnsi="Verdana"/>
                <w:b/>
                <w:sz w:val="18"/>
                <w:szCs w:val="18"/>
              </w:rPr>
              <w:t>Приема се по принцип</w:t>
            </w:r>
          </w:p>
          <w:p w:rsidR="00F212A9" w:rsidRPr="00700612" w:rsidRDefault="00F212A9" w:rsidP="00F212A9">
            <w:pPr>
              <w:rPr>
                <w:rFonts w:ascii="Verdana" w:hAnsi="Verdana"/>
                <w:b/>
                <w:sz w:val="18"/>
                <w:szCs w:val="18"/>
              </w:rPr>
            </w:pPr>
            <w:r w:rsidRPr="00700612">
              <w:rPr>
                <w:rFonts w:ascii="Verdana" w:hAnsi="Verdana"/>
                <w:b/>
                <w:sz w:val="18"/>
                <w:szCs w:val="18"/>
              </w:rPr>
              <w:t>Приема се</w:t>
            </w:r>
          </w:p>
          <w:p w:rsidR="00E86BF1" w:rsidRDefault="00E86BF1" w:rsidP="00280AAC">
            <w:pPr>
              <w:rPr>
                <w:rFonts w:ascii="Verdana" w:hAnsi="Verdana"/>
                <w:sz w:val="18"/>
                <w:szCs w:val="18"/>
              </w:rPr>
            </w:pPr>
          </w:p>
        </w:tc>
        <w:tc>
          <w:tcPr>
            <w:tcW w:w="5194" w:type="dxa"/>
            <w:shd w:val="clear" w:color="auto" w:fill="auto"/>
          </w:tcPr>
          <w:p w:rsidR="00F212A9" w:rsidRDefault="00F212A9" w:rsidP="00F212A9">
            <w:pPr>
              <w:rPr>
                <w:rFonts w:ascii="Verdana" w:hAnsi="Verdana"/>
                <w:sz w:val="18"/>
                <w:szCs w:val="18"/>
              </w:rPr>
            </w:pPr>
            <w:r w:rsidRPr="00145E00">
              <w:rPr>
                <w:rFonts w:ascii="Verdana" w:hAnsi="Verdana"/>
                <w:sz w:val="18"/>
                <w:szCs w:val="18"/>
              </w:rPr>
              <w:lastRenderedPageBreak/>
              <w:t>Направена е редакция на текста</w:t>
            </w:r>
          </w:p>
          <w:p w:rsidR="00E86BF1" w:rsidRPr="00434EBC" w:rsidRDefault="00E86BF1" w:rsidP="00A3307B">
            <w:pPr>
              <w:rPr>
                <w:rFonts w:ascii="Verdana" w:hAnsi="Verdana"/>
                <w:sz w:val="18"/>
                <w:szCs w:val="18"/>
              </w:rPr>
            </w:pPr>
          </w:p>
        </w:tc>
      </w:tr>
      <w:tr w:rsidR="00E86BF1" w:rsidRPr="00434EBC" w:rsidTr="00B44469">
        <w:trPr>
          <w:trHeight w:val="596"/>
        </w:trPr>
        <w:tc>
          <w:tcPr>
            <w:tcW w:w="622" w:type="dxa"/>
            <w:tcBorders>
              <w:top w:val="dotted" w:sz="4" w:space="0" w:color="auto"/>
              <w:bottom w:val="dotted" w:sz="4" w:space="0" w:color="auto"/>
            </w:tcBorders>
            <w:shd w:val="clear" w:color="auto" w:fill="auto"/>
          </w:tcPr>
          <w:p w:rsidR="00E86BF1" w:rsidRPr="00434EBC" w:rsidRDefault="00E86BF1" w:rsidP="00B44469">
            <w:pPr>
              <w:pStyle w:val="ListParagraph"/>
              <w:tabs>
                <w:tab w:val="left" w:pos="192"/>
              </w:tabs>
              <w:ind w:left="425"/>
              <w:rPr>
                <w:rFonts w:ascii="Verdana" w:hAnsi="Verdana"/>
                <w:b/>
                <w:sz w:val="18"/>
                <w:szCs w:val="18"/>
              </w:rPr>
            </w:pPr>
          </w:p>
        </w:tc>
        <w:tc>
          <w:tcPr>
            <w:tcW w:w="2463" w:type="dxa"/>
            <w:tcBorders>
              <w:top w:val="dotted" w:sz="4" w:space="0" w:color="auto"/>
              <w:bottom w:val="dotted" w:sz="4" w:space="0" w:color="auto"/>
            </w:tcBorders>
            <w:shd w:val="clear" w:color="auto" w:fill="auto"/>
          </w:tcPr>
          <w:p w:rsidR="00E86BF1" w:rsidRPr="007858B8" w:rsidRDefault="00E86BF1" w:rsidP="007858B8">
            <w:pPr>
              <w:pStyle w:val="BodyText"/>
              <w:spacing w:after="0" w:line="278" w:lineRule="exact"/>
              <w:rPr>
                <w:rStyle w:val="BodyTextChar1"/>
                <w:color w:val="000000"/>
              </w:rPr>
            </w:pPr>
          </w:p>
        </w:tc>
        <w:tc>
          <w:tcPr>
            <w:tcW w:w="5812" w:type="dxa"/>
            <w:shd w:val="clear" w:color="auto" w:fill="auto"/>
          </w:tcPr>
          <w:p w:rsidR="007751AE" w:rsidRPr="007858B8" w:rsidRDefault="007751AE" w:rsidP="007858B8">
            <w:pPr>
              <w:pStyle w:val="BodyText"/>
              <w:spacing w:after="0" w:line="278" w:lineRule="exact"/>
              <w:jc w:val="both"/>
              <w:rPr>
                <w:rStyle w:val="BodyTextChar1"/>
                <w:rFonts w:ascii="Verdana" w:hAnsi="Verdana"/>
                <w:color w:val="000000"/>
                <w:sz w:val="18"/>
                <w:szCs w:val="18"/>
              </w:rPr>
            </w:pPr>
            <w:r w:rsidRPr="007858B8">
              <w:rPr>
                <w:rStyle w:val="BodyTextChar1"/>
                <w:rFonts w:ascii="Verdana" w:hAnsi="Verdana"/>
                <w:color w:val="000000"/>
                <w:sz w:val="18"/>
                <w:szCs w:val="18"/>
              </w:rPr>
              <w:t xml:space="preserve">а т. 2 следва да отпадне изцяло. </w:t>
            </w:r>
          </w:p>
          <w:p w:rsidR="007751AE" w:rsidRPr="007858B8" w:rsidRDefault="007751AE" w:rsidP="007858B8">
            <w:pPr>
              <w:pStyle w:val="BodyText"/>
              <w:spacing w:after="0" w:line="278" w:lineRule="exact"/>
              <w:jc w:val="both"/>
              <w:rPr>
                <w:rStyle w:val="BodyTextChar1"/>
                <w:rFonts w:ascii="Verdana" w:hAnsi="Verdana"/>
                <w:color w:val="000000"/>
                <w:sz w:val="18"/>
                <w:szCs w:val="18"/>
              </w:rPr>
            </w:pPr>
            <w:r w:rsidRPr="007858B8">
              <w:rPr>
                <w:rStyle w:val="BodyTextChar1"/>
                <w:rFonts w:ascii="Verdana" w:hAnsi="Verdana"/>
                <w:b/>
                <w:bCs/>
                <w:sz w:val="18"/>
                <w:szCs w:val="18"/>
              </w:rPr>
              <w:t>Мотиви:</w:t>
            </w:r>
          </w:p>
          <w:p w:rsidR="007751AE" w:rsidRPr="007858B8" w:rsidRDefault="007751AE" w:rsidP="007858B8">
            <w:pPr>
              <w:pStyle w:val="BodyText"/>
              <w:spacing w:after="0" w:line="278" w:lineRule="exact"/>
              <w:jc w:val="both"/>
              <w:rPr>
                <w:rStyle w:val="BodyTextChar1"/>
                <w:rFonts w:ascii="Verdana" w:hAnsi="Verdana"/>
                <w:color w:val="000000"/>
                <w:sz w:val="18"/>
                <w:szCs w:val="18"/>
              </w:rPr>
            </w:pPr>
            <w:r w:rsidRPr="007858B8">
              <w:rPr>
                <w:rStyle w:val="BodyTextChar1"/>
                <w:rFonts w:ascii="Verdana" w:hAnsi="Verdana"/>
                <w:color w:val="000000"/>
                <w:sz w:val="18"/>
                <w:szCs w:val="18"/>
              </w:rPr>
              <w:t>Систематичното място на разпоредбите регламентиращи условията и редът за изготвяне, издаване и одобряване на план-извлеченията е в Глава трета „ПРАВИЛА ЗА ПРОВЕЖДАНЕ НА СЕЧИТЕ“, Раздел I „Условия и ред за провеждане на сечите“. В Решение № 3305/28.03.2023 г. по адм. дело №6844/2022, в което ВАС се произнася в светлината на изменените и допълнени разпоредби на ЗГ, съдебният състав изрично посочи, че систематичното място на разпоредбите регламентиращи план-извлеченията, не е в раздела на наредбата касаещ условията и реда за издаване на позволително за сеч.</w:t>
            </w:r>
          </w:p>
          <w:p w:rsidR="007751AE" w:rsidRPr="007858B8" w:rsidRDefault="007751AE" w:rsidP="007858B8">
            <w:pPr>
              <w:pStyle w:val="BodyText"/>
              <w:spacing w:after="0" w:line="278" w:lineRule="exact"/>
              <w:jc w:val="both"/>
              <w:rPr>
                <w:rStyle w:val="BodyTextChar1"/>
                <w:rFonts w:ascii="Verdana" w:hAnsi="Verdana"/>
                <w:color w:val="000000"/>
                <w:sz w:val="18"/>
                <w:szCs w:val="18"/>
              </w:rPr>
            </w:pPr>
            <w:r w:rsidRPr="007858B8">
              <w:rPr>
                <w:rStyle w:val="BodyTextChar1"/>
                <w:rFonts w:ascii="Verdana" w:hAnsi="Verdana"/>
                <w:color w:val="000000"/>
                <w:sz w:val="18"/>
                <w:szCs w:val="18"/>
              </w:rPr>
              <w:t>Ал. 1 следва да отпадне или да се преработи в съответствие с разпоредбите на ЗГ. От предложената разпоредба е ясно, че става въпрос за изменение на вида на вече планирана или разрешена сеч, но не се посочва, с какъв инструмент ще се извърши тази промяна. Инструментите за планиране и извършване на сечи предвидени в Закона за горите, са горскостопански планове и програми или техни изменения, предписания за санитарни и принудителни сечи и план-извлечения и съответно ако вносителите на проекта за изменения и допълнения на наредбата държат тази разпоредба да остане, тя трябва да се приведе в съответствие с разпоредбите на ЗГ регламентиращи планирането и разрешаването на сечи.</w:t>
            </w:r>
          </w:p>
          <w:p w:rsidR="007751AE" w:rsidRPr="007858B8" w:rsidRDefault="007751AE" w:rsidP="007858B8">
            <w:pPr>
              <w:pStyle w:val="BodyText"/>
              <w:spacing w:after="0" w:line="278" w:lineRule="exact"/>
              <w:jc w:val="both"/>
              <w:rPr>
                <w:rStyle w:val="BodyTextChar1"/>
                <w:rFonts w:ascii="Verdana" w:hAnsi="Verdana"/>
                <w:color w:val="000000"/>
                <w:sz w:val="18"/>
                <w:szCs w:val="18"/>
              </w:rPr>
            </w:pPr>
            <w:r w:rsidRPr="007858B8">
              <w:rPr>
                <w:rStyle w:val="BodyTextChar1"/>
                <w:rFonts w:ascii="Verdana" w:hAnsi="Verdana"/>
                <w:color w:val="000000"/>
                <w:sz w:val="18"/>
                <w:szCs w:val="18"/>
              </w:rPr>
              <w:t xml:space="preserve">Корекциите по останалите разпоредби са поради противоречия с § 56 от ДР на ЗГ. Съгласно тази </w:t>
            </w:r>
            <w:r w:rsidRPr="007858B8">
              <w:rPr>
                <w:rStyle w:val="BodyTextChar1"/>
                <w:rFonts w:ascii="Verdana" w:hAnsi="Verdana"/>
                <w:color w:val="000000"/>
                <w:sz w:val="18"/>
                <w:szCs w:val="18"/>
              </w:rPr>
              <w:lastRenderedPageBreak/>
              <w:t>разпоредба, с план-извлечение се определя насока на стопанисване за съответната територия, само когато няма утвърден горскостопански план, тоест тази разпоредба се отнася само за територии, за които ЗГ предвижда изготвяне на горскостопански планове, но не и за територии, за които законът предвижда изготвяне на горскостопански програми.</w:t>
            </w:r>
          </w:p>
          <w:p w:rsidR="007751AE" w:rsidRPr="007858B8" w:rsidRDefault="007751AE" w:rsidP="007858B8">
            <w:pPr>
              <w:pStyle w:val="BodyText"/>
              <w:spacing w:after="0" w:line="278" w:lineRule="exact"/>
              <w:jc w:val="both"/>
              <w:rPr>
                <w:rStyle w:val="BodyTextChar1"/>
                <w:rFonts w:ascii="Verdana" w:hAnsi="Verdana"/>
                <w:color w:val="000000"/>
                <w:sz w:val="18"/>
                <w:szCs w:val="18"/>
              </w:rPr>
            </w:pPr>
            <w:r w:rsidRPr="007858B8">
              <w:rPr>
                <w:rStyle w:val="BodyTextChar1"/>
                <w:rFonts w:ascii="Verdana" w:hAnsi="Verdana"/>
                <w:color w:val="000000"/>
                <w:sz w:val="18"/>
                <w:szCs w:val="18"/>
              </w:rPr>
              <w:t>Що се отнася до случаите, когато горскостопански план или програма е в процес на изработване, § 56 от ДР на ЗГ предвижда в този период с план-извлечение да се планират и провеждат сечи, но не и да се изменя насока на стопанисване, както предвиждат разпоредбите на чл. 52б, ал. 3, ал. 8 и ал. 10 от проекта за изменение на наредбата. Затова и сме предложили съответните редакции, с които предлаганите разпоредби на чл. 52б, да се приведет в съответствие с § 56 от ДР на ЗГ.</w:t>
            </w:r>
          </w:p>
          <w:p w:rsidR="007751AE" w:rsidRPr="007858B8" w:rsidRDefault="007751AE" w:rsidP="007858B8">
            <w:pPr>
              <w:pStyle w:val="BodyText"/>
              <w:spacing w:after="0" w:line="278" w:lineRule="exact"/>
              <w:jc w:val="both"/>
              <w:rPr>
                <w:rStyle w:val="BodyTextChar1"/>
                <w:rFonts w:ascii="Verdana" w:hAnsi="Verdana"/>
                <w:color w:val="000000"/>
                <w:sz w:val="18"/>
                <w:szCs w:val="18"/>
              </w:rPr>
            </w:pPr>
            <w:r w:rsidRPr="007858B8">
              <w:rPr>
                <w:rStyle w:val="BodyTextChar1"/>
                <w:rFonts w:ascii="Verdana" w:hAnsi="Verdana"/>
                <w:color w:val="000000"/>
                <w:sz w:val="18"/>
                <w:szCs w:val="18"/>
              </w:rPr>
              <w:t>Предложението за допълнение на ал. 7 е свързано с осигуряване на повече публичност и прозрачност при провеждане на сечите в горите.</w:t>
            </w:r>
          </w:p>
          <w:p w:rsidR="00E86BF1" w:rsidRPr="007858B8" w:rsidRDefault="007751AE" w:rsidP="007858B8">
            <w:pPr>
              <w:pStyle w:val="BodyText"/>
              <w:spacing w:after="0" w:line="278" w:lineRule="exact"/>
              <w:jc w:val="both"/>
              <w:rPr>
                <w:rStyle w:val="BodyTextChar1"/>
                <w:rFonts w:ascii="Verdana" w:hAnsi="Verdana"/>
                <w:color w:val="000000"/>
                <w:sz w:val="18"/>
                <w:szCs w:val="18"/>
              </w:rPr>
            </w:pPr>
            <w:r w:rsidRPr="007858B8">
              <w:rPr>
                <w:rStyle w:val="BodyTextChar1"/>
                <w:rFonts w:ascii="Verdana" w:hAnsi="Verdana"/>
                <w:b/>
                <w:bCs/>
                <w:sz w:val="18"/>
                <w:szCs w:val="18"/>
              </w:rPr>
              <w:t>Необходимо е в наредбата да се пресъздадат и детайлно хипотезите в § 56 от ДР на ЗГ регламентиращи планирането и разрешаването на сечите с план-извлечения (без санитарните и принудителни сечи, за които е направено), а не само хипотезите за определяне или промяна на насоки на стопанисване.</w:t>
            </w:r>
          </w:p>
        </w:tc>
        <w:tc>
          <w:tcPr>
            <w:tcW w:w="1559" w:type="dxa"/>
            <w:shd w:val="clear" w:color="auto" w:fill="auto"/>
          </w:tcPr>
          <w:p w:rsidR="007751AE" w:rsidRDefault="007751AE" w:rsidP="007858B8">
            <w:pPr>
              <w:jc w:val="both"/>
              <w:rPr>
                <w:rFonts w:ascii="Verdana" w:hAnsi="Verdana"/>
                <w:sz w:val="18"/>
                <w:szCs w:val="18"/>
              </w:rPr>
            </w:pPr>
            <w:r>
              <w:rPr>
                <w:rFonts w:ascii="Verdana" w:hAnsi="Verdana"/>
                <w:sz w:val="18"/>
                <w:szCs w:val="18"/>
              </w:rPr>
              <w:lastRenderedPageBreak/>
              <w:t>Не се приема</w:t>
            </w:r>
          </w:p>
          <w:p w:rsidR="00E86BF1" w:rsidRDefault="00E86BF1" w:rsidP="007858B8">
            <w:pPr>
              <w:jc w:val="both"/>
              <w:rPr>
                <w:rFonts w:ascii="Verdana" w:hAnsi="Verdana"/>
                <w:sz w:val="18"/>
                <w:szCs w:val="18"/>
              </w:rPr>
            </w:pPr>
          </w:p>
        </w:tc>
        <w:tc>
          <w:tcPr>
            <w:tcW w:w="5194" w:type="dxa"/>
            <w:shd w:val="clear" w:color="auto" w:fill="auto"/>
          </w:tcPr>
          <w:p w:rsidR="007751AE" w:rsidRPr="004A6DEF" w:rsidRDefault="007751AE" w:rsidP="007858B8">
            <w:pPr>
              <w:jc w:val="both"/>
              <w:rPr>
                <w:rFonts w:ascii="Verdana" w:hAnsi="Verdana"/>
                <w:sz w:val="18"/>
                <w:szCs w:val="18"/>
              </w:rPr>
            </w:pPr>
            <w:r w:rsidRPr="004A6DEF">
              <w:rPr>
                <w:rFonts w:ascii="Verdana" w:hAnsi="Verdana"/>
                <w:sz w:val="18"/>
                <w:szCs w:val="18"/>
              </w:rPr>
              <w:t>Необходимо е да има срок на действие на план-извлечението, в случаите когато горскостопанския план или програма е в процес на изработване.</w:t>
            </w:r>
          </w:p>
          <w:p w:rsidR="00E86BF1" w:rsidRPr="00434EBC" w:rsidRDefault="00E86BF1" w:rsidP="007858B8">
            <w:pPr>
              <w:jc w:val="both"/>
              <w:rPr>
                <w:rFonts w:ascii="Verdana" w:hAnsi="Verdana"/>
                <w:sz w:val="18"/>
                <w:szCs w:val="18"/>
              </w:rPr>
            </w:pPr>
          </w:p>
        </w:tc>
      </w:tr>
      <w:tr w:rsidR="002B600B" w:rsidRPr="00434EBC" w:rsidTr="00F95D27">
        <w:tc>
          <w:tcPr>
            <w:tcW w:w="622" w:type="dxa"/>
            <w:tcBorders>
              <w:top w:val="nil"/>
              <w:bottom w:val="single" w:sz="18" w:space="0" w:color="2E74B5"/>
            </w:tcBorders>
            <w:shd w:val="clear" w:color="auto" w:fill="auto"/>
          </w:tcPr>
          <w:p w:rsidR="002B600B" w:rsidRPr="002B600B" w:rsidRDefault="002B600B" w:rsidP="002B600B">
            <w:pPr>
              <w:tabs>
                <w:tab w:val="left" w:pos="192"/>
              </w:tabs>
              <w:ind w:left="425"/>
              <w:jc w:val="center"/>
              <w:rPr>
                <w:rFonts w:ascii="Verdana" w:hAnsi="Verdana"/>
                <w:b/>
                <w:sz w:val="18"/>
                <w:szCs w:val="18"/>
              </w:rPr>
            </w:pPr>
          </w:p>
        </w:tc>
        <w:tc>
          <w:tcPr>
            <w:tcW w:w="2463" w:type="dxa"/>
            <w:tcBorders>
              <w:top w:val="nil"/>
              <w:bottom w:val="single" w:sz="18" w:space="0" w:color="2E74B5"/>
            </w:tcBorders>
            <w:shd w:val="clear" w:color="auto" w:fill="auto"/>
          </w:tcPr>
          <w:p w:rsidR="002B600B" w:rsidRPr="00434EBC" w:rsidRDefault="002B600B" w:rsidP="002635AC">
            <w:pPr>
              <w:rPr>
                <w:rFonts w:ascii="Verdana" w:hAnsi="Verdana"/>
                <w:b/>
                <w:sz w:val="18"/>
                <w:szCs w:val="18"/>
              </w:rPr>
            </w:pPr>
          </w:p>
        </w:tc>
        <w:tc>
          <w:tcPr>
            <w:tcW w:w="5812" w:type="dxa"/>
            <w:tcBorders>
              <w:top w:val="nil"/>
              <w:bottom w:val="single" w:sz="18" w:space="0" w:color="2E74B5"/>
            </w:tcBorders>
            <w:shd w:val="clear" w:color="auto" w:fill="auto"/>
          </w:tcPr>
          <w:p w:rsidR="00EA3EE0" w:rsidRPr="007858B8" w:rsidRDefault="00EA3EE0" w:rsidP="007858B8">
            <w:pPr>
              <w:pStyle w:val="Bodytext70"/>
              <w:numPr>
                <w:ilvl w:val="0"/>
                <w:numId w:val="7"/>
              </w:numPr>
              <w:shd w:val="clear" w:color="auto" w:fill="auto"/>
              <w:tabs>
                <w:tab w:val="left" w:pos="318"/>
              </w:tabs>
              <w:spacing w:before="0" w:after="0" w:line="220" w:lineRule="exact"/>
              <w:rPr>
                <w:rFonts w:ascii="Verdana" w:hAnsi="Verdana"/>
                <w:sz w:val="18"/>
                <w:szCs w:val="18"/>
              </w:rPr>
            </w:pPr>
            <w:r w:rsidRPr="007858B8">
              <w:rPr>
                <w:rStyle w:val="Bodytext7"/>
                <w:rFonts w:ascii="Verdana" w:hAnsi="Verdana"/>
                <w:b/>
                <w:bCs/>
                <w:color w:val="000000"/>
                <w:sz w:val="18"/>
                <w:szCs w:val="18"/>
                <w:lang w:eastAsia="bg-BG"/>
              </w:rPr>
              <w:t>Относно предложенията за нов чл. 52б от наредбата.</w:t>
            </w:r>
          </w:p>
          <w:p w:rsidR="00EA3EE0" w:rsidRPr="007858B8" w:rsidRDefault="00EA3EE0" w:rsidP="007858B8">
            <w:pPr>
              <w:pStyle w:val="BodyText"/>
              <w:spacing w:after="0" w:line="220" w:lineRule="exact"/>
              <w:jc w:val="both"/>
              <w:rPr>
                <w:rFonts w:ascii="Verdana" w:hAnsi="Verdana"/>
                <w:color w:val="000000"/>
                <w:sz w:val="18"/>
                <w:szCs w:val="18"/>
              </w:rPr>
            </w:pPr>
            <w:r w:rsidRPr="007858B8">
              <w:rPr>
                <w:rStyle w:val="BodyTextChar1"/>
                <w:rFonts w:ascii="Verdana" w:hAnsi="Verdana"/>
                <w:color w:val="000000"/>
                <w:sz w:val="18"/>
                <w:szCs w:val="18"/>
              </w:rPr>
              <w:t>Предлагаме чл. 52в да стане чл. 46б и да придобие следното съдържание.</w:t>
            </w:r>
          </w:p>
          <w:p w:rsidR="00EA3EE0" w:rsidRPr="007858B8" w:rsidRDefault="00EA3EE0" w:rsidP="007858B8">
            <w:pPr>
              <w:pStyle w:val="Bodytext60"/>
              <w:shd w:val="clear" w:color="auto" w:fill="auto"/>
              <w:spacing w:before="0" w:after="0" w:line="274" w:lineRule="exact"/>
              <w:rPr>
                <w:rFonts w:ascii="Verdana" w:hAnsi="Verdana"/>
                <w:sz w:val="18"/>
                <w:szCs w:val="18"/>
              </w:rPr>
            </w:pPr>
            <w:r w:rsidRPr="007858B8">
              <w:rPr>
                <w:rStyle w:val="Bodytext6"/>
                <w:rFonts w:ascii="Verdana" w:hAnsi="Verdana"/>
                <w:i/>
                <w:iCs/>
                <w:color w:val="000000"/>
                <w:sz w:val="18"/>
                <w:szCs w:val="18"/>
                <w:lang w:eastAsia="bg-BG"/>
              </w:rPr>
              <w:t xml:space="preserve">„(1) Предписание за провеждане на санитарни и принудителни сечи се издава от изпълнителният директор </w:t>
            </w:r>
            <w:r w:rsidRPr="007858B8">
              <w:rPr>
                <w:rStyle w:val="Bodytext6"/>
                <w:rFonts w:ascii="Verdana" w:hAnsi="Verdana"/>
                <w:i/>
                <w:iCs/>
                <w:color w:val="000000"/>
                <w:sz w:val="18"/>
                <w:szCs w:val="18"/>
                <w:lang w:eastAsia="bg-BG"/>
              </w:rPr>
              <w:lastRenderedPageBreak/>
              <w:t>на Регионална дирекция по горите или Лесозащитна станция по образец, утвърден от изпълнителния директор Изпълнителната агенция по горите.</w:t>
            </w:r>
          </w:p>
          <w:p w:rsidR="00EA3EE0" w:rsidRPr="007858B8" w:rsidRDefault="00EA3EE0" w:rsidP="007858B8">
            <w:pPr>
              <w:pStyle w:val="BodyText"/>
              <w:spacing w:after="0" w:line="274" w:lineRule="exact"/>
              <w:jc w:val="both"/>
              <w:rPr>
                <w:rStyle w:val="Bodytext6"/>
                <w:rFonts w:ascii="Verdana" w:hAnsi="Verdana"/>
                <w:i w:val="0"/>
                <w:iCs w:val="0"/>
                <w:color w:val="000000"/>
                <w:sz w:val="18"/>
                <w:szCs w:val="18"/>
              </w:rPr>
            </w:pPr>
            <w:r w:rsidRPr="007858B8">
              <w:rPr>
                <w:rStyle w:val="Bodytext6"/>
                <w:rFonts w:ascii="Verdana" w:hAnsi="Verdana"/>
                <w:i w:val="0"/>
                <w:iCs w:val="0"/>
                <w:color w:val="000000"/>
                <w:sz w:val="18"/>
                <w:szCs w:val="18"/>
              </w:rPr>
              <w:t>Решението за издаване на предписанието се взима въз основа на изготвен констативен протокол от теренна проверка и се оповестява на интернет страницата на Регионална дирекция по горите или Лесозащитна станция в седемдневен срок от издаването му.</w:t>
            </w:r>
          </w:p>
          <w:p w:rsidR="00EA3EE0" w:rsidRPr="007858B8" w:rsidRDefault="00EA3EE0" w:rsidP="007858B8">
            <w:pPr>
              <w:pStyle w:val="Bodytext60"/>
              <w:numPr>
                <w:ilvl w:val="0"/>
                <w:numId w:val="8"/>
              </w:numPr>
              <w:shd w:val="clear" w:color="auto" w:fill="auto"/>
              <w:spacing w:before="0" w:after="0" w:line="274" w:lineRule="exact"/>
              <w:rPr>
                <w:rFonts w:ascii="Verdana" w:hAnsi="Verdana"/>
                <w:sz w:val="18"/>
                <w:szCs w:val="18"/>
              </w:rPr>
            </w:pPr>
            <w:r w:rsidRPr="007858B8">
              <w:rPr>
                <w:rStyle w:val="Bodytext6"/>
                <w:rFonts w:ascii="Verdana" w:hAnsi="Verdana"/>
                <w:i/>
                <w:iCs/>
                <w:color w:val="000000"/>
                <w:sz w:val="18"/>
                <w:szCs w:val="18"/>
                <w:lang w:eastAsia="bg-BG"/>
              </w:rPr>
              <w:t>Срока на действие на предписанието се определя при отчитане на протокола от теренната проверка, въз основа на вида, особеностите и развитието на вредителя, възможната технология на добив, обема на предвиденото ползване и други фактори.</w:t>
            </w:r>
          </w:p>
          <w:p w:rsidR="00EA3EE0" w:rsidRPr="007858B8" w:rsidRDefault="00EA3EE0" w:rsidP="007858B8">
            <w:pPr>
              <w:pStyle w:val="Bodytext60"/>
              <w:numPr>
                <w:ilvl w:val="0"/>
                <w:numId w:val="8"/>
              </w:numPr>
              <w:shd w:val="clear" w:color="auto" w:fill="auto"/>
              <w:spacing w:before="0" w:after="0" w:line="274" w:lineRule="exact"/>
              <w:rPr>
                <w:rFonts w:ascii="Verdana" w:hAnsi="Verdana"/>
                <w:sz w:val="18"/>
                <w:szCs w:val="18"/>
              </w:rPr>
            </w:pPr>
            <w:r w:rsidRPr="007858B8">
              <w:rPr>
                <w:rStyle w:val="Bodytext6"/>
                <w:rFonts w:ascii="Verdana" w:hAnsi="Verdana"/>
                <w:i/>
                <w:iCs/>
                <w:color w:val="000000"/>
                <w:sz w:val="18"/>
                <w:szCs w:val="18"/>
                <w:lang w:eastAsia="bg-BG"/>
              </w:rPr>
              <w:t xml:space="preserve"> Решението за издаване на предписанието се взима след уведомяване на компетентните органи по околна среда и след влизане в сила на акта за съгласуването на предписанието от тези органи.</w:t>
            </w:r>
          </w:p>
          <w:p w:rsidR="00EA3EE0" w:rsidRPr="007858B8" w:rsidRDefault="00EA3EE0" w:rsidP="007858B8">
            <w:pPr>
              <w:pStyle w:val="Bodytext60"/>
              <w:numPr>
                <w:ilvl w:val="0"/>
                <w:numId w:val="8"/>
              </w:numPr>
              <w:shd w:val="clear" w:color="auto" w:fill="auto"/>
              <w:spacing w:before="0" w:after="0" w:line="274" w:lineRule="exact"/>
              <w:rPr>
                <w:rFonts w:ascii="Verdana" w:hAnsi="Verdana"/>
                <w:sz w:val="18"/>
                <w:szCs w:val="18"/>
              </w:rPr>
            </w:pPr>
            <w:r w:rsidRPr="007858B8">
              <w:rPr>
                <w:rStyle w:val="Bodytext6"/>
                <w:rFonts w:ascii="Verdana" w:hAnsi="Verdana"/>
                <w:i/>
                <w:iCs/>
                <w:color w:val="000000"/>
                <w:sz w:val="18"/>
                <w:szCs w:val="18"/>
                <w:lang w:eastAsia="bg-BG"/>
              </w:rPr>
              <w:t xml:space="preserve"> След изтичане на срока на предписанието и при доказана необходимост, може да се издаде ново предписание по реда на ал. 1 до ал. 4. “</w:t>
            </w:r>
          </w:p>
          <w:p w:rsidR="00EA3EE0" w:rsidRPr="007858B8" w:rsidRDefault="00EA3EE0" w:rsidP="007858B8">
            <w:pPr>
              <w:pStyle w:val="Bodytext70"/>
              <w:shd w:val="clear" w:color="auto" w:fill="auto"/>
              <w:spacing w:before="0" w:after="0" w:line="220" w:lineRule="exact"/>
              <w:rPr>
                <w:rFonts w:ascii="Verdana" w:hAnsi="Verdana"/>
                <w:sz w:val="18"/>
                <w:szCs w:val="18"/>
              </w:rPr>
            </w:pPr>
            <w:r w:rsidRPr="007858B8">
              <w:rPr>
                <w:rStyle w:val="Bodytext7"/>
                <w:rFonts w:ascii="Verdana" w:hAnsi="Verdana"/>
                <w:b/>
                <w:bCs/>
                <w:color w:val="000000"/>
                <w:sz w:val="18"/>
                <w:szCs w:val="18"/>
                <w:lang w:eastAsia="bg-BG"/>
              </w:rPr>
              <w:t>Мотиви:</w:t>
            </w:r>
          </w:p>
          <w:p w:rsidR="00EA3EE0" w:rsidRPr="007858B8" w:rsidRDefault="00EA3EE0" w:rsidP="007858B8">
            <w:pPr>
              <w:pStyle w:val="BodyText"/>
              <w:spacing w:after="0" w:line="278" w:lineRule="exact"/>
              <w:jc w:val="both"/>
              <w:rPr>
                <w:rFonts w:ascii="Verdana" w:hAnsi="Verdana"/>
                <w:sz w:val="18"/>
                <w:szCs w:val="18"/>
              </w:rPr>
            </w:pPr>
            <w:r w:rsidRPr="007858B8">
              <w:rPr>
                <w:rStyle w:val="BodyTextChar1"/>
                <w:rFonts w:ascii="Verdana" w:hAnsi="Verdana"/>
                <w:color w:val="000000"/>
                <w:sz w:val="18"/>
                <w:szCs w:val="18"/>
              </w:rPr>
              <w:t>Систематичното място на разпоредбите регламентиращи условията и редът за изготвяне, издаване и одобряване на предписанията е в Глава трета „ПРАВИЛА ЗА ПРОВЕЖДАНЕ НА СЕЧИТЕ“, Раздел I „Условия и ред за провеждане на сечите“.</w:t>
            </w:r>
          </w:p>
          <w:p w:rsidR="00EA3EE0" w:rsidRPr="007858B8" w:rsidRDefault="00EA3EE0" w:rsidP="007858B8">
            <w:pPr>
              <w:pStyle w:val="BodyText"/>
              <w:spacing w:after="0" w:line="274" w:lineRule="exact"/>
              <w:jc w:val="both"/>
              <w:rPr>
                <w:rFonts w:ascii="Verdana" w:hAnsi="Verdana"/>
                <w:sz w:val="18"/>
                <w:szCs w:val="18"/>
              </w:rPr>
            </w:pPr>
            <w:r w:rsidRPr="007858B8">
              <w:rPr>
                <w:rStyle w:val="BodyTextChar1"/>
                <w:rFonts w:ascii="Verdana" w:hAnsi="Verdana"/>
                <w:color w:val="000000"/>
                <w:sz w:val="18"/>
                <w:szCs w:val="18"/>
              </w:rPr>
              <w:t xml:space="preserve">Всяка намеса в околната среда е необходимо да се съгласува с компетентните органи по околна среда за произнасяне в съответствие с действащото национално законодателство в областта на околната среда, по-голямата част от което, представлява транспозиция на актове от вторичното право на Съюза. Към настоящият </w:t>
            </w:r>
            <w:r w:rsidRPr="007858B8">
              <w:rPr>
                <w:rStyle w:val="BodyTextChar1"/>
                <w:rFonts w:ascii="Verdana" w:hAnsi="Verdana"/>
                <w:color w:val="000000"/>
                <w:sz w:val="18"/>
                <w:szCs w:val="18"/>
              </w:rPr>
              <w:lastRenderedPageBreak/>
              <w:t>момент, държавата ни е в последния етап на наказателна процедура с референтен номер 2008/4461 за нарушения на чл. 6, параграф 3 на Директива 92/43/ЕИО, като един от основните аргументи на Комисията в мотивираното и становище, е неподлагането на санитарните и принудителните сечи на процедурата предвидена в разпоредбата на директивата. На органите по околна среда, следва да бъде предоставена цялата информация за намесата в околната среда, затова технологията на сеч или други параметри на намесата в околната среда трябва да са изяснени преди подаването на уведомлението към тези органи за предписанието, което се планира да бъде издадено.</w:t>
            </w:r>
          </w:p>
          <w:p w:rsidR="002B600B" w:rsidRPr="00337557" w:rsidRDefault="00EA3EE0" w:rsidP="009A1B04">
            <w:pPr>
              <w:pStyle w:val="BodyText"/>
              <w:spacing w:after="0" w:line="274" w:lineRule="exact"/>
              <w:jc w:val="both"/>
              <w:rPr>
                <w:rFonts w:ascii="Verdana" w:hAnsi="Verdana"/>
                <w:color w:val="FF0000"/>
                <w:sz w:val="18"/>
                <w:szCs w:val="18"/>
              </w:rPr>
            </w:pPr>
            <w:r w:rsidRPr="007858B8">
              <w:rPr>
                <w:rStyle w:val="BodyTextChar1"/>
                <w:rFonts w:ascii="Verdana" w:hAnsi="Verdana"/>
                <w:color w:val="000000"/>
                <w:sz w:val="18"/>
                <w:szCs w:val="18"/>
              </w:rPr>
              <w:t>Публичността на предписанията за санитарни и принудителни сечи, следва да се осигури с цел прилагане разпоредбите на Орхуската Конвенция. Публичността на предписанията за санитарни и принудителни сечи, следва да се осигури и с цел ефективното обезпечаване на правото на защита по чл. 56 и ефективното прилагане на общата клауза за обжалваемост на административните актове по чл. 120, ал. 2 Конституцията, при правен ред, в който липсва законова забрана за обжалване на предписанията по чл. 106</w:t>
            </w:r>
          </w:p>
        </w:tc>
        <w:tc>
          <w:tcPr>
            <w:tcW w:w="1559" w:type="dxa"/>
            <w:tcBorders>
              <w:top w:val="nil"/>
              <w:bottom w:val="single" w:sz="18" w:space="0" w:color="2E74B5"/>
            </w:tcBorders>
            <w:shd w:val="clear" w:color="auto" w:fill="auto"/>
          </w:tcPr>
          <w:p w:rsidR="00700612" w:rsidRDefault="00700612" w:rsidP="00EA3EE0">
            <w:pPr>
              <w:rPr>
                <w:rFonts w:ascii="Verdana" w:hAnsi="Verdana"/>
                <w:b/>
                <w:color w:val="FF0000"/>
                <w:sz w:val="18"/>
                <w:szCs w:val="18"/>
              </w:rPr>
            </w:pPr>
          </w:p>
          <w:p w:rsidR="00700612" w:rsidRDefault="00700612" w:rsidP="00EA3EE0">
            <w:pPr>
              <w:rPr>
                <w:rFonts w:ascii="Verdana" w:hAnsi="Verdana"/>
                <w:b/>
                <w:color w:val="FF0000"/>
                <w:sz w:val="18"/>
                <w:szCs w:val="18"/>
              </w:rPr>
            </w:pPr>
          </w:p>
          <w:p w:rsidR="00EA3EE0" w:rsidRPr="00700612" w:rsidRDefault="00700612" w:rsidP="00EA3EE0">
            <w:pPr>
              <w:rPr>
                <w:rFonts w:ascii="Verdana" w:hAnsi="Verdana"/>
                <w:b/>
                <w:sz w:val="18"/>
                <w:szCs w:val="18"/>
              </w:rPr>
            </w:pPr>
            <w:r w:rsidRPr="00700612">
              <w:rPr>
                <w:rFonts w:ascii="Verdana" w:hAnsi="Verdana"/>
                <w:b/>
                <w:sz w:val="18"/>
                <w:szCs w:val="18"/>
              </w:rPr>
              <w:t>Не се приема</w:t>
            </w:r>
          </w:p>
          <w:p w:rsidR="00EA3EE0" w:rsidRPr="00700612" w:rsidRDefault="00EA3EE0" w:rsidP="00EA3EE0">
            <w:pPr>
              <w:rPr>
                <w:rFonts w:ascii="Verdana" w:hAnsi="Verdana"/>
                <w:b/>
                <w:sz w:val="18"/>
                <w:szCs w:val="18"/>
              </w:rPr>
            </w:pPr>
          </w:p>
          <w:p w:rsidR="002B600B" w:rsidRPr="00434EBC" w:rsidRDefault="00EA3EE0" w:rsidP="00EA3EE0">
            <w:pPr>
              <w:rPr>
                <w:rFonts w:ascii="Verdana" w:hAnsi="Verdana"/>
                <w:sz w:val="18"/>
                <w:szCs w:val="18"/>
              </w:rPr>
            </w:pPr>
            <w:r w:rsidRPr="00700612">
              <w:rPr>
                <w:rFonts w:ascii="Verdana" w:hAnsi="Verdana"/>
                <w:b/>
                <w:sz w:val="18"/>
                <w:szCs w:val="18"/>
              </w:rPr>
              <w:t>Приема се по принцип</w:t>
            </w:r>
          </w:p>
        </w:tc>
        <w:tc>
          <w:tcPr>
            <w:tcW w:w="5194" w:type="dxa"/>
            <w:tcBorders>
              <w:top w:val="nil"/>
              <w:bottom w:val="single" w:sz="18" w:space="0" w:color="2E74B5"/>
            </w:tcBorders>
            <w:shd w:val="clear" w:color="auto" w:fill="auto"/>
          </w:tcPr>
          <w:p w:rsidR="00EA3EE0" w:rsidRPr="004A6DEF" w:rsidRDefault="00EA3EE0" w:rsidP="007858B8">
            <w:pPr>
              <w:jc w:val="both"/>
              <w:rPr>
                <w:rFonts w:ascii="Verdana" w:hAnsi="Verdana"/>
                <w:sz w:val="18"/>
                <w:szCs w:val="18"/>
              </w:rPr>
            </w:pPr>
            <w:r w:rsidRPr="004A6DEF">
              <w:rPr>
                <w:rFonts w:ascii="Verdana" w:hAnsi="Verdana"/>
                <w:sz w:val="18"/>
                <w:szCs w:val="18"/>
              </w:rPr>
              <w:t>Систематичното място на чл. 52б следва да е в Глава трета, Раздел III – Условия и ред за издаване на позволително за сеч, защото предписанията са основание за издаване на позволителното за сеч.</w:t>
            </w:r>
          </w:p>
          <w:p w:rsidR="00700612" w:rsidRDefault="00700612" w:rsidP="007858B8">
            <w:pPr>
              <w:jc w:val="both"/>
              <w:rPr>
                <w:rFonts w:ascii="Verdana" w:hAnsi="Verdana"/>
                <w:sz w:val="18"/>
                <w:szCs w:val="18"/>
              </w:rPr>
            </w:pPr>
          </w:p>
          <w:p w:rsidR="002B600B" w:rsidRPr="00434EBC" w:rsidRDefault="00EA3EE0" w:rsidP="007858B8">
            <w:pPr>
              <w:jc w:val="both"/>
              <w:rPr>
                <w:rFonts w:ascii="Verdana" w:hAnsi="Verdana"/>
                <w:sz w:val="18"/>
                <w:szCs w:val="18"/>
              </w:rPr>
            </w:pPr>
            <w:r w:rsidRPr="004A6DEF">
              <w:rPr>
                <w:rFonts w:ascii="Verdana" w:hAnsi="Verdana"/>
                <w:sz w:val="18"/>
                <w:szCs w:val="18"/>
              </w:rPr>
              <w:t>Направена е редакция на текста</w:t>
            </w:r>
            <w:r w:rsidR="00700612">
              <w:rPr>
                <w:rFonts w:ascii="Verdana" w:hAnsi="Verdana"/>
                <w:sz w:val="18"/>
                <w:szCs w:val="18"/>
              </w:rPr>
              <w:t xml:space="preserve"> на ал.1</w:t>
            </w:r>
          </w:p>
        </w:tc>
      </w:tr>
    </w:tbl>
    <w:p w:rsidR="00630579" w:rsidRDefault="00630579"/>
    <w:p w:rsidR="009A1B04" w:rsidRDefault="009A1B04"/>
    <w:p w:rsidR="007D0AFE" w:rsidRDefault="007D0AFE" w:rsidP="007D0AFE">
      <w:pPr>
        <w:rPr>
          <w:rFonts w:ascii="Verdana" w:hAnsi="Verdana"/>
          <w:sz w:val="20"/>
          <w:szCs w:val="20"/>
        </w:rPr>
      </w:pPr>
      <w:bookmarkStart w:id="13" w:name="_GoBack"/>
      <w:bookmarkEnd w:id="13"/>
    </w:p>
    <w:sectPr w:rsidR="007D0AFE" w:rsidSect="003A02F6">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CF7" w:rsidRDefault="004F1CF7">
      <w:r>
        <w:separator/>
      </w:r>
    </w:p>
  </w:endnote>
  <w:endnote w:type="continuationSeparator" w:id="0">
    <w:p w:rsidR="004F1CF7" w:rsidRDefault="004F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AC" w:rsidRDefault="002635A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35AC" w:rsidRDefault="002635A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2635AC" w:rsidRPr="00F22457" w:rsidRDefault="002635AC"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4C20D8">
          <w:rPr>
            <w:rFonts w:ascii="Verdana" w:hAnsi="Verdana"/>
            <w:noProof/>
            <w:sz w:val="18"/>
            <w:szCs w:val="18"/>
          </w:rPr>
          <w:t>29</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CF7" w:rsidRDefault="004F1CF7">
      <w:r>
        <w:separator/>
      </w:r>
    </w:p>
  </w:footnote>
  <w:footnote w:type="continuationSeparator" w:id="0">
    <w:p w:rsidR="004F1CF7" w:rsidRDefault="004F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AC" w:rsidRPr="00896E11" w:rsidRDefault="002635AC"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2635AC" w:rsidRPr="00F22457" w:rsidRDefault="002635AC"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 w15:restartNumberingAfterBreak="0">
    <w:nsid w:val="23855A92"/>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2775904"/>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6"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B3C46DC"/>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9" w15:restartNumberingAfterBreak="0">
    <w:nsid w:val="5E7A425D"/>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0" w15:restartNumberingAfterBreak="0">
    <w:nsid w:val="68025AE0"/>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1" w15:restartNumberingAfterBreak="0">
    <w:nsid w:val="77BC3A68"/>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2"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13"/>
  </w:num>
  <w:num w:numId="5">
    <w:abstractNumId w:val="7"/>
  </w:num>
  <w:num w:numId="6">
    <w:abstractNumId w:val="2"/>
  </w:num>
  <w:num w:numId="7">
    <w:abstractNumId w:val="0"/>
  </w:num>
  <w:num w:numId="8">
    <w:abstractNumId w:val="1"/>
  </w:num>
  <w:num w:numId="9">
    <w:abstractNumId w:val="10"/>
  </w:num>
  <w:num w:numId="10">
    <w:abstractNumId w:val="5"/>
  </w:num>
  <w:num w:numId="11">
    <w:abstractNumId w:val="8"/>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01B"/>
    <w:rsid w:val="000357B4"/>
    <w:rsid w:val="00044E65"/>
    <w:rsid w:val="0004610E"/>
    <w:rsid w:val="0005435E"/>
    <w:rsid w:val="0005470C"/>
    <w:rsid w:val="000553BE"/>
    <w:rsid w:val="000572CA"/>
    <w:rsid w:val="0006091E"/>
    <w:rsid w:val="00062907"/>
    <w:rsid w:val="00062ADE"/>
    <w:rsid w:val="00062F02"/>
    <w:rsid w:val="00063E4B"/>
    <w:rsid w:val="000673CE"/>
    <w:rsid w:val="00070590"/>
    <w:rsid w:val="000718C7"/>
    <w:rsid w:val="00073659"/>
    <w:rsid w:val="00075594"/>
    <w:rsid w:val="0008079F"/>
    <w:rsid w:val="00082171"/>
    <w:rsid w:val="00084700"/>
    <w:rsid w:val="00086C83"/>
    <w:rsid w:val="00087888"/>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303D"/>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45E00"/>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5AC"/>
    <w:rsid w:val="00263E76"/>
    <w:rsid w:val="002640E1"/>
    <w:rsid w:val="00270093"/>
    <w:rsid w:val="0027210E"/>
    <w:rsid w:val="00272EE3"/>
    <w:rsid w:val="00273219"/>
    <w:rsid w:val="002804CF"/>
    <w:rsid w:val="00280AAC"/>
    <w:rsid w:val="00282A08"/>
    <w:rsid w:val="002900C5"/>
    <w:rsid w:val="00293CA6"/>
    <w:rsid w:val="0029482B"/>
    <w:rsid w:val="00295B2B"/>
    <w:rsid w:val="002964C1"/>
    <w:rsid w:val="002A0706"/>
    <w:rsid w:val="002A0C5D"/>
    <w:rsid w:val="002A3B76"/>
    <w:rsid w:val="002A59D9"/>
    <w:rsid w:val="002A5A11"/>
    <w:rsid w:val="002B1502"/>
    <w:rsid w:val="002B600B"/>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37557"/>
    <w:rsid w:val="00346856"/>
    <w:rsid w:val="00351063"/>
    <w:rsid w:val="00357018"/>
    <w:rsid w:val="003640F0"/>
    <w:rsid w:val="00370C4F"/>
    <w:rsid w:val="0037191E"/>
    <w:rsid w:val="00376589"/>
    <w:rsid w:val="00377A96"/>
    <w:rsid w:val="00377FE2"/>
    <w:rsid w:val="00384B8B"/>
    <w:rsid w:val="00387130"/>
    <w:rsid w:val="00387162"/>
    <w:rsid w:val="00395655"/>
    <w:rsid w:val="003A02F6"/>
    <w:rsid w:val="003A060F"/>
    <w:rsid w:val="003C1F1E"/>
    <w:rsid w:val="003C2B49"/>
    <w:rsid w:val="003C563D"/>
    <w:rsid w:val="003C5C7B"/>
    <w:rsid w:val="003D6231"/>
    <w:rsid w:val="003E0EFB"/>
    <w:rsid w:val="003E361D"/>
    <w:rsid w:val="003F0356"/>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2C8"/>
    <w:rsid w:val="00430323"/>
    <w:rsid w:val="00433081"/>
    <w:rsid w:val="00434EBC"/>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2DC4"/>
    <w:rsid w:val="00487E51"/>
    <w:rsid w:val="00496618"/>
    <w:rsid w:val="004A0A82"/>
    <w:rsid w:val="004A207E"/>
    <w:rsid w:val="004A27CC"/>
    <w:rsid w:val="004A285F"/>
    <w:rsid w:val="004A55AC"/>
    <w:rsid w:val="004A5E2A"/>
    <w:rsid w:val="004A6AE4"/>
    <w:rsid w:val="004A6DEF"/>
    <w:rsid w:val="004A70C4"/>
    <w:rsid w:val="004B2E13"/>
    <w:rsid w:val="004B4FC8"/>
    <w:rsid w:val="004B5150"/>
    <w:rsid w:val="004B5B51"/>
    <w:rsid w:val="004B735F"/>
    <w:rsid w:val="004C1080"/>
    <w:rsid w:val="004C10A2"/>
    <w:rsid w:val="004C20D8"/>
    <w:rsid w:val="004C420B"/>
    <w:rsid w:val="004C54A0"/>
    <w:rsid w:val="004C5BFA"/>
    <w:rsid w:val="004D24E9"/>
    <w:rsid w:val="004D3191"/>
    <w:rsid w:val="004E0260"/>
    <w:rsid w:val="004E4897"/>
    <w:rsid w:val="004E6D10"/>
    <w:rsid w:val="004F17EA"/>
    <w:rsid w:val="004F1CF7"/>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18B9"/>
    <w:rsid w:val="00522F73"/>
    <w:rsid w:val="005244A3"/>
    <w:rsid w:val="0052467D"/>
    <w:rsid w:val="005260B9"/>
    <w:rsid w:val="00534E66"/>
    <w:rsid w:val="00540C53"/>
    <w:rsid w:val="005424B9"/>
    <w:rsid w:val="00543E05"/>
    <w:rsid w:val="005462B1"/>
    <w:rsid w:val="005531AA"/>
    <w:rsid w:val="00554B28"/>
    <w:rsid w:val="00554CC1"/>
    <w:rsid w:val="00556844"/>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0579"/>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0612"/>
    <w:rsid w:val="00707A8E"/>
    <w:rsid w:val="0071354E"/>
    <w:rsid w:val="007160B3"/>
    <w:rsid w:val="00716B72"/>
    <w:rsid w:val="00720625"/>
    <w:rsid w:val="0072098B"/>
    <w:rsid w:val="00723D89"/>
    <w:rsid w:val="00726706"/>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4BE7"/>
    <w:rsid w:val="007751AE"/>
    <w:rsid w:val="00777754"/>
    <w:rsid w:val="00780EAB"/>
    <w:rsid w:val="00781306"/>
    <w:rsid w:val="007836C8"/>
    <w:rsid w:val="007858B8"/>
    <w:rsid w:val="007934F1"/>
    <w:rsid w:val="00794229"/>
    <w:rsid w:val="007A76C5"/>
    <w:rsid w:val="007B1141"/>
    <w:rsid w:val="007B24F7"/>
    <w:rsid w:val="007C32D8"/>
    <w:rsid w:val="007C6C8E"/>
    <w:rsid w:val="007D0AFE"/>
    <w:rsid w:val="007D6B06"/>
    <w:rsid w:val="007E249E"/>
    <w:rsid w:val="007E633B"/>
    <w:rsid w:val="007E6AD6"/>
    <w:rsid w:val="007F135A"/>
    <w:rsid w:val="007F4201"/>
    <w:rsid w:val="0080232E"/>
    <w:rsid w:val="00812789"/>
    <w:rsid w:val="00815CDE"/>
    <w:rsid w:val="00816A2F"/>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667C7"/>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27A76"/>
    <w:rsid w:val="009312BE"/>
    <w:rsid w:val="0094334A"/>
    <w:rsid w:val="00943E2F"/>
    <w:rsid w:val="00952D0A"/>
    <w:rsid w:val="00953FD7"/>
    <w:rsid w:val="009551F9"/>
    <w:rsid w:val="00963AE2"/>
    <w:rsid w:val="00967293"/>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A1B04"/>
    <w:rsid w:val="009B1744"/>
    <w:rsid w:val="009B1EE9"/>
    <w:rsid w:val="009B568A"/>
    <w:rsid w:val="009D0944"/>
    <w:rsid w:val="009D6D2E"/>
    <w:rsid w:val="009D753B"/>
    <w:rsid w:val="009E0CEB"/>
    <w:rsid w:val="009E119C"/>
    <w:rsid w:val="009E6C5E"/>
    <w:rsid w:val="009E7717"/>
    <w:rsid w:val="009E7FF1"/>
    <w:rsid w:val="00A02072"/>
    <w:rsid w:val="00A11D46"/>
    <w:rsid w:val="00A163D9"/>
    <w:rsid w:val="00A17807"/>
    <w:rsid w:val="00A23452"/>
    <w:rsid w:val="00A26499"/>
    <w:rsid w:val="00A27F81"/>
    <w:rsid w:val="00A30636"/>
    <w:rsid w:val="00A31338"/>
    <w:rsid w:val="00A32258"/>
    <w:rsid w:val="00A3307B"/>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C662B"/>
    <w:rsid w:val="00AD23E6"/>
    <w:rsid w:val="00AD3F9D"/>
    <w:rsid w:val="00AD4746"/>
    <w:rsid w:val="00AD5010"/>
    <w:rsid w:val="00AE20C4"/>
    <w:rsid w:val="00AE2731"/>
    <w:rsid w:val="00AE4C05"/>
    <w:rsid w:val="00AE6BE8"/>
    <w:rsid w:val="00AE6FA9"/>
    <w:rsid w:val="00AF2498"/>
    <w:rsid w:val="00AF2E3F"/>
    <w:rsid w:val="00B0691A"/>
    <w:rsid w:val="00B17C41"/>
    <w:rsid w:val="00B17FDB"/>
    <w:rsid w:val="00B24B51"/>
    <w:rsid w:val="00B30A00"/>
    <w:rsid w:val="00B31B92"/>
    <w:rsid w:val="00B320D9"/>
    <w:rsid w:val="00B321D4"/>
    <w:rsid w:val="00B330B9"/>
    <w:rsid w:val="00B3495F"/>
    <w:rsid w:val="00B34AF6"/>
    <w:rsid w:val="00B34CBF"/>
    <w:rsid w:val="00B351DE"/>
    <w:rsid w:val="00B40DAD"/>
    <w:rsid w:val="00B42361"/>
    <w:rsid w:val="00B429D4"/>
    <w:rsid w:val="00B43DC8"/>
    <w:rsid w:val="00B44469"/>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3CB1"/>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8531C"/>
    <w:rsid w:val="00D96DF5"/>
    <w:rsid w:val="00DA0F8B"/>
    <w:rsid w:val="00DA15DA"/>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DF74FD"/>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61C4"/>
    <w:rsid w:val="00E86BF1"/>
    <w:rsid w:val="00E87046"/>
    <w:rsid w:val="00E9475D"/>
    <w:rsid w:val="00E9569E"/>
    <w:rsid w:val="00E96851"/>
    <w:rsid w:val="00EA151B"/>
    <w:rsid w:val="00EA3777"/>
    <w:rsid w:val="00EA3EE0"/>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0368"/>
    <w:rsid w:val="00EE137A"/>
    <w:rsid w:val="00EE22E1"/>
    <w:rsid w:val="00EF21BC"/>
    <w:rsid w:val="00EF3B04"/>
    <w:rsid w:val="00EF72B0"/>
    <w:rsid w:val="00F00C40"/>
    <w:rsid w:val="00F00CD5"/>
    <w:rsid w:val="00F03EE5"/>
    <w:rsid w:val="00F04A79"/>
    <w:rsid w:val="00F06310"/>
    <w:rsid w:val="00F10769"/>
    <w:rsid w:val="00F12F9E"/>
    <w:rsid w:val="00F15297"/>
    <w:rsid w:val="00F16C94"/>
    <w:rsid w:val="00F212A9"/>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694A"/>
    <w:rsid w:val="00F80CD3"/>
    <w:rsid w:val="00F80FDF"/>
    <w:rsid w:val="00F8787B"/>
    <w:rsid w:val="00F87E94"/>
    <w:rsid w:val="00F92145"/>
    <w:rsid w:val="00F93CB3"/>
    <w:rsid w:val="00F94C2A"/>
    <w:rsid w:val="00F95D27"/>
    <w:rsid w:val="00F97925"/>
    <w:rsid w:val="00F97DD0"/>
    <w:rsid w:val="00FA26A0"/>
    <w:rsid w:val="00FA2D8D"/>
    <w:rsid w:val="00FA3B4C"/>
    <w:rsid w:val="00FB0D80"/>
    <w:rsid w:val="00FB1992"/>
    <w:rsid w:val="00FB4BB4"/>
    <w:rsid w:val="00FB55BD"/>
    <w:rsid w:val="00FC3975"/>
    <w:rsid w:val="00FD0C75"/>
    <w:rsid w:val="00FD2E83"/>
    <w:rsid w:val="00FD3B2C"/>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1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 w:type="character" w:customStyle="1" w:styleId="BodyTextChar1">
    <w:name w:val="Body Text Char1"/>
    <w:basedOn w:val="DefaultParagraphFont"/>
    <w:uiPriority w:val="99"/>
    <w:rsid w:val="00AC662B"/>
    <w:rPr>
      <w:rFonts w:ascii="Times New Roman" w:hAnsi="Times New Roman" w:cs="Times New Roman"/>
      <w:sz w:val="22"/>
      <w:szCs w:val="22"/>
      <w:u w:val="none"/>
    </w:rPr>
  </w:style>
  <w:style w:type="character" w:customStyle="1" w:styleId="Heading2">
    <w:name w:val="Heading #2_"/>
    <w:basedOn w:val="DefaultParagraphFont"/>
    <w:link w:val="Heading20"/>
    <w:uiPriority w:val="99"/>
    <w:rsid w:val="00AC662B"/>
    <w:rPr>
      <w:b/>
      <w:bCs/>
      <w:sz w:val="22"/>
      <w:szCs w:val="22"/>
      <w:shd w:val="clear" w:color="auto" w:fill="FFFFFF"/>
    </w:rPr>
  </w:style>
  <w:style w:type="character" w:customStyle="1" w:styleId="Bodytext6">
    <w:name w:val="Body text (6)_"/>
    <w:basedOn w:val="DefaultParagraphFont"/>
    <w:link w:val="Bodytext60"/>
    <w:uiPriority w:val="99"/>
    <w:rsid w:val="00AC662B"/>
    <w:rPr>
      <w:i/>
      <w:iCs/>
      <w:sz w:val="22"/>
      <w:szCs w:val="22"/>
      <w:shd w:val="clear" w:color="auto" w:fill="FFFFFF"/>
    </w:rPr>
  </w:style>
  <w:style w:type="character" w:customStyle="1" w:styleId="Bodytext6NotItalic">
    <w:name w:val="Body text (6) + Not Italic"/>
    <w:basedOn w:val="Bodytext6"/>
    <w:uiPriority w:val="99"/>
    <w:rsid w:val="00AC662B"/>
    <w:rPr>
      <w:i w:val="0"/>
      <w:iCs w:val="0"/>
      <w:sz w:val="22"/>
      <w:szCs w:val="22"/>
      <w:shd w:val="clear" w:color="auto" w:fill="FFFFFF"/>
    </w:rPr>
  </w:style>
  <w:style w:type="character" w:customStyle="1" w:styleId="BodytextItalic">
    <w:name w:val="Body text + Italic"/>
    <w:basedOn w:val="BodyTextChar1"/>
    <w:uiPriority w:val="99"/>
    <w:rsid w:val="00AC662B"/>
    <w:rPr>
      <w:rFonts w:ascii="Times New Roman" w:hAnsi="Times New Roman" w:cs="Times New Roman"/>
      <w:i/>
      <w:iCs/>
      <w:sz w:val="22"/>
      <w:szCs w:val="22"/>
      <w:u w:val="none"/>
    </w:rPr>
  </w:style>
  <w:style w:type="paragraph" w:customStyle="1" w:styleId="Heading20">
    <w:name w:val="Heading #2"/>
    <w:basedOn w:val="Normal"/>
    <w:link w:val="Heading2"/>
    <w:uiPriority w:val="99"/>
    <w:rsid w:val="00AC662B"/>
    <w:pPr>
      <w:widowControl w:val="0"/>
      <w:shd w:val="clear" w:color="auto" w:fill="FFFFFF"/>
      <w:spacing w:before="480" w:after="300" w:line="240" w:lineRule="atLeast"/>
      <w:jc w:val="both"/>
      <w:outlineLvl w:val="1"/>
    </w:pPr>
    <w:rPr>
      <w:b/>
      <w:bCs/>
      <w:sz w:val="22"/>
      <w:szCs w:val="22"/>
      <w:lang w:val="en-US" w:eastAsia="en-US"/>
    </w:rPr>
  </w:style>
  <w:style w:type="paragraph" w:customStyle="1" w:styleId="Bodytext60">
    <w:name w:val="Body text (6)"/>
    <w:basedOn w:val="Normal"/>
    <w:link w:val="Bodytext6"/>
    <w:uiPriority w:val="99"/>
    <w:rsid w:val="00AC662B"/>
    <w:pPr>
      <w:widowControl w:val="0"/>
      <w:shd w:val="clear" w:color="auto" w:fill="FFFFFF"/>
      <w:spacing w:before="300" w:after="300" w:line="240" w:lineRule="atLeast"/>
      <w:jc w:val="both"/>
    </w:pPr>
    <w:rPr>
      <w:i/>
      <w:iCs/>
      <w:sz w:val="22"/>
      <w:szCs w:val="22"/>
      <w:lang w:val="en-US" w:eastAsia="en-US"/>
    </w:rPr>
  </w:style>
  <w:style w:type="character" w:customStyle="1" w:styleId="BodytextBold">
    <w:name w:val="Body text + Bold"/>
    <w:basedOn w:val="BodyTextChar1"/>
    <w:uiPriority w:val="99"/>
    <w:rsid w:val="00AC662B"/>
    <w:rPr>
      <w:rFonts w:ascii="Times New Roman" w:hAnsi="Times New Roman" w:cs="Times New Roman"/>
      <w:b/>
      <w:bCs/>
      <w:sz w:val="22"/>
      <w:szCs w:val="22"/>
      <w:u w:val="none"/>
    </w:rPr>
  </w:style>
  <w:style w:type="character" w:customStyle="1" w:styleId="BodytextSpacing1pt">
    <w:name w:val="Body text + Spacing 1 pt"/>
    <w:basedOn w:val="BodyTextChar1"/>
    <w:uiPriority w:val="99"/>
    <w:rsid w:val="00AC662B"/>
    <w:rPr>
      <w:rFonts w:ascii="Times New Roman" w:hAnsi="Times New Roman" w:cs="Times New Roman"/>
      <w:spacing w:val="20"/>
      <w:sz w:val="22"/>
      <w:szCs w:val="22"/>
      <w:u w:val="none"/>
      <w:lang w:val="en-US" w:eastAsia="en-US"/>
    </w:rPr>
  </w:style>
  <w:style w:type="character" w:customStyle="1" w:styleId="Heading10">
    <w:name w:val="Heading #1_"/>
    <w:basedOn w:val="DefaultParagraphFont"/>
    <w:link w:val="Heading11"/>
    <w:uiPriority w:val="99"/>
    <w:rsid w:val="00AC662B"/>
    <w:rPr>
      <w:spacing w:val="10"/>
      <w:sz w:val="38"/>
      <w:szCs w:val="38"/>
      <w:shd w:val="clear" w:color="auto" w:fill="FFFFFF"/>
    </w:rPr>
  </w:style>
  <w:style w:type="character" w:customStyle="1" w:styleId="Bodytext7">
    <w:name w:val="Body text (7)_"/>
    <w:basedOn w:val="DefaultParagraphFont"/>
    <w:link w:val="Bodytext70"/>
    <w:uiPriority w:val="99"/>
    <w:rsid w:val="00AC662B"/>
    <w:rPr>
      <w:b/>
      <w:bCs/>
      <w:sz w:val="22"/>
      <w:szCs w:val="22"/>
      <w:shd w:val="clear" w:color="auto" w:fill="FFFFFF"/>
    </w:rPr>
  </w:style>
  <w:style w:type="paragraph" w:customStyle="1" w:styleId="Heading11">
    <w:name w:val="Heading #1"/>
    <w:basedOn w:val="Normal"/>
    <w:link w:val="Heading10"/>
    <w:uiPriority w:val="99"/>
    <w:rsid w:val="00AC662B"/>
    <w:pPr>
      <w:widowControl w:val="0"/>
      <w:shd w:val="clear" w:color="auto" w:fill="FFFFFF"/>
      <w:spacing w:after="720" w:line="240" w:lineRule="atLeast"/>
      <w:outlineLvl w:val="0"/>
    </w:pPr>
    <w:rPr>
      <w:spacing w:val="10"/>
      <w:sz w:val="38"/>
      <w:szCs w:val="38"/>
      <w:lang w:val="en-US" w:eastAsia="en-US"/>
    </w:rPr>
  </w:style>
  <w:style w:type="paragraph" w:customStyle="1" w:styleId="Bodytext70">
    <w:name w:val="Body text (7)"/>
    <w:basedOn w:val="Normal"/>
    <w:link w:val="Bodytext7"/>
    <w:uiPriority w:val="99"/>
    <w:rsid w:val="00AC662B"/>
    <w:pPr>
      <w:widowControl w:val="0"/>
      <w:shd w:val="clear" w:color="auto" w:fill="FFFFFF"/>
      <w:spacing w:before="240" w:after="240" w:line="274" w:lineRule="exact"/>
      <w:jc w:val="both"/>
    </w:pPr>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06494327">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70E1-55AA-4363-92F7-E0702455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7678</Words>
  <Characters>43767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2023-10-19T10:10:00Z</dcterms:modified>
</cp:coreProperties>
</file>