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31" w:rsidRPr="00262544" w:rsidRDefault="00E82031" w:rsidP="00E82031">
      <w:pPr>
        <w:tabs>
          <w:tab w:val="center" w:pos="4153"/>
          <w:tab w:val="right" w:pos="8306"/>
        </w:tabs>
        <w:spacing w:after="0" w:line="240" w:lineRule="auto"/>
        <w:ind w:left="618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262544">
        <w:rPr>
          <w:rFonts w:ascii="Times New Roman" w:eastAsia="Times New Roman" w:hAnsi="Times New Roman" w:cs="Times New Roman"/>
          <w:sz w:val="20"/>
          <w:szCs w:val="20"/>
          <w:lang w:val="bg-BG"/>
        </w:rPr>
        <w:t>Класификация на информацията:</w:t>
      </w:r>
    </w:p>
    <w:p w:rsidR="00E82031" w:rsidRPr="00262544" w:rsidRDefault="00E82031" w:rsidP="00E82031">
      <w:pPr>
        <w:tabs>
          <w:tab w:val="center" w:pos="4153"/>
          <w:tab w:val="right" w:pos="8306"/>
        </w:tabs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262544">
        <w:rPr>
          <w:rFonts w:ascii="Times New Roman" w:eastAsia="Times New Roman" w:hAnsi="Times New Roman" w:cs="Times New Roman"/>
          <w:sz w:val="20"/>
          <w:szCs w:val="20"/>
          <w:lang w:val="bg-BG"/>
        </w:rPr>
        <w:t>Ниво 0, TLP-WHITE</w:t>
      </w:r>
    </w:p>
    <w:p w:rsidR="00E82031" w:rsidRPr="00262544" w:rsidRDefault="00E82031" w:rsidP="009E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shd w:val="clear" w:color="auto" w:fill="FEFEFE"/>
          <w:lang w:val="bg-BG"/>
        </w:rPr>
      </w:pPr>
      <w:r w:rsidRPr="00262544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shd w:val="clear" w:color="auto" w:fill="FEFEFE"/>
          <w:lang w:val="bg-BG"/>
        </w:rPr>
        <w:t xml:space="preserve">МИНИСТЕРСТВО НА ЗЕМЕДЕЛИЕТО </w:t>
      </w:r>
      <w:r w:rsidRPr="00262544">
        <w:rPr>
          <w:rFonts w:ascii="Times New Roman" w:eastAsia="Times New Roman" w:hAnsi="Times New Roman" w:cs="Times New Roman"/>
          <w:b/>
          <w:bCs/>
          <w:color w:val="000000" w:themeColor="text1"/>
          <w:spacing w:val="16"/>
          <w:sz w:val="28"/>
          <w:szCs w:val="28"/>
          <w:shd w:val="clear" w:color="auto" w:fill="FEFEFE"/>
          <w:lang w:val="bg-BG"/>
        </w:rPr>
        <w:t>И ХРАНИТЕ</w:t>
      </w:r>
    </w:p>
    <w:p w:rsidR="009E5559" w:rsidRPr="00262544" w:rsidRDefault="009E5559" w:rsidP="009E5559">
      <w:pPr>
        <w:widowControl w:val="0"/>
        <w:shd w:val="clear" w:color="auto" w:fill="FFFFFF"/>
        <w:tabs>
          <w:tab w:val="left" w:pos="7322"/>
        </w:tabs>
        <w:autoSpaceDE w:val="0"/>
        <w:autoSpaceDN w:val="0"/>
        <w:adjustRightInd w:val="0"/>
        <w:spacing w:after="0" w:line="360" w:lineRule="auto"/>
        <w:ind w:left="78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Проект</w:t>
      </w:r>
    </w:p>
    <w:p w:rsidR="009E5559" w:rsidRPr="00262544" w:rsidRDefault="009E5559" w:rsidP="009E5559">
      <w:pPr>
        <w:widowControl w:val="0"/>
        <w:shd w:val="clear" w:color="auto" w:fill="FFFFFF"/>
        <w:tabs>
          <w:tab w:val="left" w:pos="732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Наредба за </w:t>
      </w:r>
      <w:r w:rsidR="000E462A" w:rsidRPr="00262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изменение и </w:t>
      </w:r>
      <w:r w:rsidRPr="00262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допълнение на Наредба № 69 от 2006 г. за изискванията за Добрата производствена практика при производство на ветеринарномедицински продукти и активни субстанции </w:t>
      </w:r>
      <w:r w:rsidRPr="002625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</w:t>
      </w:r>
      <w:proofErr w:type="spellStart"/>
      <w:r w:rsidRPr="002625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обн</w:t>
      </w:r>
      <w:proofErr w:type="spellEnd"/>
      <w:r w:rsidRPr="002625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., ДВ, бр. 49 от 2006 г.; изм. и доп., бр. 6 и 85 от 2010 г., бр. 66 от 2011 г., бр. 91 от 2014 г., бр. 32 от 2017 г. и бр. 48 от 2019 г.)</w:t>
      </w:r>
    </w:p>
    <w:p w:rsidR="00865ED6" w:rsidRPr="00262544" w:rsidRDefault="00865ED6" w:rsidP="009E55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4319DC" w:rsidRPr="00262544" w:rsidRDefault="004319DC" w:rsidP="009E55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1.</w:t>
      </w:r>
      <w:r w:rsidR="00353B29" w:rsidRPr="00262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353B29" w:rsidRPr="002625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чл. 9, ал. 1 думите „</w:t>
      </w:r>
      <w:r w:rsidR="0005170D"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се ръководи от </w:t>
      </w:r>
      <w:r w:rsidR="00353B29" w:rsidRPr="002625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лице, което отговаря на изискванията по чл. 344, ал. 2 ЗВД“ се</w:t>
      </w:r>
      <w:r w:rsidR="0005170D" w:rsidRPr="002625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заличават</w:t>
      </w:r>
      <w:r w:rsidR="00353B29" w:rsidRPr="002625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865ED6" w:rsidRPr="00262544" w:rsidRDefault="00865ED6" w:rsidP="009E55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9E5559" w:rsidRPr="00262544" w:rsidRDefault="004319DC" w:rsidP="009E555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§ 2</w:t>
      </w:r>
      <w:r w:rsidR="009E5559" w:rsidRPr="00262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9E5559" w:rsidRPr="0026254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Приложението към чл. 1, ал. 1, в Глава трета „Допълнителни изисквания при производството на различни категории ветеринарномедицински продукти” се създава Раздел XVI „Внасяне на ветеринарномедицински продукти”: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„Раздел XVI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Внасяне на ветеринарномедицински продукти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1. Обхват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раздел определя изискванията за ДПП, приложими за притежателя на лиценза за производство/внасяне на ВМП, при внасяне на ВМП от страни извън Европейския съюз/Европейското икономическо пространство (ЕС/ЕИП). Всички приложими изисквания за ДПП за дейности, свързани с внасянето на ВМП, посочени в наредбата, също се прилагат. Настоящият раздел не се отнася за ВМП, които се внасят в ЕС/ЕИП единствено с цел износ, и които не се преработват под никаква форма и не се пускат на пазара в ЕС/ЕИП.</w:t>
      </w:r>
    </w:p>
    <w:p w:rsidR="009E5559" w:rsidRPr="00262544" w:rsidRDefault="009E5559" w:rsidP="009E555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2. Принципи</w:t>
      </w:r>
    </w:p>
    <w:p w:rsidR="009E5559" w:rsidRPr="00262544" w:rsidRDefault="009E5559" w:rsidP="009E55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2.1. За целите на настоящия раздел, терминът „внасяне” се отнася за дейностите свързани с физическо транспортиране на ВМП от страни, извън територията на ЕС/ЕИП, като фискалните транзакции не попадат в обхвата на настоящия раздел. Сертифицирането от квалифицирано лице (КЛ) на дадена партида ВМП или потвърждението от КЛ при внасяне на насипни или междинни продукти, се осъществява след физическия внос и митническото оформяне на митническата територия на страна от ЕС/ЕИП. Внесените насипни или междинни продукти може да преминат през допълнителни производствени операции, съгласно лиценза за употреба на ВМП, преди сертифицирането/потвърждаването от квалифицирано лице. Обектите, в които лицата </w:t>
      </w: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осъществяват съответните дейности и носят конкретни отговорности за внасянето на ВМП, или насипните продукти, или междинни продукти, са: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a) обект за физически внос;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б) обект за сертифициране от КЛ на внесените партиди ВМП или потвърждаване от КЛ за насипни или междинни продукти, подлежащи на допълнителна обработка.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Отговорностите, свързани с внасянето се възлагат на лица, упълномощени от притежателя на лиценза за производство/внасяне на ВМП.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2.2. Всички етапи от производството на внасяните ВМП, които се извършват в трети страни, трябва да са в съответствие с Европейското ръководство за ДПП или еквивалентни на него стандарти, както и с лиценза за употреба или съответното споразумение за качество, което е приложимо.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2.3. За ВМП с лиценз за употреба в ЕС/ЕИП, отговорността за пускането на продуктите на пазара е на притежателя на лиценза за употреба.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2.4. Квалифицираното лице, което сертифицира партидата, трябва да гарантира, че всички ВМП, които се внасят в Съюза от трета страна, са произведени в съответствие с Европейското ръководство за ДПП или признати еквивалентни на него стандарти, а за продуктите, които имат лиценз за употреба, че са изпитани при вноса им в Съюза, освен ако са налице приложими споразумения между Съюза и съответната трета страна (напр. Споразумение за взаимно признаване или Споразумение за оценяване на съответствието и приемане на промишлени продукти, виж също Раздел XIV).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2.5. Изпитването на ВМП в страна от ЕС/ЕИП трябва да включва всички тестове, необходими за доказване, че ВМП отговаря на спецификациите, съгласно лиценза за употреба.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2.6. Трябва да има сключени писмени споразумения, съгласно Глава първа, </w:t>
      </w:r>
      <w:r w:rsidRPr="0026254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Раздел VII между производителя, вносителя и притежателя на лиценза за употреба на ВМП, </w:t>
      </w: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съобразно конкретния случай.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3. Фармацевтична система по качество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3.1. В обекта/обектите за осъществяване на дейностите по внасяне се прилага подходяща фармацевтична система по качество, съгласно Глава първа, Раздел I, в съответствие с извършваните дейности.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3.2. В обекта, в който се сертифицират партиди от КЛ, трябва да се извършва преглед на качеството на продуктите (ПКП), включително на продуктите, внасяни с цел допълнителна обработка преди износ.</w:t>
      </w:r>
    </w:p>
    <w:p w:rsidR="009E5559" w:rsidRPr="00262544" w:rsidRDefault="009E5559" w:rsidP="00E82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3.2.1 Трябва да има сключени писмени споразумения, в които да са описани отговорностите на притежателя на лиценза за употреба, вносителя/вносителите, в обекта, в който се сертифицират партидите от КЛ, както и отговорностите на производителите </w:t>
      </w: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от трети страни, във връзка с изготвянето на ПКП, съгласно изискванията на Глава първа, Раздел I.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3.2.2 В допълнение към изискванията за извършване на ПКП, посочени в Глава първа, Раздел I, когато проби от внасяните продукти се взимат в третата страна, съгласно Глава трета, Раздел XIV, ПКП трябва да включват и оценка на системата за вземане на пробите. Прегледа на качеството на продуктите трябва да включва и преглед на отклоненията, свързани с транспортирането на продуктите до мястото на сертифициране на партидата. Конкретните изисквания за вземане на пробите и транспортирането на внесените продукти са посочени в Глава трета, Раздел XIV.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3.2.3 Като част от ПКП, резултатите от изпитването на внесените продукти трябва да бъдат сравнявани с тези от сертификата за анализ, издаден от производителя  на продуктите в третата страна. Всички отклонения или резултати извън тенденциите трябва да се документират. 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4. Помещения и оборудване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4.1. Обектът/обектите, в които се извършват дейности по внасяне, трябва да разполагат с подходящи помещения и оборудване, с цел осигуряване извършването на съответните дейности съгласно изискванията на наредбата.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4.2. След получаване, внесените ВМП трябва да се съхраняват под карантина в обособени зони до освобождаването им за допълнителна обработка или до сертифицирането/потвърждаването им от КЛ, съгласно приложимото в случая, в съответствие с Глава трета, Раздел XIV. Всяка система, заместваща физическото поставяне под карантина, трябва да гарантира еквивалентно ниво на сигурност.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5. Документация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5.1. Притежателят на лиценза за производство/внасяне на ВМП, отговарящ за сертифицирането/потвърждаването на партидата от КЛ, трябва да разполага с пълна документация за партидата към момента на сертифицирането/потвърждаването ѝ. Ако в процеса по внасяне участва и друг притежател на лиценз за производство/внасяне на ВМП, той трябва да има достъп до необходимата документация на партидата, в съответствие с дейностите, които извършва и в съответствие с отразеното в писмените споразумения между страните, участващи в процеса по внасяне.</w:t>
      </w:r>
    </w:p>
    <w:p w:rsidR="009E5559" w:rsidRPr="00262544" w:rsidRDefault="009E5559" w:rsidP="00E82031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5.1.1. В обекта, в който се извършва сертифицирането/потвърждаването на партидите от КЛ, трябва да бъде налична частта от партидната документация, необходима за сертифицирането на партидата о</w:t>
      </w:r>
      <w:r w:rsidR="00E82031"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 КЛ, съгласно изискванията на </w:t>
      </w: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Глава трета, Раздел XIV. Честотата на извършване на преглед на пълната партидна документация в обекта, отговарящ за сертифицирането/потвърждаването на партидата от КЛ, трябва да бъде съобразена с оценката на риска и определена във фармацевтичната </w:t>
      </w: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система по качество. Необходимо е да са налични документални доказателства, потвърждаващи, че КЛ е сертифицирало партидата в съответствие с лиценза за употреба на ВМП и са взети предвид и други регулаторни ограничения (напр. когато Европейският сертификат за ДПП, издаден на производствения обект в третата страна ограничава дейностите по отношение на конкретни производствени цехове/сгради).</w:t>
      </w:r>
    </w:p>
    <w:p w:rsidR="009E5559" w:rsidRPr="00262544" w:rsidRDefault="009E5559" w:rsidP="009E555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5.1.2. Документацията, съхранявана в обекта, в който се осъществява физическият внос, трябва да съдържа най-малко данните свързани с транспорта и получаването на продукта (виж също Глава трета, Раздел XIV). </w:t>
      </w:r>
    </w:p>
    <w:p w:rsidR="009E5559" w:rsidRPr="00262544" w:rsidRDefault="009E5559" w:rsidP="009E555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5.1.3. В обекта за сертифициране на партидите от КЛ, трябва да бъдат на разположение за проверка всички документи, свързани с поръчките и доставките на ВМП, в които ясно се посочва: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- обектът, от който е изпратен продуктът (произход на продукта);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- обектът за физически внос;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- данни за транспорта (включително маршрут и записи от проследяването на температурните стойности) и митническа документация (напр. опаковъчен лист; документация за товара; митническа декларация за внос).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5.2. Документацията трябва да се съхранява съгласно изискванията на Глава първа, </w:t>
      </w:r>
      <w:r w:rsidRPr="0026254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Раздел IV. Вносителят, отговорен за </w:t>
      </w: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сертифицирането на партидите, трябва да гарантира, че производственият обект в третата страна прилага политика за съхранение на документацията, еквивалентна на изискванията в ЕС.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5.3. Партидната документация, включително сертификатите за партидата, предоставени от производствения обект в третата страна, трябва да са във формат, разбираем за вносителя. При необходимост документите могат да бъдат предоставени на повече от един език, с цел да се улесни разбирането.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5.4.Трябва да са налице документални доказателства, че вносителят, отговорен за сертифициране на партиди от ВМП, е извършил оценка на производителя в третата страна и осъществява редовен надзор над дейността му, посредством периодични проверки на място в обекта в третата страна, извършвани от негови представители или от изпълнител по договор, в съответствие с Глава трета, Раздел XIV, с оглед гарантиране, че внесените продукти са произведени в съответствие с европейските правила за ДПП или еквивалентни на тях изисквания, и в съответствие с лиценза за употреба за ВМП.</w:t>
      </w:r>
    </w:p>
    <w:p w:rsidR="009E5559" w:rsidRPr="00262544" w:rsidRDefault="009E5559" w:rsidP="00E820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5.5. Когато партидите са разделени и съответните им части се внасят по отделно, в обекта за сертифициране от КЛ трябва да е на разположение документация, удостоверяваща съответствието на частите с общото количество. Всяко несъответствие трябва да се проучва, за което е отговорно КЛ, сертифициращо партидата.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6. Операции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6.1. В обекта, в който се извършва сертифицирането на партидите от КЛ, трябва да е осигурено изпълнението на текуща програма за мониторинг на стабилността на продуктите, съгласно изискванията на Глава първа, </w:t>
      </w:r>
      <w:r w:rsidRPr="0026254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Раздел VI</w:t>
      </w: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. Програмата за текуща стабилност може да се изпълнява в производствен обект в трета страна като дейност, възложена на подизпълнител, при условие че КЛ разполага с цялата необходима информация за гарантиране качеството на продукта. Информация за текущата програма за мониторинг на стабилността, като протоколи с резултати от изпитвания и доклади, трябва да е налична за проверка в обекта, в който се извършва сертифицирането от КЛ.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6.2. Квалифицираното лице, сертифициращо партидата, потвърждава чрез проверките, които извършва, че всички знаци за безопасност, когато е приложимо, са поставени върху опаковката.</w:t>
      </w:r>
    </w:p>
    <w:p w:rsidR="009E5559" w:rsidRPr="00262544" w:rsidRDefault="0065504B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6.3. </w:t>
      </w:r>
      <w:r w:rsidR="009E5559"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Квалифицираното лице, сертифициращо партидата, отговаря, че референтните и музейните проби са взети в съответствие с изискванията на Глава трета, Раздел XII. 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7. Жалби, отклонения в качеството и изтегляне на продукти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>7.1. В обекта/ обектите, в които се извършват дейностите по внасяне, трябва да се прилагат подходящи правила, валидни и за производителя от трета страна и за притежателя на лиценза за употреба, отнасящи се до обработването на жалби,</w:t>
      </w:r>
      <w:r w:rsidRPr="00262544">
        <w:rPr>
          <w:rFonts w:ascii="Calibri" w:eastAsia="Calibri" w:hAnsi="Calibri" w:cs="Times New Roman"/>
          <w:lang w:val="bg-BG"/>
        </w:rPr>
        <w:t xml:space="preserve"> </w:t>
      </w: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отклонения в качеството и изтегляне на продукти. Тези правила трябва да бъдат в съответствие с изискванията на Глава първа, </w:t>
      </w:r>
      <w:r w:rsidRPr="0026254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Раздел VIII</w:t>
      </w:r>
      <w:r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да са посочени в договорите между страните.“.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E5559" w:rsidRPr="00262544" w:rsidRDefault="009E5559" w:rsidP="009E5559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Заключителна разпоредба</w:t>
      </w:r>
    </w:p>
    <w:p w:rsidR="009E5559" w:rsidRPr="00262544" w:rsidRDefault="009E5559" w:rsidP="004359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E5559" w:rsidRPr="00262544" w:rsidRDefault="004319DC" w:rsidP="009E5559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625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§ 3</w:t>
      </w:r>
      <w:r w:rsidR="009E5559" w:rsidRPr="0026254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9E5559" w:rsidRPr="002625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Наредбата влиза в сила от деня на обнародването ѝ в “Държавен вестник”.</w:t>
      </w:r>
    </w:p>
    <w:p w:rsidR="009E5559" w:rsidRPr="00262544" w:rsidRDefault="009E5559" w:rsidP="009E55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F62191" w:rsidRPr="00262544" w:rsidRDefault="00F62191" w:rsidP="009E55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E82031" w:rsidRPr="00262544" w:rsidRDefault="00E82031" w:rsidP="009E55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9E5559" w:rsidRPr="00262544" w:rsidRDefault="009E5559" w:rsidP="009E555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  <w:r w:rsidRPr="0026254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КИРИЛ ВЪТЕВ</w:t>
      </w:r>
    </w:p>
    <w:p w:rsidR="009E5559" w:rsidRPr="00262544" w:rsidRDefault="009E5559" w:rsidP="009E5559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262544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Министър на земеделието и храните</w:t>
      </w:r>
    </w:p>
    <w:p w:rsidR="009E5559" w:rsidRPr="00262544" w:rsidRDefault="009E5559" w:rsidP="009E5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lang w:val="bg-BG"/>
        </w:rPr>
      </w:pPr>
      <w:bookmarkStart w:id="0" w:name="_GoBack"/>
      <w:bookmarkEnd w:id="0"/>
    </w:p>
    <w:sectPr w:rsidR="009E5559" w:rsidRPr="00262544" w:rsidSect="002D7C21">
      <w:footerReference w:type="default" r:id="rId7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A0" w:rsidRDefault="003570A0">
      <w:pPr>
        <w:spacing w:after="0" w:line="240" w:lineRule="auto"/>
      </w:pPr>
      <w:r>
        <w:separator/>
      </w:r>
    </w:p>
  </w:endnote>
  <w:endnote w:type="continuationSeparator" w:id="0">
    <w:p w:rsidR="003570A0" w:rsidRDefault="0035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473" w:rsidRPr="00E82031" w:rsidRDefault="00C5340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E82031">
      <w:rPr>
        <w:rFonts w:ascii="Times New Roman" w:hAnsi="Times New Roman" w:cs="Times New Roman"/>
        <w:sz w:val="20"/>
        <w:szCs w:val="20"/>
      </w:rPr>
      <w:fldChar w:fldCharType="begin"/>
    </w:r>
    <w:r w:rsidRPr="00E8203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82031">
      <w:rPr>
        <w:rFonts w:ascii="Times New Roman" w:hAnsi="Times New Roman" w:cs="Times New Roman"/>
        <w:sz w:val="20"/>
        <w:szCs w:val="20"/>
      </w:rPr>
      <w:fldChar w:fldCharType="separate"/>
    </w:r>
    <w:r w:rsidR="00FF484E">
      <w:rPr>
        <w:rFonts w:ascii="Times New Roman" w:hAnsi="Times New Roman" w:cs="Times New Roman"/>
        <w:noProof/>
        <w:sz w:val="20"/>
        <w:szCs w:val="20"/>
      </w:rPr>
      <w:t>4</w:t>
    </w:r>
    <w:r w:rsidRPr="00E82031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A0" w:rsidRDefault="003570A0">
      <w:pPr>
        <w:spacing w:after="0" w:line="240" w:lineRule="auto"/>
      </w:pPr>
      <w:r>
        <w:separator/>
      </w:r>
    </w:p>
  </w:footnote>
  <w:footnote w:type="continuationSeparator" w:id="0">
    <w:p w:rsidR="003570A0" w:rsidRDefault="0035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0384"/>
    <w:multiLevelType w:val="multilevel"/>
    <w:tmpl w:val="5F628B28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5"/>
    <w:rsid w:val="000447D2"/>
    <w:rsid w:val="0005170D"/>
    <w:rsid w:val="000E462A"/>
    <w:rsid w:val="00116EB9"/>
    <w:rsid w:val="00131A9B"/>
    <w:rsid w:val="001538A8"/>
    <w:rsid w:val="00154FEC"/>
    <w:rsid w:val="001C2910"/>
    <w:rsid w:val="001F52CC"/>
    <w:rsid w:val="00262544"/>
    <w:rsid w:val="00281F0F"/>
    <w:rsid w:val="00283E6F"/>
    <w:rsid w:val="002D7C21"/>
    <w:rsid w:val="002E455D"/>
    <w:rsid w:val="00353B29"/>
    <w:rsid w:val="003565CF"/>
    <w:rsid w:val="003570A0"/>
    <w:rsid w:val="003641CC"/>
    <w:rsid w:val="003A7F2B"/>
    <w:rsid w:val="003B48A2"/>
    <w:rsid w:val="00424B9C"/>
    <w:rsid w:val="004319DC"/>
    <w:rsid w:val="00435928"/>
    <w:rsid w:val="00445310"/>
    <w:rsid w:val="00457C0F"/>
    <w:rsid w:val="00507180"/>
    <w:rsid w:val="005E470B"/>
    <w:rsid w:val="00616A91"/>
    <w:rsid w:val="00643C0D"/>
    <w:rsid w:val="0065504B"/>
    <w:rsid w:val="006924E2"/>
    <w:rsid w:val="00736B53"/>
    <w:rsid w:val="00865ED6"/>
    <w:rsid w:val="008A5384"/>
    <w:rsid w:val="008B6341"/>
    <w:rsid w:val="008C1FB7"/>
    <w:rsid w:val="008D073D"/>
    <w:rsid w:val="00944B05"/>
    <w:rsid w:val="00960E21"/>
    <w:rsid w:val="00982828"/>
    <w:rsid w:val="009E5559"/>
    <w:rsid w:val="00A70268"/>
    <w:rsid w:val="00AA5980"/>
    <w:rsid w:val="00B71C20"/>
    <w:rsid w:val="00BB41C4"/>
    <w:rsid w:val="00C43D4F"/>
    <w:rsid w:val="00C53400"/>
    <w:rsid w:val="00CA6AC5"/>
    <w:rsid w:val="00CF6F43"/>
    <w:rsid w:val="00D00189"/>
    <w:rsid w:val="00D43202"/>
    <w:rsid w:val="00DC02DE"/>
    <w:rsid w:val="00E016CD"/>
    <w:rsid w:val="00E20385"/>
    <w:rsid w:val="00E82031"/>
    <w:rsid w:val="00E844BD"/>
    <w:rsid w:val="00F06981"/>
    <w:rsid w:val="00F62191"/>
    <w:rsid w:val="00FA23D5"/>
    <w:rsid w:val="00FA36F5"/>
    <w:rsid w:val="00FE3909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5B83F-25B3-48AD-9893-5B2CC72B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3E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6F"/>
  </w:style>
  <w:style w:type="paragraph" w:styleId="Header">
    <w:name w:val="header"/>
    <w:basedOn w:val="Normal"/>
    <w:link w:val="HeaderChar"/>
    <w:unhideWhenUsed/>
    <w:rsid w:val="0050718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507180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99"/>
    <w:qFormat/>
    <w:rsid w:val="00944B0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 Grigorov</dc:creator>
  <cp:keywords/>
  <dc:description/>
  <cp:lastModifiedBy>Kristiana Pavlova</cp:lastModifiedBy>
  <cp:revision>54</cp:revision>
  <cp:lastPrinted>2023-09-21T12:44:00Z</cp:lastPrinted>
  <dcterms:created xsi:type="dcterms:W3CDTF">2023-08-15T13:02:00Z</dcterms:created>
  <dcterms:modified xsi:type="dcterms:W3CDTF">2023-10-19T07:50:00Z</dcterms:modified>
</cp:coreProperties>
</file>