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A69C" w14:textId="6DCCF3E3" w:rsidR="00C764CF" w:rsidRDefault="003D7C53" w:rsidP="00C764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16"/>
          <w:szCs w:val="16"/>
        </w:rPr>
      </w:pPr>
      <w:r w:rsidRPr="00C41E0B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2AD7FB2" wp14:editId="5F5AB038">
            <wp:simplePos x="0" y="0"/>
            <wp:positionH relativeFrom="column">
              <wp:posOffset>2286000</wp:posOffset>
            </wp:positionH>
            <wp:positionV relativeFrom="paragraph">
              <wp:posOffset>96994</wp:posOffset>
            </wp:positionV>
            <wp:extent cx="1187450" cy="11874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CF" w:rsidRPr="00A270DB">
        <w:rPr>
          <w:rFonts w:ascii="Verdana" w:hAnsi="Verdana"/>
          <w:sz w:val="16"/>
          <w:szCs w:val="16"/>
        </w:rPr>
        <w:t>Класификация на информацията:</w:t>
      </w:r>
    </w:p>
    <w:p w14:paraId="278066F2" w14:textId="77777777" w:rsidR="00C764CF" w:rsidRPr="00A270DB" w:rsidRDefault="00C764CF" w:rsidP="00C764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Ниво 0</w:t>
      </w:r>
      <w:r w:rsidRPr="00A270DB">
        <w:rPr>
          <w:rFonts w:ascii="Verdana" w:hAnsi="Verdana"/>
          <w:sz w:val="16"/>
          <w:szCs w:val="16"/>
        </w:rPr>
        <w:t>, TLP-</w:t>
      </w:r>
      <w:r>
        <w:rPr>
          <w:rFonts w:ascii="Verdana" w:hAnsi="Verdana"/>
          <w:sz w:val="16"/>
          <w:szCs w:val="16"/>
          <w:lang w:val="en-US"/>
        </w:rPr>
        <w:t>WHITE</w:t>
      </w:r>
    </w:p>
    <w:p w14:paraId="03FA1534" w14:textId="77777777" w:rsidR="00C764CF" w:rsidRDefault="00C764CF" w:rsidP="00C764CF">
      <w:pPr>
        <w:ind w:left="-426"/>
        <w:rPr>
          <w:rFonts w:ascii="Verdana" w:hAnsi="Verdana"/>
          <w:sz w:val="20"/>
          <w:szCs w:val="20"/>
        </w:rPr>
      </w:pPr>
    </w:p>
    <w:p w14:paraId="2C0C23B7" w14:textId="1280AF2C" w:rsidR="00C764CF" w:rsidRPr="00C41E0B" w:rsidRDefault="00C764CF" w:rsidP="00C764CF">
      <w:pPr>
        <w:jc w:val="center"/>
        <w:rPr>
          <w:rFonts w:ascii="Verdana" w:hAnsi="Verdana"/>
          <w:sz w:val="20"/>
          <w:szCs w:val="20"/>
          <w:lang w:eastAsia="en-GB"/>
        </w:rPr>
      </w:pPr>
    </w:p>
    <w:p w14:paraId="68C2E351" w14:textId="77777777" w:rsidR="00C764CF" w:rsidRPr="00C41E0B" w:rsidRDefault="00C764CF" w:rsidP="00C764CF">
      <w:pPr>
        <w:tabs>
          <w:tab w:val="center" w:pos="4153"/>
          <w:tab w:val="right" w:pos="8306"/>
        </w:tabs>
        <w:spacing w:before="120"/>
        <w:jc w:val="center"/>
        <w:rPr>
          <w:rFonts w:ascii="Verdana" w:hAnsi="Verdana"/>
          <w:sz w:val="20"/>
          <w:szCs w:val="20"/>
          <w:lang w:eastAsia="en-US"/>
        </w:rPr>
      </w:pPr>
    </w:p>
    <w:p w14:paraId="17979157" w14:textId="77777777" w:rsidR="00C764CF" w:rsidRPr="00C41E0B" w:rsidRDefault="00C764CF" w:rsidP="00C764CF">
      <w:pPr>
        <w:tabs>
          <w:tab w:val="center" w:pos="4153"/>
          <w:tab w:val="right" w:pos="8306"/>
        </w:tabs>
        <w:spacing w:before="120"/>
        <w:jc w:val="center"/>
        <w:rPr>
          <w:rFonts w:ascii="Verdana" w:hAnsi="Verdana"/>
          <w:sz w:val="20"/>
          <w:szCs w:val="20"/>
          <w:lang w:eastAsia="en-US"/>
        </w:rPr>
      </w:pPr>
    </w:p>
    <w:p w14:paraId="2CAF7433" w14:textId="77777777" w:rsidR="00C764CF" w:rsidRPr="00C41E0B" w:rsidRDefault="00C764CF" w:rsidP="00C764C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</w:p>
    <w:p w14:paraId="620987D7" w14:textId="77777777" w:rsidR="00C764CF" w:rsidRPr="00C41E0B" w:rsidRDefault="00C764CF" w:rsidP="00C764C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  <w:r w:rsidRPr="00C41E0B">
        <w:rPr>
          <w:rFonts w:ascii="Platinum Bg" w:hAnsi="Platinum Bg" w:cs="Platinum Bg"/>
          <w:caps/>
          <w:spacing w:val="30"/>
          <w:sz w:val="36"/>
          <w:szCs w:val="36"/>
          <w:lang w:eastAsia="en-US"/>
        </w:rPr>
        <w:t>Република България</w:t>
      </w:r>
    </w:p>
    <w:p w14:paraId="22AD2F9B" w14:textId="6645207C" w:rsidR="00C764CF" w:rsidRPr="00C41E0B" w:rsidRDefault="00C764CF" w:rsidP="00C764C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eastAsia="en-US"/>
        </w:rPr>
      </w:pPr>
      <w:r w:rsidRPr="00C41E0B">
        <w:rPr>
          <w:rFonts w:ascii="Platinum Bg" w:hAnsi="Platinum Bg" w:cs="Platinum Bg"/>
          <w:spacing w:val="30"/>
          <w:sz w:val="32"/>
          <w:szCs w:val="32"/>
          <w:lang w:eastAsia="en-US"/>
        </w:rPr>
        <w:t>Заместник-министър на земеделието</w:t>
      </w:r>
      <w:r w:rsidR="009B1FAC">
        <w:rPr>
          <w:rFonts w:ascii="Platinum Bg" w:hAnsi="Platinum Bg" w:cs="Platinum Bg"/>
          <w:spacing w:val="30"/>
          <w:sz w:val="32"/>
          <w:szCs w:val="32"/>
          <w:lang w:eastAsia="en-US"/>
        </w:rPr>
        <w:t xml:space="preserve"> и храните</w:t>
      </w:r>
    </w:p>
    <w:p w14:paraId="69080162" w14:textId="3A09056C" w:rsidR="00C764CF" w:rsidRDefault="00C764CF" w:rsidP="003D7C53">
      <w:pPr>
        <w:spacing w:line="360" w:lineRule="auto"/>
        <w:rPr>
          <w:rFonts w:ascii="Verdana" w:hAnsi="Verdana"/>
          <w:sz w:val="20"/>
          <w:szCs w:val="20"/>
        </w:rPr>
      </w:pPr>
    </w:p>
    <w:p w14:paraId="0721C0AD" w14:textId="77777777" w:rsidR="00715626" w:rsidRPr="00E75EDF" w:rsidRDefault="00715626" w:rsidP="003D7C53">
      <w:pPr>
        <w:spacing w:line="360" w:lineRule="auto"/>
        <w:rPr>
          <w:rFonts w:ascii="Verdana" w:hAnsi="Verdana"/>
          <w:sz w:val="20"/>
          <w:szCs w:val="20"/>
        </w:rPr>
      </w:pPr>
    </w:p>
    <w:p w14:paraId="7329EFA7" w14:textId="77777777" w:rsidR="00C764CF" w:rsidRPr="00E75EDF" w:rsidRDefault="00C764CF" w:rsidP="003D7C53">
      <w:pPr>
        <w:spacing w:line="360" w:lineRule="auto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</w:t>
      </w:r>
    </w:p>
    <w:p w14:paraId="2ADBDED1" w14:textId="5FB63CA8" w:rsidR="00C764CF" w:rsidRDefault="00C764CF" w:rsidP="003D7C53">
      <w:pPr>
        <w:spacing w:line="360" w:lineRule="auto"/>
        <w:rPr>
          <w:rFonts w:ascii="Verdana" w:hAnsi="Verdana"/>
          <w:sz w:val="20"/>
          <w:szCs w:val="20"/>
        </w:rPr>
      </w:pPr>
      <w:r w:rsidRPr="00E75ED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 </w:t>
      </w:r>
      <w:r w:rsidRPr="00E75EDF">
        <w:rPr>
          <w:rFonts w:ascii="Verdana" w:hAnsi="Verdana"/>
          <w:sz w:val="20"/>
          <w:szCs w:val="20"/>
        </w:rPr>
        <w:t>г.</w:t>
      </w:r>
    </w:p>
    <w:p w14:paraId="6D41E60D" w14:textId="77777777" w:rsidR="003D7C53" w:rsidRDefault="003D7C53" w:rsidP="003D7C53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4678"/>
        <w:gridCol w:w="4502"/>
      </w:tblGrid>
      <w:tr w:rsidR="00CE032C" w:rsidRPr="00CE032C" w14:paraId="34ACDD40" w14:textId="77777777" w:rsidTr="00100A23">
        <w:tc>
          <w:tcPr>
            <w:tcW w:w="4678" w:type="dxa"/>
          </w:tcPr>
          <w:p w14:paraId="4FFFC939" w14:textId="77777777" w:rsidR="00CE032C" w:rsidRPr="00CE032C" w:rsidRDefault="00CE032C" w:rsidP="00CE032C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2D76C9F" w14:textId="77777777" w:rsidR="00CE032C" w:rsidRPr="00CE032C" w:rsidRDefault="00CE032C" w:rsidP="00CE032C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032C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14:paraId="3D6ECC3B" w14:textId="77777777" w:rsidR="00CE032C" w:rsidRPr="00CE032C" w:rsidRDefault="00CE032C" w:rsidP="00CE032C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032C">
              <w:rPr>
                <w:rFonts w:ascii="Verdana" w:hAnsi="Verdana"/>
                <w:b/>
                <w:bCs/>
                <w:sz w:val="20"/>
                <w:szCs w:val="20"/>
              </w:rPr>
              <w:t>МИНИСТЪРА НА ЗЕМЕДЕЛИЕТО И ХРАНИТЕ</w:t>
            </w:r>
          </w:p>
          <w:p w14:paraId="5E9DBD50" w14:textId="77777777" w:rsidR="00CE032C" w:rsidRPr="00CE032C" w:rsidRDefault="00CE032C" w:rsidP="00CE032C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CE032C">
              <w:rPr>
                <w:rFonts w:ascii="Verdana" w:hAnsi="Verdana"/>
                <w:b/>
                <w:bCs/>
                <w:sz w:val="20"/>
                <w:szCs w:val="20"/>
              </w:rPr>
              <w:t>Г-Н КИРИЛ ВЪТЕВ</w:t>
            </w:r>
          </w:p>
        </w:tc>
        <w:tc>
          <w:tcPr>
            <w:tcW w:w="4502" w:type="dxa"/>
          </w:tcPr>
          <w:p w14:paraId="647483A5" w14:textId="77777777" w:rsidR="00CE032C" w:rsidRPr="00CE032C" w:rsidRDefault="00CE032C" w:rsidP="00CE032C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CE032C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14:paraId="64EB4C1F" w14:textId="77777777" w:rsidR="00CE032C" w:rsidRPr="00CE032C" w:rsidRDefault="00CE032C" w:rsidP="00CE032C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032C">
              <w:rPr>
                <w:rFonts w:ascii="Verdana" w:hAnsi="Verdana"/>
                <w:b/>
                <w:sz w:val="20"/>
                <w:szCs w:val="20"/>
              </w:rPr>
              <w:t xml:space="preserve">МИНИСТЪР </w:t>
            </w:r>
            <w:r w:rsidRPr="00CE032C">
              <w:rPr>
                <w:rFonts w:ascii="Verdana" w:hAnsi="Verdana"/>
                <w:b/>
                <w:bCs/>
                <w:sz w:val="20"/>
                <w:szCs w:val="20"/>
              </w:rPr>
              <w:t>НА ЗЕМЕДЕЛИЕТО И ХРАНИТЕ:</w:t>
            </w:r>
          </w:p>
          <w:p w14:paraId="31D432C7" w14:textId="77777777" w:rsidR="00CE032C" w:rsidRPr="00CE032C" w:rsidRDefault="00CE032C" w:rsidP="00CE032C">
            <w:pPr>
              <w:spacing w:line="348" w:lineRule="auto"/>
              <w:ind w:left="2438" w:right="10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32C">
              <w:rPr>
                <w:rFonts w:ascii="Verdana" w:hAnsi="Verdana"/>
                <w:b/>
                <w:bCs/>
                <w:sz w:val="20"/>
                <w:szCs w:val="20"/>
              </w:rPr>
              <w:t>КИРИЛ ВЪТЕВ</w:t>
            </w:r>
          </w:p>
        </w:tc>
      </w:tr>
    </w:tbl>
    <w:p w14:paraId="66B0BBBC" w14:textId="77777777" w:rsidR="00CE032C" w:rsidRPr="003D7C53" w:rsidRDefault="00CE032C" w:rsidP="00CE032C">
      <w:pPr>
        <w:spacing w:line="348" w:lineRule="auto"/>
        <w:rPr>
          <w:rFonts w:ascii="Verdana" w:hAnsi="Verdana"/>
          <w:bCs/>
          <w:sz w:val="20"/>
          <w:szCs w:val="20"/>
        </w:rPr>
      </w:pPr>
    </w:p>
    <w:p w14:paraId="251F132F" w14:textId="77777777" w:rsidR="00CE032C" w:rsidRPr="003D7C53" w:rsidRDefault="00CE032C" w:rsidP="003D7C53">
      <w:pPr>
        <w:spacing w:line="348" w:lineRule="auto"/>
        <w:rPr>
          <w:rFonts w:ascii="Verdana" w:hAnsi="Verdana"/>
          <w:sz w:val="20"/>
        </w:rPr>
      </w:pPr>
    </w:p>
    <w:p w14:paraId="342FBD87" w14:textId="77777777" w:rsidR="00CE032C" w:rsidRPr="00CE032C" w:rsidRDefault="00CE032C" w:rsidP="00CE032C">
      <w:pPr>
        <w:keepNext/>
        <w:spacing w:line="360" w:lineRule="auto"/>
        <w:jc w:val="center"/>
        <w:outlineLvl w:val="0"/>
        <w:rPr>
          <w:rFonts w:ascii="Verdana" w:hAnsi="Verdana"/>
          <w:b/>
          <w:spacing w:val="44"/>
        </w:rPr>
      </w:pPr>
      <w:r w:rsidRPr="00CE032C">
        <w:rPr>
          <w:rFonts w:ascii="Verdana" w:hAnsi="Verdana"/>
          <w:b/>
          <w:spacing w:val="44"/>
        </w:rPr>
        <w:t>ДОКЛАД</w:t>
      </w:r>
    </w:p>
    <w:p w14:paraId="2686BA83" w14:textId="307B4BE3" w:rsidR="00CE032C" w:rsidRPr="00CE032C" w:rsidRDefault="00CE032C" w:rsidP="00CE032C">
      <w:pPr>
        <w:spacing w:line="360" w:lineRule="auto"/>
        <w:jc w:val="center"/>
        <w:rPr>
          <w:rFonts w:ascii="Verdana" w:hAnsi="Verdana"/>
          <w:smallCaps/>
          <w:sz w:val="20"/>
          <w:szCs w:val="20"/>
        </w:rPr>
      </w:pPr>
      <w:r w:rsidRPr="00CE032C">
        <w:rPr>
          <w:rFonts w:ascii="Verdana" w:hAnsi="Verdana"/>
          <w:smallCaps/>
          <w:sz w:val="20"/>
          <w:szCs w:val="20"/>
        </w:rPr>
        <w:t xml:space="preserve">от Александър </w:t>
      </w:r>
      <w:proofErr w:type="spellStart"/>
      <w:r w:rsidRPr="00CE032C">
        <w:rPr>
          <w:rFonts w:ascii="Verdana" w:hAnsi="Verdana"/>
          <w:smallCaps/>
          <w:sz w:val="20"/>
          <w:szCs w:val="20"/>
        </w:rPr>
        <w:t>Йоцев</w:t>
      </w:r>
      <w:proofErr w:type="spellEnd"/>
      <w:r w:rsidRPr="00CE032C">
        <w:rPr>
          <w:rFonts w:ascii="Verdana" w:hAnsi="Verdana"/>
          <w:smallCaps/>
          <w:sz w:val="20"/>
          <w:szCs w:val="20"/>
        </w:rPr>
        <w:t xml:space="preserve"> – заместник-министър на земеделието и храните</w:t>
      </w:r>
    </w:p>
    <w:p w14:paraId="19ADFE99" w14:textId="77777777" w:rsidR="00CE032C" w:rsidRPr="00CE032C" w:rsidRDefault="00CE032C" w:rsidP="00CE032C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430CE03D" w14:textId="77777777" w:rsidR="00CE032C" w:rsidRPr="00CE032C" w:rsidRDefault="00CE032C" w:rsidP="00CE032C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600367E3" w14:textId="77777777" w:rsidR="00CE032C" w:rsidRPr="00CE032C" w:rsidRDefault="00CE032C" w:rsidP="00CE032C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CE032C">
        <w:rPr>
          <w:rFonts w:ascii="Verdana" w:hAnsi="Verdana"/>
          <w:b/>
          <w:sz w:val="20"/>
          <w:szCs w:val="20"/>
        </w:rPr>
        <w:t>Относно:</w:t>
      </w:r>
      <w:r w:rsidRPr="00CE032C">
        <w:rPr>
          <w:rFonts w:ascii="Verdana" w:hAnsi="Verdana"/>
          <w:sz w:val="20"/>
          <w:szCs w:val="20"/>
        </w:rPr>
        <w:t xml:space="preserve"> Проект на Наредба за </w:t>
      </w:r>
      <w:r w:rsidR="00E71D90">
        <w:rPr>
          <w:rFonts w:ascii="Verdana" w:hAnsi="Verdana"/>
          <w:sz w:val="20"/>
          <w:szCs w:val="20"/>
        </w:rPr>
        <w:t xml:space="preserve">изменение и </w:t>
      </w:r>
      <w:r w:rsidRPr="00CE032C">
        <w:rPr>
          <w:rFonts w:ascii="Verdana" w:hAnsi="Verdana"/>
          <w:sz w:val="20"/>
          <w:szCs w:val="20"/>
        </w:rPr>
        <w:t>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</w:p>
    <w:p w14:paraId="7DB56699" w14:textId="1C9E8683" w:rsidR="00CE032C" w:rsidRDefault="00CE032C" w:rsidP="00CE032C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089B14E7" w14:textId="627367B1" w:rsidR="003D7C53" w:rsidRDefault="003D7C53" w:rsidP="00CE032C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005DD064" w14:textId="77777777" w:rsidR="003D7C53" w:rsidRPr="00CE032C" w:rsidRDefault="003D7C53" w:rsidP="00CE032C">
      <w:pPr>
        <w:spacing w:line="348" w:lineRule="auto"/>
        <w:ind w:left="1191" w:hanging="1191"/>
        <w:jc w:val="both"/>
        <w:rPr>
          <w:rFonts w:ascii="Verdana" w:hAnsi="Verdana"/>
          <w:sz w:val="20"/>
          <w:szCs w:val="20"/>
        </w:rPr>
      </w:pPr>
    </w:p>
    <w:p w14:paraId="332DF471" w14:textId="77777777" w:rsidR="00CE032C" w:rsidRPr="00CE032C" w:rsidRDefault="00CE032C" w:rsidP="00CE032C">
      <w:p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/>
          <w:sz w:val="20"/>
          <w:szCs w:val="20"/>
        </w:rPr>
        <w:t>УВАЖАЕМИ ГОСПОДИН МИНИСТЪР,</w:t>
      </w:r>
    </w:p>
    <w:p w14:paraId="05076C72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pacing w:val="2"/>
          <w:sz w:val="20"/>
          <w:szCs w:val="20"/>
        </w:rPr>
      </w:pPr>
      <w:r w:rsidRPr="00CE032C">
        <w:rPr>
          <w:rFonts w:ascii="Verdana" w:hAnsi="Verdana"/>
          <w:bCs/>
          <w:spacing w:val="2"/>
          <w:sz w:val="20"/>
          <w:szCs w:val="20"/>
        </w:rPr>
        <w:t xml:space="preserve">На основание чл. 64, ал. 1 от Закона за подпомагане на земеделските производители внасям за одобрение </w:t>
      </w:r>
      <w:r w:rsidR="00E71D90" w:rsidRPr="00E71D90">
        <w:rPr>
          <w:rFonts w:ascii="Verdana" w:hAnsi="Verdana"/>
          <w:bCs/>
          <w:spacing w:val="2"/>
          <w:sz w:val="20"/>
          <w:szCs w:val="20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CE032C">
        <w:rPr>
          <w:rFonts w:ascii="Verdana" w:hAnsi="Verdana"/>
          <w:bCs/>
          <w:spacing w:val="2"/>
          <w:sz w:val="20"/>
          <w:szCs w:val="20"/>
        </w:rPr>
        <w:t>.</w:t>
      </w:r>
    </w:p>
    <w:p w14:paraId="08D7F948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6082E48B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CE032C">
        <w:rPr>
          <w:rFonts w:ascii="Verdana" w:hAnsi="Verdana"/>
          <w:b/>
          <w:bCs/>
          <w:sz w:val="20"/>
          <w:szCs w:val="20"/>
        </w:rPr>
        <w:t>Причини, които налагат приемането на акта</w:t>
      </w:r>
    </w:p>
    <w:p w14:paraId="6EF74610" w14:textId="71289C2E" w:rsidR="006C5937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 xml:space="preserve">В Европейския съюз (ЕС) през 2021 г. приключи реформата на Общата селскостопанска политика (ОСП), насочена към по-устойчиво селско стопанство, </w:t>
      </w:r>
      <w:r w:rsidRPr="00CE032C">
        <w:rPr>
          <w:rFonts w:ascii="Verdana" w:hAnsi="Verdana"/>
          <w:bCs/>
          <w:sz w:val="20"/>
          <w:szCs w:val="20"/>
        </w:rPr>
        <w:lastRenderedPageBreak/>
        <w:t>подпомагане на доходите на земеделските производители и жизнеспособността на тяхната дейност, намаляване на бюрокрацията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за устойчиво развитие. Въз основа на това всяка държава членка изготвя „Стратегически план за ОСП“,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изготвянето на рамката за съответствие и контрол, прилагана спрямо бенефициентите, включително проверките и санкциите.</w:t>
      </w:r>
      <w:r w:rsidRPr="00CE032C">
        <w:rPr>
          <w:rFonts w:ascii="Verdana" w:hAnsi="Verdana"/>
          <w:bCs/>
          <w:spacing w:val="2"/>
          <w:sz w:val="20"/>
          <w:szCs w:val="20"/>
        </w:rPr>
        <w:t xml:space="preserve"> Съгласно чл. 9, параграф 3 от </w:t>
      </w:r>
      <w:r w:rsidRPr="001360DF">
        <w:rPr>
          <w:rFonts w:ascii="Verdana" w:hAnsi="Verdana"/>
          <w:bCs/>
          <w:spacing w:val="2"/>
          <w:sz w:val="20"/>
          <w:szCs w:val="20"/>
        </w:rPr>
        <w:t>Регламент (ЕС) 2021/2115</w:t>
      </w:r>
      <w:r w:rsidRPr="00CE032C">
        <w:rPr>
          <w:rFonts w:ascii="Verdana" w:hAnsi="Verdana"/>
          <w:bCs/>
          <w:spacing w:val="2"/>
          <w:sz w:val="20"/>
          <w:szCs w:val="20"/>
        </w:rPr>
        <w:t xml:space="preserve">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(OВ L 435 от 6.12.2021 г.), държавите членки трябва да определят правната рамка, уреждаща предоставянето на подпомагане от Съюза на земеделските стопани и другите </w:t>
      </w:r>
      <w:proofErr w:type="spellStart"/>
      <w:r w:rsidRPr="00CE032C">
        <w:rPr>
          <w:rFonts w:ascii="Verdana" w:hAnsi="Verdana"/>
          <w:bCs/>
          <w:spacing w:val="2"/>
          <w:sz w:val="20"/>
          <w:szCs w:val="20"/>
        </w:rPr>
        <w:t>бенефициери</w:t>
      </w:r>
      <w:proofErr w:type="spellEnd"/>
      <w:r w:rsidRPr="00CE032C">
        <w:rPr>
          <w:rFonts w:ascii="Verdana" w:hAnsi="Verdana"/>
          <w:bCs/>
          <w:spacing w:val="2"/>
          <w:sz w:val="20"/>
          <w:szCs w:val="20"/>
        </w:rPr>
        <w:t xml:space="preserve">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2021/2116.</w:t>
      </w:r>
      <w:r w:rsidRPr="00CE032C">
        <w:rPr>
          <w:rFonts w:ascii="Verdana" w:hAnsi="Verdana"/>
          <w:bCs/>
          <w:sz w:val="20"/>
          <w:szCs w:val="20"/>
        </w:rPr>
        <w:t xml:space="preserve"> </w:t>
      </w:r>
      <w:r w:rsidR="00E01802" w:rsidRPr="00E01802">
        <w:rPr>
          <w:rFonts w:ascii="Verdana" w:hAnsi="Verdana"/>
          <w:bCs/>
          <w:sz w:val="20"/>
          <w:szCs w:val="20"/>
        </w:rPr>
        <w:t xml:space="preserve">Това наложи издаването на нови нормативни актове за прилагане на одобрения от Европейската комисия </w:t>
      </w:r>
      <w:r w:rsidR="00E01802" w:rsidRPr="001360DF">
        <w:rPr>
          <w:rFonts w:ascii="Verdana" w:hAnsi="Verdana"/>
          <w:bCs/>
          <w:sz w:val="20"/>
          <w:szCs w:val="20"/>
        </w:rPr>
        <w:t>Стратегически план за развитието на земеделието и селските райони на Република България за периода 2023-2027 г.</w:t>
      </w:r>
      <w:r w:rsidR="00E01802" w:rsidRPr="00E01802">
        <w:rPr>
          <w:rFonts w:ascii="Verdana" w:hAnsi="Verdana"/>
          <w:bCs/>
          <w:sz w:val="20"/>
          <w:szCs w:val="20"/>
        </w:rPr>
        <w:t xml:space="preserve"> В съответствие със законовата делегация, включена в Закона за изменение и допълнение на Закона за подпомагане на земеделските производители, обнародван в бр. 102 на „Държавен вестник“ от 23.12.2022 г., беше издадена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(</w:t>
      </w:r>
      <w:proofErr w:type="spellStart"/>
      <w:r w:rsidR="00E01802" w:rsidRPr="00E01802">
        <w:rPr>
          <w:rFonts w:ascii="Verdana" w:hAnsi="Verdana"/>
          <w:bCs/>
          <w:sz w:val="20"/>
          <w:szCs w:val="20"/>
        </w:rPr>
        <w:t>oбн</w:t>
      </w:r>
      <w:proofErr w:type="spellEnd"/>
      <w:r w:rsidR="00E01802" w:rsidRPr="00E01802">
        <w:rPr>
          <w:rFonts w:ascii="Verdana" w:hAnsi="Verdana"/>
          <w:bCs/>
          <w:sz w:val="20"/>
          <w:szCs w:val="20"/>
        </w:rPr>
        <w:t>.</w:t>
      </w:r>
      <w:r w:rsidR="003D7C53">
        <w:rPr>
          <w:rFonts w:ascii="Verdana" w:hAnsi="Verdana"/>
          <w:bCs/>
          <w:sz w:val="20"/>
          <w:szCs w:val="20"/>
        </w:rPr>
        <w:t>,</w:t>
      </w:r>
      <w:r w:rsidR="00E01802" w:rsidRPr="00E01802">
        <w:rPr>
          <w:rFonts w:ascii="Verdana" w:hAnsi="Verdana"/>
          <w:bCs/>
          <w:sz w:val="20"/>
          <w:szCs w:val="20"/>
        </w:rPr>
        <w:t xml:space="preserve"> ДВ, бр. 23 от 2023 г.)</w:t>
      </w:r>
      <w:r w:rsidR="00B00058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B00058">
        <w:rPr>
          <w:rFonts w:ascii="Verdana" w:hAnsi="Verdana"/>
          <w:bCs/>
          <w:sz w:val="20"/>
          <w:szCs w:val="20"/>
        </w:rPr>
        <w:t xml:space="preserve">наричана по </w:t>
      </w:r>
      <w:r w:rsidR="003D7C53">
        <w:rPr>
          <w:rFonts w:ascii="Verdana" w:hAnsi="Verdana"/>
          <w:bCs/>
          <w:sz w:val="20"/>
          <w:szCs w:val="20"/>
        </w:rPr>
        <w:t>–</w:t>
      </w:r>
      <w:r w:rsidR="00B00058">
        <w:rPr>
          <w:rFonts w:ascii="Verdana" w:hAnsi="Verdana"/>
          <w:bCs/>
          <w:sz w:val="20"/>
          <w:szCs w:val="20"/>
        </w:rPr>
        <w:t xml:space="preserve"> нататък</w:t>
      </w:r>
      <w:r w:rsidR="003D7C53">
        <w:rPr>
          <w:rFonts w:ascii="Verdana" w:hAnsi="Verdana"/>
          <w:bCs/>
          <w:sz w:val="20"/>
          <w:szCs w:val="20"/>
        </w:rPr>
        <w:t xml:space="preserve"> </w:t>
      </w:r>
      <w:r w:rsidR="00B00058">
        <w:rPr>
          <w:rFonts w:ascii="Verdana" w:hAnsi="Verdana"/>
          <w:bCs/>
          <w:sz w:val="20"/>
          <w:szCs w:val="20"/>
        </w:rPr>
        <w:t>„</w:t>
      </w:r>
      <w:r w:rsidR="00E01802" w:rsidRPr="00E01802">
        <w:rPr>
          <w:rFonts w:ascii="Verdana" w:hAnsi="Verdana"/>
          <w:bCs/>
          <w:sz w:val="20"/>
          <w:szCs w:val="20"/>
        </w:rPr>
        <w:t>Наредба № 3 от 2023 г.</w:t>
      </w:r>
      <w:r w:rsidR="00B00058">
        <w:rPr>
          <w:rFonts w:ascii="Verdana" w:hAnsi="Verdana"/>
          <w:bCs/>
          <w:sz w:val="20"/>
          <w:szCs w:val="20"/>
        </w:rPr>
        <w:t>“</w:t>
      </w:r>
      <w:r w:rsidR="00E01802" w:rsidRPr="00E01802">
        <w:rPr>
          <w:rFonts w:ascii="Verdana" w:hAnsi="Verdana"/>
          <w:bCs/>
          <w:sz w:val="20"/>
          <w:szCs w:val="20"/>
        </w:rPr>
        <w:t xml:space="preserve">) и Наредба № 4 от 2023 г. за условията и реда за подаване на заявления за подпомагане по интервенции за подпомагане на площ и за животни </w:t>
      </w:r>
      <w:r w:rsidR="00B00058">
        <w:rPr>
          <w:rFonts w:ascii="Verdana" w:hAnsi="Verdana"/>
          <w:bCs/>
          <w:sz w:val="20"/>
          <w:szCs w:val="20"/>
        </w:rPr>
        <w:t>(</w:t>
      </w:r>
      <w:proofErr w:type="spellStart"/>
      <w:r w:rsidR="00B00058">
        <w:rPr>
          <w:rFonts w:ascii="Verdana" w:hAnsi="Verdana"/>
          <w:bCs/>
          <w:sz w:val="20"/>
          <w:szCs w:val="20"/>
        </w:rPr>
        <w:t>oбн</w:t>
      </w:r>
      <w:proofErr w:type="spellEnd"/>
      <w:r w:rsidR="00B00058">
        <w:rPr>
          <w:rFonts w:ascii="Verdana" w:hAnsi="Verdana"/>
          <w:bCs/>
          <w:sz w:val="20"/>
          <w:szCs w:val="20"/>
        </w:rPr>
        <w:t xml:space="preserve">., ДВ, бр. 30 от </w:t>
      </w:r>
      <w:r w:rsidR="00B00058" w:rsidRPr="00B00058">
        <w:rPr>
          <w:rFonts w:ascii="Verdana" w:hAnsi="Verdana"/>
          <w:bCs/>
          <w:sz w:val="20"/>
          <w:szCs w:val="20"/>
        </w:rPr>
        <w:t>2023 г</w:t>
      </w:r>
      <w:r w:rsidR="00B00058">
        <w:rPr>
          <w:rFonts w:ascii="Verdana" w:hAnsi="Verdana"/>
          <w:bCs/>
          <w:sz w:val="20"/>
          <w:szCs w:val="20"/>
        </w:rPr>
        <w:t>.), наричана по - нататък</w:t>
      </w:r>
      <w:r w:rsidR="00B00058" w:rsidRPr="00B00058">
        <w:rPr>
          <w:rFonts w:ascii="Verdana" w:hAnsi="Verdana"/>
          <w:bCs/>
          <w:sz w:val="20"/>
          <w:szCs w:val="20"/>
        </w:rPr>
        <w:t xml:space="preserve"> </w:t>
      </w:r>
      <w:r w:rsidR="00B00058">
        <w:rPr>
          <w:rFonts w:ascii="Verdana" w:hAnsi="Verdana"/>
          <w:bCs/>
          <w:sz w:val="20"/>
          <w:szCs w:val="20"/>
        </w:rPr>
        <w:t>„</w:t>
      </w:r>
      <w:r w:rsidR="00E01802" w:rsidRPr="00E01802">
        <w:rPr>
          <w:rFonts w:ascii="Verdana" w:hAnsi="Verdana"/>
          <w:bCs/>
          <w:sz w:val="20"/>
          <w:szCs w:val="20"/>
        </w:rPr>
        <w:t>Наредба № 4 от 2023 г.</w:t>
      </w:r>
      <w:r w:rsidR="00B00058">
        <w:rPr>
          <w:rFonts w:ascii="Verdana" w:hAnsi="Verdana"/>
          <w:bCs/>
          <w:sz w:val="20"/>
          <w:szCs w:val="20"/>
        </w:rPr>
        <w:t>“</w:t>
      </w:r>
      <w:r w:rsidR="00E01802" w:rsidRPr="00E01802">
        <w:rPr>
          <w:rFonts w:ascii="Verdana" w:hAnsi="Verdana"/>
          <w:bCs/>
          <w:sz w:val="20"/>
          <w:szCs w:val="20"/>
        </w:rPr>
        <w:t xml:space="preserve">. Горепосочените актове регламентират получаването на подпомагане по линия на директните плащания във връзка с прилагането на </w:t>
      </w:r>
      <w:r w:rsidR="00E01802" w:rsidRPr="001360DF">
        <w:rPr>
          <w:rFonts w:ascii="Verdana" w:hAnsi="Verdana"/>
          <w:bCs/>
          <w:sz w:val="20"/>
          <w:szCs w:val="20"/>
        </w:rPr>
        <w:t>Стратегическия план за развитието на земеделието и селските райони на Република България за периода 2023-2027 г.</w:t>
      </w:r>
    </w:p>
    <w:p w14:paraId="7EEEE49F" w14:textId="77777777" w:rsidR="00E01802" w:rsidRPr="001360DF" w:rsidRDefault="00A1615D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1360DF">
        <w:rPr>
          <w:rFonts w:ascii="Verdana" w:hAnsi="Verdana"/>
          <w:bCs/>
          <w:sz w:val="20"/>
          <w:szCs w:val="20"/>
        </w:rPr>
        <w:t xml:space="preserve">За да бъдат създадени всички необходими условия за правилното администриране на интервенциите за директни плащания, някои от текстовете на Наредба № 3 от 2023 г. и Наредба № 4 от 2023 г. са </w:t>
      </w:r>
      <w:r w:rsidR="00E52B9E" w:rsidRPr="001360DF">
        <w:rPr>
          <w:rFonts w:ascii="Verdana" w:hAnsi="Verdana"/>
          <w:bCs/>
          <w:sz w:val="20"/>
          <w:szCs w:val="20"/>
        </w:rPr>
        <w:t xml:space="preserve">изменени и </w:t>
      </w:r>
      <w:r w:rsidRPr="001360DF">
        <w:rPr>
          <w:rFonts w:ascii="Verdana" w:hAnsi="Verdana"/>
          <w:bCs/>
          <w:sz w:val="20"/>
          <w:szCs w:val="20"/>
        </w:rPr>
        <w:t>допълнени</w:t>
      </w:r>
      <w:r w:rsidR="00E01802" w:rsidRPr="001360DF">
        <w:rPr>
          <w:rFonts w:ascii="Verdana" w:hAnsi="Verdana"/>
          <w:bCs/>
          <w:sz w:val="20"/>
          <w:szCs w:val="20"/>
        </w:rPr>
        <w:t>.</w:t>
      </w:r>
    </w:p>
    <w:p w14:paraId="74BCDF7C" w14:textId="75580B6D" w:rsidR="00BF5624" w:rsidRDefault="00C876BC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C876BC">
        <w:rPr>
          <w:rFonts w:ascii="Verdana" w:hAnsi="Verdana"/>
          <w:bCs/>
          <w:sz w:val="20"/>
          <w:szCs w:val="20"/>
        </w:rPr>
        <w:lastRenderedPageBreak/>
        <w:t>Съгласно чл. 51, ал. 2 от Закона за подпомагане на земеделските производители - Държавен фонд "Земеделие" създава Система за мониторинг на площта съгласно чл. 70 от Регламент 2021/2116 като елемент на Интегрираната система за администриране и контрол. Системата за мониторинг на площта осигурява редовно и систематично наблюдение, проследяване и оценка на селскостопанските дейности и практики, извършвани в рамките на селскостопански площи, чрез данни от спътниците "</w:t>
      </w:r>
      <w:proofErr w:type="spellStart"/>
      <w:r w:rsidRPr="00C876BC">
        <w:rPr>
          <w:rFonts w:ascii="Verdana" w:hAnsi="Verdana"/>
          <w:bCs/>
          <w:sz w:val="20"/>
          <w:szCs w:val="20"/>
        </w:rPr>
        <w:t>Сентинел</w:t>
      </w:r>
      <w:proofErr w:type="spellEnd"/>
      <w:r w:rsidRPr="00C876BC">
        <w:rPr>
          <w:rFonts w:ascii="Verdana" w:hAnsi="Verdana"/>
          <w:bCs/>
          <w:sz w:val="20"/>
          <w:szCs w:val="20"/>
        </w:rPr>
        <w:t xml:space="preserve">" по програма "Коперник" или други данни най-малко с еквивалентна стойност. Съгласно чл. 9, параграф 3 от Регламент (ЕС) 2021/2115 държавите членки трябва да определят правната рамка, уреждаща предоставянето на подпомагане от Съюза на земеделските стопани и другите </w:t>
      </w:r>
      <w:proofErr w:type="spellStart"/>
      <w:r w:rsidRPr="00C876BC">
        <w:rPr>
          <w:rFonts w:ascii="Verdana" w:hAnsi="Verdana"/>
          <w:bCs/>
          <w:sz w:val="20"/>
          <w:szCs w:val="20"/>
        </w:rPr>
        <w:t>бенефициери</w:t>
      </w:r>
      <w:proofErr w:type="spellEnd"/>
      <w:r w:rsidRPr="00C876BC">
        <w:rPr>
          <w:rFonts w:ascii="Verdana" w:hAnsi="Verdana"/>
          <w:bCs/>
          <w:sz w:val="20"/>
          <w:szCs w:val="20"/>
        </w:rPr>
        <w:t xml:space="preserve"> в съответствие със стратегическите планове по ОСП, одобрени от Комисията и с принципите и изискванията, установени в същия регламен</w:t>
      </w:r>
      <w:r w:rsidR="003D7C53">
        <w:rPr>
          <w:rFonts w:ascii="Verdana" w:hAnsi="Verdana"/>
          <w:bCs/>
          <w:sz w:val="20"/>
          <w:szCs w:val="20"/>
        </w:rPr>
        <w:t>т и в Регламент (ЕС) 2021/2116.</w:t>
      </w:r>
    </w:p>
    <w:p w14:paraId="5ADB400E" w14:textId="064FE1A9" w:rsidR="00BF5624" w:rsidRDefault="00C876BC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C876BC">
        <w:rPr>
          <w:rFonts w:ascii="Verdana" w:hAnsi="Verdana"/>
          <w:bCs/>
          <w:sz w:val="20"/>
          <w:szCs w:val="20"/>
        </w:rPr>
        <w:t xml:space="preserve">В тази връзка </w:t>
      </w:r>
      <w:r w:rsidR="00671464">
        <w:rPr>
          <w:rFonts w:ascii="Verdana" w:hAnsi="Verdana"/>
          <w:bCs/>
          <w:sz w:val="20"/>
          <w:szCs w:val="20"/>
        </w:rPr>
        <w:t>следва да бъдат регламентирани</w:t>
      </w:r>
      <w:r w:rsidRPr="00C876BC">
        <w:rPr>
          <w:rFonts w:ascii="Verdana" w:hAnsi="Verdana"/>
          <w:bCs/>
          <w:sz w:val="20"/>
          <w:szCs w:val="20"/>
        </w:rPr>
        <w:t xml:space="preserve"> ясно разписани механизми и критерии за използването на данните от различни системи за контрол по отношение извършването на земеделска дейност </w:t>
      </w:r>
      <w:r>
        <w:rPr>
          <w:rFonts w:ascii="Verdana" w:hAnsi="Verdana"/>
          <w:bCs/>
          <w:sz w:val="20"/>
          <w:szCs w:val="20"/>
        </w:rPr>
        <w:t xml:space="preserve">от кандидатите за подпомагане. </w:t>
      </w:r>
      <w:r w:rsidRPr="00C876BC">
        <w:rPr>
          <w:rFonts w:ascii="Verdana" w:hAnsi="Verdana"/>
          <w:bCs/>
          <w:sz w:val="20"/>
          <w:szCs w:val="20"/>
        </w:rPr>
        <w:t>При извършване на изчисления, хронологията за използването на данни от трите източника - система за мониторинг на площта, извършените проверки на място и резултатите от извършения административен контрол, следва да е публична и нормативно обусловена с оглед предвидимост спрямо земеделските стопани и административните органи</w:t>
      </w:r>
      <w:r w:rsidR="00E52B9E">
        <w:rPr>
          <w:rFonts w:ascii="Verdana" w:hAnsi="Verdana"/>
          <w:bCs/>
          <w:sz w:val="20"/>
          <w:szCs w:val="20"/>
        </w:rPr>
        <w:t>,</w:t>
      </w:r>
      <w:r w:rsidRPr="00C876BC">
        <w:rPr>
          <w:rFonts w:ascii="Verdana" w:hAnsi="Verdana"/>
          <w:bCs/>
          <w:sz w:val="20"/>
          <w:szCs w:val="20"/>
        </w:rPr>
        <w:t xml:space="preserve"> осъществяващи контрол върху</w:t>
      </w:r>
      <w:r w:rsidR="00E52B9E">
        <w:rPr>
          <w:rFonts w:ascii="Verdana" w:hAnsi="Verdana"/>
          <w:bCs/>
          <w:sz w:val="20"/>
          <w:szCs w:val="20"/>
        </w:rPr>
        <w:t xml:space="preserve"> действията или актовете на </w:t>
      </w:r>
      <w:r w:rsidR="00E52B9E" w:rsidRPr="001360DF">
        <w:rPr>
          <w:rFonts w:ascii="Verdana" w:hAnsi="Verdana"/>
          <w:bCs/>
          <w:sz w:val="20"/>
          <w:szCs w:val="20"/>
        </w:rPr>
        <w:t>Д</w:t>
      </w:r>
      <w:r w:rsidR="001360DF" w:rsidRPr="001360DF">
        <w:rPr>
          <w:rFonts w:ascii="Verdana" w:hAnsi="Verdana"/>
          <w:bCs/>
          <w:sz w:val="20"/>
          <w:szCs w:val="20"/>
        </w:rPr>
        <w:t>ържавен фонд „Земеделие“</w:t>
      </w:r>
      <w:r w:rsidRPr="001360DF">
        <w:rPr>
          <w:rFonts w:ascii="Verdana" w:hAnsi="Verdana"/>
          <w:bCs/>
          <w:sz w:val="20"/>
          <w:szCs w:val="20"/>
        </w:rPr>
        <w:t>.</w:t>
      </w:r>
    </w:p>
    <w:p w14:paraId="2DC5A2A5" w14:textId="55F2B374" w:rsidR="00C876BC" w:rsidRDefault="00C876BC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С оглед гореизложеното в чл. 84, </w:t>
      </w:r>
      <w:r w:rsidRPr="00C876BC">
        <w:rPr>
          <w:rFonts w:ascii="Verdana" w:hAnsi="Verdana"/>
          <w:bCs/>
          <w:sz w:val="20"/>
          <w:szCs w:val="20"/>
        </w:rPr>
        <w:t>ал. 1 се създава изречение второ</w:t>
      </w:r>
      <w:r>
        <w:rPr>
          <w:rFonts w:ascii="Verdana" w:hAnsi="Verdana"/>
          <w:bCs/>
          <w:sz w:val="20"/>
          <w:szCs w:val="20"/>
        </w:rPr>
        <w:t xml:space="preserve">, с което се предвижда, </w:t>
      </w:r>
      <w:r w:rsidR="00E52B9E">
        <w:rPr>
          <w:rFonts w:ascii="Verdana" w:hAnsi="Verdana"/>
          <w:bCs/>
          <w:sz w:val="20"/>
          <w:szCs w:val="20"/>
        </w:rPr>
        <w:t xml:space="preserve">че </w:t>
      </w:r>
      <w:r>
        <w:rPr>
          <w:rFonts w:ascii="Verdana" w:hAnsi="Verdana"/>
          <w:bCs/>
          <w:sz w:val="20"/>
          <w:szCs w:val="20"/>
        </w:rPr>
        <w:t>ако</w:t>
      </w:r>
      <w:r w:rsidRPr="00C876BC">
        <w:rPr>
          <w:rFonts w:ascii="Verdana" w:hAnsi="Verdana"/>
          <w:bCs/>
          <w:sz w:val="20"/>
          <w:szCs w:val="20"/>
        </w:rPr>
        <w:t xml:space="preserve"> декларираната в заявлението за подпомагане площ превишава площта, установена в резултат на административни проверки или проверки на място, размерът на подпомагането се изчислява в</w:t>
      </w:r>
      <w:r>
        <w:rPr>
          <w:rFonts w:ascii="Verdana" w:hAnsi="Verdana"/>
          <w:bCs/>
          <w:sz w:val="20"/>
          <w:szCs w:val="20"/>
        </w:rPr>
        <w:t xml:space="preserve">ъз основа на установената площ. </w:t>
      </w:r>
      <w:r w:rsidRPr="00C876BC">
        <w:rPr>
          <w:rFonts w:ascii="Verdana" w:hAnsi="Verdana"/>
          <w:bCs/>
          <w:sz w:val="20"/>
          <w:szCs w:val="20"/>
        </w:rPr>
        <w:t>Създават се ал. 3, 4 и 5</w:t>
      </w:r>
      <w:r w:rsidR="00820FF5">
        <w:rPr>
          <w:rFonts w:ascii="Verdana" w:hAnsi="Verdana"/>
          <w:bCs/>
          <w:sz w:val="20"/>
          <w:szCs w:val="20"/>
        </w:rPr>
        <w:t>. Алинея 3 урежда</w:t>
      </w:r>
      <w:r>
        <w:rPr>
          <w:rFonts w:ascii="Verdana" w:hAnsi="Verdana"/>
          <w:bCs/>
          <w:sz w:val="20"/>
          <w:szCs w:val="20"/>
        </w:rPr>
        <w:t xml:space="preserve"> п</w:t>
      </w:r>
      <w:r w:rsidRPr="00C876BC">
        <w:rPr>
          <w:rFonts w:ascii="Verdana" w:hAnsi="Verdana"/>
          <w:bCs/>
          <w:sz w:val="20"/>
          <w:szCs w:val="20"/>
        </w:rPr>
        <w:t>лощи</w:t>
      </w:r>
      <w:r>
        <w:rPr>
          <w:rFonts w:ascii="Verdana" w:hAnsi="Verdana"/>
          <w:bCs/>
          <w:sz w:val="20"/>
          <w:szCs w:val="20"/>
        </w:rPr>
        <w:t>те</w:t>
      </w:r>
      <w:r w:rsidRPr="00C876BC">
        <w:rPr>
          <w:rFonts w:ascii="Verdana" w:hAnsi="Verdana"/>
          <w:bCs/>
          <w:sz w:val="20"/>
          <w:szCs w:val="20"/>
        </w:rPr>
        <w:t xml:space="preserve">, заявени за подпомагане по интервенции, базирани на площ, за които системата за мониторинг на площ е констатирала резултат „В съответствие“ и „Неубедителни доказателства за съответствие“ </w:t>
      </w:r>
      <w:r>
        <w:rPr>
          <w:rFonts w:ascii="Verdana" w:hAnsi="Verdana"/>
          <w:bCs/>
          <w:sz w:val="20"/>
          <w:szCs w:val="20"/>
        </w:rPr>
        <w:t xml:space="preserve">да бъдат </w:t>
      </w:r>
      <w:r w:rsidRPr="00C876BC">
        <w:rPr>
          <w:rFonts w:ascii="Verdana" w:hAnsi="Verdana"/>
          <w:bCs/>
          <w:sz w:val="20"/>
          <w:szCs w:val="20"/>
        </w:rPr>
        <w:t xml:space="preserve"> допустими, когато не попадат в хипотезата на чл. 55</w:t>
      </w:r>
      <w:r>
        <w:rPr>
          <w:rFonts w:ascii="Verdana" w:hAnsi="Verdana"/>
          <w:bCs/>
          <w:sz w:val="20"/>
          <w:szCs w:val="20"/>
        </w:rPr>
        <w:t xml:space="preserve"> от същата наредба</w:t>
      </w:r>
      <w:r w:rsidRPr="00C876BC">
        <w:rPr>
          <w:rFonts w:ascii="Verdana" w:hAnsi="Verdana"/>
          <w:bCs/>
          <w:sz w:val="20"/>
          <w:szCs w:val="20"/>
        </w:rPr>
        <w:t xml:space="preserve">. Парцели, за които системата за мониторинг на площ е констатирала резултат  „Несъответствие“, се считат за неподходящи за подпомагане. </w:t>
      </w:r>
      <w:r>
        <w:rPr>
          <w:rFonts w:ascii="Verdana" w:hAnsi="Verdana"/>
          <w:bCs/>
          <w:sz w:val="20"/>
          <w:szCs w:val="20"/>
        </w:rPr>
        <w:t>Съгласно ал. 4</w:t>
      </w:r>
      <w:r w:rsidRPr="00C876B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в</w:t>
      </w:r>
      <w:r w:rsidRPr="00C876BC">
        <w:rPr>
          <w:rFonts w:ascii="Verdana" w:hAnsi="Verdana"/>
          <w:bCs/>
          <w:sz w:val="20"/>
          <w:szCs w:val="20"/>
        </w:rPr>
        <w:t xml:space="preserve"> случаите, при които за даден критерий за допустимост на площ са налични данни от повече от един източник или метод на контрол - проверка на място, системата за мониторинг на площ и системата за идентификация на земеделските парцели, при извършване на изчисления по интервенциите</w:t>
      </w:r>
      <w:r w:rsidR="00820FF5">
        <w:rPr>
          <w:rFonts w:ascii="Verdana" w:hAnsi="Verdana"/>
          <w:bCs/>
          <w:sz w:val="20"/>
          <w:szCs w:val="20"/>
        </w:rPr>
        <w:t>,</w:t>
      </w:r>
      <w:r w:rsidRPr="00C876BC">
        <w:rPr>
          <w:rFonts w:ascii="Verdana" w:hAnsi="Verdana"/>
          <w:bCs/>
          <w:sz w:val="20"/>
          <w:szCs w:val="20"/>
        </w:rPr>
        <w:t xml:space="preserve"> базирани на площ</w:t>
      </w:r>
      <w:r w:rsidR="00820FF5">
        <w:rPr>
          <w:rFonts w:ascii="Verdana" w:hAnsi="Verdana"/>
          <w:bCs/>
          <w:sz w:val="20"/>
          <w:szCs w:val="20"/>
        </w:rPr>
        <w:t>,</w:t>
      </w:r>
      <w:r w:rsidRPr="00C876BC">
        <w:rPr>
          <w:rFonts w:ascii="Verdana" w:hAnsi="Verdana"/>
          <w:bCs/>
          <w:sz w:val="20"/>
          <w:szCs w:val="20"/>
        </w:rPr>
        <w:t xml:space="preserve"> с предимство се използват данните от извършената проверка на място, независимо от данните от другите източници. Ако такива липсват, се използва информацията, постъпила от системата за мониторинг на площ и от </w:t>
      </w:r>
      <w:r w:rsidR="00820FF5" w:rsidRPr="00820FF5">
        <w:rPr>
          <w:rFonts w:ascii="Verdana" w:hAnsi="Verdana"/>
          <w:bCs/>
          <w:sz w:val="20"/>
          <w:szCs w:val="20"/>
        </w:rPr>
        <w:t xml:space="preserve">Системата за идентификация на земеделски парцели </w:t>
      </w:r>
      <w:r w:rsidR="00820FF5">
        <w:rPr>
          <w:rFonts w:ascii="Verdana" w:hAnsi="Verdana"/>
          <w:bCs/>
          <w:sz w:val="20"/>
          <w:szCs w:val="20"/>
          <w:lang w:val="en-US"/>
        </w:rPr>
        <w:t>(</w:t>
      </w:r>
      <w:r w:rsidRPr="00C876BC">
        <w:rPr>
          <w:rFonts w:ascii="Verdana" w:hAnsi="Verdana"/>
          <w:bCs/>
          <w:sz w:val="20"/>
          <w:szCs w:val="20"/>
        </w:rPr>
        <w:t>СИЗП</w:t>
      </w:r>
      <w:r w:rsidR="00820FF5">
        <w:rPr>
          <w:rFonts w:ascii="Verdana" w:hAnsi="Verdana"/>
          <w:bCs/>
          <w:sz w:val="20"/>
          <w:szCs w:val="20"/>
          <w:lang w:val="en-US"/>
        </w:rPr>
        <w:t>)</w:t>
      </w:r>
      <w:r w:rsidRPr="00C876BC">
        <w:rPr>
          <w:rFonts w:ascii="Verdana" w:hAnsi="Verdana"/>
          <w:bCs/>
          <w:sz w:val="20"/>
          <w:szCs w:val="20"/>
        </w:rPr>
        <w:t xml:space="preserve">, при условията на ал. 3. </w:t>
      </w:r>
      <w:r>
        <w:rPr>
          <w:rFonts w:ascii="Verdana" w:hAnsi="Verdana"/>
          <w:bCs/>
          <w:sz w:val="20"/>
          <w:szCs w:val="20"/>
        </w:rPr>
        <w:t>Алинея 5 определя, че к</w:t>
      </w:r>
      <w:r w:rsidRPr="00C876BC">
        <w:rPr>
          <w:rFonts w:ascii="Verdana" w:hAnsi="Verdana"/>
          <w:bCs/>
          <w:sz w:val="20"/>
          <w:szCs w:val="20"/>
        </w:rPr>
        <w:t xml:space="preserve">огато за даден критерий за допустимост на площ не </w:t>
      </w:r>
      <w:r w:rsidRPr="00C876BC">
        <w:rPr>
          <w:rFonts w:ascii="Verdana" w:hAnsi="Verdana"/>
          <w:bCs/>
          <w:sz w:val="20"/>
          <w:szCs w:val="20"/>
        </w:rPr>
        <w:lastRenderedPageBreak/>
        <w:t>са налични данни от проверка на място и от системата за мониторинг на площ, но са налични такива в</w:t>
      </w:r>
      <w:r w:rsidR="00820FF5">
        <w:rPr>
          <w:rFonts w:ascii="Verdana" w:hAnsi="Verdana"/>
          <w:bCs/>
          <w:sz w:val="20"/>
          <w:szCs w:val="20"/>
        </w:rPr>
        <w:t xml:space="preserve"> </w:t>
      </w:r>
      <w:r w:rsidR="00820FF5" w:rsidRPr="00820FF5">
        <w:rPr>
          <w:rFonts w:ascii="Verdana" w:hAnsi="Verdana"/>
          <w:bCs/>
          <w:sz w:val="20"/>
          <w:szCs w:val="20"/>
        </w:rPr>
        <w:t>СИЗП</w:t>
      </w:r>
      <w:r w:rsidRPr="00C876BC">
        <w:rPr>
          <w:rFonts w:ascii="Verdana" w:hAnsi="Verdana"/>
          <w:bCs/>
          <w:sz w:val="20"/>
          <w:szCs w:val="20"/>
        </w:rPr>
        <w:t xml:space="preserve">, допустимостта на площта </w:t>
      </w:r>
      <w:r>
        <w:rPr>
          <w:rFonts w:ascii="Verdana" w:hAnsi="Verdana"/>
          <w:bCs/>
          <w:sz w:val="20"/>
          <w:szCs w:val="20"/>
        </w:rPr>
        <w:t xml:space="preserve">да </w:t>
      </w:r>
      <w:r w:rsidRPr="00C876BC">
        <w:rPr>
          <w:rFonts w:ascii="Verdana" w:hAnsi="Verdana"/>
          <w:bCs/>
          <w:sz w:val="20"/>
          <w:szCs w:val="20"/>
        </w:rPr>
        <w:t xml:space="preserve">се определя съобразно данните в </w:t>
      </w:r>
      <w:r>
        <w:rPr>
          <w:rFonts w:ascii="Verdana" w:hAnsi="Verdana"/>
          <w:bCs/>
          <w:sz w:val="20"/>
          <w:szCs w:val="20"/>
        </w:rPr>
        <w:t>нея.</w:t>
      </w:r>
    </w:p>
    <w:p w14:paraId="11FD6996" w14:textId="77777777" w:rsidR="00820FF5" w:rsidRDefault="00820FF5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1360DF">
        <w:rPr>
          <w:rFonts w:ascii="Verdana" w:hAnsi="Verdana"/>
          <w:bCs/>
          <w:sz w:val="20"/>
          <w:szCs w:val="20"/>
        </w:rPr>
        <w:t>С цел осигуряване на възможност максимален брой земеделски стопани да получат подпомагане с директни плащания за кампания 2023 с преходна разпоредба се предвижда, че кандидатите за подпомагане могат да представят или опаковките за закупени сертифицирани и за закупени или произведени стандартни семена и закупен посадъчен материал по чл. 34, ал. 3, или фактури и/или касови бележки с реквизитите по чл. 6, ал. 3 от Закона за счетоводството с точно описано количество за закупени сертифицирани и стандартни семена и закупен посадъчен материал. Указва се, че документите се подават от 1 до 31 януари 2024 г. съгласно чл. 33, ал. 6.</w:t>
      </w:r>
    </w:p>
    <w:p w14:paraId="41C86A92" w14:textId="244FE71E" w:rsidR="00A1615D" w:rsidRPr="00A1615D" w:rsidRDefault="00E01802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E01802">
        <w:rPr>
          <w:rFonts w:ascii="Verdana" w:hAnsi="Verdana"/>
          <w:bCs/>
          <w:sz w:val="20"/>
          <w:szCs w:val="20"/>
        </w:rPr>
        <w:t xml:space="preserve">За да се осигури администриране </w:t>
      </w:r>
      <w:r>
        <w:rPr>
          <w:rFonts w:ascii="Verdana" w:hAnsi="Verdana"/>
          <w:bCs/>
          <w:sz w:val="20"/>
          <w:szCs w:val="20"/>
        </w:rPr>
        <w:t xml:space="preserve">и ефективен контрол </w:t>
      </w:r>
      <w:r w:rsidRPr="00E01802">
        <w:rPr>
          <w:rFonts w:ascii="Verdana" w:hAnsi="Verdana"/>
          <w:bCs/>
          <w:sz w:val="20"/>
          <w:szCs w:val="20"/>
        </w:rPr>
        <w:t xml:space="preserve">от </w:t>
      </w:r>
      <w:r w:rsidR="00C876BC">
        <w:rPr>
          <w:rFonts w:ascii="Verdana" w:hAnsi="Verdana"/>
          <w:bCs/>
          <w:sz w:val="20"/>
          <w:szCs w:val="20"/>
        </w:rPr>
        <w:t xml:space="preserve">страна на </w:t>
      </w:r>
      <w:r w:rsidRPr="00E01802">
        <w:rPr>
          <w:rFonts w:ascii="Verdana" w:hAnsi="Verdana"/>
          <w:bCs/>
          <w:sz w:val="20"/>
          <w:szCs w:val="20"/>
        </w:rPr>
        <w:t xml:space="preserve">ДФЗ </w:t>
      </w:r>
      <w:r w:rsidR="00C876BC">
        <w:rPr>
          <w:rFonts w:ascii="Verdana" w:hAnsi="Verdana"/>
          <w:bCs/>
          <w:sz w:val="20"/>
          <w:szCs w:val="20"/>
        </w:rPr>
        <w:t>по</w:t>
      </w:r>
      <w:r w:rsidRPr="00E01802">
        <w:rPr>
          <w:rFonts w:ascii="Verdana" w:hAnsi="Verdana"/>
          <w:bCs/>
          <w:sz w:val="20"/>
          <w:szCs w:val="20"/>
        </w:rPr>
        <w:t xml:space="preserve"> интервенциите за подпомагане, </w:t>
      </w:r>
      <w:r w:rsidR="00C876BC">
        <w:rPr>
          <w:rFonts w:ascii="Verdana" w:hAnsi="Verdana"/>
          <w:bCs/>
          <w:sz w:val="20"/>
          <w:szCs w:val="20"/>
        </w:rPr>
        <w:t>с пре</w:t>
      </w:r>
      <w:r w:rsidR="00E52B9E">
        <w:rPr>
          <w:rFonts w:ascii="Verdana" w:hAnsi="Verdana"/>
          <w:bCs/>
          <w:sz w:val="20"/>
          <w:szCs w:val="20"/>
        </w:rPr>
        <w:t>хо</w:t>
      </w:r>
      <w:r w:rsidR="00C876BC">
        <w:rPr>
          <w:rFonts w:ascii="Verdana" w:hAnsi="Verdana"/>
          <w:bCs/>
          <w:sz w:val="20"/>
          <w:szCs w:val="20"/>
        </w:rPr>
        <w:t>дна разпоредба се предвижда за 2023 г. срокът</w:t>
      </w:r>
      <w:r w:rsidR="00C876BC" w:rsidRPr="00E01802">
        <w:rPr>
          <w:rFonts w:ascii="Verdana" w:hAnsi="Verdana"/>
          <w:bCs/>
          <w:sz w:val="20"/>
          <w:szCs w:val="20"/>
        </w:rPr>
        <w:t xml:space="preserve"> </w:t>
      </w:r>
      <w:r w:rsidR="00C876BC">
        <w:rPr>
          <w:rFonts w:ascii="Verdana" w:hAnsi="Verdana"/>
          <w:bCs/>
          <w:sz w:val="20"/>
          <w:szCs w:val="20"/>
        </w:rPr>
        <w:t>по</w:t>
      </w:r>
      <w:r w:rsidRPr="00E01802">
        <w:rPr>
          <w:rFonts w:ascii="Verdana" w:hAnsi="Verdana"/>
          <w:bCs/>
          <w:sz w:val="20"/>
          <w:szCs w:val="20"/>
        </w:rPr>
        <w:t xml:space="preserve"> чл. 61, ал. 1, изр. 1 </w:t>
      </w:r>
      <w:r>
        <w:rPr>
          <w:rFonts w:ascii="Verdana" w:hAnsi="Verdana"/>
          <w:bCs/>
          <w:sz w:val="20"/>
          <w:szCs w:val="20"/>
        </w:rPr>
        <w:t xml:space="preserve">за </w:t>
      </w:r>
      <w:r w:rsidR="001A58D5" w:rsidRPr="001A58D5">
        <w:rPr>
          <w:rFonts w:ascii="Verdana" w:hAnsi="Verdana"/>
          <w:bCs/>
          <w:sz w:val="20"/>
          <w:szCs w:val="20"/>
        </w:rPr>
        <w:t>установ</w:t>
      </w:r>
      <w:r w:rsidR="001A58D5">
        <w:rPr>
          <w:rFonts w:ascii="Verdana" w:hAnsi="Verdana"/>
          <w:bCs/>
          <w:sz w:val="20"/>
          <w:szCs w:val="20"/>
        </w:rPr>
        <w:t xml:space="preserve">яване на </w:t>
      </w:r>
      <w:r w:rsidR="001A58D5" w:rsidRPr="001A58D5">
        <w:rPr>
          <w:rFonts w:ascii="Verdana" w:hAnsi="Verdana"/>
          <w:bCs/>
          <w:sz w:val="20"/>
          <w:szCs w:val="20"/>
        </w:rPr>
        <w:t>несъответствия между декларираните данни в заявлението за подпомагане, свързани с условията за подпомагане по заявените интервенции, и данните, установени чрез административни проверки или от системата за мониторинг на площ</w:t>
      </w:r>
      <w:r w:rsidRPr="00E01802">
        <w:rPr>
          <w:rFonts w:ascii="Verdana" w:hAnsi="Verdana"/>
          <w:bCs/>
          <w:sz w:val="20"/>
          <w:szCs w:val="20"/>
        </w:rPr>
        <w:t xml:space="preserve"> </w:t>
      </w:r>
      <w:r w:rsidR="00C876BC">
        <w:rPr>
          <w:rFonts w:ascii="Verdana" w:hAnsi="Verdana"/>
          <w:bCs/>
          <w:sz w:val="20"/>
          <w:szCs w:val="20"/>
        </w:rPr>
        <w:t>да бъде</w:t>
      </w:r>
      <w:r w:rsidRPr="00E01802">
        <w:rPr>
          <w:rFonts w:ascii="Verdana" w:hAnsi="Verdana"/>
          <w:bCs/>
          <w:sz w:val="20"/>
          <w:szCs w:val="20"/>
        </w:rPr>
        <w:t xml:space="preserve"> 31 октомври</w:t>
      </w:r>
      <w:r w:rsidR="001A58D5">
        <w:rPr>
          <w:rFonts w:ascii="Verdana" w:hAnsi="Verdana"/>
          <w:bCs/>
          <w:sz w:val="20"/>
          <w:szCs w:val="20"/>
        </w:rPr>
        <w:t>. З</w:t>
      </w:r>
      <w:r w:rsidR="00C876BC">
        <w:rPr>
          <w:rFonts w:ascii="Verdana" w:hAnsi="Verdana"/>
          <w:bCs/>
          <w:sz w:val="20"/>
          <w:szCs w:val="20"/>
        </w:rPr>
        <w:t>а</w:t>
      </w:r>
      <w:r w:rsidRPr="00E01802">
        <w:rPr>
          <w:rFonts w:ascii="Verdana" w:hAnsi="Verdana"/>
          <w:bCs/>
          <w:sz w:val="20"/>
          <w:szCs w:val="20"/>
        </w:rPr>
        <w:t xml:space="preserve"> </w:t>
      </w:r>
      <w:r w:rsidR="00C876BC">
        <w:rPr>
          <w:rFonts w:ascii="Verdana" w:hAnsi="Verdana"/>
          <w:bCs/>
          <w:sz w:val="20"/>
          <w:szCs w:val="20"/>
        </w:rPr>
        <w:t>д</w:t>
      </w:r>
      <w:r w:rsidRPr="00E01802">
        <w:rPr>
          <w:rFonts w:ascii="Verdana" w:hAnsi="Verdana"/>
          <w:bCs/>
          <w:sz w:val="20"/>
          <w:szCs w:val="20"/>
        </w:rPr>
        <w:t xml:space="preserve">а </w:t>
      </w:r>
      <w:r w:rsidR="00C876BC">
        <w:rPr>
          <w:rFonts w:ascii="Verdana" w:hAnsi="Verdana"/>
          <w:bCs/>
          <w:sz w:val="20"/>
          <w:szCs w:val="20"/>
        </w:rPr>
        <w:t xml:space="preserve">се </w:t>
      </w:r>
      <w:r w:rsidR="00820FF5">
        <w:rPr>
          <w:rFonts w:ascii="Verdana" w:hAnsi="Verdana"/>
          <w:bCs/>
          <w:sz w:val="20"/>
          <w:szCs w:val="20"/>
        </w:rPr>
        <w:t>гарантира</w:t>
      </w:r>
      <w:r w:rsidR="00C876BC">
        <w:rPr>
          <w:rFonts w:ascii="Verdana" w:hAnsi="Verdana"/>
          <w:bCs/>
          <w:sz w:val="20"/>
          <w:szCs w:val="20"/>
        </w:rPr>
        <w:t xml:space="preserve"> достатъчно време на кандидатите за подпомагане</w:t>
      </w:r>
      <w:r w:rsidR="00820FF5">
        <w:rPr>
          <w:rFonts w:ascii="Verdana" w:hAnsi="Verdana"/>
          <w:bCs/>
          <w:sz w:val="20"/>
          <w:szCs w:val="20"/>
        </w:rPr>
        <w:t>,</w:t>
      </w:r>
      <w:r w:rsidR="00683DA1">
        <w:rPr>
          <w:rFonts w:ascii="Verdana" w:hAnsi="Verdana"/>
          <w:bCs/>
          <w:sz w:val="20"/>
          <w:szCs w:val="20"/>
        </w:rPr>
        <w:t xml:space="preserve"> срокът </w:t>
      </w:r>
      <w:r w:rsidRPr="00E01802">
        <w:rPr>
          <w:rFonts w:ascii="Verdana" w:hAnsi="Verdana"/>
          <w:bCs/>
          <w:sz w:val="20"/>
          <w:szCs w:val="20"/>
        </w:rPr>
        <w:t xml:space="preserve">по изр. 2 </w:t>
      </w:r>
      <w:r w:rsidR="00683DA1">
        <w:rPr>
          <w:rFonts w:ascii="Verdana" w:hAnsi="Verdana"/>
          <w:bCs/>
          <w:sz w:val="20"/>
          <w:szCs w:val="20"/>
        </w:rPr>
        <w:t>от същата правна норма</w:t>
      </w:r>
      <w:r w:rsidR="00820FF5">
        <w:rPr>
          <w:rFonts w:ascii="Verdana" w:hAnsi="Verdana"/>
          <w:bCs/>
          <w:sz w:val="20"/>
          <w:szCs w:val="20"/>
        </w:rPr>
        <w:t>,</w:t>
      </w:r>
      <w:r w:rsidR="00683DA1">
        <w:rPr>
          <w:rFonts w:ascii="Verdana" w:hAnsi="Verdana"/>
          <w:bCs/>
          <w:sz w:val="20"/>
          <w:szCs w:val="20"/>
        </w:rPr>
        <w:t xml:space="preserve"> </w:t>
      </w:r>
      <w:r w:rsidR="00683DA1" w:rsidRPr="00683DA1">
        <w:rPr>
          <w:rFonts w:ascii="Verdana" w:hAnsi="Verdana"/>
          <w:bCs/>
          <w:sz w:val="20"/>
          <w:szCs w:val="20"/>
        </w:rPr>
        <w:t>кандидат</w:t>
      </w:r>
      <w:r w:rsidR="00683DA1">
        <w:rPr>
          <w:rFonts w:ascii="Verdana" w:hAnsi="Verdana"/>
          <w:bCs/>
          <w:sz w:val="20"/>
          <w:szCs w:val="20"/>
        </w:rPr>
        <w:t>ът</w:t>
      </w:r>
      <w:r w:rsidR="00683DA1" w:rsidRPr="00683DA1">
        <w:rPr>
          <w:rFonts w:ascii="Verdana" w:hAnsi="Verdana"/>
          <w:bCs/>
          <w:sz w:val="20"/>
          <w:szCs w:val="20"/>
        </w:rPr>
        <w:t xml:space="preserve"> за подпомагане </w:t>
      </w:r>
      <w:r w:rsidR="00683DA1">
        <w:rPr>
          <w:rFonts w:ascii="Verdana" w:hAnsi="Verdana"/>
          <w:bCs/>
          <w:sz w:val="20"/>
          <w:szCs w:val="20"/>
        </w:rPr>
        <w:t>да има</w:t>
      </w:r>
      <w:r w:rsidR="00683DA1" w:rsidRPr="00683DA1">
        <w:rPr>
          <w:rFonts w:ascii="Verdana" w:hAnsi="Verdana"/>
          <w:bCs/>
          <w:sz w:val="20"/>
          <w:szCs w:val="20"/>
        </w:rPr>
        <w:t xml:space="preserve"> възможност за корекция или оттегляне на заявлението </w:t>
      </w:r>
      <w:r w:rsidR="00683DA1">
        <w:rPr>
          <w:rFonts w:ascii="Verdana" w:hAnsi="Verdana"/>
          <w:bCs/>
          <w:sz w:val="20"/>
          <w:szCs w:val="20"/>
        </w:rPr>
        <w:t>се удължава</w:t>
      </w:r>
      <w:r w:rsidR="00683DA1" w:rsidRPr="00683DA1">
        <w:rPr>
          <w:rFonts w:ascii="Verdana" w:hAnsi="Verdana"/>
          <w:bCs/>
          <w:sz w:val="20"/>
          <w:szCs w:val="20"/>
        </w:rPr>
        <w:t xml:space="preserve"> до </w:t>
      </w:r>
      <w:r w:rsidR="00683DA1">
        <w:rPr>
          <w:rFonts w:ascii="Verdana" w:hAnsi="Verdana"/>
          <w:bCs/>
          <w:sz w:val="20"/>
          <w:szCs w:val="20"/>
        </w:rPr>
        <w:t>2</w:t>
      </w:r>
      <w:r w:rsidR="00683DA1" w:rsidRPr="00683DA1">
        <w:rPr>
          <w:rFonts w:ascii="Verdana" w:hAnsi="Verdana"/>
          <w:bCs/>
          <w:sz w:val="20"/>
          <w:szCs w:val="20"/>
        </w:rPr>
        <w:t xml:space="preserve">0 </w:t>
      </w:r>
      <w:r w:rsidR="00683DA1">
        <w:rPr>
          <w:rFonts w:ascii="Verdana" w:hAnsi="Verdana"/>
          <w:bCs/>
          <w:sz w:val="20"/>
          <w:szCs w:val="20"/>
        </w:rPr>
        <w:t>ноември 2023 г.</w:t>
      </w:r>
      <w:r w:rsidR="00683DA1" w:rsidRPr="00683DA1">
        <w:rPr>
          <w:rFonts w:ascii="Verdana" w:hAnsi="Verdana"/>
          <w:bCs/>
          <w:sz w:val="20"/>
          <w:szCs w:val="20"/>
        </w:rPr>
        <w:t xml:space="preserve"> </w:t>
      </w:r>
      <w:r w:rsidR="00683DA1">
        <w:rPr>
          <w:rFonts w:ascii="Verdana" w:hAnsi="Verdana"/>
          <w:bCs/>
          <w:sz w:val="20"/>
          <w:szCs w:val="20"/>
        </w:rPr>
        <w:t xml:space="preserve">По идентичен начин </w:t>
      </w:r>
      <w:r w:rsidR="00683DA1" w:rsidRPr="00E01802">
        <w:rPr>
          <w:rFonts w:ascii="Verdana" w:hAnsi="Verdana"/>
          <w:bCs/>
          <w:sz w:val="20"/>
          <w:szCs w:val="20"/>
        </w:rPr>
        <w:t>до 20 ноември</w:t>
      </w:r>
      <w:r w:rsidR="00683DA1">
        <w:rPr>
          <w:rFonts w:ascii="Verdana" w:hAnsi="Verdana"/>
          <w:bCs/>
          <w:sz w:val="20"/>
          <w:szCs w:val="20"/>
        </w:rPr>
        <w:t xml:space="preserve"> 2023 г. се удължава и срокът по чл. 61, ал. 2, в който з</w:t>
      </w:r>
      <w:r w:rsidR="00683DA1" w:rsidRPr="00683DA1">
        <w:rPr>
          <w:rFonts w:ascii="Verdana" w:hAnsi="Verdana"/>
          <w:bCs/>
          <w:sz w:val="20"/>
          <w:szCs w:val="20"/>
        </w:rPr>
        <w:t>а установени несъответствия, засягащи условия за подпомагане, които не могат да се проверяват чрез системата за мониторинг на площ, кандидатите за подпомагане могат да изв</w:t>
      </w:r>
      <w:r w:rsidR="00683DA1">
        <w:rPr>
          <w:rFonts w:ascii="Verdana" w:hAnsi="Verdana"/>
          <w:bCs/>
          <w:sz w:val="20"/>
          <w:szCs w:val="20"/>
        </w:rPr>
        <w:t xml:space="preserve">ършат корекция на заявлението. </w:t>
      </w:r>
      <w:r w:rsidRPr="00E01802">
        <w:rPr>
          <w:rFonts w:ascii="Verdana" w:hAnsi="Verdana"/>
          <w:bCs/>
          <w:sz w:val="20"/>
          <w:szCs w:val="20"/>
        </w:rPr>
        <w:t>Срокът по чл. 61, ал. 3</w:t>
      </w:r>
      <w:r w:rsidR="00683DA1">
        <w:rPr>
          <w:rFonts w:ascii="Verdana" w:hAnsi="Verdana"/>
          <w:bCs/>
          <w:sz w:val="20"/>
          <w:szCs w:val="20"/>
        </w:rPr>
        <w:t xml:space="preserve">, в рамките на който </w:t>
      </w:r>
      <w:r w:rsidR="00683DA1" w:rsidRPr="00683DA1">
        <w:rPr>
          <w:rFonts w:ascii="Verdana" w:hAnsi="Verdana"/>
          <w:bCs/>
          <w:sz w:val="20"/>
          <w:szCs w:val="20"/>
        </w:rPr>
        <w:t>на кандидата за подпомагане се изпраща съобщение</w:t>
      </w:r>
      <w:r w:rsidR="00683DA1" w:rsidRPr="00E01802">
        <w:rPr>
          <w:rFonts w:ascii="Verdana" w:hAnsi="Verdana"/>
          <w:bCs/>
          <w:sz w:val="20"/>
          <w:szCs w:val="20"/>
        </w:rPr>
        <w:t xml:space="preserve"> </w:t>
      </w:r>
      <w:r w:rsidR="00683DA1">
        <w:rPr>
          <w:rFonts w:ascii="Verdana" w:hAnsi="Verdana"/>
          <w:bCs/>
          <w:sz w:val="20"/>
          <w:szCs w:val="20"/>
        </w:rPr>
        <w:t>з</w:t>
      </w:r>
      <w:r w:rsidR="00683DA1" w:rsidRPr="00683DA1">
        <w:rPr>
          <w:rFonts w:ascii="Verdana" w:hAnsi="Verdana"/>
          <w:bCs/>
          <w:sz w:val="20"/>
          <w:szCs w:val="20"/>
        </w:rPr>
        <w:t xml:space="preserve">а всички несъответствия, установени чрез системата за мониторинг на площ, </w:t>
      </w:r>
      <w:r w:rsidR="00683DA1">
        <w:rPr>
          <w:rFonts w:ascii="Verdana" w:hAnsi="Verdana"/>
          <w:bCs/>
          <w:sz w:val="20"/>
          <w:szCs w:val="20"/>
        </w:rPr>
        <w:t>също се удължава до 31 октомври 2023 г.</w:t>
      </w:r>
      <w:r w:rsidR="00A1615D" w:rsidRPr="00A1615D">
        <w:rPr>
          <w:rFonts w:ascii="Verdana" w:hAnsi="Verdana"/>
          <w:bCs/>
          <w:sz w:val="20"/>
          <w:szCs w:val="20"/>
        </w:rPr>
        <w:t xml:space="preserve"> </w:t>
      </w:r>
      <w:r w:rsidR="00683DA1">
        <w:rPr>
          <w:rFonts w:ascii="Verdana" w:hAnsi="Verdana"/>
          <w:bCs/>
          <w:sz w:val="20"/>
          <w:szCs w:val="20"/>
        </w:rPr>
        <w:t xml:space="preserve">В съответствие с тези промени в сроковете са удължени и </w:t>
      </w:r>
      <w:r w:rsidR="00E52B9E">
        <w:rPr>
          <w:rFonts w:ascii="Verdana" w:hAnsi="Verdana"/>
          <w:bCs/>
          <w:sz w:val="20"/>
          <w:szCs w:val="20"/>
        </w:rPr>
        <w:t>кореспондиращите им срокове</w:t>
      </w:r>
      <w:r w:rsidR="00683DA1">
        <w:rPr>
          <w:rFonts w:ascii="Verdana" w:hAnsi="Verdana"/>
          <w:bCs/>
          <w:sz w:val="20"/>
          <w:szCs w:val="20"/>
        </w:rPr>
        <w:t xml:space="preserve"> по чл. 14, ал. 1 и 2 от </w:t>
      </w:r>
      <w:r w:rsidR="00683DA1" w:rsidRPr="00683DA1">
        <w:rPr>
          <w:rFonts w:ascii="Verdana" w:hAnsi="Verdana"/>
          <w:bCs/>
          <w:sz w:val="20"/>
          <w:szCs w:val="20"/>
        </w:rPr>
        <w:t xml:space="preserve">Наредба № 4 от 2023 г. </w:t>
      </w:r>
      <w:r w:rsidR="00E52B9E">
        <w:rPr>
          <w:rFonts w:ascii="Verdana" w:hAnsi="Verdana"/>
          <w:bCs/>
          <w:sz w:val="20"/>
          <w:szCs w:val="20"/>
        </w:rPr>
        <w:t xml:space="preserve">съответно до </w:t>
      </w:r>
      <w:r w:rsidR="00683DA1" w:rsidRPr="00683DA1">
        <w:rPr>
          <w:rFonts w:ascii="Verdana" w:hAnsi="Verdana"/>
          <w:bCs/>
          <w:sz w:val="20"/>
          <w:szCs w:val="20"/>
        </w:rPr>
        <w:t>31 октомври</w:t>
      </w:r>
      <w:r w:rsidR="00E52B9E">
        <w:rPr>
          <w:rFonts w:ascii="Verdana" w:hAnsi="Verdana"/>
          <w:bCs/>
          <w:sz w:val="20"/>
          <w:szCs w:val="20"/>
        </w:rPr>
        <w:t xml:space="preserve"> и </w:t>
      </w:r>
      <w:r w:rsidR="00683DA1" w:rsidRPr="00683DA1">
        <w:rPr>
          <w:rFonts w:ascii="Verdana" w:hAnsi="Verdana"/>
          <w:bCs/>
          <w:sz w:val="20"/>
          <w:szCs w:val="20"/>
        </w:rPr>
        <w:t>20 ноември</w:t>
      </w:r>
      <w:r w:rsidR="00E52B9E">
        <w:rPr>
          <w:rFonts w:ascii="Verdana" w:hAnsi="Verdana"/>
          <w:bCs/>
          <w:sz w:val="20"/>
          <w:szCs w:val="20"/>
        </w:rPr>
        <w:t xml:space="preserve"> 2023 г.</w:t>
      </w:r>
    </w:p>
    <w:p w14:paraId="312AD467" w14:textId="5230942E" w:rsidR="00E52B9E" w:rsidRDefault="00671464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С проекта на акта </w:t>
      </w:r>
      <w:r w:rsidR="00E52B9E" w:rsidRPr="00E52B9E">
        <w:rPr>
          <w:rFonts w:ascii="Verdana" w:hAnsi="Verdana"/>
          <w:bCs/>
          <w:sz w:val="20"/>
          <w:szCs w:val="20"/>
        </w:rPr>
        <w:t>са направени редакционни изменения, насочени към прецизиране на изискванията и намаляване на административната тежест за кандидатите за подпомагане.</w:t>
      </w:r>
      <w:r w:rsidR="000C7473">
        <w:rPr>
          <w:rFonts w:ascii="Verdana" w:hAnsi="Verdana"/>
          <w:bCs/>
          <w:sz w:val="20"/>
          <w:szCs w:val="20"/>
        </w:rPr>
        <w:t xml:space="preserve"> </w:t>
      </w:r>
      <w:r w:rsidR="00E52B9E">
        <w:rPr>
          <w:rFonts w:ascii="Verdana" w:hAnsi="Verdana"/>
          <w:bCs/>
          <w:sz w:val="20"/>
          <w:szCs w:val="20"/>
        </w:rPr>
        <w:t xml:space="preserve">В чл. 59, ал. </w:t>
      </w:r>
      <w:r w:rsidR="00DD68C3">
        <w:rPr>
          <w:rFonts w:ascii="Verdana" w:hAnsi="Verdana"/>
          <w:bCs/>
          <w:sz w:val="20"/>
          <w:szCs w:val="20"/>
        </w:rPr>
        <w:t>3</w:t>
      </w:r>
      <w:r w:rsidR="00E52B9E">
        <w:rPr>
          <w:rFonts w:ascii="Verdana" w:hAnsi="Verdana"/>
          <w:bCs/>
          <w:sz w:val="20"/>
          <w:szCs w:val="20"/>
        </w:rPr>
        <w:t xml:space="preserve"> се пояснява, че </w:t>
      </w:r>
      <w:r w:rsidR="00DD68C3">
        <w:rPr>
          <w:rFonts w:ascii="Verdana" w:hAnsi="Verdana"/>
          <w:bCs/>
          <w:sz w:val="20"/>
          <w:szCs w:val="20"/>
        </w:rPr>
        <w:t>с</w:t>
      </w:r>
      <w:r w:rsidR="00E52B9E" w:rsidRPr="00E52B9E">
        <w:rPr>
          <w:rFonts w:ascii="Verdana" w:hAnsi="Verdana"/>
          <w:bCs/>
          <w:sz w:val="20"/>
          <w:szCs w:val="20"/>
        </w:rPr>
        <w:t xml:space="preserve">истемата за мониторинг на площта се използва на равнище </w:t>
      </w:r>
      <w:r w:rsidR="00E52B9E">
        <w:rPr>
          <w:rFonts w:ascii="Verdana" w:hAnsi="Verdana"/>
          <w:bCs/>
          <w:sz w:val="20"/>
          <w:szCs w:val="20"/>
        </w:rPr>
        <w:t xml:space="preserve">деклариран </w:t>
      </w:r>
      <w:r w:rsidR="00E52B9E" w:rsidRPr="00E52B9E">
        <w:rPr>
          <w:rFonts w:ascii="Verdana" w:hAnsi="Verdana"/>
          <w:bCs/>
          <w:sz w:val="20"/>
          <w:szCs w:val="20"/>
        </w:rPr>
        <w:t>земеделски парцел</w:t>
      </w:r>
      <w:r w:rsidR="00E52B9E">
        <w:rPr>
          <w:rFonts w:ascii="Verdana" w:hAnsi="Verdana"/>
          <w:bCs/>
          <w:sz w:val="20"/>
          <w:szCs w:val="20"/>
        </w:rPr>
        <w:t>.</w:t>
      </w:r>
      <w:r w:rsidR="00DD68C3">
        <w:rPr>
          <w:rFonts w:ascii="Verdana" w:hAnsi="Verdana"/>
          <w:bCs/>
          <w:sz w:val="20"/>
          <w:szCs w:val="20"/>
        </w:rPr>
        <w:t xml:space="preserve"> За да се намали административната тежест за кандидатите за подпомагане с директни плащания ангажиментът им по ал. 4 да </w:t>
      </w:r>
      <w:r w:rsidR="00DD68C3" w:rsidRPr="00DD68C3">
        <w:rPr>
          <w:rFonts w:ascii="Verdana" w:hAnsi="Verdana"/>
          <w:bCs/>
          <w:sz w:val="20"/>
          <w:szCs w:val="20"/>
        </w:rPr>
        <w:t>представят допълнителни доказателства</w:t>
      </w:r>
      <w:r w:rsidR="00DD68C3">
        <w:rPr>
          <w:rFonts w:ascii="Verdana" w:hAnsi="Verdana"/>
          <w:bCs/>
          <w:sz w:val="20"/>
          <w:szCs w:val="20"/>
        </w:rPr>
        <w:t xml:space="preserve"> във връзка с горепосочената система отпада</w:t>
      </w:r>
      <w:r w:rsidR="00947AD2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  <w:r w:rsidR="00DD68C3">
        <w:rPr>
          <w:rFonts w:ascii="Verdana" w:hAnsi="Verdana"/>
          <w:bCs/>
          <w:sz w:val="20"/>
          <w:szCs w:val="20"/>
        </w:rPr>
        <w:t xml:space="preserve">Същото се отнася до ангажимента </w:t>
      </w:r>
      <w:r w:rsidR="00947AD2">
        <w:rPr>
          <w:rFonts w:ascii="Verdana" w:hAnsi="Verdana"/>
          <w:bCs/>
          <w:sz w:val="20"/>
          <w:szCs w:val="20"/>
        </w:rPr>
        <w:t xml:space="preserve">им </w:t>
      </w:r>
      <w:r w:rsidR="00F953E3">
        <w:rPr>
          <w:rFonts w:ascii="Verdana" w:hAnsi="Verdana"/>
          <w:bCs/>
          <w:sz w:val="20"/>
          <w:szCs w:val="20"/>
        </w:rPr>
        <w:t xml:space="preserve">по чл. 61, ал. 1 </w:t>
      </w:r>
      <w:r w:rsidR="00DD68C3">
        <w:rPr>
          <w:rFonts w:ascii="Verdana" w:hAnsi="Verdana"/>
          <w:bCs/>
          <w:sz w:val="20"/>
          <w:szCs w:val="20"/>
        </w:rPr>
        <w:t xml:space="preserve">за </w:t>
      </w:r>
      <w:r w:rsidR="00947AD2">
        <w:rPr>
          <w:rFonts w:ascii="Verdana" w:hAnsi="Verdana"/>
          <w:bCs/>
          <w:sz w:val="20"/>
          <w:szCs w:val="20"/>
        </w:rPr>
        <w:t xml:space="preserve">представянето на </w:t>
      </w:r>
      <w:r w:rsidR="00DD68C3">
        <w:rPr>
          <w:rFonts w:ascii="Verdana" w:hAnsi="Verdana"/>
          <w:bCs/>
          <w:sz w:val="20"/>
          <w:szCs w:val="20"/>
        </w:rPr>
        <w:t xml:space="preserve">обосновки при </w:t>
      </w:r>
      <w:r w:rsidR="00DD68C3" w:rsidRPr="00DD68C3">
        <w:rPr>
          <w:rFonts w:ascii="Verdana" w:hAnsi="Verdana"/>
          <w:bCs/>
          <w:sz w:val="20"/>
          <w:szCs w:val="20"/>
        </w:rPr>
        <w:t xml:space="preserve">подаване на възражение </w:t>
      </w:r>
      <w:r w:rsidR="00DD68C3">
        <w:rPr>
          <w:rFonts w:ascii="Verdana" w:hAnsi="Verdana"/>
          <w:bCs/>
          <w:sz w:val="20"/>
          <w:szCs w:val="20"/>
        </w:rPr>
        <w:t xml:space="preserve">от кандидата </w:t>
      </w:r>
      <w:r w:rsidR="00DD68C3" w:rsidRPr="00DD68C3">
        <w:rPr>
          <w:rFonts w:ascii="Verdana" w:hAnsi="Verdana"/>
          <w:bCs/>
          <w:sz w:val="20"/>
          <w:szCs w:val="20"/>
        </w:rPr>
        <w:t>чрез СЕУ</w:t>
      </w:r>
      <w:r w:rsidR="00DD68C3">
        <w:rPr>
          <w:rFonts w:ascii="Verdana" w:hAnsi="Verdana"/>
          <w:bCs/>
          <w:sz w:val="20"/>
          <w:szCs w:val="20"/>
        </w:rPr>
        <w:t>.</w:t>
      </w:r>
      <w:r w:rsidR="00F953E3">
        <w:rPr>
          <w:rFonts w:ascii="Verdana" w:hAnsi="Verdana"/>
          <w:bCs/>
          <w:sz w:val="20"/>
          <w:szCs w:val="20"/>
        </w:rPr>
        <w:t xml:space="preserve"> </w:t>
      </w:r>
      <w:r w:rsidR="00F953E3" w:rsidRPr="00F953E3">
        <w:rPr>
          <w:rFonts w:ascii="Verdana" w:hAnsi="Verdana"/>
          <w:bCs/>
          <w:sz w:val="20"/>
          <w:szCs w:val="20"/>
        </w:rPr>
        <w:t xml:space="preserve">В ал. 2 </w:t>
      </w:r>
      <w:r w:rsidR="00F953E3">
        <w:rPr>
          <w:rFonts w:ascii="Verdana" w:hAnsi="Verdana"/>
          <w:bCs/>
          <w:sz w:val="20"/>
          <w:szCs w:val="20"/>
        </w:rPr>
        <w:t xml:space="preserve">от горецитираната правна норма </w:t>
      </w:r>
      <w:r w:rsidR="00F953E3" w:rsidRPr="00F953E3">
        <w:rPr>
          <w:rFonts w:ascii="Verdana" w:hAnsi="Verdana"/>
          <w:bCs/>
          <w:sz w:val="20"/>
          <w:szCs w:val="20"/>
        </w:rPr>
        <w:t>точка 3</w:t>
      </w:r>
      <w:r w:rsidR="00947AD2">
        <w:rPr>
          <w:rFonts w:ascii="Verdana" w:hAnsi="Verdana"/>
          <w:bCs/>
          <w:sz w:val="20"/>
          <w:szCs w:val="20"/>
        </w:rPr>
        <w:t xml:space="preserve">, постановяваща, че </w:t>
      </w:r>
      <w:r w:rsidR="00947AD2" w:rsidRPr="00947AD2">
        <w:rPr>
          <w:rFonts w:ascii="Verdana" w:hAnsi="Verdana"/>
          <w:bCs/>
          <w:sz w:val="20"/>
          <w:szCs w:val="20"/>
        </w:rPr>
        <w:t>кандидатите за подпомагане могат да извършат корекция на заявлението</w:t>
      </w:r>
      <w:r w:rsidR="00947AD2">
        <w:rPr>
          <w:rFonts w:ascii="Verdana" w:hAnsi="Verdana"/>
          <w:bCs/>
          <w:sz w:val="20"/>
          <w:szCs w:val="20"/>
        </w:rPr>
        <w:t>,</w:t>
      </w:r>
      <w:r w:rsidR="00F953E3" w:rsidRPr="00F953E3">
        <w:rPr>
          <w:rFonts w:ascii="Verdana" w:hAnsi="Verdana"/>
          <w:bCs/>
          <w:sz w:val="20"/>
          <w:szCs w:val="20"/>
        </w:rPr>
        <w:t xml:space="preserve"> </w:t>
      </w:r>
      <w:r w:rsidR="00947AD2" w:rsidRPr="00947AD2">
        <w:rPr>
          <w:rFonts w:ascii="Verdana" w:hAnsi="Verdana"/>
          <w:bCs/>
          <w:sz w:val="20"/>
          <w:szCs w:val="20"/>
        </w:rPr>
        <w:t>при услови</w:t>
      </w:r>
      <w:r w:rsidR="00947AD2">
        <w:rPr>
          <w:rFonts w:ascii="Verdana" w:hAnsi="Verdana"/>
          <w:bCs/>
          <w:sz w:val="20"/>
          <w:szCs w:val="20"/>
        </w:rPr>
        <w:t xml:space="preserve">е че не са били информирани, че </w:t>
      </w:r>
      <w:r w:rsidR="00947AD2" w:rsidRPr="00947AD2">
        <w:rPr>
          <w:rFonts w:ascii="Verdana" w:hAnsi="Verdana"/>
          <w:bCs/>
          <w:sz w:val="20"/>
          <w:szCs w:val="20"/>
        </w:rPr>
        <w:t>чрез административни проверки са установени несъответствия, засягащи условия за подпомагане</w:t>
      </w:r>
      <w:r w:rsidR="00947AD2">
        <w:rPr>
          <w:rFonts w:ascii="Verdana" w:hAnsi="Verdana"/>
          <w:bCs/>
          <w:sz w:val="20"/>
          <w:szCs w:val="20"/>
        </w:rPr>
        <w:t xml:space="preserve">, </w:t>
      </w:r>
      <w:r w:rsidR="00F953E3" w:rsidRPr="00F953E3">
        <w:rPr>
          <w:rFonts w:ascii="Verdana" w:hAnsi="Verdana"/>
          <w:bCs/>
          <w:sz w:val="20"/>
          <w:szCs w:val="20"/>
        </w:rPr>
        <w:t>се заличава</w:t>
      </w:r>
      <w:r w:rsidR="00F953E3">
        <w:rPr>
          <w:rFonts w:ascii="Verdana" w:hAnsi="Verdana"/>
          <w:bCs/>
          <w:sz w:val="20"/>
          <w:szCs w:val="20"/>
        </w:rPr>
        <w:t xml:space="preserve">, за да е в пълна корелация с чл. 14, </w:t>
      </w:r>
      <w:r w:rsidR="00F953E3">
        <w:rPr>
          <w:rFonts w:ascii="Verdana" w:hAnsi="Verdana"/>
          <w:bCs/>
          <w:sz w:val="20"/>
          <w:szCs w:val="20"/>
        </w:rPr>
        <w:lastRenderedPageBreak/>
        <w:t>15 и 16 от Наредба № 4 от 2023 г</w:t>
      </w:r>
      <w:r w:rsidR="00F953E3" w:rsidRPr="00F953E3">
        <w:rPr>
          <w:rFonts w:ascii="Verdana" w:hAnsi="Verdana"/>
          <w:bCs/>
          <w:sz w:val="20"/>
          <w:szCs w:val="20"/>
        </w:rPr>
        <w:t>.</w:t>
      </w:r>
      <w:r w:rsidR="00947AD2">
        <w:rPr>
          <w:rFonts w:ascii="Verdana" w:hAnsi="Verdana"/>
          <w:bCs/>
          <w:sz w:val="20"/>
          <w:szCs w:val="20"/>
        </w:rPr>
        <w:t xml:space="preserve"> Така се премахва ограничение</w:t>
      </w:r>
      <w:r w:rsidR="00820FF5">
        <w:rPr>
          <w:rFonts w:ascii="Verdana" w:hAnsi="Verdana"/>
          <w:bCs/>
          <w:sz w:val="20"/>
          <w:szCs w:val="20"/>
        </w:rPr>
        <w:t>то</w:t>
      </w:r>
      <w:r w:rsidR="00947AD2">
        <w:rPr>
          <w:rFonts w:ascii="Verdana" w:hAnsi="Verdana"/>
          <w:bCs/>
          <w:sz w:val="20"/>
          <w:szCs w:val="20"/>
        </w:rPr>
        <w:t xml:space="preserve"> за земеделските стопани да оттеглят площи, за които административно е установено, че нямат правно основание или имат застъпване.</w:t>
      </w:r>
    </w:p>
    <w:p w14:paraId="092D131F" w14:textId="30CA8E51" w:rsidR="00820FF5" w:rsidRPr="00947AD2" w:rsidRDefault="00947AD2" w:rsidP="003D7C53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947AD2">
        <w:rPr>
          <w:rFonts w:ascii="Verdana" w:hAnsi="Verdana"/>
          <w:bCs/>
          <w:sz w:val="20"/>
          <w:szCs w:val="20"/>
        </w:rPr>
        <w:t xml:space="preserve">В чл. 63, ал. 9 </w:t>
      </w:r>
      <w:r>
        <w:rPr>
          <w:rFonts w:ascii="Verdana" w:hAnsi="Verdana"/>
          <w:bCs/>
          <w:sz w:val="20"/>
          <w:szCs w:val="20"/>
        </w:rPr>
        <w:t>се пояснява, че</w:t>
      </w:r>
      <w:r w:rsidRPr="00947AD2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и</w:t>
      </w:r>
      <w:r w:rsidRPr="00947AD2">
        <w:rPr>
          <w:rFonts w:ascii="Verdana" w:hAnsi="Verdana"/>
          <w:bCs/>
          <w:sz w:val="20"/>
          <w:szCs w:val="20"/>
        </w:rPr>
        <w:t xml:space="preserve">звадката за целите на оценката на качеството на системата за мониторинг на площта и системата за </w:t>
      </w:r>
      <w:proofErr w:type="spellStart"/>
      <w:r w:rsidRPr="00947AD2">
        <w:rPr>
          <w:rFonts w:ascii="Verdana" w:hAnsi="Verdana"/>
          <w:bCs/>
          <w:sz w:val="20"/>
          <w:szCs w:val="20"/>
        </w:rPr>
        <w:t>геопространствено</w:t>
      </w:r>
      <w:proofErr w:type="spellEnd"/>
      <w:r w:rsidRPr="00947AD2">
        <w:rPr>
          <w:rFonts w:ascii="Verdana" w:hAnsi="Verdana"/>
          <w:bCs/>
          <w:sz w:val="20"/>
          <w:szCs w:val="20"/>
        </w:rPr>
        <w:t xml:space="preserve"> заявяване </w:t>
      </w:r>
      <w:r>
        <w:rPr>
          <w:rFonts w:ascii="Verdana" w:hAnsi="Verdana"/>
          <w:bCs/>
          <w:sz w:val="20"/>
          <w:szCs w:val="20"/>
        </w:rPr>
        <w:t xml:space="preserve">може да </w:t>
      </w:r>
      <w:r w:rsidRPr="00947AD2">
        <w:rPr>
          <w:rFonts w:ascii="Verdana" w:hAnsi="Verdana"/>
          <w:bCs/>
          <w:sz w:val="20"/>
          <w:szCs w:val="20"/>
        </w:rPr>
        <w:t>е част от контролната извадка</w:t>
      </w:r>
      <w:r w:rsidR="00660383">
        <w:rPr>
          <w:rFonts w:ascii="Verdana" w:hAnsi="Verdana"/>
          <w:bCs/>
          <w:sz w:val="20"/>
          <w:szCs w:val="20"/>
        </w:rPr>
        <w:t>, но не задължително да бъде такава</w:t>
      </w:r>
      <w:r>
        <w:rPr>
          <w:rFonts w:ascii="Verdana" w:hAnsi="Verdana"/>
          <w:bCs/>
          <w:sz w:val="20"/>
          <w:szCs w:val="20"/>
        </w:rPr>
        <w:t>. Промяната се прави с оглед ц</w:t>
      </w:r>
      <w:r w:rsidRPr="00947AD2">
        <w:rPr>
          <w:rFonts w:ascii="Verdana" w:hAnsi="Verdana"/>
          <w:bCs/>
          <w:sz w:val="20"/>
          <w:szCs w:val="20"/>
        </w:rPr>
        <w:t>елта на проверката за оценка на качеството на система за мониторинг на площ (СМП)</w:t>
      </w:r>
      <w:r>
        <w:rPr>
          <w:rFonts w:ascii="Verdana" w:hAnsi="Verdana"/>
          <w:bCs/>
          <w:sz w:val="20"/>
          <w:szCs w:val="20"/>
        </w:rPr>
        <w:t>, а именно</w:t>
      </w:r>
      <w:r w:rsidRPr="00947AD2">
        <w:rPr>
          <w:rFonts w:ascii="Verdana" w:hAnsi="Verdana"/>
          <w:bCs/>
          <w:sz w:val="20"/>
          <w:szCs w:val="20"/>
        </w:rPr>
        <w:t xml:space="preserve"> да се оцени качеството на работата на системата. Предвид факта, че СМП не е част от  контролната система, то парцелите</w:t>
      </w:r>
      <w:r>
        <w:rPr>
          <w:rFonts w:ascii="Verdana" w:hAnsi="Verdana"/>
          <w:bCs/>
          <w:sz w:val="20"/>
          <w:szCs w:val="20"/>
        </w:rPr>
        <w:t>,</w:t>
      </w:r>
      <w:r w:rsidRPr="00947AD2">
        <w:rPr>
          <w:rFonts w:ascii="Verdana" w:hAnsi="Verdana"/>
          <w:bCs/>
          <w:sz w:val="20"/>
          <w:szCs w:val="20"/>
        </w:rPr>
        <w:t xml:space="preserve"> попаднали в извадката за оценка на качеството, може да се ползват като част от извадката по интервенциите</w:t>
      </w:r>
      <w:r>
        <w:rPr>
          <w:rFonts w:ascii="Verdana" w:hAnsi="Verdana"/>
          <w:bCs/>
          <w:sz w:val="20"/>
          <w:szCs w:val="20"/>
        </w:rPr>
        <w:t>,</w:t>
      </w:r>
      <w:r w:rsidRPr="00947AD2">
        <w:rPr>
          <w:rFonts w:ascii="Verdana" w:hAnsi="Verdana"/>
          <w:bCs/>
          <w:sz w:val="20"/>
          <w:szCs w:val="20"/>
        </w:rPr>
        <w:t xml:space="preserve"> в случай че са в един времеви период, но може и да се ползват само за целите на оценката. </w:t>
      </w:r>
      <w:r w:rsidR="00660383">
        <w:rPr>
          <w:rFonts w:ascii="Verdana" w:hAnsi="Verdana"/>
          <w:bCs/>
          <w:sz w:val="20"/>
          <w:szCs w:val="20"/>
        </w:rPr>
        <w:t>П</w:t>
      </w:r>
      <w:r w:rsidRPr="00947AD2">
        <w:rPr>
          <w:rFonts w:ascii="Verdana" w:hAnsi="Verdana"/>
          <w:bCs/>
          <w:sz w:val="20"/>
          <w:szCs w:val="20"/>
        </w:rPr>
        <w:t>ринципите на извършване на проверката, например по отношение на уведомяването за проверката</w:t>
      </w:r>
      <w:r w:rsidR="00660383">
        <w:rPr>
          <w:rFonts w:ascii="Verdana" w:hAnsi="Verdana"/>
          <w:bCs/>
          <w:sz w:val="20"/>
          <w:szCs w:val="20"/>
        </w:rPr>
        <w:t>, също</w:t>
      </w:r>
      <w:r w:rsidRPr="00947AD2">
        <w:rPr>
          <w:rFonts w:ascii="Verdana" w:hAnsi="Verdana"/>
          <w:bCs/>
          <w:sz w:val="20"/>
          <w:szCs w:val="20"/>
        </w:rPr>
        <w:t xml:space="preserve"> могат да бъдат различни. </w:t>
      </w:r>
      <w:r w:rsidR="00671464">
        <w:rPr>
          <w:rFonts w:ascii="Verdana" w:hAnsi="Verdana"/>
          <w:bCs/>
          <w:sz w:val="20"/>
          <w:szCs w:val="20"/>
        </w:rPr>
        <w:t xml:space="preserve">Направено е и прецизиране на </w:t>
      </w:r>
      <w:r w:rsidR="00820FF5">
        <w:rPr>
          <w:rFonts w:ascii="Verdana" w:hAnsi="Verdana"/>
          <w:bCs/>
          <w:sz w:val="20"/>
          <w:szCs w:val="20"/>
        </w:rPr>
        <w:t>Приложение № 7</w:t>
      </w:r>
      <w:r w:rsidR="00671464">
        <w:rPr>
          <w:rFonts w:ascii="Verdana" w:hAnsi="Verdana"/>
          <w:bCs/>
          <w:sz w:val="20"/>
          <w:szCs w:val="20"/>
        </w:rPr>
        <w:t>.</w:t>
      </w:r>
    </w:p>
    <w:p w14:paraId="21434A88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2D8EF4B6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CE032C">
        <w:rPr>
          <w:rFonts w:ascii="Verdana" w:hAnsi="Verdana"/>
          <w:b/>
          <w:bCs/>
          <w:sz w:val="20"/>
          <w:szCs w:val="20"/>
        </w:rPr>
        <w:t>Цели</w:t>
      </w:r>
    </w:p>
    <w:p w14:paraId="604EB186" w14:textId="65C299C8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CE032C">
        <w:rPr>
          <w:rFonts w:ascii="Verdana" w:hAnsi="Verdana"/>
          <w:bCs/>
          <w:spacing w:val="4"/>
          <w:sz w:val="20"/>
          <w:szCs w:val="20"/>
        </w:rPr>
        <w:t>Предложен</w:t>
      </w:r>
      <w:r w:rsidR="00A1615D">
        <w:rPr>
          <w:rFonts w:ascii="Verdana" w:hAnsi="Verdana"/>
          <w:bCs/>
          <w:spacing w:val="4"/>
          <w:sz w:val="20"/>
          <w:szCs w:val="20"/>
        </w:rPr>
        <w:t>ите</w:t>
      </w:r>
      <w:r w:rsidRPr="00CE032C">
        <w:rPr>
          <w:rFonts w:ascii="Verdana" w:hAnsi="Verdana"/>
          <w:bCs/>
          <w:spacing w:val="4"/>
          <w:sz w:val="20"/>
          <w:szCs w:val="20"/>
        </w:rPr>
        <w:t xml:space="preserve"> </w:t>
      </w:r>
      <w:r w:rsidR="00A1615D">
        <w:rPr>
          <w:rFonts w:ascii="Verdana" w:hAnsi="Verdana"/>
          <w:bCs/>
          <w:spacing w:val="4"/>
          <w:sz w:val="20"/>
          <w:szCs w:val="20"/>
        </w:rPr>
        <w:t>промени в</w:t>
      </w:r>
      <w:r w:rsidRPr="00CE032C">
        <w:rPr>
          <w:rFonts w:ascii="Verdana" w:hAnsi="Verdana"/>
          <w:bCs/>
          <w:spacing w:val="4"/>
          <w:sz w:val="20"/>
          <w:szCs w:val="20"/>
        </w:rPr>
        <w:t xml:space="preserve"> Наредба № 3 от 10 март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за реда за налагане на административни санкции са насочени към постигане на следните цели:</w:t>
      </w:r>
    </w:p>
    <w:p w14:paraId="45FD3F7D" w14:textId="75927E1F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CE032C">
        <w:rPr>
          <w:rFonts w:ascii="Verdana" w:hAnsi="Verdana"/>
          <w:bCs/>
          <w:spacing w:val="4"/>
          <w:sz w:val="20"/>
          <w:szCs w:val="20"/>
        </w:rPr>
        <w:t xml:space="preserve">Точно и пълно отразяване на изискванията и показателите на </w:t>
      </w:r>
      <w:r w:rsidRPr="001360DF">
        <w:rPr>
          <w:rFonts w:ascii="Verdana" w:hAnsi="Verdana"/>
          <w:bCs/>
          <w:spacing w:val="4"/>
          <w:sz w:val="20"/>
          <w:szCs w:val="20"/>
        </w:rPr>
        <w:t>Стратегическия план за развитие на земеделието и селските райони на Република България за период</w:t>
      </w:r>
      <w:r w:rsidR="001360DF" w:rsidRPr="001360DF">
        <w:rPr>
          <w:rFonts w:ascii="Verdana" w:hAnsi="Verdana"/>
          <w:bCs/>
          <w:spacing w:val="4"/>
          <w:sz w:val="20"/>
          <w:szCs w:val="20"/>
        </w:rPr>
        <w:t>а</w:t>
      </w:r>
      <w:r w:rsidRPr="001360DF">
        <w:rPr>
          <w:rFonts w:ascii="Verdana" w:hAnsi="Verdana"/>
          <w:bCs/>
          <w:spacing w:val="4"/>
          <w:sz w:val="20"/>
          <w:szCs w:val="20"/>
        </w:rPr>
        <w:t xml:space="preserve"> 2023 – 2027 г.</w:t>
      </w:r>
      <w:r w:rsidRPr="00CE032C">
        <w:rPr>
          <w:rFonts w:ascii="Verdana" w:hAnsi="Verdana"/>
          <w:bCs/>
          <w:spacing w:val="4"/>
          <w:sz w:val="20"/>
          <w:szCs w:val="20"/>
        </w:rPr>
        <w:t xml:space="preserve"> в нормативните актове за неговото прилагане;</w:t>
      </w:r>
    </w:p>
    <w:p w14:paraId="1F798823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CE032C">
        <w:rPr>
          <w:rFonts w:ascii="Verdana" w:hAnsi="Verdana"/>
          <w:bCs/>
          <w:spacing w:val="4"/>
          <w:sz w:val="20"/>
          <w:szCs w:val="20"/>
        </w:rPr>
        <w:t>Осигуряване на оптимална яснота и прецизиране на изискванията за прилагане на интервенциите за подпомагане с директни плащания;</w:t>
      </w:r>
    </w:p>
    <w:p w14:paraId="14686582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CE032C">
        <w:rPr>
          <w:rFonts w:ascii="Verdana" w:hAnsi="Verdana"/>
          <w:bCs/>
          <w:spacing w:val="4"/>
          <w:sz w:val="20"/>
          <w:szCs w:val="20"/>
        </w:rPr>
        <w:t>Намаляване на административната тежест при прилагане на директните плащания както за бенефициентите, така  и за администрацията.</w:t>
      </w:r>
    </w:p>
    <w:p w14:paraId="040AE7F3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3170FFD6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CE032C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14:paraId="5713952C" w14:textId="0938FA54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 xml:space="preserve">За приемането на Наредбата за </w:t>
      </w:r>
      <w:r w:rsidR="00A1615D">
        <w:rPr>
          <w:rFonts w:ascii="Verdana" w:hAnsi="Verdana"/>
          <w:bCs/>
          <w:sz w:val="20"/>
          <w:szCs w:val="20"/>
        </w:rPr>
        <w:t xml:space="preserve">изменение и </w:t>
      </w:r>
      <w:r w:rsidRPr="00CE032C">
        <w:rPr>
          <w:rFonts w:ascii="Verdana" w:hAnsi="Verdana"/>
          <w:bCs/>
          <w:sz w:val="20"/>
          <w:szCs w:val="20"/>
        </w:rPr>
        <w:t>допълнение на Наредба № 3</w:t>
      </w:r>
      <w:r w:rsidR="003D7C53">
        <w:rPr>
          <w:rFonts w:ascii="Verdana" w:hAnsi="Verdana"/>
          <w:bCs/>
          <w:sz w:val="20"/>
          <w:szCs w:val="20"/>
        </w:rPr>
        <w:t xml:space="preserve"> от </w:t>
      </w:r>
      <w:r w:rsidRPr="00CE032C">
        <w:rPr>
          <w:rFonts w:ascii="Verdana" w:hAnsi="Verdana"/>
          <w:bCs/>
          <w:sz w:val="20"/>
          <w:szCs w:val="20"/>
        </w:rPr>
        <w:t xml:space="preserve">2023 г. за условията и реда за прилагане на  интервенциите под формата на директни плащания, </w:t>
      </w:r>
      <w:r w:rsidRPr="00CE032C">
        <w:rPr>
          <w:rFonts w:ascii="Verdana" w:hAnsi="Verdana" w:cs="Tahoma"/>
          <w:color w:val="000000" w:themeColor="text1"/>
          <w:sz w:val="20"/>
          <w:szCs w:val="20"/>
        </w:rPr>
        <w:t xml:space="preserve">включени в Стратегическия план, </w:t>
      </w:r>
      <w:r w:rsidRPr="00CE032C">
        <w:rPr>
          <w:rFonts w:ascii="Verdana" w:hAnsi="Verdana"/>
          <w:bCs/>
          <w:sz w:val="20"/>
          <w:szCs w:val="20"/>
        </w:rPr>
        <w:t xml:space="preserve">за проверките, намаления на плащанията и за реда за налагане на административни санкции не се предвижда разходването на допълнителни средства от бюджета на Министерството на земеделието </w:t>
      </w:r>
      <w:r w:rsidRPr="00CE032C">
        <w:rPr>
          <w:rFonts w:ascii="Verdana" w:hAnsi="Verdana"/>
          <w:bCs/>
          <w:color w:val="000000" w:themeColor="text1"/>
          <w:sz w:val="20"/>
          <w:szCs w:val="20"/>
        </w:rPr>
        <w:t xml:space="preserve">и храните </w:t>
      </w:r>
      <w:r w:rsidRPr="00CE032C">
        <w:rPr>
          <w:rFonts w:ascii="Verdana" w:hAnsi="Verdana"/>
          <w:bCs/>
          <w:sz w:val="20"/>
          <w:szCs w:val="20"/>
        </w:rPr>
        <w:t>и на Държавен фонд „Земеделие“ – Разплащателна агенция, както и допълнителна финансова тежест за кандидатите и бенефициентите на подпомагане по отношение на интервенциите, които ще бъдат финансирани от бюджета на Европейския фонд за гарантиране на земеделието.</w:t>
      </w:r>
    </w:p>
    <w:p w14:paraId="254EB06C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56D2E73D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CE032C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14:paraId="73FDFE5A" w14:textId="77777777" w:rsidR="00CE032C" w:rsidRPr="00CE032C" w:rsidRDefault="00CE032C" w:rsidP="0071562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E032C">
        <w:rPr>
          <w:rFonts w:ascii="Verdana" w:hAnsi="Verdana"/>
          <w:sz w:val="20"/>
          <w:szCs w:val="20"/>
        </w:rPr>
        <w:t xml:space="preserve">С прилагане на </w:t>
      </w:r>
      <w:r w:rsidR="00422F82">
        <w:rPr>
          <w:rFonts w:ascii="Verdana" w:hAnsi="Verdana"/>
          <w:sz w:val="20"/>
          <w:szCs w:val="20"/>
        </w:rPr>
        <w:t>Н</w:t>
      </w:r>
      <w:r w:rsidRPr="00CE032C">
        <w:rPr>
          <w:rFonts w:ascii="Verdana" w:hAnsi="Verdana"/>
          <w:sz w:val="20"/>
          <w:szCs w:val="20"/>
        </w:rPr>
        <w:t>аредбата се очаква постигането на следните резултати:</w:t>
      </w:r>
    </w:p>
    <w:p w14:paraId="7213B1D0" w14:textId="0FFD5DC1" w:rsidR="00CE032C" w:rsidRPr="00CE032C" w:rsidRDefault="00CE032C" w:rsidP="00715626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 xml:space="preserve">Успешно прилагане през 2023 г. на </w:t>
      </w:r>
      <w:r w:rsidRPr="001360DF">
        <w:rPr>
          <w:rFonts w:ascii="Verdana" w:hAnsi="Verdana"/>
          <w:bCs/>
          <w:sz w:val="20"/>
          <w:szCs w:val="20"/>
        </w:rPr>
        <w:t>Стратегическия план за развитие на земеделието и селските райони на Република България за период</w:t>
      </w:r>
      <w:r w:rsidR="001360DF" w:rsidRPr="001360DF">
        <w:rPr>
          <w:rFonts w:ascii="Verdana" w:hAnsi="Verdana"/>
          <w:bCs/>
          <w:sz w:val="20"/>
          <w:szCs w:val="20"/>
        </w:rPr>
        <w:t>а</w:t>
      </w:r>
      <w:r w:rsidRPr="001360DF">
        <w:rPr>
          <w:rFonts w:ascii="Verdana" w:hAnsi="Verdana"/>
          <w:bCs/>
          <w:sz w:val="20"/>
          <w:szCs w:val="20"/>
        </w:rPr>
        <w:t xml:space="preserve"> 2023 – 2027 г.;</w:t>
      </w:r>
    </w:p>
    <w:p w14:paraId="789960C9" w14:textId="77777777" w:rsidR="00CE032C" w:rsidRPr="00CE032C" w:rsidRDefault="00CE032C" w:rsidP="00715626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>Усвояване на предвидения за страната ресурс за финансиране на интервенциите под формата на директни плащания, включени в Стратегическия план;</w:t>
      </w:r>
    </w:p>
    <w:p w14:paraId="2F22F256" w14:textId="77777777" w:rsidR="00CE032C" w:rsidRPr="00CE032C" w:rsidRDefault="00CE032C" w:rsidP="00715626">
      <w:pPr>
        <w:spacing w:line="360" w:lineRule="auto"/>
        <w:ind w:firstLine="720"/>
        <w:jc w:val="both"/>
        <w:rPr>
          <w:rFonts w:ascii="Verdana" w:hAnsi="Verdana"/>
          <w:bCs/>
          <w:spacing w:val="4"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>Създаване на всички необходими условия за правилното администриране на интервенциите</w:t>
      </w:r>
      <w:r w:rsidRPr="00CE032C">
        <w:rPr>
          <w:rFonts w:ascii="Verdana" w:hAnsi="Verdana"/>
          <w:bCs/>
          <w:spacing w:val="4"/>
          <w:sz w:val="20"/>
          <w:szCs w:val="20"/>
        </w:rPr>
        <w:t xml:space="preserve"> за директни плащания.</w:t>
      </w:r>
    </w:p>
    <w:p w14:paraId="6AB795B2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1FF6C04E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14:paraId="583C46BA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>Наредбата не е свързана с транспониране в националното законодателство на нормативни актове на институциите на Европейския съюз, поради което не е приложена таблица на съответствие с правото на Европейския съюз.</w:t>
      </w:r>
    </w:p>
    <w:p w14:paraId="1B7237F9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</w:p>
    <w:p w14:paraId="07D9FC3D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CE032C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14:paraId="50AE6D27" w14:textId="37123911" w:rsidR="00422F82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 xml:space="preserve">Съгласно чл. 26, ал. 3 и 4 от Закона за нормативните актове проектите на наредба и доклад (мотиви) са публикувани на интернет страницата на Министерството на земеделието </w:t>
      </w:r>
      <w:r w:rsidRPr="00CE032C">
        <w:rPr>
          <w:rFonts w:ascii="Verdana" w:hAnsi="Verdana"/>
          <w:bCs/>
          <w:color w:val="000000" w:themeColor="text1"/>
          <w:sz w:val="20"/>
          <w:szCs w:val="20"/>
        </w:rPr>
        <w:t xml:space="preserve">и храните </w:t>
      </w:r>
      <w:r w:rsidRPr="00CE032C">
        <w:rPr>
          <w:rFonts w:ascii="Verdana" w:hAnsi="Verdana"/>
          <w:bCs/>
          <w:sz w:val="20"/>
          <w:szCs w:val="20"/>
        </w:rPr>
        <w:t xml:space="preserve">и на Портала за обществени консултации със срок за </w:t>
      </w:r>
      <w:r w:rsidRPr="00CE032C">
        <w:rPr>
          <w:rFonts w:ascii="Verdana" w:hAnsi="Verdana"/>
          <w:bCs/>
          <w:spacing w:val="-2"/>
          <w:sz w:val="20"/>
          <w:szCs w:val="20"/>
        </w:rPr>
        <w:t xml:space="preserve">предложения </w:t>
      </w:r>
      <w:r w:rsidRPr="00CE032C">
        <w:rPr>
          <w:rFonts w:ascii="Verdana" w:hAnsi="Verdana"/>
          <w:bCs/>
          <w:sz w:val="20"/>
          <w:szCs w:val="20"/>
        </w:rPr>
        <w:t xml:space="preserve">и становища </w:t>
      </w:r>
      <w:r w:rsidR="00A1615D" w:rsidRPr="00A1615D">
        <w:rPr>
          <w:rFonts w:ascii="Verdana" w:hAnsi="Verdana"/>
          <w:bCs/>
          <w:sz w:val="20"/>
          <w:szCs w:val="20"/>
        </w:rPr>
        <w:t>30</w:t>
      </w:r>
      <w:r w:rsidR="003D7C53">
        <w:rPr>
          <w:rFonts w:ascii="Verdana" w:hAnsi="Verdana"/>
          <w:bCs/>
          <w:sz w:val="20"/>
          <w:szCs w:val="20"/>
        </w:rPr>
        <w:t xml:space="preserve"> дни.</w:t>
      </w:r>
    </w:p>
    <w:p w14:paraId="4E9E4576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14:paraId="28DBA6F8" w14:textId="77777777" w:rsidR="00CE032C" w:rsidRPr="00CE032C" w:rsidRDefault="00CE032C" w:rsidP="003D7C53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CE032C">
        <w:rPr>
          <w:rFonts w:ascii="Verdana" w:hAnsi="Verdana"/>
          <w:bCs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0DA14F8A" w14:textId="5A65D66A" w:rsidR="00CE032C" w:rsidRDefault="00CE032C" w:rsidP="003D7C53">
      <w:pPr>
        <w:spacing w:line="360" w:lineRule="auto"/>
        <w:ind w:firstLine="720"/>
        <w:jc w:val="both"/>
        <w:rPr>
          <w:rFonts w:ascii="Verdana" w:hAnsi="Verdana"/>
          <w:noProof/>
          <w:sz w:val="20"/>
          <w:szCs w:val="20"/>
          <w:shd w:val="clear" w:color="auto" w:fill="FEFEFE"/>
        </w:rPr>
      </w:pPr>
    </w:p>
    <w:p w14:paraId="0FDF94F3" w14:textId="77777777" w:rsidR="00FA2301" w:rsidRPr="003D7C53" w:rsidRDefault="00FA2301" w:rsidP="003D7C53">
      <w:pPr>
        <w:spacing w:line="360" w:lineRule="auto"/>
        <w:ind w:firstLine="720"/>
        <w:jc w:val="both"/>
        <w:rPr>
          <w:rFonts w:ascii="Verdana" w:hAnsi="Verdana"/>
          <w:noProof/>
          <w:sz w:val="20"/>
          <w:szCs w:val="20"/>
          <w:shd w:val="clear" w:color="auto" w:fill="FEFEFE"/>
        </w:rPr>
      </w:pPr>
    </w:p>
    <w:p w14:paraId="007513A4" w14:textId="77777777" w:rsidR="00CE032C" w:rsidRPr="00CE032C" w:rsidRDefault="00CE032C" w:rsidP="00CE032C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 w:rsidRPr="00CE032C"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УВАЖАЕМИ ГОСПОДИН МИНИСТЪР,</w:t>
      </w:r>
    </w:p>
    <w:p w14:paraId="267F1807" w14:textId="77777777" w:rsidR="00CE032C" w:rsidRPr="00CE032C" w:rsidRDefault="00CE032C" w:rsidP="00CE032C">
      <w:pPr>
        <w:spacing w:line="360" w:lineRule="auto"/>
        <w:ind w:firstLine="720"/>
        <w:jc w:val="both"/>
        <w:rPr>
          <w:rFonts w:ascii="Verdana" w:hAnsi="Verdana"/>
          <w:bCs/>
          <w:noProof/>
          <w:sz w:val="20"/>
          <w:szCs w:val="20"/>
        </w:rPr>
      </w:pPr>
      <w:r w:rsidRPr="00CE032C">
        <w:rPr>
          <w:rFonts w:ascii="Verdana" w:hAnsi="Verdana"/>
          <w:noProof/>
          <w:sz w:val="20"/>
          <w:szCs w:val="20"/>
          <w:shd w:val="clear" w:color="auto" w:fill="FEFEFE"/>
        </w:rPr>
        <w:t xml:space="preserve">Във връзка с гореизложеното, предлагам да издадете приложената </w:t>
      </w:r>
      <w:r w:rsidR="00A1615D" w:rsidRPr="00A1615D">
        <w:rPr>
          <w:rFonts w:ascii="Verdana" w:hAnsi="Verdana"/>
          <w:noProof/>
          <w:sz w:val="20"/>
          <w:szCs w:val="20"/>
          <w:shd w:val="clear" w:color="auto" w:fill="FEFEFE"/>
        </w:rPr>
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Pr="00CE032C">
        <w:rPr>
          <w:rFonts w:ascii="Verdana" w:hAnsi="Verdana"/>
          <w:bCs/>
          <w:noProof/>
          <w:sz w:val="20"/>
          <w:szCs w:val="20"/>
        </w:rPr>
        <w:t>.</w:t>
      </w:r>
    </w:p>
    <w:p w14:paraId="74C986C7" w14:textId="25F25303" w:rsidR="00FA2301" w:rsidRDefault="00FA2301" w:rsidP="00CE032C">
      <w:pPr>
        <w:spacing w:line="360" w:lineRule="auto"/>
        <w:ind w:right="-1" w:firstLine="720"/>
        <w:jc w:val="both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br w:type="page"/>
      </w:r>
    </w:p>
    <w:p w14:paraId="5C67641E" w14:textId="77777777" w:rsidR="00CE032C" w:rsidRPr="00CE032C" w:rsidRDefault="00CE032C" w:rsidP="00CE032C">
      <w:pPr>
        <w:spacing w:line="360" w:lineRule="auto"/>
        <w:ind w:right="-1" w:firstLine="720"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884"/>
        <w:gridCol w:w="6770"/>
      </w:tblGrid>
      <w:tr w:rsidR="00CE032C" w:rsidRPr="00CE032C" w14:paraId="6D3EF5F9" w14:textId="77777777" w:rsidTr="00100A23">
        <w:tc>
          <w:tcPr>
            <w:tcW w:w="1884" w:type="dxa"/>
          </w:tcPr>
          <w:p w14:paraId="72447B83" w14:textId="77777777" w:rsidR="00CE032C" w:rsidRPr="00CE032C" w:rsidRDefault="00CE032C" w:rsidP="00CE032C">
            <w:pPr>
              <w:spacing w:line="360" w:lineRule="auto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CE032C">
              <w:rPr>
                <w:rFonts w:ascii="Verdana" w:hAnsi="Verdana"/>
                <w:bCs/>
                <w:noProof/>
                <w:sz w:val="20"/>
                <w:szCs w:val="20"/>
              </w:rPr>
              <w:br w:type="page"/>
            </w:r>
            <w:r w:rsidRPr="00CE032C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Приложение: </w:t>
            </w:r>
          </w:p>
        </w:tc>
        <w:tc>
          <w:tcPr>
            <w:tcW w:w="6770" w:type="dxa"/>
          </w:tcPr>
          <w:p w14:paraId="48433285" w14:textId="77777777" w:rsidR="00CE032C" w:rsidRPr="00A1615D" w:rsidRDefault="00CE032C" w:rsidP="00A1615D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 w:cs="Verdana"/>
                <w:noProof/>
                <w:sz w:val="20"/>
                <w:szCs w:val="20"/>
              </w:rPr>
            </w:pPr>
            <w:r w:rsidRPr="00CE032C">
              <w:rPr>
                <w:rFonts w:ascii="Verdana" w:hAnsi="Verdana" w:cs="Verdana"/>
                <w:noProof/>
                <w:sz w:val="20"/>
                <w:szCs w:val="20"/>
              </w:rPr>
              <w:t xml:space="preserve">Проект на </w:t>
            </w:r>
            <w:r w:rsidR="00A1615D" w:rsidRPr="00A1615D">
              <w:rPr>
                <w:rFonts w:ascii="Verdana" w:hAnsi="Verdana" w:cs="Verdana"/>
                <w:noProof/>
                <w:sz w:val="20"/>
                <w:szCs w:val="20"/>
              </w:rPr>
      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      </w:r>
            <w:r w:rsidRPr="00A1615D">
              <w:rPr>
                <w:rFonts w:ascii="Verdana" w:hAnsi="Verdana" w:cs="Verdana"/>
                <w:noProof/>
                <w:sz w:val="20"/>
                <w:szCs w:val="20"/>
              </w:rPr>
              <w:t>;</w:t>
            </w:r>
          </w:p>
          <w:p w14:paraId="54F601BD" w14:textId="77777777" w:rsidR="00CE032C" w:rsidRPr="00CE032C" w:rsidRDefault="00CE032C" w:rsidP="00CE032C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 w:cs="Verdana"/>
                <w:noProof/>
                <w:sz w:val="20"/>
                <w:szCs w:val="20"/>
              </w:rPr>
            </w:pPr>
            <w:r w:rsidRPr="00CE032C">
              <w:rPr>
                <w:rFonts w:ascii="Verdana" w:hAnsi="Verdana" w:cs="Verdana"/>
                <w:noProof/>
                <w:sz w:val="20"/>
                <w:szCs w:val="20"/>
              </w:rPr>
              <w:t>Справка да отразяване на постъпилите становища от вътрешноведомственото съгласуване;</w:t>
            </w:r>
          </w:p>
          <w:p w14:paraId="7CAD9F4D" w14:textId="77777777" w:rsidR="00CE032C" w:rsidRPr="00CE032C" w:rsidRDefault="00CE032C" w:rsidP="00CE032C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 w:cs="Verdana"/>
                <w:noProof/>
                <w:sz w:val="20"/>
                <w:szCs w:val="20"/>
              </w:rPr>
            </w:pPr>
            <w:r w:rsidRPr="00CE032C">
              <w:rPr>
                <w:rFonts w:ascii="Verdana" w:hAnsi="Verdana" w:cs="Verdana"/>
                <w:noProof/>
                <w:sz w:val="20"/>
                <w:szCs w:val="20"/>
              </w:rPr>
              <w:t>Постъпили становища;</w:t>
            </w:r>
          </w:p>
          <w:p w14:paraId="2BC53F8A" w14:textId="77777777" w:rsidR="00CE032C" w:rsidRPr="00CE032C" w:rsidRDefault="00CE032C" w:rsidP="00CE032C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 w:cs="Verdana"/>
                <w:noProof/>
                <w:sz w:val="20"/>
                <w:szCs w:val="20"/>
              </w:rPr>
            </w:pPr>
            <w:r w:rsidRPr="00CE032C">
              <w:rPr>
                <w:rFonts w:ascii="Verdana" w:hAnsi="Verdana" w:cs="Verdana"/>
                <w:noProof/>
                <w:sz w:val="20"/>
                <w:szCs w:val="20"/>
              </w:rPr>
              <w:t>Справка за отразяване на постъпилите предложения и становища от обществената консултация, заедно с обосновка за неприетите предложения;</w:t>
            </w:r>
          </w:p>
          <w:p w14:paraId="492360A2" w14:textId="77777777" w:rsidR="00CE032C" w:rsidRPr="00CE032C" w:rsidRDefault="00CE032C" w:rsidP="00CE032C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CE032C">
              <w:rPr>
                <w:rFonts w:ascii="Verdana" w:hAnsi="Verdana" w:cs="Verdana"/>
                <w:noProof/>
                <w:sz w:val="20"/>
                <w:szCs w:val="20"/>
              </w:rPr>
              <w:t>Постъпили предложения и становища от проведената обществена консултация.</w:t>
            </w:r>
          </w:p>
        </w:tc>
      </w:tr>
    </w:tbl>
    <w:p w14:paraId="236F4A78" w14:textId="27D1C4BD" w:rsidR="00CE032C" w:rsidRDefault="00CE032C" w:rsidP="00CE032C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35755663" w14:textId="44D37944" w:rsidR="003D7C53" w:rsidRDefault="003D7C53" w:rsidP="00CE032C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7FE00203" w14:textId="77777777" w:rsidR="003D7C53" w:rsidRDefault="003D7C53" w:rsidP="00CE032C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7D0C1AD1" w14:textId="77777777" w:rsidR="003D7C53" w:rsidRPr="00CE032C" w:rsidRDefault="003D7C53" w:rsidP="00CE032C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7F889E8E" w14:textId="77777777" w:rsidR="00CE032C" w:rsidRPr="00CE032C" w:rsidRDefault="00CE032C" w:rsidP="00CE032C">
      <w:pPr>
        <w:spacing w:line="348" w:lineRule="auto"/>
        <w:rPr>
          <w:rFonts w:ascii="Verdana" w:hAnsi="Verdana"/>
          <w:b/>
          <w:caps/>
          <w:sz w:val="20"/>
          <w:szCs w:val="20"/>
          <w:lang w:eastAsia="en-GB"/>
        </w:rPr>
      </w:pPr>
      <w:r w:rsidRPr="00CE032C">
        <w:rPr>
          <w:rFonts w:ascii="Verdana" w:hAnsi="Verdana"/>
          <w:b/>
          <w:caps/>
          <w:sz w:val="20"/>
          <w:szCs w:val="20"/>
          <w:lang w:eastAsia="en-GB"/>
        </w:rPr>
        <w:t>АЛЕКСАНДЪР ЙОЦЕВ</w:t>
      </w:r>
    </w:p>
    <w:p w14:paraId="373799EF" w14:textId="77777777" w:rsidR="00CE032C" w:rsidRPr="00CE032C" w:rsidRDefault="00CE032C" w:rsidP="00CE032C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i/>
          <w:sz w:val="20"/>
          <w:szCs w:val="28"/>
          <w:lang w:eastAsia="en-GB"/>
        </w:rPr>
      </w:pPr>
      <w:r w:rsidRPr="00CE032C">
        <w:rPr>
          <w:rFonts w:ascii="Verdana" w:hAnsi="Verdana"/>
          <w:i/>
          <w:sz w:val="20"/>
          <w:szCs w:val="28"/>
          <w:lang w:eastAsia="en-GB"/>
        </w:rPr>
        <w:t>Заместник-министър</w:t>
      </w:r>
    </w:p>
    <w:p w14:paraId="6B193279" w14:textId="4BC7E2B0" w:rsidR="00CE032C" w:rsidRDefault="00CE032C" w:rsidP="00CE032C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sz w:val="20"/>
          <w:szCs w:val="28"/>
          <w:lang w:eastAsia="en-GB"/>
        </w:rPr>
      </w:pPr>
      <w:bookmarkStart w:id="0" w:name="_GoBack"/>
      <w:bookmarkEnd w:id="0"/>
    </w:p>
    <w:sectPr w:rsidR="00CE032C" w:rsidSect="003D7C53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C40A" w14:textId="77777777" w:rsidR="000D288F" w:rsidRDefault="000D288F">
      <w:r>
        <w:separator/>
      </w:r>
    </w:p>
  </w:endnote>
  <w:endnote w:type="continuationSeparator" w:id="0">
    <w:p w14:paraId="41D54882" w14:textId="77777777" w:rsidR="000D288F" w:rsidRDefault="000D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15C3AFD" w14:textId="56ED65C7" w:rsidR="006C2912" w:rsidRPr="00140F30" w:rsidRDefault="006C2912" w:rsidP="006C2912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6D37FA">
          <w:rPr>
            <w:rFonts w:ascii="Verdana" w:hAnsi="Verdana"/>
            <w:noProof/>
            <w:sz w:val="16"/>
            <w:szCs w:val="16"/>
          </w:rPr>
          <w:t>6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8139" w14:textId="77777777" w:rsidR="000D288F" w:rsidRDefault="000D288F">
      <w:r>
        <w:separator/>
      </w:r>
    </w:p>
  </w:footnote>
  <w:footnote w:type="continuationSeparator" w:id="0">
    <w:p w14:paraId="7813A7A9" w14:textId="77777777" w:rsidR="000D288F" w:rsidRDefault="000D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63177"/>
    <w:multiLevelType w:val="hybridMultilevel"/>
    <w:tmpl w:val="B5143098"/>
    <w:lvl w:ilvl="0" w:tplc="BD66859E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5"/>
    <w:rsid w:val="000C7473"/>
    <w:rsid w:val="000D27A5"/>
    <w:rsid w:val="000D288F"/>
    <w:rsid w:val="00123443"/>
    <w:rsid w:val="001360DF"/>
    <w:rsid w:val="00165281"/>
    <w:rsid w:val="001A58D5"/>
    <w:rsid w:val="002310C8"/>
    <w:rsid w:val="002720EA"/>
    <w:rsid w:val="00272459"/>
    <w:rsid w:val="0028044B"/>
    <w:rsid w:val="002C08BE"/>
    <w:rsid w:val="00355855"/>
    <w:rsid w:val="00367F9B"/>
    <w:rsid w:val="00372C4A"/>
    <w:rsid w:val="00382CC7"/>
    <w:rsid w:val="003830D3"/>
    <w:rsid w:val="003872FC"/>
    <w:rsid w:val="003D7C53"/>
    <w:rsid w:val="003F1B5A"/>
    <w:rsid w:val="00422F82"/>
    <w:rsid w:val="00433703"/>
    <w:rsid w:val="004662AE"/>
    <w:rsid w:val="004852B1"/>
    <w:rsid w:val="004A593C"/>
    <w:rsid w:val="004D7FF8"/>
    <w:rsid w:val="004E2870"/>
    <w:rsid w:val="0055686F"/>
    <w:rsid w:val="00620DC6"/>
    <w:rsid w:val="0064200B"/>
    <w:rsid w:val="00660383"/>
    <w:rsid w:val="00671464"/>
    <w:rsid w:val="0067683F"/>
    <w:rsid w:val="006836B1"/>
    <w:rsid w:val="00683DA1"/>
    <w:rsid w:val="006A457C"/>
    <w:rsid w:val="006C2912"/>
    <w:rsid w:val="006C5937"/>
    <w:rsid w:val="006D37FA"/>
    <w:rsid w:val="00715626"/>
    <w:rsid w:val="00745348"/>
    <w:rsid w:val="00786A00"/>
    <w:rsid w:val="007D2EC0"/>
    <w:rsid w:val="0080094D"/>
    <w:rsid w:val="00820FF5"/>
    <w:rsid w:val="00895531"/>
    <w:rsid w:val="008B661C"/>
    <w:rsid w:val="00914041"/>
    <w:rsid w:val="00947AD2"/>
    <w:rsid w:val="009703D3"/>
    <w:rsid w:val="009B1FAC"/>
    <w:rsid w:val="009B3AE0"/>
    <w:rsid w:val="00A1615D"/>
    <w:rsid w:val="00A469AB"/>
    <w:rsid w:val="00A55A87"/>
    <w:rsid w:val="00B00058"/>
    <w:rsid w:val="00B23CCF"/>
    <w:rsid w:val="00B24187"/>
    <w:rsid w:val="00B86896"/>
    <w:rsid w:val="00BA69AE"/>
    <w:rsid w:val="00BF5624"/>
    <w:rsid w:val="00C764CF"/>
    <w:rsid w:val="00C876BC"/>
    <w:rsid w:val="00CA23E4"/>
    <w:rsid w:val="00CD344C"/>
    <w:rsid w:val="00CD3C7A"/>
    <w:rsid w:val="00CE032C"/>
    <w:rsid w:val="00D679BA"/>
    <w:rsid w:val="00DB312A"/>
    <w:rsid w:val="00DD68C3"/>
    <w:rsid w:val="00DE43E0"/>
    <w:rsid w:val="00E00B01"/>
    <w:rsid w:val="00E01802"/>
    <w:rsid w:val="00E25648"/>
    <w:rsid w:val="00E52B9E"/>
    <w:rsid w:val="00E71D90"/>
    <w:rsid w:val="00EB242D"/>
    <w:rsid w:val="00F3569F"/>
    <w:rsid w:val="00F81FF6"/>
    <w:rsid w:val="00F953E3"/>
    <w:rsid w:val="00FA2301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2C5E"/>
  <w15:docId w15:val="{1BC26853-AA6B-42AC-B64B-798D98D2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64C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4CF"/>
    <w:rPr>
      <w:rFonts w:ascii="Times New Roman" w:eastAsia="Times New Roman" w:hAnsi="Times New Roman" w:cs="Times New Roman"/>
      <w:b/>
      <w:kern w:val="0"/>
      <w:sz w:val="28"/>
      <w:szCs w:val="20"/>
      <w:lang w:val="bg-BG" w:eastAsia="bg-BG"/>
      <w14:ligatures w14:val="none"/>
    </w:rPr>
  </w:style>
  <w:style w:type="paragraph" w:styleId="Footer">
    <w:name w:val="footer"/>
    <w:basedOn w:val="Normal"/>
    <w:link w:val="FooterChar"/>
    <w:uiPriority w:val="99"/>
    <w:rsid w:val="00C764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4CF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customStyle="1" w:styleId="FontStyle52">
    <w:name w:val="Font Style52"/>
    <w:uiPriority w:val="99"/>
    <w:rsid w:val="00C764CF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7"/>
    <w:rPr>
      <w:rFonts w:ascii="Segoe UI" w:eastAsia="Times New Roman" w:hAnsi="Segoe UI" w:cs="Segoe UI"/>
      <w:kern w:val="0"/>
      <w:sz w:val="18"/>
      <w:szCs w:val="18"/>
      <w:lang w:val="bg-BG" w:eastAsia="bg-BG"/>
      <w14:ligatures w14:val="none"/>
    </w:rPr>
  </w:style>
  <w:style w:type="paragraph" w:styleId="NoSpacing">
    <w:name w:val="No Spacing"/>
    <w:uiPriority w:val="1"/>
    <w:qFormat/>
    <w:rsid w:val="00CE0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CE0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DC6"/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DC6"/>
    <w:rPr>
      <w:rFonts w:ascii="Times New Roman" w:eastAsia="Times New Roman" w:hAnsi="Times New Roman" w:cs="Times New Roman"/>
      <w:b/>
      <w:bCs/>
      <w:kern w:val="0"/>
      <w:sz w:val="20"/>
      <w:szCs w:val="20"/>
      <w:lang w:val="bg-BG" w:eastAsia="bg-B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7C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53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84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Petya Ivanova</cp:lastModifiedBy>
  <cp:revision>7</cp:revision>
  <dcterms:created xsi:type="dcterms:W3CDTF">2023-09-08T06:14:00Z</dcterms:created>
  <dcterms:modified xsi:type="dcterms:W3CDTF">2023-09-08T09:45:00Z</dcterms:modified>
</cp:coreProperties>
</file>