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B1BB" w14:textId="77777777" w:rsidR="00DE1FDF" w:rsidRPr="00830BA3" w:rsidRDefault="00EF0E24" w:rsidP="00EF0E24">
      <w:pPr>
        <w:widowControl w:val="0"/>
        <w:tabs>
          <w:tab w:val="center" w:pos="4153"/>
          <w:tab w:val="right" w:pos="8306"/>
        </w:tabs>
        <w:spacing w:after="0" w:line="360" w:lineRule="auto"/>
        <w:jc w:val="center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  <w:r w:rsidRPr="00830BA3">
        <w:rPr>
          <w:rFonts w:ascii="Verdana" w:eastAsia="Times New Roman" w:hAnsi="Verdana" w:cs="Verdana"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F00C7A1" wp14:editId="3BF744CE">
            <wp:simplePos x="0" y="0"/>
            <wp:positionH relativeFrom="column">
              <wp:posOffset>2364791</wp:posOffset>
            </wp:positionH>
            <wp:positionV relativeFrom="paragraph">
              <wp:posOffset>-135509</wp:posOffset>
            </wp:positionV>
            <wp:extent cx="1187450" cy="11874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D329D" w14:textId="77777777" w:rsidR="00473136" w:rsidRPr="00830BA3" w:rsidRDefault="00473136" w:rsidP="00473136">
      <w:pPr>
        <w:widowControl w:val="0"/>
        <w:tabs>
          <w:tab w:val="center" w:pos="4153"/>
          <w:tab w:val="right" w:pos="8306"/>
        </w:tabs>
        <w:spacing w:after="0" w:line="360" w:lineRule="auto"/>
        <w:jc w:val="center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</w:p>
    <w:p w14:paraId="70ABAF83" w14:textId="77777777" w:rsidR="00EF0E24" w:rsidRPr="00830BA3" w:rsidRDefault="00EF0E24" w:rsidP="00EF0E24">
      <w:pPr>
        <w:widowControl w:val="0"/>
        <w:tabs>
          <w:tab w:val="center" w:pos="4153"/>
          <w:tab w:val="right" w:pos="8306"/>
        </w:tabs>
        <w:spacing w:after="0" w:line="360" w:lineRule="auto"/>
        <w:jc w:val="center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</w:p>
    <w:p w14:paraId="057925CF" w14:textId="77777777" w:rsidR="00EF0E24" w:rsidRPr="00830BA3" w:rsidRDefault="00EF0E24" w:rsidP="00EF0E24">
      <w:pPr>
        <w:widowControl w:val="0"/>
        <w:tabs>
          <w:tab w:val="center" w:pos="4153"/>
          <w:tab w:val="right" w:pos="8306"/>
        </w:tabs>
        <w:spacing w:after="0" w:line="360" w:lineRule="auto"/>
        <w:jc w:val="center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</w:p>
    <w:p w14:paraId="13AC3B5C" w14:textId="77777777" w:rsidR="00EF0E24" w:rsidRPr="00830BA3" w:rsidRDefault="00EF0E24" w:rsidP="00EF0E24">
      <w:pPr>
        <w:widowControl w:val="0"/>
        <w:tabs>
          <w:tab w:val="center" w:pos="4153"/>
          <w:tab w:val="right" w:pos="8306"/>
        </w:tabs>
        <w:spacing w:after="0" w:line="360" w:lineRule="auto"/>
        <w:jc w:val="center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</w:p>
    <w:p w14:paraId="516E04FF" w14:textId="77777777" w:rsidR="00473136" w:rsidRPr="00830BA3" w:rsidRDefault="00473136" w:rsidP="0047313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</w:rPr>
      </w:pPr>
      <w:r w:rsidRPr="00830BA3">
        <w:rPr>
          <w:rFonts w:ascii="Platinum Bg" w:hAnsi="Platinum Bg" w:cs="Platinum Bg"/>
          <w:caps/>
          <w:spacing w:val="30"/>
          <w:sz w:val="36"/>
          <w:szCs w:val="36"/>
        </w:rPr>
        <w:t>Република България</w:t>
      </w:r>
    </w:p>
    <w:p w14:paraId="04C29CE8" w14:textId="77777777" w:rsidR="00473136" w:rsidRPr="00830BA3" w:rsidRDefault="00473136" w:rsidP="0047313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</w:rPr>
      </w:pPr>
      <w:r w:rsidRPr="00830BA3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 и храните</w:t>
      </w:r>
    </w:p>
    <w:p w14:paraId="390A23D5" w14:textId="77777777" w:rsidR="00473136" w:rsidRPr="00830BA3" w:rsidRDefault="00473136" w:rsidP="00830BA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0D7B05" w14:textId="77777777" w:rsidR="00473136" w:rsidRPr="00830BA3" w:rsidRDefault="00473136" w:rsidP="00830BA3">
      <w:pPr>
        <w:spacing w:after="0" w:line="360" w:lineRule="auto"/>
        <w:rPr>
          <w:rFonts w:ascii="Verdana" w:hAnsi="Verdana"/>
          <w:sz w:val="20"/>
          <w:szCs w:val="20"/>
        </w:rPr>
      </w:pPr>
      <w:r w:rsidRPr="00830BA3">
        <w:rPr>
          <w:rFonts w:ascii="Verdana" w:hAnsi="Verdana"/>
          <w:sz w:val="20"/>
          <w:szCs w:val="20"/>
        </w:rPr>
        <w:t>…………………………………</w:t>
      </w:r>
    </w:p>
    <w:p w14:paraId="01354417" w14:textId="77777777" w:rsidR="00473136" w:rsidRPr="00830BA3" w:rsidRDefault="00473136" w:rsidP="00830BA3">
      <w:pPr>
        <w:spacing w:after="0" w:line="360" w:lineRule="auto"/>
        <w:rPr>
          <w:rFonts w:ascii="Verdana" w:hAnsi="Verdana"/>
          <w:sz w:val="20"/>
          <w:szCs w:val="20"/>
        </w:rPr>
      </w:pPr>
      <w:r w:rsidRPr="00830BA3">
        <w:rPr>
          <w:rFonts w:ascii="Verdana" w:hAnsi="Verdana"/>
          <w:sz w:val="20"/>
          <w:szCs w:val="20"/>
        </w:rPr>
        <w:t>………………………………… г.</w:t>
      </w:r>
    </w:p>
    <w:p w14:paraId="7381CE97" w14:textId="77777777" w:rsidR="00473136" w:rsidRPr="00830BA3" w:rsidRDefault="00473136" w:rsidP="00830BA3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</w:p>
    <w:p w14:paraId="55DF6573" w14:textId="77777777" w:rsidR="00473136" w:rsidRPr="00830BA3" w:rsidRDefault="00473136" w:rsidP="00830BA3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5070"/>
        <w:gridCol w:w="4110"/>
      </w:tblGrid>
      <w:tr w:rsidR="00F43606" w:rsidRPr="00830BA3" w14:paraId="7B676099" w14:textId="77777777" w:rsidTr="000E4912">
        <w:tc>
          <w:tcPr>
            <w:tcW w:w="5070" w:type="dxa"/>
          </w:tcPr>
          <w:p w14:paraId="7643D60C" w14:textId="77777777" w:rsidR="00F43606" w:rsidRPr="00830BA3" w:rsidRDefault="00F43606" w:rsidP="00830BA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  <w:p w14:paraId="2377926E" w14:textId="77777777" w:rsidR="00F43606" w:rsidRPr="00830BA3" w:rsidRDefault="00F43606" w:rsidP="00830BA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30B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ДО</w:t>
            </w:r>
          </w:p>
          <w:p w14:paraId="3D395A68" w14:textId="77777777" w:rsidR="00F43606" w:rsidRPr="00830BA3" w:rsidRDefault="00F43606" w:rsidP="00830BA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30B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МИНИСТЪРА НА ЗЕМЕДЕЛИЕТО И </w:t>
            </w:r>
            <w:r w:rsidRPr="00830B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 xml:space="preserve">ХРАНИТЕ </w:t>
            </w:r>
          </w:p>
          <w:p w14:paraId="5C4E1674" w14:textId="77777777" w:rsidR="00F43606" w:rsidRPr="00830BA3" w:rsidRDefault="00F43606" w:rsidP="00830BA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</w:pPr>
            <w:r w:rsidRPr="00830B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Г-Н КИРИЛ ВЪТЕВ</w:t>
            </w:r>
          </w:p>
        </w:tc>
        <w:tc>
          <w:tcPr>
            <w:tcW w:w="4110" w:type="dxa"/>
          </w:tcPr>
          <w:p w14:paraId="3AC055B4" w14:textId="77777777" w:rsidR="00F43606" w:rsidRPr="00830BA3" w:rsidRDefault="00F43606" w:rsidP="00830BA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</w:pPr>
            <w:r w:rsidRPr="00830BA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ОДОБРИЛ,</w:t>
            </w:r>
          </w:p>
          <w:p w14:paraId="7FA4B400" w14:textId="77777777" w:rsidR="00F43606" w:rsidRPr="00830BA3" w:rsidRDefault="00F43606" w:rsidP="00830BA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30BA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МИНИСТЪР:</w:t>
            </w:r>
          </w:p>
          <w:p w14:paraId="6C9A6D7E" w14:textId="77777777" w:rsidR="00F43606" w:rsidRPr="00830BA3" w:rsidRDefault="00F43606" w:rsidP="00830BA3">
            <w:pPr>
              <w:spacing w:after="0" w:line="360" w:lineRule="auto"/>
              <w:ind w:left="158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</w:pPr>
            <w:r w:rsidRPr="00830B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КИРИЛ ВЪТЕВ</w:t>
            </w:r>
          </w:p>
        </w:tc>
      </w:tr>
    </w:tbl>
    <w:p w14:paraId="47F1C817" w14:textId="77777777" w:rsidR="00DE1FDF" w:rsidRPr="00830BA3" w:rsidRDefault="00DE1FDF" w:rsidP="00830BA3">
      <w:pPr>
        <w:spacing w:after="0" w:line="360" w:lineRule="auto"/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2195F399" w14:textId="5815AD89" w:rsidR="00F43606" w:rsidRPr="00830BA3" w:rsidRDefault="00F43606" w:rsidP="00830BA3">
      <w:pPr>
        <w:spacing w:after="0" w:line="360" w:lineRule="auto"/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10AEF4E0" w14:textId="77777777" w:rsidR="00473136" w:rsidRPr="00830BA3" w:rsidRDefault="00473136" w:rsidP="00830BA3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color w:val="000000" w:themeColor="text1"/>
          <w:spacing w:val="44"/>
          <w:sz w:val="24"/>
          <w:szCs w:val="24"/>
          <w:lang w:eastAsia="bg-BG"/>
        </w:rPr>
      </w:pPr>
      <w:r w:rsidRPr="00830BA3">
        <w:rPr>
          <w:rFonts w:ascii="Verdana" w:eastAsia="Times New Roman" w:hAnsi="Verdana" w:cs="Times New Roman"/>
          <w:b/>
          <w:color w:val="000000" w:themeColor="text1"/>
          <w:spacing w:val="44"/>
          <w:sz w:val="24"/>
          <w:szCs w:val="24"/>
          <w:lang w:eastAsia="bg-BG"/>
        </w:rPr>
        <w:t>ДОКЛАД</w:t>
      </w:r>
    </w:p>
    <w:p w14:paraId="22F4E302" w14:textId="77777777" w:rsidR="00473136" w:rsidRPr="00830BA3" w:rsidRDefault="00473136" w:rsidP="00830BA3">
      <w:pPr>
        <w:spacing w:after="0" w:line="360" w:lineRule="auto"/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от Александър </w:t>
      </w:r>
      <w:proofErr w:type="spellStart"/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Йоцев</w:t>
      </w:r>
      <w:proofErr w:type="spellEnd"/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– заместник-министър на земеделието и храните</w:t>
      </w:r>
    </w:p>
    <w:p w14:paraId="53F24CD4" w14:textId="77777777" w:rsidR="00830BA3" w:rsidRPr="00830BA3" w:rsidRDefault="00830BA3" w:rsidP="00830BA3">
      <w:pPr>
        <w:spacing w:after="0" w:line="360" w:lineRule="auto"/>
        <w:ind w:left="1134" w:hanging="113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A5F24EE" w14:textId="77777777" w:rsidR="00830BA3" w:rsidRPr="00830BA3" w:rsidRDefault="00830BA3" w:rsidP="00830BA3">
      <w:pPr>
        <w:spacing w:after="0" w:line="360" w:lineRule="auto"/>
        <w:ind w:left="1134" w:hanging="113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B3A0E90" w14:textId="658AD6CB" w:rsidR="00F43606" w:rsidRPr="00830BA3" w:rsidRDefault="00CC637A" w:rsidP="00830BA3">
      <w:pPr>
        <w:spacing w:after="0" w:line="360" w:lineRule="auto"/>
        <w:ind w:left="1134" w:hanging="113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Относно: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114BC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П</w:t>
      </w:r>
      <w:r w:rsidR="007128CD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роект на </w:t>
      </w:r>
      <w:r w:rsidR="00393E30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Наредба за изменение и допълнение на Наредба № 11 от 2023 г. за условията и реда за предоставяне на спешна финансова помощ на земеделски стопани, отглеждащи слънчоглед</w:t>
      </w:r>
    </w:p>
    <w:p w14:paraId="7D4DA80A" w14:textId="05B3541D" w:rsidR="00393E30" w:rsidRPr="00830BA3" w:rsidRDefault="00393E30" w:rsidP="00830BA3">
      <w:pPr>
        <w:spacing w:after="0" w:line="360" w:lineRule="auto"/>
        <w:ind w:left="1191" w:hanging="1191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BAEA032" w14:textId="77777777" w:rsidR="00A64BF2" w:rsidRPr="00830BA3" w:rsidRDefault="00A64BF2" w:rsidP="00830BA3">
      <w:pPr>
        <w:spacing w:after="0" w:line="360" w:lineRule="auto"/>
        <w:ind w:left="1191" w:hanging="1191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734800B" w14:textId="77777777" w:rsidR="007C7532" w:rsidRPr="00830BA3" w:rsidRDefault="00CC637A" w:rsidP="00830BA3">
      <w:pPr>
        <w:spacing w:after="120" w:line="360" w:lineRule="auto"/>
        <w:ind w:firstLine="709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УВАЖАЕМИ ГОСПОДИН </w:t>
      </w:r>
      <w:r w:rsidR="009B56FD"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ВЪТЕВ</w:t>
      </w: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,</w:t>
      </w:r>
    </w:p>
    <w:p w14:paraId="2420FBF1" w14:textId="77777777" w:rsidR="004F6892" w:rsidRPr="00830BA3" w:rsidRDefault="00394C87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 </w:t>
      </w:r>
      <w:r w:rsidRPr="00830BA3">
        <w:rPr>
          <w:rFonts w:ascii="Verdana" w:eastAsia="Verdana" w:hAnsi="Verdana" w:cs="Verdana"/>
          <w:sz w:val="20"/>
          <w:szCs w:val="20"/>
        </w:rPr>
        <w:t xml:space="preserve">основание чл. 7а от Закона за нормативните актове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и </w:t>
      </w:r>
      <w:r w:rsidR="00CC637A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чл. </w:t>
      </w:r>
      <w:r w:rsidR="0095424A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39</w:t>
      </w:r>
      <w:r w:rsidR="00CC637A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от Закона за прилагане на Общата организация на пазарите на земеделски продукти на Европейския съюз, внасям за одобр</w:t>
      </w:r>
      <w:r w:rsidR="007128CD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ение</w:t>
      </w:r>
      <w:r w:rsidR="00CC637A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128CD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проект</w:t>
      </w:r>
      <w:r w:rsidR="00393E30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Наредба за изменение и допълнение на Наредба № 11 от 2023 г. за условията и реда за предоставяне на спешна финансова помощ на земеделски стопани, отглеждащи слънчоглед</w:t>
      </w:r>
      <w:r w:rsidR="00282459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(Наредба № 11 от 2023 г.)</w:t>
      </w:r>
      <w:r w:rsidR="00DC39BC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206E0D24" w14:textId="77777777" w:rsidR="00393E30" w:rsidRPr="00830BA3" w:rsidRDefault="00393E30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8FAE795" w14:textId="77777777" w:rsidR="007C7532" w:rsidRPr="00830BA3" w:rsidRDefault="00CC637A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Причини, които налагат приемането на акта</w:t>
      </w:r>
    </w:p>
    <w:p w14:paraId="0C93203D" w14:textId="77777777" w:rsidR="00B16458" w:rsidRPr="00830BA3" w:rsidRDefault="00B16458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Наредба № 11 от 2023 г. </w:t>
      </w:r>
      <w:r w:rsidR="00282459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у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режда условията и редът за предоставяне на спешна финансова помощ съгласно Регламент за изпълнение (ЕС) 2023/739 на Комисията от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 xml:space="preserve">4 април 2023 г. за предвиждане на спешна мярка за подпомагане на секторите на зърнените и маслодайните култури в България, Полша и Румъния (ОВ, L 96, 5.04.2023 г.) (Регламент (ЕС) 2023/739). Регламент (ЕС) 2023/739 </w:t>
      </w:r>
      <w:r w:rsidR="00073840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предвижда подпом</w:t>
      </w:r>
      <w:r w:rsidR="00282459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агане на</w:t>
      </w:r>
      <w:r w:rsidR="00073840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земеделските стопани за преодоляване на негативните последици от увеличения внос на зърнени и маслодайни култури от Украйна в близките до конфликта държави членки, в резултат на изградените коридори на солидарността между ЕС и Украйна. Определеният за България бюджет е в размер на 16 750 000 евро (32 759 650 лв.), като се допуска предоставяне на национално съфинансиране до 100% от европейските средства</w:t>
      </w:r>
      <w:r w:rsidR="005E35FB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0348873A" w14:textId="77777777" w:rsidR="00073840" w:rsidRPr="00830BA3" w:rsidRDefault="00073840" w:rsidP="00830BA3">
      <w:pPr>
        <w:spacing w:after="0" w:line="360" w:lineRule="auto"/>
        <w:ind w:firstLine="709"/>
        <w:contextualSpacing/>
        <w:jc w:val="both"/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Като допълнение към подпомагането по силата на Регламент за изпълнение (ЕС) 2023/739 ЕК предостави втори пакет от средства за подкрепа на секторите на зърнените и маслодайни култури, като разшири обхвата на държавите членки.</w:t>
      </w:r>
      <w:r w:rsidR="00EF6FF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Приет беше Регламент </w:t>
      </w:r>
      <w:r w:rsidR="00EF6FF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за изпълнение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(ЕС) 2023/1343 на Комисията, който предвижда спешна финансова мярка за подпомагане на секторите на зърнените и маслодайните култури в България, Унгария, Полша, Румъния и Словакия</w:t>
      </w:r>
      <w:r w:rsidR="00EF6FF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</w:t>
      </w:r>
      <w:r w:rsidR="00035743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Регламент </w:t>
      </w:r>
      <w:r w:rsidR="00EF6FF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(ЕС) </w:t>
      </w:r>
      <w:r w:rsidR="00EF6FF1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>2023/1343)</w:t>
      </w:r>
      <w:r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>. За България е предвидено финансиране от 9 770 000 евро (19 108 166 лв.).</w:t>
      </w:r>
    </w:p>
    <w:p w14:paraId="10785EFD" w14:textId="306A5D9F" w:rsidR="00E648B5" w:rsidRPr="00830BA3" w:rsidRDefault="00E648B5" w:rsidP="00830BA3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830BA3">
        <w:rPr>
          <w:rFonts w:ascii="Verdana" w:eastAsia="Verdana" w:hAnsi="Verdana" w:cs="Verdana"/>
          <w:sz w:val="20"/>
          <w:szCs w:val="20"/>
        </w:rPr>
        <w:t xml:space="preserve">След извършен анализ на ситуацията в двата сектора на зърнените и маслодайните култури бе установен съществен дисбаланс на пазара на слънчоглед в страната </w:t>
      </w:r>
      <w:r w:rsidR="00830BA3" w:rsidRPr="00830BA3">
        <w:rPr>
          <w:rFonts w:ascii="Verdana" w:eastAsia="Verdana" w:hAnsi="Verdana" w:cs="Verdana"/>
          <w:sz w:val="20"/>
          <w:szCs w:val="20"/>
        </w:rPr>
        <w:t>–</w:t>
      </w:r>
      <w:r w:rsidRPr="00830BA3">
        <w:rPr>
          <w:rFonts w:ascii="Verdana" w:eastAsia="Verdana" w:hAnsi="Verdana" w:cs="Verdana"/>
          <w:sz w:val="20"/>
          <w:szCs w:val="20"/>
        </w:rPr>
        <w:t xml:space="preserve"> рязко увеличен внос на украински слънчоглед в България през 2022 г., който повлия пряко върху българския пазар и оказа натиск върху цените.</w:t>
      </w:r>
    </w:p>
    <w:p w14:paraId="74E0DC1D" w14:textId="140CB6C8" w:rsidR="00884187" w:rsidRPr="00830BA3" w:rsidRDefault="003756A3" w:rsidP="00830BA3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830BA3">
        <w:rPr>
          <w:rFonts w:ascii="Verdana" w:hAnsi="Verdana"/>
          <w:sz w:val="20"/>
          <w:szCs w:val="20"/>
        </w:rPr>
        <w:t>Н</w:t>
      </w:r>
      <w:r w:rsidR="00884187" w:rsidRPr="00830BA3">
        <w:rPr>
          <w:rFonts w:ascii="Verdana" w:hAnsi="Verdana"/>
          <w:sz w:val="20"/>
          <w:szCs w:val="20"/>
        </w:rPr>
        <w:t>а базата на направения анализ и след консултация на заинтересованите страни</w:t>
      </w:r>
      <w:r w:rsidR="00F65F1B" w:rsidRPr="00830BA3">
        <w:rPr>
          <w:rFonts w:ascii="Verdana" w:hAnsi="Verdana"/>
          <w:sz w:val="20"/>
          <w:szCs w:val="20"/>
        </w:rPr>
        <w:t>,</w:t>
      </w:r>
      <w:r w:rsidR="00F65F1B" w:rsidRPr="00830BA3">
        <w:rPr>
          <w:rFonts w:ascii="Verdana" w:hAnsi="Verdana"/>
        </w:rPr>
        <w:t xml:space="preserve"> </w:t>
      </w:r>
      <w:r w:rsidR="00F65F1B" w:rsidRPr="00830BA3">
        <w:rPr>
          <w:rFonts w:ascii="Verdana" w:hAnsi="Verdana"/>
          <w:sz w:val="20"/>
          <w:szCs w:val="20"/>
        </w:rPr>
        <w:t>съгласно разпоредбите на Наредба № 11 от 2023 г.,</w:t>
      </w:r>
      <w:r w:rsidR="00884187" w:rsidRPr="00830BA3">
        <w:rPr>
          <w:rFonts w:ascii="Verdana" w:hAnsi="Verdana"/>
          <w:sz w:val="20"/>
          <w:szCs w:val="20"/>
        </w:rPr>
        <w:t xml:space="preserve"> спешната финансова помощ </w:t>
      </w:r>
      <w:r w:rsidR="00F65F1B" w:rsidRPr="00830BA3">
        <w:rPr>
          <w:rFonts w:ascii="Verdana" w:hAnsi="Verdana"/>
          <w:sz w:val="20"/>
          <w:szCs w:val="20"/>
        </w:rPr>
        <w:t>по</w:t>
      </w:r>
      <w:r w:rsidR="00884187" w:rsidRPr="00830BA3">
        <w:rPr>
          <w:rFonts w:ascii="Verdana" w:hAnsi="Verdana"/>
          <w:sz w:val="20"/>
          <w:szCs w:val="20"/>
        </w:rPr>
        <w:t xml:space="preserve"> Регламе</w:t>
      </w:r>
      <w:r w:rsidRPr="00830BA3">
        <w:rPr>
          <w:rFonts w:ascii="Verdana" w:hAnsi="Verdana"/>
          <w:sz w:val="20"/>
          <w:szCs w:val="20"/>
        </w:rPr>
        <w:t xml:space="preserve">нт за изпълнение (ЕС) 2023/739 ще </w:t>
      </w:r>
      <w:r w:rsidR="00884187" w:rsidRPr="00830BA3">
        <w:rPr>
          <w:rFonts w:ascii="Verdana" w:hAnsi="Verdana"/>
          <w:sz w:val="20"/>
          <w:szCs w:val="20"/>
        </w:rPr>
        <w:t xml:space="preserve">бъде предоставена на всички земеделски </w:t>
      </w:r>
      <w:r w:rsidR="000B5D8D" w:rsidRPr="00830BA3">
        <w:rPr>
          <w:rFonts w:ascii="Verdana" w:hAnsi="Verdana"/>
          <w:sz w:val="20"/>
          <w:szCs w:val="20"/>
        </w:rPr>
        <w:t>стопани, отглеждащи</w:t>
      </w:r>
      <w:r w:rsidR="00884187" w:rsidRPr="00830BA3">
        <w:rPr>
          <w:rFonts w:ascii="Verdana" w:hAnsi="Verdana"/>
          <w:sz w:val="20"/>
          <w:szCs w:val="20"/>
        </w:rPr>
        <w:t xml:space="preserve"> слънчоглед, които са установени като допустими по СЕПП за кампания 2022 г.</w:t>
      </w:r>
      <w:r w:rsidRPr="00830BA3">
        <w:rPr>
          <w:rFonts w:ascii="Verdana" w:hAnsi="Verdana"/>
          <w:sz w:val="20"/>
          <w:szCs w:val="20"/>
        </w:rPr>
        <w:t xml:space="preserve"> </w:t>
      </w:r>
      <w:r w:rsidR="00456002" w:rsidRPr="00830BA3">
        <w:rPr>
          <w:rFonts w:ascii="Verdana" w:eastAsia="Verdana" w:hAnsi="Verdana" w:cs="Verdana"/>
          <w:sz w:val="20"/>
          <w:szCs w:val="20"/>
        </w:rPr>
        <w:t>За останалите култури, обект на анализа</w:t>
      </w:r>
      <w:r w:rsidR="00AC2CFA" w:rsidRPr="00830BA3">
        <w:rPr>
          <w:rFonts w:ascii="Verdana" w:eastAsia="Verdana" w:hAnsi="Verdana" w:cs="Verdana"/>
          <w:sz w:val="20"/>
          <w:szCs w:val="20"/>
        </w:rPr>
        <w:t>,</w:t>
      </w:r>
      <w:r w:rsidR="00456002" w:rsidRPr="00830BA3">
        <w:rPr>
          <w:rFonts w:ascii="Verdana" w:eastAsia="Verdana" w:hAnsi="Verdana" w:cs="Verdana"/>
          <w:sz w:val="20"/>
          <w:szCs w:val="20"/>
        </w:rPr>
        <w:t xml:space="preserve"> е установено ограничено или несъществено директно отражение от вноса от Украйна.</w:t>
      </w:r>
    </w:p>
    <w:p w14:paraId="71692AF6" w14:textId="77777777" w:rsidR="00035743" w:rsidRPr="00830BA3" w:rsidRDefault="003756A3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Verdana" w:eastAsia="Verdana" w:hAnsi="Verdana" w:cs="Verdana"/>
          <w:sz w:val="20"/>
          <w:szCs w:val="20"/>
        </w:rPr>
      </w:pPr>
      <w:r w:rsidRPr="00830BA3">
        <w:rPr>
          <w:rFonts w:ascii="Verdana" w:eastAsia="Verdana" w:hAnsi="Verdana" w:cs="Verdana"/>
          <w:sz w:val="20"/>
          <w:szCs w:val="20"/>
        </w:rPr>
        <w:t xml:space="preserve">Предвид многото затруднения, пред които са изправени производителите на слънчоглед в България, </w:t>
      </w:r>
      <w:r w:rsidR="00F65F1B" w:rsidRPr="00830BA3">
        <w:rPr>
          <w:rFonts w:ascii="Verdana" w:eastAsia="Verdana" w:hAnsi="Verdana" w:cs="Verdana"/>
          <w:sz w:val="20"/>
          <w:szCs w:val="20"/>
        </w:rPr>
        <w:t>т</w:t>
      </w:r>
      <w:r w:rsidR="00035743" w:rsidRPr="00830BA3">
        <w:rPr>
          <w:rFonts w:ascii="Verdana" w:eastAsia="Verdana" w:hAnsi="Verdana" w:cs="Verdana"/>
          <w:sz w:val="20"/>
          <w:szCs w:val="20"/>
        </w:rPr>
        <w:t>ози подход ще бъде приложен и при разпределението на спешната финансова помощ съгласно</w:t>
      </w:r>
      <w:r w:rsidR="00035743" w:rsidRPr="00830BA3">
        <w:rPr>
          <w:rFonts w:ascii="Verdana" w:eastAsiaTheme="minorHAnsi" w:hAnsi="Verdana" w:cs="Times New Roman"/>
          <w:sz w:val="24"/>
          <w:szCs w:val="24"/>
        </w:rPr>
        <w:t xml:space="preserve"> </w:t>
      </w:r>
      <w:r w:rsidRPr="00830BA3">
        <w:rPr>
          <w:rFonts w:ascii="Verdana" w:eastAsia="Verdana" w:hAnsi="Verdana" w:cs="Verdana"/>
          <w:sz w:val="20"/>
          <w:szCs w:val="20"/>
        </w:rPr>
        <w:t>Регламент (ЕС) 2023/1343.</w:t>
      </w:r>
    </w:p>
    <w:p w14:paraId="6AA204E5" w14:textId="77777777" w:rsidR="0090580C" w:rsidRPr="00830BA3" w:rsidRDefault="0090580C" w:rsidP="00830BA3">
      <w:pPr>
        <w:widowControl w:val="0"/>
        <w:spacing w:after="0" w:line="360" w:lineRule="auto"/>
        <w:ind w:firstLine="720"/>
        <w:jc w:val="both"/>
        <w:rPr>
          <w:rFonts w:ascii="Verdana" w:hAnsi="Verdana" w:cs="Times New Roman"/>
          <w:bCs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Допустимите кандидати са </w:t>
      </w:r>
      <w:r w:rsidRPr="00830BA3">
        <w:rPr>
          <w:rFonts w:ascii="Verdana" w:hAnsi="Verdana" w:cs="Times New Roman"/>
          <w:bCs/>
          <w:sz w:val="20"/>
          <w:szCs w:val="20"/>
        </w:rPr>
        <w:t>земеделски стопани, които са физически лица, еднолични търговци и юридически лица, регистрирани за 2022 г. и 2023 г. по реда на Наредба № 3 от 1999 г. за създаване и поддържане на регистър на земеделските стопани (</w:t>
      </w:r>
      <w:proofErr w:type="spellStart"/>
      <w:r w:rsidRPr="00830BA3">
        <w:rPr>
          <w:rFonts w:ascii="Verdana" w:hAnsi="Verdana" w:cs="Times New Roman"/>
          <w:bCs/>
          <w:sz w:val="20"/>
          <w:szCs w:val="20"/>
        </w:rPr>
        <w:t>обн</w:t>
      </w:r>
      <w:proofErr w:type="spellEnd"/>
      <w:r w:rsidRPr="00830BA3">
        <w:rPr>
          <w:rFonts w:ascii="Verdana" w:hAnsi="Verdana" w:cs="Times New Roman"/>
          <w:bCs/>
          <w:sz w:val="20"/>
          <w:szCs w:val="20"/>
        </w:rPr>
        <w:t>., ДВ, бр. 10 от 1999 г.) (Наредба № 3 от 1999 г.) за площите им със слънчоглед, изразени в хектари, които са били допустими за подпомагане за кампания 2022 г. по схемата на единно плащане на</w:t>
      </w:r>
      <w:r w:rsidR="005E35FB" w:rsidRPr="00830BA3">
        <w:rPr>
          <w:rFonts w:ascii="Verdana" w:hAnsi="Verdana" w:cs="Times New Roman"/>
          <w:bCs/>
          <w:sz w:val="20"/>
          <w:szCs w:val="20"/>
        </w:rPr>
        <w:t xml:space="preserve"> площ.</w:t>
      </w:r>
    </w:p>
    <w:p w14:paraId="64A2A3D3" w14:textId="77777777" w:rsidR="00AF09EF" w:rsidRPr="00830BA3" w:rsidRDefault="00035743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Verdana" w:eastAsiaTheme="minorHAnsi" w:hAnsi="Verdana" w:cs="Times New Roman"/>
          <w:sz w:val="24"/>
          <w:szCs w:val="24"/>
        </w:rPr>
      </w:pPr>
      <w:r w:rsidRPr="00830BA3">
        <w:rPr>
          <w:rFonts w:ascii="Verdana" w:eastAsia="Verdana" w:hAnsi="Verdana" w:cs="Verdana"/>
          <w:sz w:val="20"/>
          <w:szCs w:val="20"/>
        </w:rPr>
        <w:t xml:space="preserve">Това налага </w:t>
      </w:r>
      <w:r w:rsidR="00F65F1B" w:rsidRPr="00830BA3">
        <w:rPr>
          <w:rFonts w:ascii="Verdana" w:eastAsia="Verdana" w:hAnsi="Verdana" w:cs="Verdana"/>
          <w:sz w:val="20"/>
          <w:szCs w:val="20"/>
        </w:rPr>
        <w:t xml:space="preserve">да бъде </w:t>
      </w:r>
      <w:r w:rsidR="00F65F1B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изменена и допълнена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Наредба № 11 от 2023 г., </w:t>
      </w:r>
      <w:r w:rsidR="00F65F1B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като се осигури правна рамка за предоставянето на спешната финансова помощ съгласно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Регламент</w:t>
      </w:r>
      <w:r w:rsidR="00F65F1B" w:rsidRPr="00830BA3">
        <w:rPr>
          <w:rFonts w:ascii="Verdana" w:hAnsi="Verdana"/>
        </w:rPr>
        <w:t xml:space="preserve"> </w:t>
      </w:r>
      <w:r w:rsidR="00F65F1B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за изпълнение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(ЕС) 2023/1343.</w:t>
      </w:r>
    </w:p>
    <w:p w14:paraId="7C6084CE" w14:textId="249C1488" w:rsidR="00A64BF2" w:rsidRDefault="00A64BF2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2CC7954" w14:textId="77777777" w:rsidR="00512C24" w:rsidRPr="00830BA3" w:rsidRDefault="00512C24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044A3BC" w14:textId="77777777" w:rsidR="007E19F5" w:rsidRPr="00830BA3" w:rsidRDefault="00CC637A" w:rsidP="00830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sz w:val="20"/>
          <w:szCs w:val="20"/>
        </w:rPr>
      </w:pPr>
      <w:r w:rsidRPr="00830BA3">
        <w:rPr>
          <w:rFonts w:ascii="Verdana" w:eastAsia="Verdana" w:hAnsi="Verdana" w:cs="Verdana"/>
          <w:b/>
          <w:sz w:val="20"/>
          <w:szCs w:val="20"/>
        </w:rPr>
        <w:lastRenderedPageBreak/>
        <w:t>Цели</w:t>
      </w:r>
    </w:p>
    <w:p w14:paraId="044A33D9" w14:textId="70DA0F0D" w:rsidR="00035743" w:rsidRPr="00830BA3" w:rsidRDefault="00A269D8" w:rsidP="00830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Предложеното </w:t>
      </w:r>
      <w:r w:rsidR="00035743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изменение и допълнение на Наредба № 11 от 2023 г.</w:t>
      </w:r>
      <w:r w:rsidR="00DC39BC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цели да </w:t>
      </w:r>
      <w:r w:rsidR="008C5E5B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уреди възможността за предоставяне на спешна финансова помощ съгласно Регламент за изпълнение (ЕС) </w:t>
      </w:r>
      <w:r w:rsidR="00DC39BC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2023/1343</w:t>
      </w:r>
      <w:r w:rsidR="008C5E5B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в Република България</w:t>
      </w:r>
      <w:r w:rsidR="008C5E5B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654319E9" w14:textId="77777777" w:rsidR="00510C1F" w:rsidRPr="00830BA3" w:rsidRDefault="00510C1F" w:rsidP="00830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A45EC24" w14:textId="77777777" w:rsidR="007C7532" w:rsidRPr="00830BA3" w:rsidRDefault="00CC637A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Финансови и други средства, необходими за прилагането на новата уредба</w:t>
      </w:r>
    </w:p>
    <w:p w14:paraId="4780FB84" w14:textId="77777777" w:rsidR="00486F88" w:rsidRPr="00830BA3" w:rsidRDefault="005F0A48" w:rsidP="00830BA3">
      <w:pPr>
        <w:spacing w:after="0" w:line="360" w:lineRule="auto"/>
        <w:ind w:firstLine="630"/>
        <w:jc w:val="both"/>
        <w:rPr>
          <w:rFonts w:ascii="Verdana" w:hAnsi="Verdana"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>Финансовият ресурс</w:t>
      </w:r>
      <w:r w:rsidR="00A36DFE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 xml:space="preserve"> от Европейския фонд за гарантиране в земеделието (ЕФГЗ)</w:t>
      </w:r>
      <w:r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 xml:space="preserve">, </w:t>
      </w:r>
      <w:r w:rsidR="00486F88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>предоставен за България съгласно Регламент (ЕС) 2023/1343</w:t>
      </w:r>
      <w:r w:rsidR="00A36DFE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>,</w:t>
      </w:r>
      <w:r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 xml:space="preserve"> е</w:t>
      </w:r>
      <w:r w:rsidR="00A36DFE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 xml:space="preserve"> </w:t>
      </w:r>
      <w:r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 xml:space="preserve">в размер на </w:t>
      </w:r>
      <w:r w:rsidR="00486F88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>9 770 000 евро (19 108 166 лв.)</w:t>
      </w:r>
      <w:r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>.</w:t>
      </w:r>
      <w:r w:rsidR="007024F0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 xml:space="preserve"> </w:t>
      </w:r>
      <w:r w:rsidR="00696C7B" w:rsidRPr="00830BA3"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  <w:t xml:space="preserve"> </w:t>
      </w:r>
      <w:r w:rsidR="00486F88" w:rsidRPr="00830BA3">
        <w:rPr>
          <w:rFonts w:ascii="Verdana" w:hAnsi="Verdana"/>
          <w:sz w:val="20"/>
          <w:szCs w:val="20"/>
        </w:rPr>
        <w:t xml:space="preserve">Не </w:t>
      </w:r>
      <w:r w:rsidR="00696C7B" w:rsidRPr="00830BA3">
        <w:rPr>
          <w:rFonts w:ascii="Verdana" w:hAnsi="Verdana"/>
          <w:sz w:val="20"/>
          <w:szCs w:val="20"/>
        </w:rPr>
        <w:t>с</w:t>
      </w:r>
      <w:r w:rsidR="00486F88" w:rsidRPr="00830BA3">
        <w:rPr>
          <w:rFonts w:ascii="Verdana" w:hAnsi="Verdana"/>
          <w:sz w:val="20"/>
          <w:szCs w:val="20"/>
        </w:rPr>
        <w:t>е предви</w:t>
      </w:r>
      <w:r w:rsidR="00696C7B" w:rsidRPr="00830BA3">
        <w:rPr>
          <w:rFonts w:ascii="Verdana" w:hAnsi="Verdana"/>
          <w:sz w:val="20"/>
          <w:szCs w:val="20"/>
        </w:rPr>
        <w:t>жда</w:t>
      </w:r>
      <w:r w:rsidR="00486F88" w:rsidRPr="00830BA3">
        <w:rPr>
          <w:rFonts w:ascii="Verdana" w:hAnsi="Verdana"/>
          <w:sz w:val="20"/>
          <w:szCs w:val="20"/>
        </w:rPr>
        <w:t xml:space="preserve"> предоставяне на допълн</w:t>
      </w:r>
      <w:r w:rsidR="00696C7B" w:rsidRPr="00830BA3">
        <w:rPr>
          <w:rFonts w:ascii="Verdana" w:hAnsi="Verdana"/>
          <w:sz w:val="20"/>
          <w:szCs w:val="20"/>
        </w:rPr>
        <w:t>ително национално финансиране.</w:t>
      </w:r>
    </w:p>
    <w:p w14:paraId="3A3DDA02" w14:textId="77777777" w:rsidR="00973666" w:rsidRPr="00830BA3" w:rsidRDefault="00973666" w:rsidP="00830BA3">
      <w:pPr>
        <w:spacing w:after="0" w:line="360" w:lineRule="auto"/>
        <w:ind w:firstLine="630"/>
        <w:jc w:val="both"/>
        <w:rPr>
          <w:rFonts w:ascii="Verdana" w:eastAsia="Verdana" w:hAnsi="Verdana" w:cs="Verdana"/>
          <w:color w:val="000000" w:themeColor="text1"/>
          <w:spacing w:val="-2"/>
          <w:sz w:val="20"/>
          <w:szCs w:val="20"/>
        </w:rPr>
      </w:pPr>
    </w:p>
    <w:p w14:paraId="71E15D82" w14:textId="77777777" w:rsidR="007C7532" w:rsidRPr="00830BA3" w:rsidRDefault="00CC637A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pacing w:val="2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pacing w:val="2"/>
          <w:sz w:val="20"/>
          <w:szCs w:val="20"/>
        </w:rPr>
        <w:t>Очаквани резултати от прилагането на акта</w:t>
      </w:r>
    </w:p>
    <w:p w14:paraId="6DCD3BCF" w14:textId="77777777" w:rsidR="00F82F41" w:rsidRPr="00830BA3" w:rsidRDefault="003146D6" w:rsidP="00830B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С </w:t>
      </w:r>
      <w:r w:rsidR="00510C1F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изменението и допълнението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 </w:t>
      </w:r>
      <w:r w:rsidR="00510C1F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Наредба 11 от 2023 г.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ще се о</w:t>
      </w:r>
      <w:r w:rsidR="00510C1F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сигури национална правна рамка за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предоставяне</w:t>
      </w:r>
      <w:r w:rsidR="00510C1F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то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</w:t>
      </w:r>
      <w:r w:rsidR="00510C1F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втори транш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спешна финансова помощ на земеделските </w:t>
      </w:r>
      <w:r w:rsidR="00473E6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стопани, отглеждащи</w:t>
      </w:r>
      <w:r w:rsidR="00F82F4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слънчоглед, които да бъдат компенсирани за последиците от увеличения внос от Украйна.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По този начин ще бъде </w:t>
      </w:r>
      <w:r w:rsidR="00F82F4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подпомогната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тяхната икономическа стабилност</w:t>
      </w:r>
      <w:r w:rsidR="00F82F4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757C7081" w14:textId="77777777" w:rsidR="00AF09EF" w:rsidRPr="00830BA3" w:rsidRDefault="00AF09EF" w:rsidP="00830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1F4EBE4" w14:textId="77777777" w:rsidR="00AF09EF" w:rsidRPr="00830BA3" w:rsidRDefault="00CC637A" w:rsidP="00830BA3">
      <w:pPr>
        <w:widowControl w:val="0"/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Анализ за съответствие с правото на Европейския съюз</w:t>
      </w:r>
    </w:p>
    <w:p w14:paraId="6C0A5A60" w14:textId="77777777" w:rsidR="007C7532" w:rsidRPr="00830BA3" w:rsidRDefault="00C50E67" w:rsidP="00830BA3">
      <w:pPr>
        <w:widowControl w:val="0"/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  <w:shd w:val="clear" w:color="auto" w:fill="FEFEFE"/>
        </w:rPr>
      </w:pPr>
      <w:r w:rsidRPr="00830BA3">
        <w:rPr>
          <w:rFonts w:ascii="Verdana" w:eastAsia="Verdana" w:hAnsi="Verdana" w:cs="Verdana"/>
          <w:sz w:val="20"/>
          <w:szCs w:val="20"/>
        </w:rPr>
        <w:t>Н</w:t>
      </w:r>
      <w:r w:rsidR="00CC637A" w:rsidRPr="00830BA3">
        <w:rPr>
          <w:rFonts w:ascii="Verdana" w:eastAsia="Verdana" w:hAnsi="Verdana" w:cs="Verdana"/>
          <w:sz w:val="20"/>
          <w:szCs w:val="20"/>
        </w:rPr>
        <w:t>аредба</w:t>
      </w:r>
      <w:r w:rsidRPr="00830BA3">
        <w:rPr>
          <w:rFonts w:ascii="Verdana" w:eastAsia="Verdana" w:hAnsi="Verdana" w:cs="Verdana"/>
          <w:sz w:val="20"/>
          <w:szCs w:val="20"/>
        </w:rPr>
        <w:t>та</w:t>
      </w:r>
      <w:r w:rsidR="00CC637A" w:rsidRPr="00830BA3">
        <w:rPr>
          <w:rFonts w:ascii="Verdana" w:eastAsia="Verdana" w:hAnsi="Verdana" w:cs="Verdana"/>
          <w:sz w:val="20"/>
          <w:szCs w:val="20"/>
        </w:rPr>
        <w:t xml:space="preserve"> </w:t>
      </w:r>
      <w:r w:rsidR="00CC637A" w:rsidRPr="00830BA3">
        <w:rPr>
          <w:rFonts w:ascii="Verdana" w:eastAsia="Verdana" w:hAnsi="Verdana" w:cs="Verdana"/>
          <w:sz w:val="20"/>
          <w:szCs w:val="20"/>
          <w:shd w:val="clear" w:color="auto" w:fill="FEFEFE"/>
        </w:rPr>
        <w:t>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6439F8D4" w14:textId="77777777" w:rsidR="00EF0E24" w:rsidRPr="00830BA3" w:rsidRDefault="00EF0E24" w:rsidP="00830BA3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</w:p>
    <w:p w14:paraId="1F0BC2D8" w14:textId="77777777" w:rsidR="007C7532" w:rsidRPr="00830BA3" w:rsidRDefault="00CC637A" w:rsidP="00830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color w:val="000000" w:themeColor="text1"/>
          <w:sz w:val="20"/>
          <w:szCs w:val="20"/>
        </w:rPr>
        <w:t>Информация за проведените обществени консултации</w:t>
      </w:r>
    </w:p>
    <w:p w14:paraId="213EAC8A" w14:textId="77777777" w:rsidR="003D2738" w:rsidRPr="00830BA3" w:rsidRDefault="00CC637A" w:rsidP="00830BA3">
      <w:pPr>
        <w:widowControl w:val="0"/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830BA3">
        <w:rPr>
          <w:rFonts w:ascii="Verdana" w:eastAsia="Verdana" w:hAnsi="Verdana" w:cs="Verdana"/>
          <w:sz w:val="20"/>
          <w:szCs w:val="20"/>
        </w:rPr>
        <w:t xml:space="preserve">На основание чл. 26, ал. 3 и 4 от Закона за нормативните актове </w:t>
      </w:r>
      <w:r w:rsidR="00C50E67" w:rsidRPr="00830BA3">
        <w:rPr>
          <w:rFonts w:ascii="Verdana" w:eastAsia="Verdana" w:hAnsi="Verdana" w:cs="Verdana"/>
          <w:sz w:val="20"/>
          <w:szCs w:val="20"/>
        </w:rPr>
        <w:t>проект</w:t>
      </w:r>
      <w:r w:rsidR="002E4AAB" w:rsidRPr="00830BA3">
        <w:rPr>
          <w:rFonts w:ascii="Verdana" w:eastAsia="Verdana" w:hAnsi="Verdana" w:cs="Verdana"/>
          <w:sz w:val="20"/>
          <w:szCs w:val="20"/>
        </w:rPr>
        <w:t xml:space="preserve">ът </w:t>
      </w:r>
      <w:r w:rsidRPr="00830BA3">
        <w:rPr>
          <w:rFonts w:ascii="Verdana" w:eastAsia="Verdana" w:hAnsi="Verdana" w:cs="Verdana"/>
          <w:sz w:val="20"/>
          <w:szCs w:val="20"/>
        </w:rPr>
        <w:t>на</w:t>
      </w:r>
      <w:r w:rsidR="00C50E67" w:rsidRPr="00830BA3">
        <w:rPr>
          <w:rFonts w:ascii="Verdana" w:eastAsia="Verdana" w:hAnsi="Verdana" w:cs="Verdana"/>
          <w:sz w:val="20"/>
          <w:szCs w:val="20"/>
        </w:rPr>
        <w:t xml:space="preserve"> </w:t>
      </w:r>
      <w:r w:rsidRPr="00830BA3">
        <w:rPr>
          <w:rFonts w:ascii="Verdana" w:eastAsia="Verdana" w:hAnsi="Verdana" w:cs="Verdana"/>
          <w:sz w:val="20"/>
          <w:szCs w:val="20"/>
        </w:rPr>
        <w:t>наредба</w:t>
      </w:r>
      <w:r w:rsidR="00C50E67" w:rsidRPr="00830BA3">
        <w:rPr>
          <w:rFonts w:ascii="Verdana" w:eastAsia="Verdana" w:hAnsi="Verdana" w:cs="Verdana"/>
          <w:sz w:val="20"/>
          <w:szCs w:val="20"/>
        </w:rPr>
        <w:t xml:space="preserve"> и доклад (мотиви)</w:t>
      </w:r>
      <w:r w:rsidRPr="00830BA3">
        <w:rPr>
          <w:rFonts w:ascii="Verdana" w:eastAsia="Verdana" w:hAnsi="Verdana" w:cs="Verdana"/>
          <w:sz w:val="20"/>
          <w:szCs w:val="20"/>
        </w:rPr>
        <w:t xml:space="preserve"> са публикувани за обществена консултация на интернет страницата на Министерството на земеделието</w:t>
      </w:r>
      <w:r w:rsidR="004F6892" w:rsidRPr="00830BA3">
        <w:rPr>
          <w:rFonts w:ascii="Verdana" w:eastAsia="Verdana" w:hAnsi="Verdana" w:cs="Verdana"/>
          <w:sz w:val="20"/>
          <w:szCs w:val="20"/>
        </w:rPr>
        <w:t xml:space="preserve"> и храните</w:t>
      </w:r>
      <w:r w:rsidRPr="00830BA3">
        <w:rPr>
          <w:rFonts w:ascii="Verdana" w:eastAsia="Verdana" w:hAnsi="Verdana" w:cs="Verdana"/>
          <w:sz w:val="20"/>
          <w:szCs w:val="20"/>
        </w:rPr>
        <w:t xml:space="preserve"> и на Портала за обществени консултации със срок за предложения и становища </w:t>
      </w:r>
      <w:r w:rsidR="003D2738" w:rsidRPr="00830BA3">
        <w:rPr>
          <w:rFonts w:ascii="Verdana" w:eastAsia="Verdana" w:hAnsi="Verdana" w:cs="Verdana"/>
          <w:sz w:val="20"/>
          <w:szCs w:val="20"/>
        </w:rPr>
        <w:t>30</w:t>
      </w:r>
      <w:r w:rsidRPr="00830BA3">
        <w:rPr>
          <w:rFonts w:ascii="Verdana" w:eastAsia="Verdana" w:hAnsi="Verdana" w:cs="Verdana"/>
          <w:sz w:val="20"/>
          <w:szCs w:val="20"/>
        </w:rPr>
        <w:t xml:space="preserve"> дни.</w:t>
      </w:r>
    </w:p>
    <w:p w14:paraId="7C6DFC53" w14:textId="77777777" w:rsidR="007C7532" w:rsidRPr="00830BA3" w:rsidRDefault="00CC637A" w:rsidP="00830BA3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830BA3">
        <w:rPr>
          <w:rFonts w:ascii="Verdana" w:eastAsia="Verdana" w:hAnsi="Verdana" w:cs="Verdana"/>
          <w:sz w:val="20"/>
          <w:szCs w:val="20"/>
        </w:rPr>
        <w:t xml:space="preserve">В изпълнение на чл. 26, ал. 5 от Закона за нормативните актове справката за </w:t>
      </w:r>
      <w:r w:rsidR="00765B79" w:rsidRPr="00830BA3">
        <w:rPr>
          <w:rFonts w:ascii="Verdana" w:eastAsia="Verdana" w:hAnsi="Verdana" w:cs="Verdana"/>
          <w:sz w:val="20"/>
          <w:szCs w:val="20"/>
        </w:rPr>
        <w:t xml:space="preserve">отразяване на </w:t>
      </w:r>
      <w:r w:rsidRPr="00830BA3">
        <w:rPr>
          <w:rFonts w:ascii="Verdana" w:eastAsia="Verdana" w:hAnsi="Verdana" w:cs="Verdana"/>
          <w:sz w:val="20"/>
          <w:szCs w:val="20"/>
        </w:rPr>
        <w:t>постъпилите предложения</w:t>
      </w:r>
      <w:r w:rsidR="00765B79" w:rsidRPr="00830BA3">
        <w:rPr>
          <w:rFonts w:ascii="Verdana" w:eastAsia="Verdana" w:hAnsi="Verdana" w:cs="Verdana"/>
          <w:sz w:val="20"/>
          <w:szCs w:val="20"/>
        </w:rPr>
        <w:t xml:space="preserve"> и становища</w:t>
      </w:r>
      <w:r w:rsidRPr="00830BA3">
        <w:rPr>
          <w:rFonts w:ascii="Verdana" w:eastAsia="Verdana" w:hAnsi="Verdana" w:cs="Verdana"/>
          <w:sz w:val="20"/>
          <w:szCs w:val="20"/>
        </w:rPr>
        <w:t xml:space="preserve"> от проведената обществена консултация</w:t>
      </w:r>
      <w:r w:rsidR="00765B79" w:rsidRPr="00830BA3">
        <w:rPr>
          <w:rFonts w:ascii="Verdana" w:eastAsia="Verdana" w:hAnsi="Verdana" w:cs="Verdana"/>
          <w:sz w:val="20"/>
          <w:szCs w:val="20"/>
        </w:rPr>
        <w:t>,</w:t>
      </w:r>
      <w:r w:rsidRPr="00830BA3">
        <w:rPr>
          <w:rFonts w:ascii="Verdana" w:eastAsia="Verdana" w:hAnsi="Verdana" w:cs="Verdana"/>
          <w:sz w:val="20"/>
          <w:szCs w:val="20"/>
        </w:rPr>
        <w:t xml:space="preserve"> заедно с обосновка за неприетите предложения е публикувана на интернет страницата на Министерството на земеделието </w:t>
      </w:r>
      <w:r w:rsidR="004F6892" w:rsidRPr="00830BA3">
        <w:rPr>
          <w:rFonts w:ascii="Verdana" w:eastAsia="Verdana" w:hAnsi="Verdana" w:cs="Verdana"/>
          <w:sz w:val="20"/>
          <w:szCs w:val="20"/>
        </w:rPr>
        <w:t xml:space="preserve">и храните </w:t>
      </w:r>
      <w:r w:rsidRPr="00830BA3">
        <w:rPr>
          <w:rFonts w:ascii="Verdana" w:eastAsia="Verdana" w:hAnsi="Verdana" w:cs="Verdana"/>
          <w:sz w:val="20"/>
          <w:szCs w:val="20"/>
        </w:rPr>
        <w:t>и на Портала за обществени консултации.</w:t>
      </w:r>
    </w:p>
    <w:p w14:paraId="22760652" w14:textId="77777777" w:rsidR="00310B9F" w:rsidRPr="00830BA3" w:rsidRDefault="00CC637A" w:rsidP="00830BA3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830BA3">
        <w:rPr>
          <w:rFonts w:ascii="Verdana" w:eastAsia="Verdana" w:hAnsi="Verdana" w:cs="Verdana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</w:t>
      </w:r>
      <w:r w:rsidR="00473E61" w:rsidRPr="00830BA3">
        <w:rPr>
          <w:rFonts w:ascii="Verdana" w:eastAsia="Verdana" w:hAnsi="Verdana" w:cs="Verdana"/>
          <w:sz w:val="20"/>
          <w:szCs w:val="20"/>
        </w:rPr>
        <w:t xml:space="preserve">, </w:t>
      </w:r>
      <w:r w:rsidR="005C42A4" w:rsidRPr="00830BA3">
        <w:rPr>
          <w:rFonts w:ascii="Verdana" w:eastAsia="Verdana" w:hAnsi="Verdana" w:cs="Verdana"/>
          <w:sz w:val="20"/>
          <w:szCs w:val="20"/>
        </w:rPr>
        <w:t>храните</w:t>
      </w:r>
      <w:r w:rsidR="00473E61" w:rsidRPr="00830BA3">
        <w:rPr>
          <w:rFonts w:ascii="Verdana" w:eastAsia="Verdana" w:hAnsi="Verdana" w:cs="Verdana"/>
          <w:sz w:val="20"/>
          <w:szCs w:val="20"/>
        </w:rPr>
        <w:t xml:space="preserve"> и горите</w:t>
      </w:r>
      <w:r w:rsidRPr="00830BA3">
        <w:rPr>
          <w:rFonts w:ascii="Verdana" w:eastAsia="Verdana" w:hAnsi="Verdana" w:cs="Verdana"/>
          <w:sz w:val="20"/>
          <w:szCs w:val="20"/>
        </w:rPr>
        <w:t>. Направените целесъобразни бележки и предложения са отразени.</w:t>
      </w:r>
    </w:p>
    <w:p w14:paraId="24DD4F88" w14:textId="1074922D" w:rsidR="00785A69" w:rsidRPr="00830BA3" w:rsidRDefault="00785A69" w:rsidP="00830BA3">
      <w:pPr>
        <w:spacing w:after="0" w:line="360" w:lineRule="auto"/>
        <w:ind w:firstLine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CC8D914" w14:textId="77777777" w:rsidR="00512C24" w:rsidRDefault="00512C24" w:rsidP="00830BA3">
      <w:pPr>
        <w:spacing w:after="120" w:line="360" w:lineRule="auto"/>
        <w:ind w:firstLine="567"/>
        <w:jc w:val="both"/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br w:type="page"/>
      </w:r>
    </w:p>
    <w:p w14:paraId="5940E2C8" w14:textId="6819B1DA" w:rsidR="007C7532" w:rsidRPr="00830BA3" w:rsidRDefault="00CC637A" w:rsidP="00830BA3">
      <w:pPr>
        <w:spacing w:after="120" w:line="360" w:lineRule="auto"/>
        <w:ind w:firstLine="567"/>
        <w:jc w:val="both"/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lastRenderedPageBreak/>
        <w:t xml:space="preserve">УВАЖАЕМИ ГОСПОДИН </w:t>
      </w:r>
      <w:r w:rsidR="009B56FD" w:rsidRPr="00830BA3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ВЪТЕВ</w:t>
      </w:r>
      <w:r w:rsidRPr="00830BA3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,</w:t>
      </w:r>
    </w:p>
    <w:p w14:paraId="2948EC59" w14:textId="77777777" w:rsidR="007128CD" w:rsidRPr="00830BA3" w:rsidRDefault="00CC637A" w:rsidP="00830BA3">
      <w:pPr>
        <w:spacing w:after="0" w:line="360" w:lineRule="auto"/>
        <w:ind w:firstLine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Във връзка с гореизложеното и на основание</w:t>
      </w:r>
      <w:r w:rsidR="002254EC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чл. 7а от Закон за нормативните актове и 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чл. </w:t>
      </w:r>
      <w:r w:rsidR="007C7D86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39</w:t>
      </w:r>
      <w:r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от Закона за прилагане на Общата организация на пазарите на земеделски продукти на Европейския съюз,</w:t>
      </w:r>
      <w:r w:rsidR="00765B79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предлагам да </w:t>
      </w:r>
      <w:r w:rsidR="00C96211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одобрите приложен</w:t>
      </w:r>
      <w:r w:rsidR="00393E30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ия проект на Наредба за изменение и допълнение на Наредба № 11 от 2023 г. за условията и реда за предоставяне на спешна финансова помощ на земеделски стопани, отглеждащи слънчоглед</w:t>
      </w:r>
      <w:r w:rsidR="00510C1F" w:rsidRPr="00830BA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6D9FD611" w14:textId="77777777" w:rsidR="00816278" w:rsidRPr="00830BA3" w:rsidRDefault="00816278" w:rsidP="00830BA3">
      <w:pPr>
        <w:spacing w:after="0" w:line="360" w:lineRule="auto"/>
        <w:ind w:firstLine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tbl>
      <w:tblPr>
        <w:tblStyle w:val="a0"/>
        <w:tblW w:w="8404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1850"/>
        <w:gridCol w:w="6554"/>
      </w:tblGrid>
      <w:tr w:rsidR="007C7532" w:rsidRPr="00830BA3" w14:paraId="23E47FC1" w14:textId="77777777">
        <w:tc>
          <w:tcPr>
            <w:tcW w:w="1850" w:type="dxa"/>
          </w:tcPr>
          <w:p w14:paraId="27E42BCF" w14:textId="77777777" w:rsidR="007C7532" w:rsidRPr="00830BA3" w:rsidRDefault="00765B79" w:rsidP="00830BA3">
            <w:pPr>
              <w:spacing w:after="0" w:line="360" w:lineRule="auto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830B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Приложение</w:t>
            </w:r>
            <w:r w:rsidR="00CC637A" w:rsidRPr="00830B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554" w:type="dxa"/>
          </w:tcPr>
          <w:p w14:paraId="777171BF" w14:textId="77777777" w:rsidR="007C7532" w:rsidRPr="00830BA3" w:rsidRDefault="007A5FD0" w:rsidP="00830BA3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44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</w:t>
            </w:r>
            <w:r w:rsidR="00393E30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роект на Наредба за изменение и допълнение на Наредба № 11 от 2023 г. за условията и реда за предоставяне на спешна финансова помощ на земеделски стопани, отглеждащи слънчоглед</w:t>
            </w:r>
            <w:r w:rsidR="00CC637A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;</w:t>
            </w:r>
          </w:p>
          <w:p w14:paraId="5625AC83" w14:textId="77777777" w:rsidR="007C7532" w:rsidRPr="00830BA3" w:rsidRDefault="00CC637A" w:rsidP="00830BA3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Справка за отразяване на постъпилите становища;</w:t>
            </w:r>
          </w:p>
          <w:p w14:paraId="7E580ECE" w14:textId="77777777" w:rsidR="007C7532" w:rsidRPr="00830BA3" w:rsidRDefault="00CC637A" w:rsidP="00830BA3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Постъпили становища;</w:t>
            </w:r>
          </w:p>
          <w:p w14:paraId="133CE049" w14:textId="77777777" w:rsidR="007C7532" w:rsidRPr="00830BA3" w:rsidRDefault="00CC637A" w:rsidP="00830BA3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Справка за отразяване на п</w:t>
            </w:r>
            <w:r w:rsidR="00765B79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остъпилите</w:t>
            </w: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предложения и стано</w:t>
            </w:r>
            <w:r w:rsidR="00785A69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вища от </w:t>
            </w: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обществена</w:t>
            </w:r>
            <w:r w:rsidR="00785A69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та</w:t>
            </w: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консултация;</w:t>
            </w:r>
          </w:p>
          <w:p w14:paraId="21751648" w14:textId="77777777" w:rsidR="007C7532" w:rsidRPr="00830BA3" w:rsidRDefault="00765B79" w:rsidP="00830BA3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Постъпили</w:t>
            </w:r>
            <w:r w:rsidR="00CC637A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предло</w:t>
            </w:r>
            <w:r w:rsidR="00785A69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жения и становища от</w:t>
            </w:r>
            <w:r w:rsidR="00CC637A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обществена</w:t>
            </w:r>
            <w:r w:rsidR="00785A69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та</w:t>
            </w:r>
            <w:r w:rsidR="00CC637A" w:rsidRPr="00830B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консултация.</w:t>
            </w:r>
          </w:p>
        </w:tc>
      </w:tr>
    </w:tbl>
    <w:p w14:paraId="1005E06A" w14:textId="77777777" w:rsidR="007C7532" w:rsidRPr="00830BA3" w:rsidRDefault="007C7532" w:rsidP="00830BA3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C7EF90E" w14:textId="77777777" w:rsidR="00AF09EF" w:rsidRPr="00830BA3" w:rsidRDefault="00AF09EF" w:rsidP="00830BA3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E2570EB" w14:textId="77777777" w:rsidR="00AF09EF" w:rsidRPr="00830BA3" w:rsidRDefault="00AF09EF" w:rsidP="00830BA3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D69B140" w14:textId="77777777" w:rsidR="00473136" w:rsidRPr="00830BA3" w:rsidRDefault="00473136" w:rsidP="00830BA3">
      <w:pPr>
        <w:spacing w:after="0" w:line="360" w:lineRule="auto"/>
        <w:rPr>
          <w:rFonts w:ascii="Verdana" w:hAnsi="Verdana"/>
          <w:b/>
          <w:caps/>
          <w:sz w:val="20"/>
          <w:szCs w:val="20"/>
          <w:lang w:eastAsia="en-GB"/>
        </w:rPr>
      </w:pPr>
      <w:r w:rsidRPr="00830BA3">
        <w:rPr>
          <w:rFonts w:ascii="Verdana" w:hAnsi="Verdana"/>
          <w:b/>
          <w:caps/>
          <w:sz w:val="20"/>
          <w:szCs w:val="20"/>
          <w:lang w:eastAsia="en-GB"/>
        </w:rPr>
        <w:t>Александър Йоцев,</w:t>
      </w:r>
    </w:p>
    <w:p w14:paraId="1AC1C1D7" w14:textId="77777777" w:rsidR="00473136" w:rsidRPr="00830BA3" w:rsidRDefault="00473136" w:rsidP="00830BA3">
      <w:pPr>
        <w:tabs>
          <w:tab w:val="left" w:pos="1843"/>
          <w:tab w:val="left" w:pos="2268"/>
        </w:tabs>
        <w:spacing w:after="0" w:line="360" w:lineRule="auto"/>
        <w:jc w:val="both"/>
        <w:rPr>
          <w:rFonts w:ascii="Verdana" w:hAnsi="Verdana"/>
          <w:i/>
          <w:sz w:val="20"/>
          <w:szCs w:val="20"/>
          <w:lang w:eastAsia="en-GB"/>
        </w:rPr>
      </w:pPr>
      <w:r w:rsidRPr="00830BA3">
        <w:rPr>
          <w:rFonts w:ascii="Verdana" w:hAnsi="Verdana"/>
          <w:i/>
          <w:sz w:val="20"/>
          <w:szCs w:val="20"/>
          <w:lang w:eastAsia="en-GB"/>
        </w:rPr>
        <w:t>Заместник-министър</w:t>
      </w:r>
    </w:p>
    <w:p w14:paraId="16360390" w14:textId="163573EA" w:rsidR="00473136" w:rsidRPr="00830BA3" w:rsidRDefault="00473136" w:rsidP="00473136">
      <w:pPr>
        <w:spacing w:after="0" w:line="360" w:lineRule="auto"/>
        <w:rPr>
          <w:rFonts w:ascii="Verdana" w:hAnsi="Verdana"/>
          <w:smallCaps/>
          <w:color w:val="000000" w:themeColor="text1"/>
          <w:sz w:val="18"/>
          <w:szCs w:val="18"/>
        </w:rPr>
      </w:pPr>
      <w:bookmarkStart w:id="0" w:name="_GoBack"/>
      <w:bookmarkEnd w:id="0"/>
    </w:p>
    <w:sectPr w:rsidR="00473136" w:rsidRPr="00830BA3" w:rsidSect="00830BA3"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8C68" w14:textId="77777777" w:rsidR="00FC51D4" w:rsidRDefault="00FC51D4">
      <w:pPr>
        <w:spacing w:after="0" w:line="240" w:lineRule="auto"/>
      </w:pPr>
      <w:r>
        <w:separator/>
      </w:r>
    </w:p>
  </w:endnote>
  <w:endnote w:type="continuationSeparator" w:id="0">
    <w:p w14:paraId="16111C6B" w14:textId="77777777" w:rsidR="00FC51D4" w:rsidRDefault="00FC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B2E9" w14:textId="170FA18C" w:rsidR="007C7532" w:rsidRDefault="00CC63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625DE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8A0D9" w14:textId="77777777" w:rsidR="00FC51D4" w:rsidRDefault="00FC51D4">
      <w:pPr>
        <w:spacing w:after="0" w:line="240" w:lineRule="auto"/>
      </w:pPr>
      <w:r>
        <w:separator/>
      </w:r>
    </w:p>
  </w:footnote>
  <w:footnote w:type="continuationSeparator" w:id="0">
    <w:p w14:paraId="03921082" w14:textId="77777777" w:rsidR="00FC51D4" w:rsidRDefault="00FC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DC33" w14:textId="77777777" w:rsidR="00F43606" w:rsidRPr="00F43606" w:rsidRDefault="00F43606" w:rsidP="00F43606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6"/>
        <w:szCs w:val="16"/>
        <w:lang w:eastAsia="bg-BG"/>
      </w:rPr>
    </w:pPr>
    <w:r w:rsidRPr="00F43606">
      <w:rPr>
        <w:rFonts w:ascii="Verdana" w:eastAsia="Times New Roman" w:hAnsi="Verdana" w:cs="Times New Roman"/>
        <w:sz w:val="16"/>
        <w:szCs w:val="16"/>
        <w:lang w:eastAsia="bg-BG"/>
      </w:rPr>
      <w:t>Класификация на информацията:</w:t>
    </w:r>
  </w:p>
  <w:p w14:paraId="10097FCD" w14:textId="67F62151" w:rsidR="00F43606" w:rsidRPr="00F43606" w:rsidRDefault="00F43606" w:rsidP="00F43606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60" w:line="240" w:lineRule="auto"/>
      <w:jc w:val="right"/>
      <w:textAlignment w:val="baseline"/>
      <w:rPr>
        <w:rFonts w:ascii="Verdana" w:eastAsia="Times New Roman" w:hAnsi="Verdana" w:cs="Times New Roman"/>
        <w:sz w:val="16"/>
        <w:szCs w:val="16"/>
        <w:lang w:val="en-US" w:eastAsia="bg-BG"/>
      </w:rPr>
    </w:pPr>
    <w:r w:rsidRPr="00F43606">
      <w:rPr>
        <w:rFonts w:ascii="Verdana" w:eastAsia="Times New Roman" w:hAnsi="Verdana" w:cs="Times New Roman"/>
        <w:sz w:val="16"/>
        <w:szCs w:val="16"/>
        <w:lang w:eastAsia="bg-BG"/>
      </w:rPr>
      <w:t>Ниво 0, TLP-</w:t>
    </w:r>
    <w:r w:rsidR="00150243">
      <w:rPr>
        <w:rFonts w:ascii="Verdana" w:eastAsia="Times New Roman" w:hAnsi="Verdana" w:cs="Times New Roman"/>
        <w:sz w:val="16"/>
        <w:szCs w:val="16"/>
        <w:lang w:val="en-US" w:eastAsia="bg-BG"/>
      </w:rPr>
      <w:t>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91"/>
    <w:multiLevelType w:val="hybridMultilevel"/>
    <w:tmpl w:val="E1809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13207"/>
    <w:multiLevelType w:val="multilevel"/>
    <w:tmpl w:val="A796A4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7B10D0A"/>
    <w:multiLevelType w:val="multilevel"/>
    <w:tmpl w:val="5E545AC8"/>
    <w:lvl w:ilvl="0">
      <w:numFmt w:val="bullet"/>
      <w:suff w:val="space"/>
      <w:lvlText w:val="-"/>
      <w:lvlJc w:val="left"/>
      <w:pPr>
        <w:ind w:left="1440" w:hanging="72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C47D5"/>
    <w:multiLevelType w:val="hybridMultilevel"/>
    <w:tmpl w:val="0490451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EB07EFE"/>
    <w:multiLevelType w:val="hybridMultilevel"/>
    <w:tmpl w:val="D5281A4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A876DB"/>
    <w:multiLevelType w:val="hybridMultilevel"/>
    <w:tmpl w:val="0122C88A"/>
    <w:lvl w:ilvl="0" w:tplc="06124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32"/>
    <w:rsid w:val="00002660"/>
    <w:rsid w:val="000133BB"/>
    <w:rsid w:val="00021FFA"/>
    <w:rsid w:val="0003062D"/>
    <w:rsid w:val="00032224"/>
    <w:rsid w:val="00035743"/>
    <w:rsid w:val="00051C79"/>
    <w:rsid w:val="0005339C"/>
    <w:rsid w:val="000625DE"/>
    <w:rsid w:val="00073840"/>
    <w:rsid w:val="00077E57"/>
    <w:rsid w:val="00080752"/>
    <w:rsid w:val="00083146"/>
    <w:rsid w:val="0008545A"/>
    <w:rsid w:val="000854DD"/>
    <w:rsid w:val="0008757D"/>
    <w:rsid w:val="00090758"/>
    <w:rsid w:val="000A17DF"/>
    <w:rsid w:val="000A2EA0"/>
    <w:rsid w:val="000B5D8D"/>
    <w:rsid w:val="000B65EB"/>
    <w:rsid w:val="001128F8"/>
    <w:rsid w:val="00113046"/>
    <w:rsid w:val="00114672"/>
    <w:rsid w:val="001154D2"/>
    <w:rsid w:val="00125331"/>
    <w:rsid w:val="001301D7"/>
    <w:rsid w:val="00137132"/>
    <w:rsid w:val="00150243"/>
    <w:rsid w:val="00163724"/>
    <w:rsid w:val="00167BA0"/>
    <w:rsid w:val="00173F1A"/>
    <w:rsid w:val="001776BB"/>
    <w:rsid w:val="001810CA"/>
    <w:rsid w:val="001930AD"/>
    <w:rsid w:val="00196365"/>
    <w:rsid w:val="001963D3"/>
    <w:rsid w:val="001A0269"/>
    <w:rsid w:val="001A16E8"/>
    <w:rsid w:val="001A3329"/>
    <w:rsid w:val="001B503D"/>
    <w:rsid w:val="001C15D5"/>
    <w:rsid w:val="001C21A3"/>
    <w:rsid w:val="001C6EB2"/>
    <w:rsid w:val="001D4AD0"/>
    <w:rsid w:val="001F27CE"/>
    <w:rsid w:val="001F31C9"/>
    <w:rsid w:val="00203E0C"/>
    <w:rsid w:val="00220B88"/>
    <w:rsid w:val="002254EC"/>
    <w:rsid w:val="0022579D"/>
    <w:rsid w:val="00236A99"/>
    <w:rsid w:val="002556C7"/>
    <w:rsid w:val="0026392B"/>
    <w:rsid w:val="00264B41"/>
    <w:rsid w:val="00270D82"/>
    <w:rsid w:val="00281297"/>
    <w:rsid w:val="00282459"/>
    <w:rsid w:val="00290E3D"/>
    <w:rsid w:val="00291E5B"/>
    <w:rsid w:val="00292FBA"/>
    <w:rsid w:val="002A0AF0"/>
    <w:rsid w:val="002B5CBD"/>
    <w:rsid w:val="002C3FB9"/>
    <w:rsid w:val="002E4AAB"/>
    <w:rsid w:val="00301F48"/>
    <w:rsid w:val="003027FB"/>
    <w:rsid w:val="00302E91"/>
    <w:rsid w:val="0030355C"/>
    <w:rsid w:val="00306E6C"/>
    <w:rsid w:val="00310B9F"/>
    <w:rsid w:val="003146D6"/>
    <w:rsid w:val="00317210"/>
    <w:rsid w:val="00323F2B"/>
    <w:rsid w:val="003269F0"/>
    <w:rsid w:val="00332802"/>
    <w:rsid w:val="0033745F"/>
    <w:rsid w:val="0036136D"/>
    <w:rsid w:val="0037135D"/>
    <w:rsid w:val="003756A3"/>
    <w:rsid w:val="0039358B"/>
    <w:rsid w:val="00393E30"/>
    <w:rsid w:val="00394C87"/>
    <w:rsid w:val="003A16EA"/>
    <w:rsid w:val="003B55C5"/>
    <w:rsid w:val="003B6242"/>
    <w:rsid w:val="003C36BC"/>
    <w:rsid w:val="003D2738"/>
    <w:rsid w:val="003D31C3"/>
    <w:rsid w:val="003E09F2"/>
    <w:rsid w:val="003F09E2"/>
    <w:rsid w:val="00404FC6"/>
    <w:rsid w:val="004136F9"/>
    <w:rsid w:val="0041570A"/>
    <w:rsid w:val="0042110B"/>
    <w:rsid w:val="0043486C"/>
    <w:rsid w:val="004348F5"/>
    <w:rsid w:val="00435115"/>
    <w:rsid w:val="0043794E"/>
    <w:rsid w:val="00440711"/>
    <w:rsid w:val="00444CC3"/>
    <w:rsid w:val="00452C05"/>
    <w:rsid w:val="00456002"/>
    <w:rsid w:val="00464B05"/>
    <w:rsid w:val="00473136"/>
    <w:rsid w:val="00473E61"/>
    <w:rsid w:val="00486F88"/>
    <w:rsid w:val="004903A1"/>
    <w:rsid w:val="00492627"/>
    <w:rsid w:val="00496016"/>
    <w:rsid w:val="004B4C1F"/>
    <w:rsid w:val="004C046E"/>
    <w:rsid w:val="004C483E"/>
    <w:rsid w:val="004E0DCD"/>
    <w:rsid w:val="004E2262"/>
    <w:rsid w:val="004F1AE7"/>
    <w:rsid w:val="004F6892"/>
    <w:rsid w:val="00510C1F"/>
    <w:rsid w:val="00512C24"/>
    <w:rsid w:val="00515640"/>
    <w:rsid w:val="00520F80"/>
    <w:rsid w:val="00525462"/>
    <w:rsid w:val="00555685"/>
    <w:rsid w:val="00566775"/>
    <w:rsid w:val="00570C01"/>
    <w:rsid w:val="00576042"/>
    <w:rsid w:val="0058095A"/>
    <w:rsid w:val="00594AFF"/>
    <w:rsid w:val="005A3114"/>
    <w:rsid w:val="005B3FBB"/>
    <w:rsid w:val="005C06AA"/>
    <w:rsid w:val="005C350A"/>
    <w:rsid w:val="005C42A4"/>
    <w:rsid w:val="005C4698"/>
    <w:rsid w:val="005C5E9E"/>
    <w:rsid w:val="005C6852"/>
    <w:rsid w:val="005C6BB0"/>
    <w:rsid w:val="005D0BF3"/>
    <w:rsid w:val="005E059D"/>
    <w:rsid w:val="005E32CE"/>
    <w:rsid w:val="005E35FB"/>
    <w:rsid w:val="005F0A48"/>
    <w:rsid w:val="005F5584"/>
    <w:rsid w:val="005F719E"/>
    <w:rsid w:val="00601DFC"/>
    <w:rsid w:val="00603362"/>
    <w:rsid w:val="0060773F"/>
    <w:rsid w:val="00620067"/>
    <w:rsid w:val="00620796"/>
    <w:rsid w:val="00623FF2"/>
    <w:rsid w:val="006433D1"/>
    <w:rsid w:val="00662F5A"/>
    <w:rsid w:val="00675118"/>
    <w:rsid w:val="00677734"/>
    <w:rsid w:val="00683299"/>
    <w:rsid w:val="006851E6"/>
    <w:rsid w:val="00686941"/>
    <w:rsid w:val="00695E2F"/>
    <w:rsid w:val="00696C7B"/>
    <w:rsid w:val="006B57D5"/>
    <w:rsid w:val="007022BB"/>
    <w:rsid w:val="007024F0"/>
    <w:rsid w:val="0070429E"/>
    <w:rsid w:val="007114BC"/>
    <w:rsid w:val="007128CD"/>
    <w:rsid w:val="007140EA"/>
    <w:rsid w:val="00714EF7"/>
    <w:rsid w:val="007260B8"/>
    <w:rsid w:val="007364C2"/>
    <w:rsid w:val="00741811"/>
    <w:rsid w:val="007429B1"/>
    <w:rsid w:val="0074557A"/>
    <w:rsid w:val="007567CE"/>
    <w:rsid w:val="00764C00"/>
    <w:rsid w:val="00765B79"/>
    <w:rsid w:val="00771510"/>
    <w:rsid w:val="007744B9"/>
    <w:rsid w:val="00775A45"/>
    <w:rsid w:val="007851C5"/>
    <w:rsid w:val="00785A69"/>
    <w:rsid w:val="007919AE"/>
    <w:rsid w:val="00791C5B"/>
    <w:rsid w:val="00792CD5"/>
    <w:rsid w:val="00795470"/>
    <w:rsid w:val="007A5FD0"/>
    <w:rsid w:val="007A73B4"/>
    <w:rsid w:val="007B6F0D"/>
    <w:rsid w:val="007C7532"/>
    <w:rsid w:val="007C7D86"/>
    <w:rsid w:val="007D1F58"/>
    <w:rsid w:val="007D71B4"/>
    <w:rsid w:val="007D7470"/>
    <w:rsid w:val="007E19F5"/>
    <w:rsid w:val="007F7AD3"/>
    <w:rsid w:val="00801D5A"/>
    <w:rsid w:val="0081067F"/>
    <w:rsid w:val="008110E6"/>
    <w:rsid w:val="00812CDA"/>
    <w:rsid w:val="008139FC"/>
    <w:rsid w:val="00815B89"/>
    <w:rsid w:val="00816278"/>
    <w:rsid w:val="00824659"/>
    <w:rsid w:val="00830AEC"/>
    <w:rsid w:val="00830BA3"/>
    <w:rsid w:val="00845B83"/>
    <w:rsid w:val="008565A6"/>
    <w:rsid w:val="00863B5C"/>
    <w:rsid w:val="00870C55"/>
    <w:rsid w:val="00884187"/>
    <w:rsid w:val="00885C2E"/>
    <w:rsid w:val="008A363F"/>
    <w:rsid w:val="008B1D96"/>
    <w:rsid w:val="008B53A0"/>
    <w:rsid w:val="008C5E5B"/>
    <w:rsid w:val="008E42BA"/>
    <w:rsid w:val="008E586D"/>
    <w:rsid w:val="0090580C"/>
    <w:rsid w:val="00946E40"/>
    <w:rsid w:val="0095220B"/>
    <w:rsid w:val="0095424A"/>
    <w:rsid w:val="00973666"/>
    <w:rsid w:val="00974973"/>
    <w:rsid w:val="00975FE5"/>
    <w:rsid w:val="00977325"/>
    <w:rsid w:val="00997760"/>
    <w:rsid w:val="009A0E4C"/>
    <w:rsid w:val="009B56FD"/>
    <w:rsid w:val="009C207D"/>
    <w:rsid w:val="009D513F"/>
    <w:rsid w:val="009E1C9B"/>
    <w:rsid w:val="009E68E9"/>
    <w:rsid w:val="009F2253"/>
    <w:rsid w:val="009F4FE2"/>
    <w:rsid w:val="00A07893"/>
    <w:rsid w:val="00A13264"/>
    <w:rsid w:val="00A13AF3"/>
    <w:rsid w:val="00A15447"/>
    <w:rsid w:val="00A269D8"/>
    <w:rsid w:val="00A34A7A"/>
    <w:rsid w:val="00A36DFE"/>
    <w:rsid w:val="00A437C0"/>
    <w:rsid w:val="00A4748B"/>
    <w:rsid w:val="00A64BF2"/>
    <w:rsid w:val="00A64EA4"/>
    <w:rsid w:val="00A73607"/>
    <w:rsid w:val="00A754A8"/>
    <w:rsid w:val="00A9632E"/>
    <w:rsid w:val="00AC2CFA"/>
    <w:rsid w:val="00AF09EF"/>
    <w:rsid w:val="00AF69BC"/>
    <w:rsid w:val="00B10F6A"/>
    <w:rsid w:val="00B16458"/>
    <w:rsid w:val="00B21F40"/>
    <w:rsid w:val="00B27B3A"/>
    <w:rsid w:val="00B3129E"/>
    <w:rsid w:val="00B31995"/>
    <w:rsid w:val="00B3398E"/>
    <w:rsid w:val="00B37753"/>
    <w:rsid w:val="00B53CE2"/>
    <w:rsid w:val="00B7379F"/>
    <w:rsid w:val="00BA0409"/>
    <w:rsid w:val="00BA3C77"/>
    <w:rsid w:val="00BB6B46"/>
    <w:rsid w:val="00BE17FC"/>
    <w:rsid w:val="00BE4CCC"/>
    <w:rsid w:val="00BF0EEA"/>
    <w:rsid w:val="00BF4424"/>
    <w:rsid w:val="00C078EB"/>
    <w:rsid w:val="00C17791"/>
    <w:rsid w:val="00C17B27"/>
    <w:rsid w:val="00C20369"/>
    <w:rsid w:val="00C23FED"/>
    <w:rsid w:val="00C24E74"/>
    <w:rsid w:val="00C37AF4"/>
    <w:rsid w:val="00C50E67"/>
    <w:rsid w:val="00C51E56"/>
    <w:rsid w:val="00C52513"/>
    <w:rsid w:val="00C61575"/>
    <w:rsid w:val="00C642D8"/>
    <w:rsid w:val="00C66013"/>
    <w:rsid w:val="00C664EA"/>
    <w:rsid w:val="00C83A9B"/>
    <w:rsid w:val="00C85ADC"/>
    <w:rsid w:val="00C87988"/>
    <w:rsid w:val="00C94625"/>
    <w:rsid w:val="00C96211"/>
    <w:rsid w:val="00CA2562"/>
    <w:rsid w:val="00CA77EB"/>
    <w:rsid w:val="00CC4749"/>
    <w:rsid w:val="00CC637A"/>
    <w:rsid w:val="00CC647A"/>
    <w:rsid w:val="00CD296C"/>
    <w:rsid w:val="00CD4488"/>
    <w:rsid w:val="00CD51CC"/>
    <w:rsid w:val="00CE1E23"/>
    <w:rsid w:val="00CF4DEE"/>
    <w:rsid w:val="00CF7F04"/>
    <w:rsid w:val="00D00F97"/>
    <w:rsid w:val="00D03618"/>
    <w:rsid w:val="00D13E8D"/>
    <w:rsid w:val="00D21E1F"/>
    <w:rsid w:val="00D24FD8"/>
    <w:rsid w:val="00D428C1"/>
    <w:rsid w:val="00D65B19"/>
    <w:rsid w:val="00D66511"/>
    <w:rsid w:val="00D73D2E"/>
    <w:rsid w:val="00DA4C7F"/>
    <w:rsid w:val="00DC39BC"/>
    <w:rsid w:val="00DD6E1F"/>
    <w:rsid w:val="00DE1FDF"/>
    <w:rsid w:val="00DE458B"/>
    <w:rsid w:val="00DF3B98"/>
    <w:rsid w:val="00DF7830"/>
    <w:rsid w:val="00E03019"/>
    <w:rsid w:val="00E05D10"/>
    <w:rsid w:val="00E34D30"/>
    <w:rsid w:val="00E432AC"/>
    <w:rsid w:val="00E54F90"/>
    <w:rsid w:val="00E555AE"/>
    <w:rsid w:val="00E56E4E"/>
    <w:rsid w:val="00E6080A"/>
    <w:rsid w:val="00E613FA"/>
    <w:rsid w:val="00E6480A"/>
    <w:rsid w:val="00E648B5"/>
    <w:rsid w:val="00E82889"/>
    <w:rsid w:val="00E96C2E"/>
    <w:rsid w:val="00EA535F"/>
    <w:rsid w:val="00EB5216"/>
    <w:rsid w:val="00EC6A1F"/>
    <w:rsid w:val="00ED6161"/>
    <w:rsid w:val="00EE3D74"/>
    <w:rsid w:val="00EF0E24"/>
    <w:rsid w:val="00EF185C"/>
    <w:rsid w:val="00EF34A1"/>
    <w:rsid w:val="00EF6FF1"/>
    <w:rsid w:val="00F043B1"/>
    <w:rsid w:val="00F20D08"/>
    <w:rsid w:val="00F31A6A"/>
    <w:rsid w:val="00F3363C"/>
    <w:rsid w:val="00F40B8C"/>
    <w:rsid w:val="00F41925"/>
    <w:rsid w:val="00F43606"/>
    <w:rsid w:val="00F65F1B"/>
    <w:rsid w:val="00F71E21"/>
    <w:rsid w:val="00F82F41"/>
    <w:rsid w:val="00F9098A"/>
    <w:rsid w:val="00F91B0C"/>
    <w:rsid w:val="00F95677"/>
    <w:rsid w:val="00FC03C4"/>
    <w:rsid w:val="00FC51D4"/>
    <w:rsid w:val="00FC593B"/>
    <w:rsid w:val="00FD178B"/>
    <w:rsid w:val="00FD32CD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092F9"/>
  <w15:docId w15:val="{33FC3D5A-E2FF-4C94-A09D-F32AFBDA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BB"/>
  </w:style>
  <w:style w:type="paragraph" w:styleId="Footer">
    <w:name w:val="footer"/>
    <w:basedOn w:val="Normal"/>
    <w:link w:val="Foot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BB"/>
  </w:style>
  <w:style w:type="paragraph" w:styleId="ListParagraph">
    <w:name w:val="List Paragraph"/>
    <w:basedOn w:val="Normal"/>
    <w:uiPriority w:val="34"/>
    <w:qFormat/>
    <w:rsid w:val="007D747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6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6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C322-98D9-491E-9CA2-2FD97FF0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Kalina Tuteva</dc:creator>
  <cp:lastModifiedBy>Petya Ivanova</cp:lastModifiedBy>
  <cp:revision>7</cp:revision>
  <cp:lastPrinted>2022-02-28T11:12:00Z</cp:lastPrinted>
  <dcterms:created xsi:type="dcterms:W3CDTF">2023-08-24T08:58:00Z</dcterms:created>
  <dcterms:modified xsi:type="dcterms:W3CDTF">2023-08-29T09:46:00Z</dcterms:modified>
</cp:coreProperties>
</file>