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CE" w:rsidRPr="000C4FEE" w:rsidRDefault="00732FCE" w:rsidP="00D95C12">
      <w:pPr>
        <w:spacing w:line="360" w:lineRule="auto"/>
        <w:ind w:left="-426"/>
        <w:jc w:val="center"/>
        <w:rPr>
          <w:rFonts w:ascii="Verdana" w:hAnsi="Verdana"/>
          <w:sz w:val="20"/>
          <w:szCs w:val="20"/>
        </w:rPr>
      </w:pPr>
      <w:r w:rsidRPr="000C4FEE">
        <w:rPr>
          <w:rFonts w:ascii="Verdana" w:hAnsi="Verdana"/>
          <w:noProof/>
          <w:sz w:val="20"/>
          <w:szCs w:val="20"/>
          <w:lang w:val="en-US" w:eastAsia="en-US"/>
        </w:rPr>
        <w:drawing>
          <wp:anchor distT="0" distB="0" distL="114300" distR="114300" simplePos="0" relativeHeight="251659264" behindDoc="1" locked="0" layoutInCell="1" allowOverlap="1" wp14:anchorId="6B8D3001" wp14:editId="22778290">
            <wp:simplePos x="0" y="0"/>
            <wp:positionH relativeFrom="column">
              <wp:posOffset>2344521</wp:posOffset>
            </wp:positionH>
            <wp:positionV relativeFrom="paragraph">
              <wp:posOffset>-317500</wp:posOffset>
            </wp:positionV>
            <wp:extent cx="1187450" cy="11874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FCE" w:rsidRPr="000C4FEE" w:rsidRDefault="00732FCE" w:rsidP="00D95C12">
      <w:pPr>
        <w:spacing w:line="360" w:lineRule="auto"/>
        <w:jc w:val="center"/>
        <w:rPr>
          <w:rFonts w:ascii="Verdana" w:hAnsi="Verdana"/>
          <w:sz w:val="20"/>
          <w:szCs w:val="20"/>
          <w:lang w:eastAsia="en-GB"/>
        </w:rPr>
      </w:pPr>
    </w:p>
    <w:p w:rsidR="00732FCE" w:rsidRPr="000C4FEE" w:rsidRDefault="00732FCE" w:rsidP="00D95C12">
      <w:pPr>
        <w:tabs>
          <w:tab w:val="center" w:pos="4153"/>
          <w:tab w:val="right" w:pos="8306"/>
        </w:tabs>
        <w:spacing w:before="120" w:line="360" w:lineRule="auto"/>
        <w:jc w:val="center"/>
        <w:rPr>
          <w:rFonts w:ascii="Verdana" w:hAnsi="Verdana"/>
          <w:sz w:val="20"/>
          <w:szCs w:val="20"/>
          <w:lang w:eastAsia="en-US"/>
        </w:rPr>
      </w:pPr>
    </w:p>
    <w:p w:rsidR="00732FCE" w:rsidRPr="000C4FEE" w:rsidRDefault="00732FCE" w:rsidP="00D95C12">
      <w:pPr>
        <w:pBdr>
          <w:bottom w:val="single" w:sz="4" w:space="1" w:color="auto"/>
        </w:pBdr>
        <w:overflowPunct w:val="0"/>
        <w:autoSpaceDE w:val="0"/>
        <w:autoSpaceDN w:val="0"/>
        <w:adjustRightInd w:val="0"/>
        <w:spacing w:before="120"/>
        <w:jc w:val="center"/>
        <w:textAlignment w:val="baseline"/>
        <w:rPr>
          <w:rFonts w:ascii="Platinum Bg" w:hAnsi="Platinum Bg" w:cs="Platinum Bg"/>
          <w:caps/>
          <w:sz w:val="36"/>
          <w:szCs w:val="36"/>
          <w:lang w:eastAsia="en-US"/>
        </w:rPr>
      </w:pPr>
      <w:r w:rsidRPr="000C4FEE">
        <w:rPr>
          <w:rFonts w:ascii="Platinum Bg" w:hAnsi="Platinum Bg" w:cs="Platinum Bg"/>
          <w:caps/>
          <w:sz w:val="36"/>
          <w:szCs w:val="36"/>
          <w:lang w:eastAsia="en-US"/>
        </w:rPr>
        <w:t>Република България</w:t>
      </w:r>
    </w:p>
    <w:p w:rsidR="00732FCE" w:rsidRPr="00AA1E4D" w:rsidRDefault="00732FCE" w:rsidP="00D95C12">
      <w:pPr>
        <w:pBdr>
          <w:bottom w:val="single" w:sz="4" w:space="1" w:color="auto"/>
        </w:pBdr>
        <w:overflowPunct w:val="0"/>
        <w:autoSpaceDE w:val="0"/>
        <w:autoSpaceDN w:val="0"/>
        <w:adjustRightInd w:val="0"/>
        <w:jc w:val="center"/>
        <w:textAlignment w:val="baseline"/>
        <w:rPr>
          <w:rFonts w:ascii="Arial" w:hAnsi="Arial"/>
          <w:b/>
          <w:bCs/>
          <w:spacing w:val="40"/>
          <w:sz w:val="20"/>
          <w:szCs w:val="20"/>
          <w:lang w:eastAsia="en-US"/>
        </w:rPr>
      </w:pPr>
      <w:r w:rsidRPr="00AA1E4D">
        <w:rPr>
          <w:rFonts w:ascii="Platinum Bg" w:hAnsi="Platinum Bg" w:cs="Platinum Bg"/>
          <w:spacing w:val="40"/>
          <w:sz w:val="32"/>
          <w:szCs w:val="32"/>
          <w:lang w:eastAsia="en-US"/>
        </w:rPr>
        <w:t>Заместник-министър на земеделието</w:t>
      </w:r>
      <w:r w:rsidR="002075AD" w:rsidRPr="00AA1E4D">
        <w:rPr>
          <w:rFonts w:ascii="Platinum Bg" w:hAnsi="Platinum Bg" w:cs="Platinum Bg"/>
          <w:spacing w:val="40"/>
          <w:sz w:val="32"/>
          <w:szCs w:val="32"/>
          <w:lang w:eastAsia="en-US"/>
        </w:rPr>
        <w:t xml:space="preserve"> и храните</w:t>
      </w:r>
    </w:p>
    <w:p w:rsidR="00D95C12" w:rsidRPr="000C4FEE" w:rsidRDefault="00D95C12" w:rsidP="004767DE">
      <w:pPr>
        <w:spacing w:line="360" w:lineRule="auto"/>
        <w:rPr>
          <w:rFonts w:ascii="Verdana" w:hAnsi="Verdana"/>
        </w:rPr>
      </w:pPr>
    </w:p>
    <w:p w:rsidR="00732FCE" w:rsidRPr="000C4FEE" w:rsidRDefault="00B91030" w:rsidP="000C4FEE">
      <w:pPr>
        <w:spacing w:before="120" w:line="360" w:lineRule="auto"/>
      </w:pPr>
      <w:r w:rsidRPr="000C4FEE">
        <w:t>………………………</w:t>
      </w:r>
    </w:p>
    <w:p w:rsidR="00732FCE" w:rsidRPr="000C4FEE" w:rsidRDefault="00B91030" w:rsidP="000C4FEE">
      <w:pPr>
        <w:spacing w:before="120" w:line="360" w:lineRule="auto"/>
      </w:pPr>
      <w:r w:rsidRPr="000C4FEE">
        <w:t>………………………</w:t>
      </w:r>
      <w:r w:rsidR="00732FCE" w:rsidRPr="000C4FEE">
        <w:t xml:space="preserve"> г.</w:t>
      </w:r>
    </w:p>
    <w:p w:rsidR="00984EBC" w:rsidRPr="000C4FEE" w:rsidRDefault="00984EBC" w:rsidP="004767DE">
      <w:pPr>
        <w:spacing w:line="360" w:lineRule="auto"/>
      </w:pPr>
    </w:p>
    <w:tbl>
      <w:tblPr>
        <w:tblW w:w="9180" w:type="dxa"/>
        <w:tblLayout w:type="fixed"/>
        <w:tblLook w:val="00A0" w:firstRow="1" w:lastRow="0" w:firstColumn="1" w:lastColumn="0" w:noHBand="0" w:noVBand="0"/>
      </w:tblPr>
      <w:tblGrid>
        <w:gridCol w:w="4962"/>
        <w:gridCol w:w="4218"/>
      </w:tblGrid>
      <w:tr w:rsidR="00732FCE" w:rsidRPr="00AA1E4D" w:rsidTr="00503404">
        <w:tc>
          <w:tcPr>
            <w:tcW w:w="4962" w:type="dxa"/>
          </w:tcPr>
          <w:p w:rsidR="00732FCE" w:rsidRPr="00AA1E4D" w:rsidRDefault="00732FCE" w:rsidP="004767DE">
            <w:pPr>
              <w:spacing w:line="360" w:lineRule="auto"/>
              <w:rPr>
                <w:b/>
                <w:bCs/>
              </w:rPr>
            </w:pPr>
          </w:p>
          <w:p w:rsidR="00732FCE" w:rsidRPr="00AA1E4D" w:rsidRDefault="00732FCE" w:rsidP="004767DE">
            <w:pPr>
              <w:spacing w:line="360" w:lineRule="auto"/>
              <w:rPr>
                <w:b/>
                <w:bCs/>
              </w:rPr>
            </w:pPr>
            <w:r w:rsidRPr="00AA1E4D">
              <w:rPr>
                <w:b/>
                <w:bCs/>
              </w:rPr>
              <w:t>ДО</w:t>
            </w:r>
          </w:p>
          <w:p w:rsidR="004A7F58" w:rsidRPr="00AA1E4D" w:rsidRDefault="00732FCE" w:rsidP="004767DE">
            <w:pPr>
              <w:spacing w:line="360" w:lineRule="auto"/>
              <w:rPr>
                <w:b/>
                <w:bCs/>
              </w:rPr>
            </w:pPr>
            <w:r w:rsidRPr="00AA1E4D">
              <w:rPr>
                <w:b/>
                <w:bCs/>
              </w:rPr>
              <w:t>МИНИСТЪРА НА ЗЕМЕДЕЛИЕТО</w:t>
            </w:r>
          </w:p>
          <w:p w:rsidR="00732FCE" w:rsidRPr="00AA1E4D" w:rsidRDefault="004A7F58" w:rsidP="004767DE">
            <w:pPr>
              <w:spacing w:line="360" w:lineRule="auto"/>
              <w:rPr>
                <w:b/>
                <w:bCs/>
              </w:rPr>
            </w:pPr>
            <w:r w:rsidRPr="00AA1E4D">
              <w:rPr>
                <w:b/>
                <w:bCs/>
              </w:rPr>
              <w:t>И ХРАНИТЕ</w:t>
            </w:r>
            <w:r w:rsidR="00732FCE" w:rsidRPr="00AA1E4D">
              <w:rPr>
                <w:b/>
                <w:bCs/>
              </w:rPr>
              <w:t xml:space="preserve"> </w:t>
            </w:r>
          </w:p>
          <w:p w:rsidR="00732FCE" w:rsidRPr="00AA1E4D" w:rsidRDefault="00732FCE" w:rsidP="004A7F58">
            <w:pPr>
              <w:spacing w:line="360" w:lineRule="auto"/>
              <w:rPr>
                <w:b/>
              </w:rPr>
            </w:pPr>
            <w:r w:rsidRPr="00AA1E4D">
              <w:rPr>
                <w:b/>
                <w:bCs/>
              </w:rPr>
              <w:t xml:space="preserve">Г-Н </w:t>
            </w:r>
            <w:r w:rsidR="004A7F58" w:rsidRPr="00AA1E4D">
              <w:rPr>
                <w:b/>
                <w:bCs/>
              </w:rPr>
              <w:t>КИРИЛ ВЪТЕВ</w:t>
            </w:r>
          </w:p>
        </w:tc>
        <w:tc>
          <w:tcPr>
            <w:tcW w:w="4218" w:type="dxa"/>
          </w:tcPr>
          <w:p w:rsidR="00732FCE" w:rsidRPr="00AA1E4D" w:rsidRDefault="00732FCE" w:rsidP="004767DE">
            <w:pPr>
              <w:spacing w:line="360" w:lineRule="auto"/>
              <w:rPr>
                <w:b/>
              </w:rPr>
            </w:pPr>
            <w:r w:rsidRPr="00AA1E4D">
              <w:rPr>
                <w:b/>
              </w:rPr>
              <w:t>ОДОБРИЛ,</w:t>
            </w:r>
          </w:p>
          <w:p w:rsidR="00732FCE" w:rsidRPr="00AA1E4D" w:rsidRDefault="00732FCE" w:rsidP="004767DE">
            <w:pPr>
              <w:spacing w:line="360" w:lineRule="auto"/>
              <w:rPr>
                <w:b/>
                <w:bCs/>
              </w:rPr>
            </w:pPr>
            <w:r w:rsidRPr="00AA1E4D">
              <w:rPr>
                <w:b/>
              </w:rPr>
              <w:t>МИНИСТЪР</w:t>
            </w:r>
            <w:r w:rsidRPr="00AA1E4D">
              <w:rPr>
                <w:b/>
                <w:bCs/>
              </w:rPr>
              <w:t>:</w:t>
            </w:r>
          </w:p>
          <w:p w:rsidR="00732FCE" w:rsidRPr="00AA1E4D" w:rsidRDefault="004A7F58" w:rsidP="00503404">
            <w:pPr>
              <w:spacing w:line="360" w:lineRule="auto"/>
              <w:ind w:left="1077" w:firstLine="430"/>
              <w:rPr>
                <w:b/>
              </w:rPr>
            </w:pPr>
            <w:r w:rsidRPr="00AA1E4D">
              <w:rPr>
                <w:b/>
              </w:rPr>
              <w:t>КИРИЛ ВЪТЕВ</w:t>
            </w:r>
          </w:p>
          <w:p w:rsidR="00732FCE" w:rsidRPr="00AA1E4D" w:rsidRDefault="00732FCE" w:rsidP="004767DE">
            <w:pPr>
              <w:spacing w:line="360" w:lineRule="auto"/>
              <w:rPr>
                <w:b/>
              </w:rPr>
            </w:pPr>
          </w:p>
        </w:tc>
      </w:tr>
    </w:tbl>
    <w:p w:rsidR="00984EBC" w:rsidRPr="000C4FEE" w:rsidRDefault="00984EBC" w:rsidP="004767DE">
      <w:pPr>
        <w:spacing w:line="360" w:lineRule="auto"/>
      </w:pPr>
    </w:p>
    <w:p w:rsidR="00732FCE" w:rsidRPr="00503404" w:rsidRDefault="00732FCE" w:rsidP="004767DE">
      <w:pPr>
        <w:pStyle w:val="Heading1"/>
        <w:spacing w:line="360" w:lineRule="auto"/>
        <w:rPr>
          <w:rFonts w:ascii="Times New Roman Bold" w:hAnsi="Times New Roman Bold"/>
          <w:spacing w:val="70"/>
          <w:szCs w:val="28"/>
        </w:rPr>
      </w:pPr>
      <w:r w:rsidRPr="00503404">
        <w:rPr>
          <w:rFonts w:ascii="Times New Roman Bold" w:hAnsi="Times New Roman Bold"/>
          <w:spacing w:val="70"/>
          <w:szCs w:val="28"/>
        </w:rPr>
        <w:t>ДОКЛАД</w:t>
      </w:r>
    </w:p>
    <w:p w:rsidR="00732FCE" w:rsidRPr="000C4FEE" w:rsidRDefault="00732FCE" w:rsidP="004767DE">
      <w:pPr>
        <w:spacing w:line="360" w:lineRule="auto"/>
        <w:jc w:val="center"/>
        <w:rPr>
          <w:smallCaps/>
        </w:rPr>
      </w:pPr>
      <w:r w:rsidRPr="000C4FEE">
        <w:rPr>
          <w:smallCaps/>
        </w:rPr>
        <w:t xml:space="preserve">от </w:t>
      </w:r>
      <w:r w:rsidR="004A7F58">
        <w:rPr>
          <w:smallCaps/>
        </w:rPr>
        <w:t>Александър Йоцев</w:t>
      </w:r>
      <w:r w:rsidRPr="000C4FEE">
        <w:rPr>
          <w:smallCaps/>
        </w:rPr>
        <w:t xml:space="preserve"> – за</w:t>
      </w:r>
      <w:r w:rsidR="00984EBC">
        <w:rPr>
          <w:smallCaps/>
        </w:rPr>
        <w:t>местник-министър на земеделието</w:t>
      </w:r>
      <w:r w:rsidR="004A7F58">
        <w:rPr>
          <w:smallCaps/>
        </w:rPr>
        <w:t xml:space="preserve"> и храните</w:t>
      </w:r>
    </w:p>
    <w:p w:rsidR="00732FCE" w:rsidRPr="000C4FEE" w:rsidRDefault="00732FCE" w:rsidP="004767DE">
      <w:pPr>
        <w:spacing w:line="360" w:lineRule="auto"/>
        <w:jc w:val="both"/>
      </w:pPr>
    </w:p>
    <w:p w:rsidR="00B91030" w:rsidRPr="000C4FEE" w:rsidRDefault="00732FCE" w:rsidP="00AA1E4D">
      <w:pPr>
        <w:spacing w:line="360" w:lineRule="auto"/>
        <w:ind w:left="1077" w:hanging="1077"/>
        <w:jc w:val="both"/>
      </w:pPr>
      <w:r w:rsidRPr="000C4FEE">
        <w:rPr>
          <w:b/>
        </w:rPr>
        <w:t>Относно:</w:t>
      </w:r>
      <w:r w:rsidRPr="000C4FEE">
        <w:t xml:space="preserve"> Проект на </w:t>
      </w:r>
      <w:r w:rsidR="00760289" w:rsidRPr="000C4FEE">
        <w:t xml:space="preserve">Наредба за изменение на 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w:t>
      </w:r>
      <w:r w:rsidR="004A7F58">
        <w:t>за посев, със съдържание под 0,3</w:t>
      </w:r>
      <w:r w:rsidR="00760289" w:rsidRPr="000C4FEE">
        <w:t xml:space="preserve"> тегловни процента на тетрахидроканабинол, определено в листната маса, цветните и плодните връхчета, за търговия и контрол</w:t>
      </w:r>
    </w:p>
    <w:p w:rsidR="00AA1E4D" w:rsidRDefault="00AA1E4D" w:rsidP="00AA1E4D">
      <w:pPr>
        <w:spacing w:line="360" w:lineRule="auto"/>
        <w:jc w:val="both"/>
      </w:pPr>
    </w:p>
    <w:p w:rsidR="00AA1E4D" w:rsidRPr="000C4FEE" w:rsidRDefault="00AA1E4D" w:rsidP="00AA1E4D">
      <w:pPr>
        <w:spacing w:line="360" w:lineRule="auto"/>
        <w:jc w:val="both"/>
      </w:pPr>
    </w:p>
    <w:p w:rsidR="00977270" w:rsidRPr="000C4FEE" w:rsidRDefault="00732FCE" w:rsidP="00AA1E4D">
      <w:pPr>
        <w:spacing w:after="120" w:line="360" w:lineRule="auto"/>
        <w:jc w:val="both"/>
        <w:rPr>
          <w:b/>
        </w:rPr>
      </w:pPr>
      <w:r w:rsidRPr="000C4FEE">
        <w:rPr>
          <w:b/>
        </w:rPr>
        <w:t>УВАЖАЕМИ ГОСПОДИН МИНИСТЪР,</w:t>
      </w:r>
    </w:p>
    <w:p w:rsidR="00732FCE" w:rsidRPr="000C4FEE" w:rsidRDefault="00732FCE" w:rsidP="003734AB">
      <w:pPr>
        <w:spacing w:line="360" w:lineRule="auto"/>
        <w:ind w:firstLine="709"/>
        <w:jc w:val="both"/>
        <w:rPr>
          <w:bCs/>
        </w:rPr>
      </w:pPr>
      <w:r w:rsidRPr="000C4FEE">
        <w:rPr>
          <w:bCs/>
        </w:rPr>
        <w:t xml:space="preserve">На основание </w:t>
      </w:r>
      <w:r w:rsidR="00D74F84" w:rsidRPr="000C4FEE">
        <w:rPr>
          <w:bCs/>
        </w:rPr>
        <w:t>чл. 2</w:t>
      </w:r>
      <w:r w:rsidR="00826E3A">
        <w:rPr>
          <w:bCs/>
        </w:rPr>
        <w:t xml:space="preserve">9, ал. 1 от Закона за контрол върху </w:t>
      </w:r>
      <w:r w:rsidR="00D74F84" w:rsidRPr="000C4FEE">
        <w:rPr>
          <w:bCs/>
        </w:rPr>
        <w:t>наркотичните вещества и прекурсорите във връзка</w:t>
      </w:r>
      <w:r w:rsidR="00ED1C18" w:rsidRPr="000C4FEE">
        <w:rPr>
          <w:bCs/>
        </w:rPr>
        <w:t xml:space="preserve"> </w:t>
      </w:r>
      <w:r w:rsidR="0012208C" w:rsidRPr="000C4FEE">
        <w:t>чл</w:t>
      </w:r>
      <w:r w:rsidR="00D74F84" w:rsidRPr="000C4FEE">
        <w:t xml:space="preserve">. </w:t>
      </w:r>
      <w:r w:rsidR="0012208C" w:rsidRPr="000C4FEE">
        <w:t>4, параграф</w:t>
      </w:r>
      <w:r w:rsidR="00A02641" w:rsidRPr="000C4FEE">
        <w:t xml:space="preserve"> </w:t>
      </w:r>
      <w:r w:rsidR="0012208C" w:rsidRPr="000C4FEE">
        <w:t>4, алинея</w:t>
      </w:r>
      <w:r w:rsidR="00D74F84" w:rsidRPr="000C4FEE">
        <w:t xml:space="preserve"> втора</w:t>
      </w:r>
      <w:r w:rsidR="0012208C" w:rsidRPr="000C4FEE">
        <w:t xml:space="preserve"> от Регламент (ЕС) 2021/2115</w:t>
      </w:r>
      <w:r w:rsidR="00D74F84" w:rsidRPr="000C4FEE">
        <w:t xml:space="preserve">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r w:rsidR="0012208C" w:rsidRPr="000C4FEE">
        <w:t xml:space="preserve"> </w:t>
      </w:r>
      <w:r w:rsidR="00D74F84" w:rsidRPr="000C4FEE">
        <w:t>(OВ L 435, 6.12.2021 г.)</w:t>
      </w:r>
      <w:r w:rsidR="00B950D4" w:rsidRPr="000C4FEE">
        <w:t xml:space="preserve"> </w:t>
      </w:r>
      <w:r w:rsidR="00B950D4" w:rsidRPr="000C4FEE">
        <w:lastRenderedPageBreak/>
        <w:t>(Регламент (ЕС) 2021/2115)</w:t>
      </w:r>
      <w:r w:rsidR="00444C66" w:rsidRPr="000C4FEE">
        <w:t>,</w:t>
      </w:r>
      <w:r w:rsidR="00B950D4" w:rsidRPr="000C4FEE">
        <w:t xml:space="preserve"> </w:t>
      </w:r>
      <w:r w:rsidR="00AA1E4D">
        <w:rPr>
          <w:bCs/>
        </w:rPr>
        <w:t>внасям за одобрение</w:t>
      </w:r>
      <w:r w:rsidR="00900B7D" w:rsidRPr="000C4FEE">
        <w:rPr>
          <w:bCs/>
        </w:rPr>
        <w:t xml:space="preserve"> </w:t>
      </w:r>
      <w:r w:rsidR="00760289" w:rsidRPr="000C4FEE">
        <w:rPr>
          <w:bCs/>
        </w:rPr>
        <w:t xml:space="preserve">Наредба за изменение на 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w:t>
      </w:r>
      <w:r w:rsidR="004A7F58">
        <w:rPr>
          <w:bCs/>
        </w:rPr>
        <w:t>за посев, със съдържание под 0,3</w:t>
      </w:r>
      <w:r w:rsidR="00760289" w:rsidRPr="000C4FEE">
        <w:rPr>
          <w:bCs/>
        </w:rPr>
        <w:t xml:space="preserve"> тегловни процента на тетрахидроканабинол, определено в листната маса, цветните и плодните връхчета, за търговия и контрол</w:t>
      </w:r>
      <w:r w:rsidR="00B950D4" w:rsidRPr="000C4FEE">
        <w:t xml:space="preserve"> (Наредба № 1 от 2018 г.)</w:t>
      </w:r>
      <w:r w:rsidR="006C1F9D" w:rsidRPr="000C4FEE">
        <w:t>.</w:t>
      </w:r>
    </w:p>
    <w:p w:rsidR="00732FCE" w:rsidRPr="000C4FEE" w:rsidRDefault="00732FCE" w:rsidP="003734AB">
      <w:pPr>
        <w:spacing w:line="360" w:lineRule="auto"/>
        <w:ind w:firstLine="709"/>
        <w:jc w:val="both"/>
        <w:rPr>
          <w:bCs/>
        </w:rPr>
      </w:pPr>
    </w:p>
    <w:p w:rsidR="00894AC9" w:rsidRPr="000C4FEE" w:rsidRDefault="00732FCE" w:rsidP="003734AB">
      <w:pPr>
        <w:spacing w:line="360" w:lineRule="auto"/>
        <w:ind w:firstLine="709"/>
        <w:jc w:val="both"/>
        <w:rPr>
          <w:b/>
          <w:bCs/>
        </w:rPr>
      </w:pPr>
      <w:r w:rsidRPr="000C4FEE">
        <w:rPr>
          <w:b/>
          <w:bCs/>
        </w:rPr>
        <w:t>Причини, които налагат приемането на акта</w:t>
      </w:r>
    </w:p>
    <w:p w:rsidR="00841D75" w:rsidRPr="00C0571E" w:rsidRDefault="00841D75" w:rsidP="00C0571E">
      <w:pPr>
        <w:spacing w:line="360" w:lineRule="auto"/>
        <w:ind w:firstLine="709"/>
        <w:jc w:val="both"/>
      </w:pPr>
      <w:r w:rsidRPr="000C4FEE">
        <w:t>Наредба № 1 от 2018 г. урежда издаване на разрешение за отглеждане на растения от рода на конопа (канабис) със съдържание под 0,</w:t>
      </w:r>
      <w:r w:rsidR="004A7F58">
        <w:t>3</w:t>
      </w:r>
      <w:r w:rsidRPr="000C4FEE">
        <w:t xml:space="preserve"> тегловни процента на </w:t>
      </w:r>
      <w:r w:rsidRPr="000C4FEE">
        <w:rPr>
          <w:bCs/>
        </w:rPr>
        <w:t>тетрахидроканабинол, определено в листната маса, цветните и плодните връхчета (растения), предназначени за влакно, семена за фураж и храна, семена за посев, търговия с растенията и продукцията от тях, както и контрола върху отглеждането и търговията с продукцията от растенията.</w:t>
      </w:r>
      <w:r w:rsidR="004A7F58">
        <w:rPr>
          <w:bCs/>
        </w:rPr>
        <w:t xml:space="preserve"> С последното изменение на </w:t>
      </w:r>
      <w:r w:rsidR="004A7F58" w:rsidRPr="00C0571E">
        <w:rPr>
          <w:bCs/>
        </w:rPr>
        <w:t xml:space="preserve">Наредба № 1 от 2018 г., обнародвано в </w:t>
      </w:r>
      <w:r w:rsidR="00C0571E" w:rsidRPr="00C0571E">
        <w:rPr>
          <w:bCs/>
        </w:rPr>
        <w:t>ДВ. бр.</w:t>
      </w:r>
      <w:r w:rsidR="006709B3">
        <w:rPr>
          <w:bCs/>
        </w:rPr>
        <w:t xml:space="preserve"> </w:t>
      </w:r>
      <w:r w:rsidR="00C0571E" w:rsidRPr="00C0571E">
        <w:rPr>
          <w:bCs/>
        </w:rPr>
        <w:t>40 от 5 май 2023г.,</w:t>
      </w:r>
      <w:r w:rsidR="004A7F58" w:rsidRPr="00C0571E">
        <w:rPr>
          <w:bCs/>
        </w:rPr>
        <w:t xml:space="preserve"> тя</w:t>
      </w:r>
      <w:r w:rsidR="004A7F58">
        <w:t xml:space="preserve"> беше </w:t>
      </w:r>
      <w:r w:rsidR="00C0571E">
        <w:t xml:space="preserve">приведена в съответствие </w:t>
      </w:r>
      <w:r w:rsidR="004A7F58">
        <w:t xml:space="preserve">с изискванията на </w:t>
      </w:r>
      <w:r w:rsidR="00017334" w:rsidRPr="000C4FEE">
        <w:t xml:space="preserve">Регламент </w:t>
      </w:r>
      <w:r w:rsidR="00BD4F29" w:rsidRPr="000C4FEE">
        <w:t>(ЕС) 2021/2115</w:t>
      </w:r>
      <w:r w:rsidR="00C0571E">
        <w:t xml:space="preserve">, където </w:t>
      </w:r>
      <w:r w:rsidRPr="000C4FEE">
        <w:t>„хектар, отговарящ на условията за подпомагане“ се определя по такъв начин, че да обхваща площите, които са на разположение на земеделския стопанин, като съответно площите, използвани за производство на коноп, представляват хектари, отговарящи на условията за подпомагане</w:t>
      </w:r>
      <w:r w:rsidR="0029107B" w:rsidRPr="000C4FEE">
        <w:t xml:space="preserve">, само ако използваните сортове имат съдържание на </w:t>
      </w:r>
      <w:r w:rsidR="0029107B" w:rsidRPr="00C0571E">
        <w:t>тетрахидроканабинол, не по-голямо от 0,3%.</w:t>
      </w:r>
    </w:p>
    <w:p w:rsidR="00C0571E" w:rsidRPr="007D4181" w:rsidRDefault="00C0571E" w:rsidP="00C0571E">
      <w:pPr>
        <w:spacing w:line="360" w:lineRule="auto"/>
        <w:ind w:firstLine="709"/>
        <w:jc w:val="both"/>
      </w:pPr>
      <w:r>
        <w:t>В</w:t>
      </w:r>
      <w:r w:rsidRPr="00C0571E">
        <w:t xml:space="preserve"> </w:t>
      </w:r>
      <w:r w:rsidR="006709B3" w:rsidRPr="00672040">
        <w:t>47</w:t>
      </w:r>
      <w:r w:rsidR="00672040" w:rsidRPr="00672040">
        <w:t>-</w:t>
      </w:r>
      <w:r w:rsidR="006709B3" w:rsidRPr="00672040">
        <w:t>о</w:t>
      </w:r>
      <w:r w:rsidR="00672040" w:rsidRPr="00672040">
        <w:t>то</w:t>
      </w:r>
      <w:r w:rsidR="006709B3" w:rsidRPr="00672040">
        <w:t>, 48</w:t>
      </w:r>
      <w:r w:rsidR="00672040" w:rsidRPr="00672040">
        <w:t>-</w:t>
      </w:r>
      <w:r w:rsidR="006709B3" w:rsidRPr="00672040">
        <w:t>о</w:t>
      </w:r>
      <w:r w:rsidR="00672040">
        <w:t>то</w:t>
      </w:r>
      <w:r w:rsidR="006709B3">
        <w:t xml:space="preserve"> и </w:t>
      </w:r>
      <w:r w:rsidR="006709B3" w:rsidRPr="00672040">
        <w:t>49</w:t>
      </w:r>
      <w:r w:rsidR="00672040" w:rsidRPr="00672040">
        <w:t>-о</w:t>
      </w:r>
      <w:r w:rsidR="006709B3" w:rsidRPr="00672040">
        <w:t>то</w:t>
      </w:r>
      <w:r w:rsidR="006709B3">
        <w:t xml:space="preserve"> Народно</w:t>
      </w:r>
      <w:r w:rsidRPr="00C0571E">
        <w:t xml:space="preserve"> събрание </w:t>
      </w:r>
      <w:r w:rsidR="006709B3" w:rsidRPr="00672040">
        <w:t>от група народни представители</w:t>
      </w:r>
      <w:r w:rsidR="006709B3">
        <w:t xml:space="preserve"> </w:t>
      </w:r>
      <w:r w:rsidR="006709B3" w:rsidRPr="006709B3">
        <w:t>са внесени</w:t>
      </w:r>
      <w:r w:rsidRPr="00C0571E">
        <w:t xml:space="preserve"> Законопроект</w:t>
      </w:r>
      <w:r w:rsidR="006709B3">
        <w:t>и</w:t>
      </w:r>
      <w:r w:rsidRPr="00C0571E">
        <w:t xml:space="preserve"> за и</w:t>
      </w:r>
      <w:r w:rsidR="00732FCE" w:rsidRPr="00C0571E">
        <w:t xml:space="preserve">зменение и допълнение на </w:t>
      </w:r>
      <w:r w:rsidRPr="00C0571E">
        <w:t>Закона за контрол върху наркотичните вещества и прекурсорите</w:t>
      </w:r>
      <w:r>
        <w:t xml:space="preserve">, </w:t>
      </w:r>
      <w:r w:rsidR="00732FCE" w:rsidRPr="00C0571E">
        <w:t>насочен</w:t>
      </w:r>
      <w:r w:rsidR="006709B3">
        <w:t>и</w:t>
      </w:r>
      <w:r w:rsidR="00732FCE" w:rsidRPr="00C0571E">
        <w:t xml:space="preserve"> към </w:t>
      </w:r>
      <w:r w:rsidR="007016EB" w:rsidRPr="00C0571E">
        <w:t xml:space="preserve">привеждане и постигане на съответствие </w:t>
      </w:r>
      <w:r w:rsidRPr="00C0571E">
        <w:t>с</w:t>
      </w:r>
      <w:r w:rsidR="007016EB" w:rsidRPr="00C0571E">
        <w:t xml:space="preserve"> </w:t>
      </w:r>
      <w:r w:rsidR="00984EBC" w:rsidRPr="00C0571E">
        <w:t>Регламент</w:t>
      </w:r>
      <w:r w:rsidR="006C1F9D" w:rsidRPr="00C0571E">
        <w:t xml:space="preserve"> </w:t>
      </w:r>
      <w:r w:rsidR="00E97BB0" w:rsidRPr="00C0571E">
        <w:t>(ЕС) 2021/2115</w:t>
      </w:r>
      <w:r w:rsidR="006709B3">
        <w:t xml:space="preserve">. </w:t>
      </w:r>
      <w:r w:rsidR="006709B3" w:rsidRPr="00672040">
        <w:t>До настоящият момент измененията в ЗКНВП</w:t>
      </w:r>
      <w:r w:rsidR="006709B3">
        <w:t xml:space="preserve"> </w:t>
      </w:r>
      <w:r w:rsidRPr="00C0571E">
        <w:t>не</w:t>
      </w:r>
      <w:r w:rsidR="006709B3">
        <w:t xml:space="preserve"> са</w:t>
      </w:r>
      <w:r w:rsidRPr="00C0571E">
        <w:t xml:space="preserve"> приет</w:t>
      </w:r>
      <w:r w:rsidR="007B559F">
        <w:t>и</w:t>
      </w:r>
      <w:r w:rsidRPr="00C0571E">
        <w:t>, поради</w:t>
      </w:r>
      <w:r w:rsidR="007B559F" w:rsidRPr="00672040">
        <w:t>, невъзможност Народното събрание да изпълнява нормално функциите си на орган на законодателната власт</w:t>
      </w:r>
      <w:r w:rsidR="00984EBC" w:rsidRPr="00C0571E">
        <w:t>.</w:t>
      </w:r>
      <w:r w:rsidRPr="00C0571E">
        <w:t xml:space="preserve"> Липсата на съответствие между Закона за контрол върху наркотичните вещества и прекурсорите</w:t>
      </w:r>
      <w:r>
        <w:t xml:space="preserve"> и </w:t>
      </w:r>
      <w:r w:rsidRPr="000C4FEE">
        <w:t>чл. 4, параграф 4, алинея втора от Регламент (ЕС) 2021/2115</w:t>
      </w:r>
      <w:r>
        <w:t xml:space="preserve"> по отношение на </w:t>
      </w:r>
      <w:r w:rsidRPr="000C4FEE">
        <w:t>тегловни</w:t>
      </w:r>
      <w:r>
        <w:t>те</w:t>
      </w:r>
      <w:r w:rsidRPr="000C4FEE">
        <w:t xml:space="preserve"> процента на </w:t>
      </w:r>
      <w:r w:rsidRPr="00C0571E">
        <w:t xml:space="preserve">тетрахидроканабинол в листната маса, цветните и плодните връхчета на </w:t>
      </w:r>
      <w:r w:rsidRPr="000C4FEE">
        <w:t>растения от рода на конопа (канабис)</w:t>
      </w:r>
      <w:r>
        <w:t xml:space="preserve"> съвпада с периода на издаване на разрешения за отглеждане на такива растения. Това създава практически затруднения, като поставя под въпрос валидността на разрешенията за </w:t>
      </w:r>
      <w:r w:rsidRPr="000C4FEE">
        <w:t>отглеждане на растения от рода на конопа (канабис) със съдържание под 0,</w:t>
      </w:r>
      <w:r>
        <w:t>3</w:t>
      </w:r>
      <w:r w:rsidRPr="000C4FEE">
        <w:t xml:space="preserve"> тегловни процента на </w:t>
      </w:r>
      <w:r w:rsidRPr="00C0571E">
        <w:t xml:space="preserve">тетрахидроканабинол, които съгласно Приложение № 2 към чл. 5, ал. 1, т. 1 на </w:t>
      </w:r>
      <w:r w:rsidRPr="000C4FEE">
        <w:t>Наредба № 1 от 2018 г.</w:t>
      </w:r>
      <w:r>
        <w:t xml:space="preserve"> се издават на основание </w:t>
      </w:r>
      <w:r w:rsidRPr="00C0571E">
        <w:t xml:space="preserve">чл. 29, ал. 1 от Закона за контрол върху наркотичните вещества и </w:t>
      </w:r>
      <w:r w:rsidRPr="00C0571E">
        <w:lastRenderedPageBreak/>
        <w:t>прекурсорите</w:t>
      </w:r>
      <w:r>
        <w:t xml:space="preserve">, </w:t>
      </w:r>
      <w:r w:rsidR="00C95149">
        <w:t xml:space="preserve">който урежда </w:t>
      </w:r>
      <w:r w:rsidR="00C95149" w:rsidRPr="007D4181">
        <w:t>съдържание под 0,2 тегловни процента на тетрахидроканабинол.</w:t>
      </w:r>
    </w:p>
    <w:p w:rsidR="007D4181" w:rsidRPr="007D4181" w:rsidRDefault="007D4181" w:rsidP="007D4181">
      <w:pPr>
        <w:spacing w:line="360" w:lineRule="auto"/>
        <w:ind w:firstLine="709"/>
        <w:jc w:val="both"/>
      </w:pPr>
      <w:r w:rsidRPr="007D4181">
        <w:t>Осигуряването на съответствие с изискването на чл. 4, параграф 4, алинея</w:t>
      </w:r>
      <w:r w:rsidRPr="000C4FEE">
        <w:t xml:space="preserve"> </w:t>
      </w:r>
      <w:r w:rsidRPr="007D4181">
        <w:t xml:space="preserve">втора от Регламент (ЕС) 2021/2115 – площите, използвани за производство на коноп, представляват хектари, отговарящи на условията за подпомагане, само ако използваните сортове имат съдържание на тетрахидроканабинол, не по-голямо от 0,3 %, налага изменение на </w:t>
      </w:r>
      <w:r w:rsidRPr="00C0571E">
        <w:t xml:space="preserve">Приложение № 2 към чл. 5, ал. 1, т. 1 на </w:t>
      </w:r>
      <w:r w:rsidRPr="000C4FEE">
        <w:t>Наредба № 1 от 2018 г.</w:t>
      </w:r>
      <w:r>
        <w:t xml:space="preserve"> Изменението се изразява в промяна на правното основание за издаване на Разрешение </w:t>
      </w:r>
      <w:r w:rsidRPr="007D4181">
        <w:t>за отглеждане на растения от рода на конопа (канабис) със съдържание под 0,3 тегловни процента на тетрахидроканабинол, определено в листната маса, цветните и плодните връхчета</w:t>
      </w:r>
      <w:r w:rsidR="00C71165">
        <w:t>.</w:t>
      </w:r>
    </w:p>
    <w:p w:rsidR="00C65D63" w:rsidRPr="000C4FEE" w:rsidRDefault="00C65D63" w:rsidP="003734AB">
      <w:pPr>
        <w:spacing w:line="360" w:lineRule="auto"/>
        <w:ind w:firstLine="709"/>
        <w:jc w:val="both"/>
      </w:pPr>
      <w:r w:rsidRPr="000C4FEE">
        <w:t xml:space="preserve">С въвеждането на промените </w:t>
      </w:r>
      <w:r w:rsidR="002B3EE8" w:rsidRPr="000C4FEE">
        <w:t>действащата подзаконова нормативна уредба</w:t>
      </w:r>
      <w:r w:rsidRPr="000C4FEE">
        <w:t xml:space="preserve"> ще бъде приведено в съответствие с </w:t>
      </w:r>
      <w:r w:rsidR="007B559F">
        <w:t>Правото на ЕС</w:t>
      </w:r>
      <w:r w:rsidRPr="000C4FEE">
        <w:t>.</w:t>
      </w:r>
    </w:p>
    <w:p w:rsidR="003A47DE" w:rsidRPr="000C4FEE" w:rsidRDefault="003A47DE" w:rsidP="003734AB">
      <w:pPr>
        <w:spacing w:line="360" w:lineRule="auto"/>
        <w:ind w:firstLine="709"/>
        <w:jc w:val="both"/>
      </w:pPr>
    </w:p>
    <w:p w:rsidR="00732FCE" w:rsidRPr="000C4FEE" w:rsidRDefault="00732FCE" w:rsidP="003734AB">
      <w:pPr>
        <w:spacing w:line="360" w:lineRule="auto"/>
        <w:ind w:firstLine="709"/>
        <w:jc w:val="both"/>
        <w:rPr>
          <w:b/>
          <w:bCs/>
        </w:rPr>
      </w:pPr>
      <w:r w:rsidRPr="000C4FEE">
        <w:rPr>
          <w:b/>
          <w:bCs/>
        </w:rPr>
        <w:t>Цели</w:t>
      </w:r>
    </w:p>
    <w:p w:rsidR="00732FCE" w:rsidRPr="000C4FEE" w:rsidRDefault="00732FCE" w:rsidP="003734AB">
      <w:pPr>
        <w:spacing w:line="360" w:lineRule="auto"/>
        <w:ind w:firstLine="709"/>
        <w:jc w:val="both"/>
        <w:rPr>
          <w:bCs/>
        </w:rPr>
      </w:pPr>
      <w:r w:rsidRPr="000C4FEE">
        <w:rPr>
          <w:bCs/>
        </w:rPr>
        <w:t>Предложен</w:t>
      </w:r>
      <w:r w:rsidR="007D4181">
        <w:rPr>
          <w:bCs/>
        </w:rPr>
        <w:t>ото</w:t>
      </w:r>
      <w:r w:rsidRPr="000C4FEE">
        <w:rPr>
          <w:bCs/>
        </w:rPr>
        <w:t xml:space="preserve"> </w:t>
      </w:r>
      <w:r w:rsidR="007D4181">
        <w:rPr>
          <w:bCs/>
        </w:rPr>
        <w:t xml:space="preserve">изменение </w:t>
      </w:r>
      <w:r w:rsidRPr="000C4FEE">
        <w:rPr>
          <w:bCs/>
        </w:rPr>
        <w:t xml:space="preserve">на </w:t>
      </w:r>
      <w:r w:rsidR="00977270" w:rsidRPr="000C4FEE">
        <w:t xml:space="preserve">Наредба № </w:t>
      </w:r>
      <w:r w:rsidR="00900B7D" w:rsidRPr="000C4FEE">
        <w:t>1</w:t>
      </w:r>
      <w:r w:rsidR="00977270" w:rsidRPr="000C4FEE">
        <w:t xml:space="preserve"> от 201</w:t>
      </w:r>
      <w:r w:rsidR="00900B7D" w:rsidRPr="000C4FEE">
        <w:t>8</w:t>
      </w:r>
      <w:r w:rsidR="00977270" w:rsidRPr="000C4FEE">
        <w:t xml:space="preserve"> г. </w:t>
      </w:r>
      <w:r w:rsidR="007D4181">
        <w:t>е</w:t>
      </w:r>
      <w:r w:rsidR="007D4181">
        <w:rPr>
          <w:bCs/>
        </w:rPr>
        <w:t xml:space="preserve"> насочено</w:t>
      </w:r>
      <w:r w:rsidRPr="000C4FEE">
        <w:rPr>
          <w:bCs/>
        </w:rPr>
        <w:t xml:space="preserve"> към постигане на следните цели:</w:t>
      </w:r>
    </w:p>
    <w:p w:rsidR="00FE0A3C" w:rsidRDefault="00732FCE" w:rsidP="00FE0A3C">
      <w:pPr>
        <w:spacing w:line="360" w:lineRule="auto"/>
        <w:ind w:firstLine="709"/>
        <w:jc w:val="both"/>
        <w:rPr>
          <w:bCs/>
        </w:rPr>
      </w:pPr>
      <w:r w:rsidRPr="000C4FEE">
        <w:rPr>
          <w:bCs/>
        </w:rPr>
        <w:t xml:space="preserve">Да </w:t>
      </w:r>
      <w:r w:rsidR="00A3503B" w:rsidRPr="000C4FEE">
        <w:rPr>
          <w:bCs/>
        </w:rPr>
        <w:t xml:space="preserve">се осигури съответствие с чл. 4, </w:t>
      </w:r>
      <w:r w:rsidR="00BF595E" w:rsidRPr="000C4FEE">
        <w:rPr>
          <w:bCs/>
        </w:rPr>
        <w:t>параграф 4, алинея</w:t>
      </w:r>
      <w:r w:rsidR="00B950D4" w:rsidRPr="000C4FEE">
        <w:t xml:space="preserve"> </w:t>
      </w:r>
      <w:r w:rsidR="00B950D4" w:rsidRPr="000C4FEE">
        <w:rPr>
          <w:bCs/>
        </w:rPr>
        <w:t>втора</w:t>
      </w:r>
      <w:r w:rsidR="00BF595E" w:rsidRPr="000C4FEE">
        <w:rPr>
          <w:bCs/>
        </w:rPr>
        <w:t xml:space="preserve"> </w:t>
      </w:r>
      <w:r w:rsidR="00BF0947" w:rsidRPr="000C4FEE">
        <w:rPr>
          <w:bCs/>
        </w:rPr>
        <w:t>от Р</w:t>
      </w:r>
      <w:r w:rsidR="00596394">
        <w:rPr>
          <w:bCs/>
        </w:rPr>
        <w:t>егламент</w:t>
      </w:r>
      <w:r w:rsidR="00A66943" w:rsidRPr="000C4FEE">
        <w:rPr>
          <w:bCs/>
        </w:rPr>
        <w:t xml:space="preserve"> </w:t>
      </w:r>
      <w:r w:rsidR="00BF0947" w:rsidRPr="000C4FEE">
        <w:rPr>
          <w:bCs/>
        </w:rPr>
        <w:t xml:space="preserve">(ЕС) 2021/2115 </w:t>
      </w:r>
      <w:r w:rsidR="003734AB" w:rsidRPr="000C4FEE">
        <w:rPr>
          <w:bCs/>
        </w:rPr>
        <w:t>–</w:t>
      </w:r>
      <w:r w:rsidR="00BF595E" w:rsidRPr="000C4FEE">
        <w:rPr>
          <w:bCs/>
        </w:rPr>
        <w:t xml:space="preserve"> </w:t>
      </w:r>
      <w:r w:rsidR="00A3503B" w:rsidRPr="000C4FEE">
        <w:rPr>
          <w:bCs/>
        </w:rPr>
        <w:t>Площите, използвани за производство на коноп, представляват хектари, отговарящи на условията за подпомагане, само ако използваните сортове имат съдържание на тетрахидрок</w:t>
      </w:r>
      <w:r w:rsidR="007D4181">
        <w:rPr>
          <w:bCs/>
        </w:rPr>
        <w:t>анабинол, не по-голямо от 0,3 %;</w:t>
      </w:r>
    </w:p>
    <w:p w:rsidR="00C71165" w:rsidRDefault="00C71165" w:rsidP="00C71165">
      <w:pPr>
        <w:spacing w:line="360" w:lineRule="auto"/>
        <w:ind w:firstLine="709"/>
        <w:jc w:val="both"/>
        <w:rPr>
          <w:bCs/>
        </w:rPr>
      </w:pPr>
      <w:r w:rsidRPr="00C71165">
        <w:rPr>
          <w:bCs/>
        </w:rPr>
        <w:t>Да се осигури кохерентност на правната уредба на издаването на Разрешение за отглеждане на растения от рода на конопа (канабис) със съдържание под 0,3 тегловни процента на тетрахидроканабинол, определено в листната маса, цветните и плодните връхчета.</w:t>
      </w:r>
    </w:p>
    <w:p w:rsidR="00AA1E4D" w:rsidRPr="00C71165" w:rsidRDefault="00AA1E4D" w:rsidP="00C71165">
      <w:pPr>
        <w:spacing w:line="360" w:lineRule="auto"/>
        <w:ind w:firstLine="709"/>
        <w:jc w:val="both"/>
        <w:rPr>
          <w:bCs/>
        </w:rPr>
      </w:pPr>
    </w:p>
    <w:p w:rsidR="00732FCE" w:rsidRPr="000C4FEE" w:rsidRDefault="00732FCE" w:rsidP="003734AB">
      <w:pPr>
        <w:spacing w:line="360" w:lineRule="auto"/>
        <w:ind w:firstLine="709"/>
        <w:jc w:val="both"/>
        <w:rPr>
          <w:b/>
          <w:bCs/>
        </w:rPr>
      </w:pPr>
      <w:r w:rsidRPr="000C4FEE">
        <w:rPr>
          <w:b/>
          <w:bCs/>
        </w:rPr>
        <w:t>Финансови и други средства, необходими за прилагането на новата уредба</w:t>
      </w:r>
    </w:p>
    <w:p w:rsidR="00732FCE" w:rsidRPr="000C4FEE" w:rsidRDefault="00C03939" w:rsidP="003734AB">
      <w:pPr>
        <w:spacing w:line="360" w:lineRule="auto"/>
        <w:ind w:firstLine="709"/>
        <w:jc w:val="both"/>
      </w:pPr>
      <w:r w:rsidRPr="000C4FEE">
        <w:rPr>
          <w:bCs/>
        </w:rPr>
        <w:t xml:space="preserve">Приемането на проекта на акт не води до въздействие върху държавния </w:t>
      </w:r>
      <w:r w:rsidRPr="000C4FEE">
        <w:t xml:space="preserve">бюджет. За </w:t>
      </w:r>
      <w:r w:rsidRPr="000C4FEE">
        <w:rPr>
          <w:bCs/>
        </w:rPr>
        <w:t>приемането на проекта на акт</w:t>
      </w:r>
      <w:r w:rsidRPr="000C4FEE">
        <w:t xml:space="preserve"> </w:t>
      </w:r>
      <w:r w:rsidR="00087CA5" w:rsidRPr="000C4FEE">
        <w:t>н</w:t>
      </w:r>
      <w:r w:rsidR="00732FCE" w:rsidRPr="000C4FEE">
        <w:t>е с</w:t>
      </w:r>
      <w:r w:rsidRPr="000C4FEE">
        <w:t>а</w:t>
      </w:r>
      <w:r w:rsidR="00732FCE" w:rsidRPr="000C4FEE">
        <w:t xml:space="preserve"> </w:t>
      </w:r>
      <w:r w:rsidRPr="000C4FEE">
        <w:t xml:space="preserve">необходими </w:t>
      </w:r>
      <w:r w:rsidR="00732FCE" w:rsidRPr="000C4FEE">
        <w:t>допълнителн</w:t>
      </w:r>
      <w:r w:rsidRPr="000C4FEE">
        <w:t>и разходи/трансфери и други плащания. Не се предвиждат допълнителни разходи и за нейните адресати.</w:t>
      </w:r>
      <w:r w:rsidR="00732FCE" w:rsidRPr="000C4FEE">
        <w:t xml:space="preserve"> </w:t>
      </w:r>
    </w:p>
    <w:p w:rsidR="0078117D" w:rsidRPr="000C4FEE" w:rsidRDefault="0078117D" w:rsidP="003734AB">
      <w:pPr>
        <w:spacing w:line="360" w:lineRule="auto"/>
        <w:ind w:firstLine="709"/>
        <w:jc w:val="both"/>
      </w:pPr>
    </w:p>
    <w:p w:rsidR="00732FCE" w:rsidRPr="000C4FEE" w:rsidRDefault="00732FCE" w:rsidP="003734AB">
      <w:pPr>
        <w:spacing w:line="360" w:lineRule="auto"/>
        <w:ind w:firstLine="709"/>
        <w:jc w:val="both"/>
        <w:rPr>
          <w:b/>
        </w:rPr>
      </w:pPr>
      <w:r w:rsidRPr="000C4FEE">
        <w:rPr>
          <w:b/>
        </w:rPr>
        <w:t>Очаквани резултати от прилагането на акта</w:t>
      </w:r>
    </w:p>
    <w:p w:rsidR="00D95C12" w:rsidRPr="008703D0" w:rsidRDefault="007B559F" w:rsidP="008703D0">
      <w:pPr>
        <w:spacing w:line="360" w:lineRule="auto"/>
        <w:ind w:firstLine="709"/>
        <w:jc w:val="both"/>
        <w:rPr>
          <w:bCs/>
        </w:rPr>
      </w:pPr>
      <w:r>
        <w:rPr>
          <w:bCs/>
        </w:rPr>
        <w:t>И</w:t>
      </w:r>
      <w:r w:rsidR="00213C4A" w:rsidRPr="000C4FEE">
        <w:rPr>
          <w:bCs/>
        </w:rPr>
        <w:t xml:space="preserve">здаване на разрешения за </w:t>
      </w:r>
      <w:r w:rsidR="00827BB7" w:rsidRPr="000C4FEE">
        <w:rPr>
          <w:bCs/>
        </w:rPr>
        <w:t>отглеждане на растения от рода на конопа (</w:t>
      </w:r>
      <w:r w:rsidR="000F7F58" w:rsidRPr="000C4FEE">
        <w:rPr>
          <w:bCs/>
        </w:rPr>
        <w:t>к</w:t>
      </w:r>
      <w:r w:rsidR="00827BB7" w:rsidRPr="000C4FEE">
        <w:rPr>
          <w:bCs/>
        </w:rPr>
        <w:t>анабис), предназначени за влакно, семена за фураж и храна и семена за посев, със съдържание под 0,3 тегловни процента на тетрахидроканабинол</w:t>
      </w:r>
      <w:r w:rsidR="000F7F58" w:rsidRPr="000C4FEE">
        <w:rPr>
          <w:bCs/>
        </w:rPr>
        <w:t>,</w:t>
      </w:r>
      <w:r w:rsidR="00827BB7" w:rsidRPr="000C4FEE">
        <w:rPr>
          <w:bCs/>
        </w:rPr>
        <w:t xml:space="preserve"> определено в листната маса, цветните и плодните връхчета, за търговия и контрол.</w:t>
      </w:r>
      <w:r w:rsidR="00710303" w:rsidRPr="000C4FEE">
        <w:rPr>
          <w:bCs/>
        </w:rPr>
        <w:t xml:space="preserve"> </w:t>
      </w:r>
    </w:p>
    <w:p w:rsidR="00732FCE" w:rsidRPr="000C4FEE" w:rsidRDefault="00732FCE" w:rsidP="003734AB">
      <w:pPr>
        <w:spacing w:line="360" w:lineRule="auto"/>
        <w:ind w:firstLine="709"/>
        <w:jc w:val="both"/>
        <w:rPr>
          <w:bCs/>
        </w:rPr>
      </w:pPr>
      <w:r w:rsidRPr="000C4FEE">
        <w:rPr>
          <w:b/>
        </w:rPr>
        <w:lastRenderedPageBreak/>
        <w:t>Анализ за съответствие с правото на Европейския съюз</w:t>
      </w:r>
    </w:p>
    <w:p w:rsidR="00DE2788" w:rsidRPr="000C4FEE" w:rsidRDefault="00DE2788" w:rsidP="00DE2788">
      <w:pPr>
        <w:spacing w:line="360" w:lineRule="auto"/>
        <w:ind w:firstLine="720"/>
        <w:jc w:val="both"/>
        <w:rPr>
          <w:bCs/>
        </w:rPr>
      </w:pPr>
      <w:r w:rsidRPr="000C4FEE">
        <w:rPr>
          <w:bCs/>
        </w:rPr>
        <w:t>С проекта на Наредба не се транспонират актове на Европейския съюз, поради което не е необхо</w:t>
      </w:r>
      <w:r w:rsidR="000C4FEE">
        <w:rPr>
          <w:bCs/>
        </w:rPr>
        <w:t>димо да бъде изготвена таблица н</w:t>
      </w:r>
      <w:r w:rsidRPr="000C4FEE">
        <w:rPr>
          <w:bCs/>
        </w:rPr>
        <w:t>а съответствието с правото на Европейския съюз.</w:t>
      </w:r>
    </w:p>
    <w:p w:rsidR="00732FCE" w:rsidRPr="000C4FEE" w:rsidRDefault="00337AA2" w:rsidP="003734AB">
      <w:pPr>
        <w:spacing w:line="360" w:lineRule="auto"/>
        <w:ind w:firstLine="709"/>
        <w:jc w:val="both"/>
        <w:rPr>
          <w:bCs/>
        </w:rPr>
      </w:pPr>
      <w:r w:rsidRPr="000C4FEE">
        <w:rPr>
          <w:bCs/>
        </w:rPr>
        <w:t>С проекта се осигурява съответствие на издаваните разрешени</w:t>
      </w:r>
      <w:r w:rsidR="00BD7BD5" w:rsidRPr="000C4FEE">
        <w:rPr>
          <w:bCs/>
        </w:rPr>
        <w:t>я</w:t>
      </w:r>
      <w:r w:rsidRPr="000C4FEE">
        <w:rPr>
          <w:bCs/>
        </w:rPr>
        <w:t xml:space="preserve"> за отглеждане с новия процент </w:t>
      </w:r>
      <w:r w:rsidR="00E775A0" w:rsidRPr="000C4FEE">
        <w:rPr>
          <w:bCs/>
        </w:rPr>
        <w:t>тетрахидроканабинол</w:t>
      </w:r>
      <w:r w:rsidR="00BD7BD5" w:rsidRPr="000C4FEE">
        <w:rPr>
          <w:bCs/>
        </w:rPr>
        <w:t>,</w:t>
      </w:r>
      <w:r w:rsidRPr="000C4FEE">
        <w:rPr>
          <w:bCs/>
        </w:rPr>
        <w:t xml:space="preserve"> определен в </w:t>
      </w:r>
      <w:r w:rsidR="003734AB" w:rsidRPr="000C4FEE">
        <w:rPr>
          <w:bCs/>
        </w:rPr>
        <w:t xml:space="preserve">Регламент </w:t>
      </w:r>
      <w:r w:rsidRPr="000C4FEE">
        <w:rPr>
          <w:bCs/>
        </w:rPr>
        <w:t>(ЕС) 2021/2115 и</w:t>
      </w:r>
      <w:r w:rsidRPr="000C4FEE">
        <w:t xml:space="preserve"> </w:t>
      </w:r>
      <w:r w:rsidR="003734AB" w:rsidRPr="000C4FEE">
        <w:rPr>
          <w:bCs/>
        </w:rPr>
        <w:t xml:space="preserve">Делегиран регламент </w:t>
      </w:r>
      <w:r w:rsidRPr="000C4FEE">
        <w:rPr>
          <w:bCs/>
        </w:rPr>
        <w:t>(ЕС) 2022/126</w:t>
      </w:r>
      <w:r w:rsidR="00B44FD7" w:rsidRPr="000C4FEE">
        <w:rPr>
          <w:bCs/>
        </w:rPr>
        <w:t>.</w:t>
      </w:r>
    </w:p>
    <w:p w:rsidR="008C53DB" w:rsidRPr="000C4FEE" w:rsidRDefault="008C53DB" w:rsidP="003734AB">
      <w:pPr>
        <w:spacing w:line="360" w:lineRule="auto"/>
        <w:ind w:firstLine="709"/>
        <w:jc w:val="both"/>
        <w:rPr>
          <w:b/>
          <w:bCs/>
        </w:rPr>
      </w:pPr>
    </w:p>
    <w:p w:rsidR="00732FCE" w:rsidRPr="000C4FEE" w:rsidRDefault="00732FCE" w:rsidP="003734AB">
      <w:pPr>
        <w:spacing w:line="360" w:lineRule="auto"/>
        <w:ind w:firstLine="709"/>
        <w:jc w:val="both"/>
        <w:rPr>
          <w:b/>
          <w:bCs/>
        </w:rPr>
      </w:pPr>
      <w:r w:rsidRPr="000C4FEE">
        <w:rPr>
          <w:b/>
          <w:bCs/>
        </w:rPr>
        <w:t>Информация за проведените обществени консултации</w:t>
      </w:r>
    </w:p>
    <w:p w:rsidR="004F6372" w:rsidRDefault="004F6372" w:rsidP="000C4FEE">
      <w:pPr>
        <w:spacing w:line="360" w:lineRule="auto"/>
        <w:ind w:firstLine="709"/>
        <w:jc w:val="both"/>
        <w:rPr>
          <w:bCs/>
        </w:rPr>
      </w:pPr>
      <w:r w:rsidRPr="004F6372">
        <w:rPr>
          <w:bCs/>
        </w:rPr>
        <w:t>Съгласно чл. 26, ал. 3 и 4 от Закона за нормативните актове проектите на наредба и доклад (мотиви) са публикувани на интернет страницата на Министерството на земеделието</w:t>
      </w:r>
      <w:r w:rsidR="00AA1E4D">
        <w:rPr>
          <w:bCs/>
          <w:lang w:val="en-US"/>
        </w:rPr>
        <w:t xml:space="preserve"> </w:t>
      </w:r>
      <w:r w:rsidR="00AA1E4D">
        <w:rPr>
          <w:bCs/>
        </w:rPr>
        <w:t>и храните</w:t>
      </w:r>
      <w:r w:rsidRPr="004F6372">
        <w:rPr>
          <w:bCs/>
        </w:rPr>
        <w:t xml:space="preserve"> и на Портала за обществени консултации със срок за предложения и становища 14 дни. Причините за прилагане на 14-дневен срок са, че </w:t>
      </w:r>
      <w:r w:rsidR="00596394">
        <w:rPr>
          <w:bCs/>
        </w:rPr>
        <w:t>периода за</w:t>
      </w:r>
      <w:r w:rsidRPr="004F6372">
        <w:rPr>
          <w:bCs/>
        </w:rPr>
        <w:t xml:space="preserve"> </w:t>
      </w:r>
      <w:r w:rsidR="00286BD8" w:rsidRPr="00672040">
        <w:rPr>
          <w:bCs/>
        </w:rPr>
        <w:t>засаждане</w:t>
      </w:r>
      <w:r w:rsidR="00596394">
        <w:rPr>
          <w:bCs/>
        </w:rPr>
        <w:t xml:space="preserve"> </w:t>
      </w:r>
      <w:r w:rsidR="00596394" w:rsidRPr="00672040">
        <w:rPr>
          <w:bCs/>
        </w:rPr>
        <w:t xml:space="preserve">на растения от рода на конопа (канабис) е към своя </w:t>
      </w:r>
      <w:r w:rsidR="00286BD8" w:rsidRPr="00672040">
        <w:rPr>
          <w:bCs/>
        </w:rPr>
        <w:t>край и на земеделските стопани</w:t>
      </w:r>
      <w:r w:rsidR="00596394" w:rsidRPr="00672040">
        <w:rPr>
          <w:bCs/>
        </w:rPr>
        <w:t xml:space="preserve"> трябва във възможно най-кратки срокове да се издадат разрешения за неговото отглеждане. Наложително е спешно</w:t>
      </w:r>
      <w:r w:rsidR="00286BD8" w:rsidRPr="00672040">
        <w:rPr>
          <w:bCs/>
        </w:rPr>
        <w:t xml:space="preserve"> да се преодолее несъответствието на чл. 29, ал. 1 от ЗКНВП</w:t>
      </w:r>
      <w:r w:rsidR="00596394" w:rsidRPr="00672040">
        <w:rPr>
          <w:bCs/>
        </w:rPr>
        <w:t xml:space="preserve"> </w:t>
      </w:r>
      <w:r w:rsidR="00286BD8" w:rsidRPr="00672040">
        <w:rPr>
          <w:bCs/>
        </w:rPr>
        <w:t xml:space="preserve">с чл. 4, параграф 4, алинея втора от Регламент (ЕС) 2021/2115 и в </w:t>
      </w:r>
      <w:r w:rsidR="00596394" w:rsidRPr="00672040">
        <w:rPr>
          <w:bCs/>
        </w:rPr>
        <w:t>образеца за издаване на Разрешение за отглеждане на растения от рода на конопа (канабис) със съдържание под 0,3 тегловни процента на тетрахидроканабинол, определено в листната маса, цветните и плодните връхчета</w:t>
      </w:r>
      <w:r w:rsidR="00286BD8" w:rsidRPr="00672040">
        <w:rPr>
          <w:bCs/>
        </w:rPr>
        <w:t xml:space="preserve"> правното основание да се коригира съобразно пряко приложимия регламент.</w:t>
      </w:r>
    </w:p>
    <w:p w:rsidR="0078117D" w:rsidRDefault="000C4FEE" w:rsidP="000C4FEE">
      <w:pPr>
        <w:spacing w:line="360" w:lineRule="auto"/>
        <w:ind w:firstLine="709"/>
        <w:jc w:val="both"/>
        <w:rPr>
          <w:bCs/>
        </w:rPr>
      </w:pPr>
      <w:r>
        <w:rPr>
          <w:bCs/>
        </w:rPr>
        <w:t xml:space="preserve">На основание </w:t>
      </w:r>
      <w:r w:rsidR="00732FCE" w:rsidRPr="000C4FEE">
        <w:rPr>
          <w:bCs/>
        </w:rPr>
        <w:t>чл. 26, ал. 5 от Закона за нормативните актове справката за отразяване на постъпилите предложения и становища от обществена</w:t>
      </w:r>
      <w:r w:rsidR="00AA1E4D">
        <w:rPr>
          <w:bCs/>
        </w:rPr>
        <w:t>та</w:t>
      </w:r>
      <w:r w:rsidR="00732FCE" w:rsidRPr="000C4FEE">
        <w:rPr>
          <w:bCs/>
        </w:rPr>
        <w:t xml:space="preserve"> консултация по проекта, заедно с обосновка за неприетите предложения е публикувана на интернет страницата на Министерството на земеделието</w:t>
      </w:r>
      <w:r w:rsidR="00AA1E4D">
        <w:rPr>
          <w:bCs/>
        </w:rPr>
        <w:t xml:space="preserve"> и храните</w:t>
      </w:r>
      <w:r w:rsidR="00732FCE" w:rsidRPr="000C4FEE">
        <w:rPr>
          <w:bCs/>
        </w:rPr>
        <w:t xml:space="preserve"> и на Пор</w:t>
      </w:r>
      <w:r w:rsidR="00984EBC">
        <w:rPr>
          <w:bCs/>
        </w:rPr>
        <w:t>тала за обществени консултации.</w:t>
      </w:r>
    </w:p>
    <w:p w:rsidR="00732FCE" w:rsidRPr="000C4FEE" w:rsidRDefault="00732FCE" w:rsidP="003734AB">
      <w:pPr>
        <w:spacing w:line="360" w:lineRule="auto"/>
        <w:ind w:firstLine="709"/>
        <w:jc w:val="both"/>
        <w:rPr>
          <w:bCs/>
        </w:rPr>
      </w:pPr>
      <w:r w:rsidRPr="000C4FEE">
        <w:rPr>
          <w:bCs/>
        </w:rPr>
        <w:t>Проектът на наредба е съгласуван в съответствие с разпоредбите на Правилата за изготвяне и съгласуване на проекти на актове в системата н</w:t>
      </w:r>
      <w:r w:rsidR="00087CA5" w:rsidRPr="000C4FEE">
        <w:rPr>
          <w:bCs/>
        </w:rPr>
        <w:t>а Министерството на земеделието</w:t>
      </w:r>
      <w:r w:rsidR="00D95C12" w:rsidRPr="000C4FEE">
        <w:rPr>
          <w:bCs/>
        </w:rPr>
        <w:t>, храните и горите</w:t>
      </w:r>
      <w:r w:rsidRPr="000C4FEE">
        <w:rPr>
          <w:bCs/>
        </w:rPr>
        <w:t>. Направените целесъобразни бележки и предложения са отразени. </w:t>
      </w:r>
    </w:p>
    <w:p w:rsidR="003E621F" w:rsidRPr="000C4FEE" w:rsidRDefault="003E621F" w:rsidP="003734AB">
      <w:pPr>
        <w:spacing w:line="360" w:lineRule="auto"/>
        <w:ind w:firstLine="709"/>
        <w:jc w:val="both"/>
        <w:rPr>
          <w:b/>
          <w:noProof/>
          <w:shd w:val="clear" w:color="auto" w:fill="FEFEFE"/>
        </w:rPr>
      </w:pPr>
    </w:p>
    <w:p w:rsidR="00732FCE" w:rsidRPr="000C4FEE" w:rsidRDefault="00732FCE" w:rsidP="00AA1E4D">
      <w:pPr>
        <w:spacing w:line="360" w:lineRule="auto"/>
        <w:jc w:val="both"/>
        <w:rPr>
          <w:b/>
          <w:noProof/>
          <w:shd w:val="clear" w:color="auto" w:fill="FEFEFE"/>
        </w:rPr>
      </w:pPr>
      <w:r w:rsidRPr="000C4FEE">
        <w:rPr>
          <w:b/>
          <w:noProof/>
          <w:shd w:val="clear" w:color="auto" w:fill="FEFEFE"/>
        </w:rPr>
        <w:t>УВАЖАЕМИ ГОСПОДИН МИНИСТЪР,</w:t>
      </w:r>
    </w:p>
    <w:p w:rsidR="00175D37" w:rsidRDefault="00732FCE" w:rsidP="003734AB">
      <w:pPr>
        <w:spacing w:line="360" w:lineRule="auto"/>
        <w:ind w:firstLine="709"/>
        <w:jc w:val="both"/>
      </w:pPr>
      <w:r w:rsidRPr="000C4FEE">
        <w:rPr>
          <w:noProof/>
          <w:shd w:val="clear" w:color="auto" w:fill="FEFEFE"/>
        </w:rPr>
        <w:t xml:space="preserve">Във връзка с гореизложеното, предлагам да издадете приложената </w:t>
      </w:r>
      <w:r w:rsidR="00984EBC">
        <w:t>Наредба</w:t>
      </w:r>
      <w:r w:rsidR="00450DF2" w:rsidRPr="000C4FEE">
        <w:t xml:space="preserve"> за изменение на Наредба № </w:t>
      </w:r>
      <w:r w:rsidR="008A2870" w:rsidRPr="000C4FEE">
        <w:t>1</w:t>
      </w:r>
      <w:r w:rsidR="00450DF2" w:rsidRPr="000C4FEE">
        <w:t xml:space="preserve"> от 201</w:t>
      </w:r>
      <w:r w:rsidR="008A2870" w:rsidRPr="000C4FEE">
        <w:t>8</w:t>
      </w:r>
      <w:r w:rsidR="00450DF2" w:rsidRPr="000C4FEE">
        <w:t xml:space="preserve"> г. </w:t>
      </w:r>
      <w:r w:rsidR="00087CA5" w:rsidRPr="000C4FEE">
        <w:t>за условията и реда за издаване на разрешение за отглеждане на растения от рода на конопа (</w:t>
      </w:r>
      <w:r w:rsidR="00BD7BD5" w:rsidRPr="000C4FEE">
        <w:t>к</w:t>
      </w:r>
      <w:r w:rsidR="00087CA5" w:rsidRPr="000C4FEE">
        <w:t>анабис), предназначени за влакно, семена за фураж и храна и семена</w:t>
      </w:r>
      <w:r w:rsidR="00337AA2" w:rsidRPr="000C4FEE">
        <w:t xml:space="preserve"> за посев, със съдържание под </w:t>
      </w:r>
      <w:r w:rsidR="00C71165">
        <w:t>0,3</w:t>
      </w:r>
      <w:r w:rsidR="00087CA5" w:rsidRPr="000C4FEE">
        <w:t xml:space="preserve"> тегловни </w:t>
      </w:r>
      <w:r w:rsidR="00337AA2" w:rsidRPr="000C4FEE">
        <w:t xml:space="preserve">процента на </w:t>
      </w:r>
      <w:r w:rsidR="00337AA2" w:rsidRPr="000C4FEE">
        <w:lastRenderedPageBreak/>
        <w:t>тетрахидроканабинол</w:t>
      </w:r>
      <w:r w:rsidR="00173CA8" w:rsidRPr="000C4FEE">
        <w:t>,</w:t>
      </w:r>
      <w:r w:rsidR="00087CA5" w:rsidRPr="000C4FEE">
        <w:t xml:space="preserve"> определено в листната маса, цветните и плодните връхчета, за търговия и контрол.</w:t>
      </w:r>
    </w:p>
    <w:p w:rsidR="000C4FEE" w:rsidRPr="000C4FEE" w:rsidRDefault="000C4FEE" w:rsidP="000C4FEE">
      <w:pPr>
        <w:ind w:firstLine="709"/>
        <w:jc w:val="both"/>
      </w:pPr>
    </w:p>
    <w:tbl>
      <w:tblPr>
        <w:tblW w:w="8512" w:type="dxa"/>
        <w:tblInd w:w="668" w:type="dxa"/>
        <w:tblLook w:val="01E0" w:firstRow="1" w:lastRow="1" w:firstColumn="1" w:lastColumn="1" w:noHBand="0" w:noVBand="0"/>
      </w:tblPr>
      <w:tblGrid>
        <w:gridCol w:w="1675"/>
        <w:gridCol w:w="6837"/>
      </w:tblGrid>
      <w:tr w:rsidR="00732FCE" w:rsidRPr="00AA1E4D" w:rsidTr="00503404">
        <w:tc>
          <w:tcPr>
            <w:tcW w:w="1675" w:type="dxa"/>
          </w:tcPr>
          <w:p w:rsidR="00732FCE" w:rsidRPr="00AA1E4D" w:rsidRDefault="00732FCE" w:rsidP="004767DE">
            <w:pPr>
              <w:spacing w:line="360" w:lineRule="auto"/>
              <w:rPr>
                <w:b/>
                <w:bCs/>
                <w:noProof/>
              </w:rPr>
            </w:pPr>
            <w:r w:rsidRPr="00AA1E4D">
              <w:rPr>
                <w:b/>
                <w:bCs/>
                <w:noProof/>
              </w:rPr>
              <w:t xml:space="preserve">Приложение: </w:t>
            </w:r>
          </w:p>
        </w:tc>
        <w:tc>
          <w:tcPr>
            <w:tcW w:w="6837" w:type="dxa"/>
          </w:tcPr>
          <w:p w:rsidR="00732FCE" w:rsidRPr="00AA1E4D" w:rsidRDefault="00450DF2" w:rsidP="00503404">
            <w:pPr>
              <w:pStyle w:val="ListParagraph"/>
              <w:numPr>
                <w:ilvl w:val="0"/>
                <w:numId w:val="1"/>
              </w:numPr>
              <w:spacing w:after="0" w:line="360" w:lineRule="auto"/>
              <w:jc w:val="both"/>
              <w:rPr>
                <w:rFonts w:ascii="Times New Roman" w:hAnsi="Times New Roman" w:cs="Times New Roman"/>
                <w:noProof/>
                <w:sz w:val="24"/>
                <w:szCs w:val="24"/>
                <w:lang w:val="bg-BG"/>
              </w:rPr>
            </w:pPr>
            <w:r w:rsidRPr="00AA1E4D">
              <w:rPr>
                <w:rFonts w:ascii="Times New Roman" w:hAnsi="Times New Roman" w:cs="Times New Roman"/>
                <w:spacing w:val="-2"/>
                <w:sz w:val="24"/>
                <w:szCs w:val="24"/>
                <w:lang w:val="bg-BG"/>
              </w:rPr>
              <w:t>Наредба</w:t>
            </w:r>
            <w:r w:rsidR="0078117D" w:rsidRPr="00AA1E4D">
              <w:rPr>
                <w:rFonts w:ascii="Times New Roman" w:hAnsi="Times New Roman" w:cs="Times New Roman"/>
                <w:spacing w:val="-2"/>
                <w:sz w:val="24"/>
                <w:szCs w:val="24"/>
                <w:lang w:val="bg-BG"/>
              </w:rPr>
              <w:t xml:space="preserve"> </w:t>
            </w:r>
            <w:r w:rsidRPr="00AA1E4D">
              <w:rPr>
                <w:rFonts w:ascii="Times New Roman" w:hAnsi="Times New Roman" w:cs="Times New Roman"/>
                <w:spacing w:val="-2"/>
                <w:sz w:val="24"/>
                <w:szCs w:val="24"/>
                <w:lang w:val="bg-BG"/>
              </w:rPr>
              <w:t xml:space="preserve">за изменение на </w:t>
            </w:r>
            <w:r w:rsidR="00610C44" w:rsidRPr="00AA1E4D">
              <w:rPr>
                <w:rFonts w:ascii="Times New Roman" w:hAnsi="Times New Roman" w:cs="Times New Roman"/>
                <w:spacing w:val="-2"/>
                <w:sz w:val="24"/>
                <w:szCs w:val="24"/>
                <w:lang w:val="bg-BG"/>
              </w:rPr>
              <w:t>Наредба № 1 от 2018 г.</w:t>
            </w:r>
            <w:r w:rsidR="00610C44" w:rsidRPr="00AA1E4D">
              <w:rPr>
                <w:rFonts w:ascii="Times New Roman" w:hAnsi="Times New Roman" w:cs="Times New Roman"/>
                <w:sz w:val="24"/>
                <w:szCs w:val="24"/>
                <w:lang w:val="bg-BG"/>
              </w:rPr>
              <w:t xml:space="preserve">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w:t>
            </w:r>
            <w:r w:rsidR="00C71165" w:rsidRPr="00AA1E4D">
              <w:rPr>
                <w:rFonts w:ascii="Times New Roman" w:hAnsi="Times New Roman" w:cs="Times New Roman"/>
                <w:sz w:val="24"/>
                <w:szCs w:val="24"/>
                <w:lang w:val="bg-BG"/>
              </w:rPr>
              <w:t>за посев, със съдържание под 0,3</w:t>
            </w:r>
            <w:r w:rsidR="00610C44" w:rsidRPr="00AA1E4D">
              <w:rPr>
                <w:rFonts w:ascii="Times New Roman" w:hAnsi="Times New Roman" w:cs="Times New Roman"/>
                <w:sz w:val="24"/>
                <w:szCs w:val="24"/>
                <w:lang w:val="bg-BG"/>
              </w:rPr>
              <w:t xml:space="preserve"> тегловни процента на тетрахидроканабинол, определено в листната маса, цветните и плодните връхчета, за търговия и контрол;</w:t>
            </w:r>
          </w:p>
          <w:p w:rsidR="00732FCE" w:rsidRPr="00AA1E4D" w:rsidRDefault="00732FCE" w:rsidP="00503404">
            <w:pPr>
              <w:pStyle w:val="ListParagraph"/>
              <w:numPr>
                <w:ilvl w:val="0"/>
                <w:numId w:val="1"/>
              </w:numPr>
              <w:spacing w:after="0" w:line="360" w:lineRule="auto"/>
              <w:jc w:val="both"/>
              <w:rPr>
                <w:rFonts w:ascii="Times New Roman" w:hAnsi="Times New Roman" w:cs="Times New Roman"/>
                <w:spacing w:val="4"/>
                <w:sz w:val="24"/>
                <w:szCs w:val="24"/>
                <w:lang w:val="bg-BG"/>
              </w:rPr>
            </w:pPr>
            <w:r w:rsidRPr="00AA1E4D">
              <w:rPr>
                <w:rFonts w:ascii="Times New Roman" w:hAnsi="Times New Roman" w:cs="Times New Roman"/>
                <w:spacing w:val="4"/>
                <w:sz w:val="24"/>
                <w:szCs w:val="24"/>
                <w:lang w:val="bg-BG"/>
              </w:rPr>
              <w:t>Справка за отразяване на постъпилите становища</w:t>
            </w:r>
            <w:r w:rsidR="00AA1E4D" w:rsidRPr="00AA1E4D">
              <w:rPr>
                <w:rFonts w:ascii="Times New Roman" w:hAnsi="Times New Roman" w:cs="Times New Roman"/>
                <w:spacing w:val="4"/>
                <w:sz w:val="24"/>
                <w:szCs w:val="24"/>
                <w:lang w:val="bg-BG"/>
              </w:rPr>
              <w:t xml:space="preserve"> от вътрешноведомственото съгласуване</w:t>
            </w:r>
            <w:r w:rsidRPr="00AA1E4D">
              <w:rPr>
                <w:rFonts w:ascii="Times New Roman" w:hAnsi="Times New Roman" w:cs="Times New Roman"/>
                <w:spacing w:val="4"/>
                <w:sz w:val="24"/>
                <w:szCs w:val="24"/>
                <w:lang w:val="bg-BG"/>
              </w:rPr>
              <w:t>;</w:t>
            </w:r>
          </w:p>
          <w:p w:rsidR="00732FCE" w:rsidRPr="00AA1E4D" w:rsidRDefault="0078117D" w:rsidP="00503404">
            <w:pPr>
              <w:pStyle w:val="ListParagraph"/>
              <w:numPr>
                <w:ilvl w:val="0"/>
                <w:numId w:val="1"/>
              </w:numPr>
              <w:spacing w:after="0" w:line="360" w:lineRule="auto"/>
              <w:jc w:val="both"/>
              <w:rPr>
                <w:rFonts w:ascii="Times New Roman" w:hAnsi="Times New Roman" w:cs="Times New Roman"/>
                <w:spacing w:val="4"/>
                <w:sz w:val="24"/>
                <w:szCs w:val="24"/>
                <w:lang w:val="bg-BG"/>
              </w:rPr>
            </w:pPr>
            <w:r w:rsidRPr="00AA1E4D">
              <w:rPr>
                <w:rFonts w:ascii="Times New Roman" w:hAnsi="Times New Roman" w:cs="Times New Roman"/>
                <w:spacing w:val="4"/>
                <w:sz w:val="24"/>
                <w:szCs w:val="24"/>
                <w:lang w:val="bg-BG"/>
              </w:rPr>
              <w:t>Постъпили становища</w:t>
            </w:r>
            <w:r w:rsidR="00AA1E4D" w:rsidRPr="00AA1E4D">
              <w:rPr>
                <w:rFonts w:ascii="Times New Roman" w:hAnsi="Times New Roman" w:cs="Times New Roman"/>
                <w:spacing w:val="4"/>
                <w:sz w:val="24"/>
                <w:szCs w:val="24"/>
                <w:lang w:val="bg-BG"/>
              </w:rPr>
              <w:t xml:space="preserve"> от вътрешноведомственото съгласуване</w:t>
            </w:r>
            <w:r w:rsidRPr="00AA1E4D">
              <w:rPr>
                <w:rFonts w:ascii="Times New Roman" w:hAnsi="Times New Roman" w:cs="Times New Roman"/>
                <w:spacing w:val="4"/>
                <w:sz w:val="24"/>
                <w:szCs w:val="24"/>
                <w:lang w:val="bg-BG"/>
              </w:rPr>
              <w:t>;</w:t>
            </w:r>
          </w:p>
          <w:p w:rsidR="00732FCE" w:rsidRPr="00AA1E4D" w:rsidRDefault="00732FCE" w:rsidP="00503404">
            <w:pPr>
              <w:pStyle w:val="ListParagraph"/>
              <w:numPr>
                <w:ilvl w:val="0"/>
                <w:numId w:val="1"/>
              </w:numPr>
              <w:spacing w:after="0" w:line="360" w:lineRule="auto"/>
              <w:jc w:val="both"/>
              <w:rPr>
                <w:rFonts w:ascii="Times New Roman" w:hAnsi="Times New Roman" w:cs="Times New Roman"/>
                <w:spacing w:val="4"/>
                <w:sz w:val="24"/>
                <w:szCs w:val="24"/>
                <w:lang w:val="bg-BG"/>
              </w:rPr>
            </w:pPr>
            <w:r w:rsidRPr="00AA1E4D">
              <w:rPr>
                <w:rFonts w:ascii="Times New Roman" w:hAnsi="Times New Roman" w:cs="Times New Roman"/>
                <w:spacing w:val="4"/>
                <w:sz w:val="24"/>
                <w:szCs w:val="24"/>
                <w:lang w:val="bg-BG"/>
              </w:rPr>
              <w:t>Справка за отразяване на постъпилите предло</w:t>
            </w:r>
            <w:r w:rsidR="0078117D" w:rsidRPr="00AA1E4D">
              <w:rPr>
                <w:rFonts w:ascii="Times New Roman" w:hAnsi="Times New Roman" w:cs="Times New Roman"/>
                <w:spacing w:val="4"/>
                <w:sz w:val="24"/>
                <w:szCs w:val="24"/>
                <w:lang w:val="bg-BG"/>
              </w:rPr>
              <w:t>жения и становища от</w:t>
            </w:r>
            <w:r w:rsidRPr="00AA1E4D">
              <w:rPr>
                <w:rFonts w:ascii="Times New Roman" w:hAnsi="Times New Roman" w:cs="Times New Roman"/>
                <w:spacing w:val="4"/>
                <w:sz w:val="24"/>
                <w:szCs w:val="24"/>
                <w:lang w:val="bg-BG"/>
              </w:rPr>
              <w:t xml:space="preserve"> обществена</w:t>
            </w:r>
            <w:r w:rsidR="00DE2788" w:rsidRPr="00AA1E4D">
              <w:rPr>
                <w:rFonts w:ascii="Times New Roman" w:hAnsi="Times New Roman" w:cs="Times New Roman"/>
                <w:spacing w:val="4"/>
                <w:sz w:val="24"/>
                <w:szCs w:val="24"/>
                <w:lang w:val="bg-BG"/>
              </w:rPr>
              <w:t>та</w:t>
            </w:r>
            <w:r w:rsidRPr="00AA1E4D">
              <w:rPr>
                <w:rFonts w:ascii="Times New Roman" w:hAnsi="Times New Roman" w:cs="Times New Roman"/>
                <w:spacing w:val="4"/>
                <w:sz w:val="24"/>
                <w:szCs w:val="24"/>
                <w:lang w:val="bg-BG"/>
              </w:rPr>
              <w:t xml:space="preserve"> консултация</w:t>
            </w:r>
            <w:r w:rsidR="000C4FEE" w:rsidRPr="00AA1E4D">
              <w:rPr>
                <w:rFonts w:ascii="Times New Roman" w:hAnsi="Times New Roman" w:cs="Times New Roman"/>
                <w:spacing w:val="4"/>
                <w:sz w:val="24"/>
                <w:szCs w:val="24"/>
                <w:lang w:val="bg-BG"/>
              </w:rPr>
              <w:t>, заедно с обосновка за неприетите предложения</w:t>
            </w:r>
            <w:r w:rsidRPr="00AA1E4D">
              <w:rPr>
                <w:rFonts w:ascii="Times New Roman" w:hAnsi="Times New Roman" w:cs="Times New Roman"/>
                <w:spacing w:val="4"/>
                <w:sz w:val="24"/>
                <w:szCs w:val="24"/>
                <w:lang w:val="bg-BG"/>
              </w:rPr>
              <w:t>;</w:t>
            </w:r>
          </w:p>
          <w:p w:rsidR="00732FCE" w:rsidRPr="00AA1E4D" w:rsidRDefault="00732FCE" w:rsidP="00503404">
            <w:pPr>
              <w:pStyle w:val="ListParagraph"/>
              <w:numPr>
                <w:ilvl w:val="0"/>
                <w:numId w:val="1"/>
              </w:numPr>
              <w:spacing w:after="0" w:line="360" w:lineRule="auto"/>
              <w:jc w:val="both"/>
              <w:rPr>
                <w:rFonts w:ascii="Times New Roman" w:hAnsi="Times New Roman" w:cs="Times New Roman"/>
                <w:noProof/>
                <w:sz w:val="24"/>
                <w:szCs w:val="24"/>
                <w:lang w:val="bg-BG"/>
              </w:rPr>
            </w:pPr>
            <w:r w:rsidRPr="00AA1E4D">
              <w:rPr>
                <w:rFonts w:ascii="Times New Roman" w:hAnsi="Times New Roman" w:cs="Times New Roman"/>
                <w:sz w:val="24"/>
                <w:szCs w:val="24"/>
                <w:lang w:val="bg-BG"/>
              </w:rPr>
              <w:t>Постъпили предложения и становища от обществена</w:t>
            </w:r>
            <w:r w:rsidR="0078117D" w:rsidRPr="00AA1E4D">
              <w:rPr>
                <w:rFonts w:ascii="Times New Roman" w:hAnsi="Times New Roman" w:cs="Times New Roman"/>
                <w:sz w:val="24"/>
                <w:szCs w:val="24"/>
                <w:lang w:val="bg-BG"/>
              </w:rPr>
              <w:t>та</w:t>
            </w:r>
            <w:r w:rsidRPr="00AA1E4D">
              <w:rPr>
                <w:rFonts w:ascii="Times New Roman" w:hAnsi="Times New Roman" w:cs="Times New Roman"/>
                <w:sz w:val="24"/>
                <w:szCs w:val="24"/>
                <w:lang w:val="bg-BG"/>
              </w:rPr>
              <w:t xml:space="preserve"> консултация.</w:t>
            </w:r>
          </w:p>
        </w:tc>
      </w:tr>
    </w:tbl>
    <w:p w:rsidR="00B23F81" w:rsidRPr="00503404" w:rsidRDefault="00B23F81" w:rsidP="00503404">
      <w:pPr>
        <w:spacing w:line="360" w:lineRule="auto"/>
        <w:jc w:val="both"/>
        <w:rPr>
          <w:lang w:val="en-US" w:eastAsia="en-GB"/>
        </w:rPr>
      </w:pPr>
    </w:p>
    <w:p w:rsidR="000C4FEE" w:rsidRDefault="000C4FEE" w:rsidP="00503404">
      <w:pPr>
        <w:spacing w:line="360" w:lineRule="auto"/>
        <w:jc w:val="both"/>
        <w:rPr>
          <w:lang w:val="en-US" w:eastAsia="en-GB"/>
        </w:rPr>
      </w:pPr>
    </w:p>
    <w:p w:rsidR="00AA1E4D" w:rsidRPr="00503404" w:rsidRDefault="00AA1E4D" w:rsidP="00503404">
      <w:pPr>
        <w:spacing w:line="360" w:lineRule="auto"/>
        <w:jc w:val="both"/>
        <w:rPr>
          <w:lang w:val="en-US" w:eastAsia="en-GB"/>
        </w:rPr>
      </w:pPr>
    </w:p>
    <w:p w:rsidR="00732FCE" w:rsidRPr="00503404" w:rsidRDefault="00C71165" w:rsidP="00503404">
      <w:pPr>
        <w:spacing w:line="360" w:lineRule="auto"/>
        <w:rPr>
          <w:b/>
          <w:caps/>
          <w:lang w:eastAsia="en-GB"/>
        </w:rPr>
      </w:pPr>
      <w:r>
        <w:rPr>
          <w:b/>
          <w:caps/>
          <w:lang w:eastAsia="en-GB"/>
        </w:rPr>
        <w:t>АЛЕКСАНДЪР ЙОЦЕВ</w:t>
      </w:r>
    </w:p>
    <w:p w:rsidR="00732FCE" w:rsidRPr="00503404" w:rsidRDefault="00732FCE" w:rsidP="00503404">
      <w:pPr>
        <w:tabs>
          <w:tab w:val="left" w:pos="1843"/>
          <w:tab w:val="left" w:pos="2268"/>
        </w:tabs>
        <w:spacing w:line="360" w:lineRule="auto"/>
        <w:jc w:val="both"/>
        <w:rPr>
          <w:i/>
          <w:lang w:eastAsia="en-GB"/>
        </w:rPr>
      </w:pPr>
      <w:r w:rsidRPr="00503404">
        <w:rPr>
          <w:i/>
          <w:lang w:eastAsia="en-GB"/>
        </w:rPr>
        <w:t>Заместник-министър</w:t>
      </w:r>
      <w:bookmarkStart w:id="0" w:name="_GoBack"/>
      <w:bookmarkEnd w:id="0"/>
    </w:p>
    <w:sectPr w:rsidR="00732FCE" w:rsidRPr="00503404" w:rsidSect="00AA1E4D">
      <w:footerReference w:type="default" r:id="rId9"/>
      <w:headerReference w:type="first" r:id="rId10"/>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C6" w:rsidRDefault="00CE72C6">
      <w:r>
        <w:separator/>
      </w:r>
    </w:p>
  </w:endnote>
  <w:endnote w:type="continuationSeparator" w:id="0">
    <w:p w:rsidR="00CE72C6" w:rsidRDefault="00CE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50078"/>
      <w:docPartObj>
        <w:docPartGallery w:val="Page Numbers (Bottom of Page)"/>
        <w:docPartUnique/>
      </w:docPartObj>
    </w:sdtPr>
    <w:sdtEndPr>
      <w:rPr>
        <w:noProof/>
        <w:sz w:val="20"/>
        <w:szCs w:val="20"/>
      </w:rPr>
    </w:sdtEndPr>
    <w:sdtContent>
      <w:p w:rsidR="00996552" w:rsidRPr="00A70CC8" w:rsidRDefault="00996552" w:rsidP="00996552">
        <w:pPr>
          <w:pStyle w:val="Footer"/>
          <w:jc w:val="right"/>
          <w:rPr>
            <w:sz w:val="20"/>
            <w:szCs w:val="20"/>
          </w:rPr>
        </w:pPr>
        <w:r w:rsidRPr="00A70CC8">
          <w:rPr>
            <w:sz w:val="20"/>
            <w:szCs w:val="20"/>
          </w:rPr>
          <w:fldChar w:fldCharType="begin"/>
        </w:r>
        <w:r w:rsidRPr="00A70CC8">
          <w:rPr>
            <w:sz w:val="20"/>
            <w:szCs w:val="20"/>
          </w:rPr>
          <w:instrText xml:space="preserve"> PAGE   \* MERGEFORMAT </w:instrText>
        </w:r>
        <w:r w:rsidRPr="00A70CC8">
          <w:rPr>
            <w:sz w:val="20"/>
            <w:szCs w:val="20"/>
          </w:rPr>
          <w:fldChar w:fldCharType="separate"/>
        </w:r>
        <w:r w:rsidR="00E4403F">
          <w:rPr>
            <w:noProof/>
            <w:sz w:val="20"/>
            <w:szCs w:val="20"/>
          </w:rPr>
          <w:t>5</w:t>
        </w:r>
        <w:r w:rsidRPr="00A70CC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C6" w:rsidRDefault="00CE72C6">
      <w:r>
        <w:separator/>
      </w:r>
    </w:p>
  </w:footnote>
  <w:footnote w:type="continuationSeparator" w:id="0">
    <w:p w:rsidR="00CE72C6" w:rsidRDefault="00CE7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41" w:rsidRPr="00BB4541" w:rsidRDefault="00BB4541" w:rsidP="00BB4541">
    <w:pPr>
      <w:widowControl w:val="0"/>
      <w:tabs>
        <w:tab w:val="center" w:pos="4320"/>
        <w:tab w:val="right" w:pos="8640"/>
      </w:tabs>
      <w:overflowPunct w:val="0"/>
      <w:autoSpaceDE w:val="0"/>
      <w:autoSpaceDN w:val="0"/>
      <w:adjustRightInd w:val="0"/>
      <w:jc w:val="right"/>
      <w:textAlignment w:val="baseline"/>
      <w:rPr>
        <w:rFonts w:ascii="Verdana" w:hAnsi="Verdana"/>
        <w:sz w:val="16"/>
        <w:szCs w:val="16"/>
      </w:rPr>
    </w:pPr>
    <w:r w:rsidRPr="00BB4541">
      <w:rPr>
        <w:rFonts w:ascii="Verdana" w:hAnsi="Verdana" w:cs="Verdana"/>
        <w:sz w:val="16"/>
        <w:szCs w:val="16"/>
      </w:rPr>
      <w:t>Класификация на информацията:</w:t>
    </w:r>
  </w:p>
  <w:p w:rsidR="00BB4541" w:rsidRPr="00BB4541" w:rsidRDefault="001E2162" w:rsidP="00BB4541">
    <w:pPr>
      <w:tabs>
        <w:tab w:val="center" w:pos="4153"/>
        <w:tab w:val="right" w:pos="8306"/>
      </w:tabs>
      <w:jc w:val="right"/>
      <w:rPr>
        <w:sz w:val="20"/>
        <w:szCs w:val="20"/>
        <w:lang w:val="en-GB"/>
      </w:rPr>
    </w:pPr>
    <w:r>
      <w:rPr>
        <w:rFonts w:ascii="Verdana" w:hAnsi="Verdana"/>
        <w:sz w:val="16"/>
        <w:szCs w:val="16"/>
      </w:rPr>
      <w:t>Ниво 0</w:t>
    </w:r>
    <w:r w:rsidR="00BB4541" w:rsidRPr="00BB4541">
      <w:rPr>
        <w:rFonts w:ascii="Verdana" w:hAnsi="Verdana"/>
        <w:sz w:val="16"/>
        <w:szCs w:val="16"/>
      </w:rPr>
      <w:t>, TLP-</w:t>
    </w:r>
    <w:r w:rsidR="00BB4541">
      <w:rPr>
        <w:rFonts w:ascii="Verdana" w:hAnsi="Verdana"/>
        <w:sz w:val="16"/>
        <w:szCs w:val="16"/>
        <w:lang w:val="en-US"/>
      </w:rPr>
      <w:t>WHITE</w:t>
    </w:r>
  </w:p>
  <w:p w:rsidR="00BB4541" w:rsidRDefault="00BB4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AC7"/>
    <w:multiLevelType w:val="hybridMultilevel"/>
    <w:tmpl w:val="5F9C4BA6"/>
    <w:lvl w:ilvl="0" w:tplc="012C3A06">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46420E07"/>
    <w:multiLevelType w:val="hybridMultilevel"/>
    <w:tmpl w:val="4574D3A0"/>
    <w:lvl w:ilvl="0" w:tplc="E1783E10">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15:restartNumberingAfterBreak="0">
    <w:nsid w:val="5DDF72D6"/>
    <w:multiLevelType w:val="hybridMultilevel"/>
    <w:tmpl w:val="8E2A7338"/>
    <w:lvl w:ilvl="0" w:tplc="EFFEA904">
      <w:numFmt w:val="bullet"/>
      <w:lvlText w:val="-"/>
      <w:lvlJc w:val="left"/>
      <w:pPr>
        <w:ind w:left="1210" w:hanging="360"/>
      </w:pPr>
      <w:rPr>
        <w:rFonts w:ascii="Times New Roman" w:eastAsiaTheme="minorHAnsi" w:hAnsi="Times New Roman" w:cs="Times New Roman" w:hint="default"/>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686C5070"/>
    <w:multiLevelType w:val="multilevel"/>
    <w:tmpl w:val="AB602A5C"/>
    <w:lvl w:ilvl="0">
      <w:start w:val="1"/>
      <w:numFmt w:val="decimal"/>
      <w:suff w:val="space"/>
      <w:lvlText w:val="%1."/>
      <w:lvlJc w:val="right"/>
      <w:pPr>
        <w:ind w:left="340" w:firstLine="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74A52593"/>
    <w:multiLevelType w:val="hybridMultilevel"/>
    <w:tmpl w:val="B9CC3DDE"/>
    <w:lvl w:ilvl="0" w:tplc="EFF05BB6">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15:restartNumberingAfterBreak="0">
    <w:nsid w:val="74D8592B"/>
    <w:multiLevelType w:val="hybridMultilevel"/>
    <w:tmpl w:val="9EB88438"/>
    <w:lvl w:ilvl="0" w:tplc="1FCAF3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A7"/>
    <w:rsid w:val="000026F4"/>
    <w:rsid w:val="000149EB"/>
    <w:rsid w:val="00015E32"/>
    <w:rsid w:val="0001636C"/>
    <w:rsid w:val="00017334"/>
    <w:rsid w:val="000366AF"/>
    <w:rsid w:val="000668EC"/>
    <w:rsid w:val="0008739A"/>
    <w:rsid w:val="00087CA5"/>
    <w:rsid w:val="000A7426"/>
    <w:rsid w:val="000C4FEE"/>
    <w:rsid w:val="000D513B"/>
    <w:rsid w:val="000F7F58"/>
    <w:rsid w:val="00103AFD"/>
    <w:rsid w:val="0012208C"/>
    <w:rsid w:val="00124106"/>
    <w:rsid w:val="00173CA8"/>
    <w:rsid w:val="001740B9"/>
    <w:rsid w:val="00175D37"/>
    <w:rsid w:val="00176DA8"/>
    <w:rsid w:val="00195BB5"/>
    <w:rsid w:val="001A240C"/>
    <w:rsid w:val="001A32C9"/>
    <w:rsid w:val="001B4F40"/>
    <w:rsid w:val="001C7270"/>
    <w:rsid w:val="001D4105"/>
    <w:rsid w:val="001E2162"/>
    <w:rsid w:val="001F27D9"/>
    <w:rsid w:val="002075AD"/>
    <w:rsid w:val="00213C4A"/>
    <w:rsid w:val="0021603D"/>
    <w:rsid w:val="00221125"/>
    <w:rsid w:val="002477E1"/>
    <w:rsid w:val="00250526"/>
    <w:rsid w:val="00286BD8"/>
    <w:rsid w:val="0029107B"/>
    <w:rsid w:val="00294B1F"/>
    <w:rsid w:val="002961B6"/>
    <w:rsid w:val="002B3EE8"/>
    <w:rsid w:val="002B5B59"/>
    <w:rsid w:val="002B695C"/>
    <w:rsid w:val="002D4C06"/>
    <w:rsid w:val="002F7E56"/>
    <w:rsid w:val="00304FF8"/>
    <w:rsid w:val="003218C0"/>
    <w:rsid w:val="00326C98"/>
    <w:rsid w:val="00337AA2"/>
    <w:rsid w:val="003734AB"/>
    <w:rsid w:val="00375E21"/>
    <w:rsid w:val="003A47DE"/>
    <w:rsid w:val="003B5785"/>
    <w:rsid w:val="003C6533"/>
    <w:rsid w:val="003E621F"/>
    <w:rsid w:val="00417EDF"/>
    <w:rsid w:val="00420DA7"/>
    <w:rsid w:val="00444C66"/>
    <w:rsid w:val="00450DF2"/>
    <w:rsid w:val="004743BB"/>
    <w:rsid w:val="004767DE"/>
    <w:rsid w:val="0049192F"/>
    <w:rsid w:val="004A7F58"/>
    <w:rsid w:val="004B257E"/>
    <w:rsid w:val="004B434E"/>
    <w:rsid w:val="004C0A09"/>
    <w:rsid w:val="004F6372"/>
    <w:rsid w:val="00503404"/>
    <w:rsid w:val="0050464C"/>
    <w:rsid w:val="005055A0"/>
    <w:rsid w:val="005120A1"/>
    <w:rsid w:val="00540271"/>
    <w:rsid w:val="00560514"/>
    <w:rsid w:val="005945C1"/>
    <w:rsid w:val="00596394"/>
    <w:rsid w:val="005D4956"/>
    <w:rsid w:val="00605933"/>
    <w:rsid w:val="00610C44"/>
    <w:rsid w:val="00611DDC"/>
    <w:rsid w:val="00631915"/>
    <w:rsid w:val="006554B5"/>
    <w:rsid w:val="006558FA"/>
    <w:rsid w:val="006638A7"/>
    <w:rsid w:val="006709B3"/>
    <w:rsid w:val="00672040"/>
    <w:rsid w:val="006817C7"/>
    <w:rsid w:val="006A4C06"/>
    <w:rsid w:val="006B60DF"/>
    <w:rsid w:val="006C1F9D"/>
    <w:rsid w:val="006E1933"/>
    <w:rsid w:val="006E657A"/>
    <w:rsid w:val="007016EB"/>
    <w:rsid w:val="00710303"/>
    <w:rsid w:val="007122BD"/>
    <w:rsid w:val="007176BE"/>
    <w:rsid w:val="00732A60"/>
    <w:rsid w:val="00732FCE"/>
    <w:rsid w:val="00760289"/>
    <w:rsid w:val="007602CF"/>
    <w:rsid w:val="0077554F"/>
    <w:rsid w:val="0078117D"/>
    <w:rsid w:val="007B559F"/>
    <w:rsid w:val="007D4181"/>
    <w:rsid w:val="00804F27"/>
    <w:rsid w:val="008057D5"/>
    <w:rsid w:val="00817020"/>
    <w:rsid w:val="00826E3A"/>
    <w:rsid w:val="00827BB7"/>
    <w:rsid w:val="00841D75"/>
    <w:rsid w:val="008703D0"/>
    <w:rsid w:val="008828DD"/>
    <w:rsid w:val="00892C58"/>
    <w:rsid w:val="00894AC9"/>
    <w:rsid w:val="008A2870"/>
    <w:rsid w:val="008B7846"/>
    <w:rsid w:val="008C53DB"/>
    <w:rsid w:val="008C5440"/>
    <w:rsid w:val="00900B7D"/>
    <w:rsid w:val="009277C1"/>
    <w:rsid w:val="009279C6"/>
    <w:rsid w:val="00974235"/>
    <w:rsid w:val="009752B6"/>
    <w:rsid w:val="00977270"/>
    <w:rsid w:val="00984EBC"/>
    <w:rsid w:val="0098731C"/>
    <w:rsid w:val="00990092"/>
    <w:rsid w:val="00996552"/>
    <w:rsid w:val="009A1D33"/>
    <w:rsid w:val="009A667C"/>
    <w:rsid w:val="009A76B9"/>
    <w:rsid w:val="009C2CE0"/>
    <w:rsid w:val="009F4CCF"/>
    <w:rsid w:val="00A02641"/>
    <w:rsid w:val="00A13414"/>
    <w:rsid w:val="00A142FA"/>
    <w:rsid w:val="00A17807"/>
    <w:rsid w:val="00A2602C"/>
    <w:rsid w:val="00A3503B"/>
    <w:rsid w:val="00A441B3"/>
    <w:rsid w:val="00A66943"/>
    <w:rsid w:val="00A70CC8"/>
    <w:rsid w:val="00A90A88"/>
    <w:rsid w:val="00A95F26"/>
    <w:rsid w:val="00A97F7E"/>
    <w:rsid w:val="00AA1E4D"/>
    <w:rsid w:val="00AB63DC"/>
    <w:rsid w:val="00AC3457"/>
    <w:rsid w:val="00AE55B6"/>
    <w:rsid w:val="00AF4003"/>
    <w:rsid w:val="00B153FF"/>
    <w:rsid w:val="00B23F81"/>
    <w:rsid w:val="00B4407A"/>
    <w:rsid w:val="00B44FD7"/>
    <w:rsid w:val="00B45B60"/>
    <w:rsid w:val="00B760ED"/>
    <w:rsid w:val="00B83802"/>
    <w:rsid w:val="00B83EC7"/>
    <w:rsid w:val="00B91030"/>
    <w:rsid w:val="00B950D4"/>
    <w:rsid w:val="00BB4541"/>
    <w:rsid w:val="00BC6D8E"/>
    <w:rsid w:val="00BC7DFD"/>
    <w:rsid w:val="00BD4F29"/>
    <w:rsid w:val="00BD7BD5"/>
    <w:rsid w:val="00BF0947"/>
    <w:rsid w:val="00BF595E"/>
    <w:rsid w:val="00C03939"/>
    <w:rsid w:val="00C05460"/>
    <w:rsid w:val="00C0571E"/>
    <w:rsid w:val="00C51DDC"/>
    <w:rsid w:val="00C65D63"/>
    <w:rsid w:val="00C71165"/>
    <w:rsid w:val="00C75830"/>
    <w:rsid w:val="00C936F3"/>
    <w:rsid w:val="00C9398C"/>
    <w:rsid w:val="00C95149"/>
    <w:rsid w:val="00CA3466"/>
    <w:rsid w:val="00CB72F3"/>
    <w:rsid w:val="00CC6023"/>
    <w:rsid w:val="00CE72C6"/>
    <w:rsid w:val="00CF32CA"/>
    <w:rsid w:val="00CF6613"/>
    <w:rsid w:val="00D033A7"/>
    <w:rsid w:val="00D33303"/>
    <w:rsid w:val="00D43C1D"/>
    <w:rsid w:val="00D56DA9"/>
    <w:rsid w:val="00D574B5"/>
    <w:rsid w:val="00D62ED9"/>
    <w:rsid w:val="00D74F84"/>
    <w:rsid w:val="00D901F1"/>
    <w:rsid w:val="00D95C12"/>
    <w:rsid w:val="00DE2788"/>
    <w:rsid w:val="00DF2BFF"/>
    <w:rsid w:val="00E00FA8"/>
    <w:rsid w:val="00E23F15"/>
    <w:rsid w:val="00E419A7"/>
    <w:rsid w:val="00E4403F"/>
    <w:rsid w:val="00E461A6"/>
    <w:rsid w:val="00E522B8"/>
    <w:rsid w:val="00E775A0"/>
    <w:rsid w:val="00E809A0"/>
    <w:rsid w:val="00E85389"/>
    <w:rsid w:val="00E97BB0"/>
    <w:rsid w:val="00EC4250"/>
    <w:rsid w:val="00ED1C18"/>
    <w:rsid w:val="00F21392"/>
    <w:rsid w:val="00F214E3"/>
    <w:rsid w:val="00F25E6A"/>
    <w:rsid w:val="00F479AE"/>
    <w:rsid w:val="00F63A98"/>
    <w:rsid w:val="00F82D4C"/>
    <w:rsid w:val="00F84498"/>
    <w:rsid w:val="00FB188F"/>
    <w:rsid w:val="00FB74F3"/>
    <w:rsid w:val="00FD3B2D"/>
    <w:rsid w:val="00FE0A3C"/>
    <w:rsid w:val="00FE53B6"/>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23D2B-A097-48E8-81D8-EF57D72C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4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732FC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CE"/>
    <w:rPr>
      <w:rFonts w:ascii="Times New Roman" w:eastAsia="Times New Roman" w:hAnsi="Times New Roman" w:cs="Times New Roman"/>
      <w:b/>
      <w:sz w:val="28"/>
      <w:szCs w:val="20"/>
      <w:lang w:val="bg-BG" w:eastAsia="bg-BG"/>
    </w:rPr>
  </w:style>
  <w:style w:type="paragraph" w:styleId="Footer">
    <w:name w:val="footer"/>
    <w:basedOn w:val="Normal"/>
    <w:link w:val="FooterChar"/>
    <w:uiPriority w:val="99"/>
    <w:rsid w:val="00732FCE"/>
    <w:pPr>
      <w:tabs>
        <w:tab w:val="center" w:pos="4536"/>
        <w:tab w:val="right" w:pos="9072"/>
      </w:tabs>
    </w:pPr>
  </w:style>
  <w:style w:type="character" w:customStyle="1" w:styleId="FooterChar">
    <w:name w:val="Footer Char"/>
    <w:basedOn w:val="DefaultParagraphFont"/>
    <w:link w:val="Footer"/>
    <w:uiPriority w:val="99"/>
    <w:rsid w:val="00732FCE"/>
    <w:rPr>
      <w:rFonts w:ascii="Times New Roman" w:eastAsia="Times New Roman" w:hAnsi="Times New Roman" w:cs="Times New Roman"/>
      <w:sz w:val="24"/>
      <w:szCs w:val="24"/>
      <w:lang w:val="bg-BG" w:eastAsia="bg-BG"/>
    </w:rPr>
  </w:style>
  <w:style w:type="character" w:customStyle="1" w:styleId="FontStyle52">
    <w:name w:val="Font Style52"/>
    <w:uiPriority w:val="99"/>
    <w:rsid w:val="00732FCE"/>
    <w:rPr>
      <w:rFonts w:ascii="Verdana" w:hAnsi="Verdana" w:cs="Verdana"/>
      <w:sz w:val="18"/>
      <w:szCs w:val="18"/>
    </w:rPr>
  </w:style>
  <w:style w:type="paragraph" w:styleId="ListParagraph">
    <w:name w:val="List Paragraph"/>
    <w:basedOn w:val="Normal"/>
    <w:uiPriority w:val="34"/>
    <w:qFormat/>
    <w:rsid w:val="00732FCE"/>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oj-doc-ti">
    <w:name w:val="oj-doc-ti"/>
    <w:basedOn w:val="Normal"/>
    <w:rsid w:val="00F214E3"/>
    <w:pPr>
      <w:spacing w:before="100" w:beforeAutospacing="1" w:after="100" w:afterAutospacing="1"/>
    </w:pPr>
  </w:style>
  <w:style w:type="paragraph" w:customStyle="1" w:styleId="title19">
    <w:name w:val="title19"/>
    <w:basedOn w:val="Normal"/>
    <w:rsid w:val="00F479AE"/>
    <w:pPr>
      <w:spacing w:before="100" w:beforeAutospacing="1" w:after="100" w:afterAutospacing="1"/>
      <w:ind w:firstLine="1155"/>
      <w:jc w:val="both"/>
    </w:pPr>
    <w:rPr>
      <w:i/>
      <w:iCs/>
    </w:rPr>
  </w:style>
  <w:style w:type="character" w:customStyle="1" w:styleId="historyitemselected1">
    <w:name w:val="historyitemselected1"/>
    <w:basedOn w:val="DefaultParagraphFont"/>
    <w:rsid w:val="00F479AE"/>
    <w:rPr>
      <w:b/>
      <w:bCs/>
      <w:color w:val="0086C6"/>
    </w:rPr>
  </w:style>
  <w:style w:type="paragraph" w:styleId="Header">
    <w:name w:val="header"/>
    <w:basedOn w:val="Normal"/>
    <w:link w:val="HeaderChar"/>
    <w:uiPriority w:val="99"/>
    <w:unhideWhenUsed/>
    <w:rsid w:val="00BB4541"/>
    <w:pPr>
      <w:tabs>
        <w:tab w:val="center" w:pos="4703"/>
        <w:tab w:val="right" w:pos="9406"/>
      </w:tabs>
    </w:pPr>
  </w:style>
  <w:style w:type="character" w:customStyle="1" w:styleId="HeaderChar">
    <w:name w:val="Header Char"/>
    <w:basedOn w:val="DefaultParagraphFont"/>
    <w:link w:val="Header"/>
    <w:uiPriority w:val="99"/>
    <w:rsid w:val="00BB4541"/>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826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3A"/>
    <w:rPr>
      <w:rFonts w:ascii="Segoe UI" w:eastAsia="Times New Roman" w:hAnsi="Segoe UI" w:cs="Segoe UI"/>
      <w:sz w:val="18"/>
      <w:szCs w:val="18"/>
      <w:lang w:val="bg-BG" w:eastAsia="bg-BG"/>
    </w:rPr>
  </w:style>
  <w:style w:type="character" w:customStyle="1" w:styleId="search01">
    <w:name w:val="search01"/>
    <w:basedOn w:val="DefaultParagraphFont"/>
    <w:rsid w:val="007D4181"/>
    <w:rPr>
      <w:shd w:val="clear" w:color="auto" w:fill="FF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65567">
      <w:bodyDiv w:val="1"/>
      <w:marLeft w:val="0"/>
      <w:marRight w:val="0"/>
      <w:marTop w:val="0"/>
      <w:marBottom w:val="0"/>
      <w:divBdr>
        <w:top w:val="none" w:sz="0" w:space="0" w:color="auto"/>
        <w:left w:val="none" w:sz="0" w:space="0" w:color="auto"/>
        <w:bottom w:val="none" w:sz="0" w:space="0" w:color="auto"/>
        <w:right w:val="none" w:sz="0" w:space="0" w:color="auto"/>
      </w:divBdr>
      <w:divsChild>
        <w:div w:id="1185749482">
          <w:marLeft w:val="0"/>
          <w:marRight w:val="0"/>
          <w:marTop w:val="0"/>
          <w:marBottom w:val="0"/>
          <w:divBdr>
            <w:top w:val="none" w:sz="0" w:space="0" w:color="auto"/>
            <w:left w:val="none" w:sz="0" w:space="0" w:color="auto"/>
            <w:bottom w:val="none" w:sz="0" w:space="0" w:color="auto"/>
            <w:right w:val="none" w:sz="0" w:space="0" w:color="auto"/>
          </w:divBdr>
        </w:div>
        <w:div w:id="1159539477">
          <w:marLeft w:val="0"/>
          <w:marRight w:val="0"/>
          <w:marTop w:val="0"/>
          <w:marBottom w:val="0"/>
          <w:divBdr>
            <w:top w:val="none" w:sz="0" w:space="0" w:color="auto"/>
            <w:left w:val="none" w:sz="0" w:space="0" w:color="auto"/>
            <w:bottom w:val="none" w:sz="0" w:space="0" w:color="auto"/>
            <w:right w:val="none" w:sz="0" w:space="0" w:color="auto"/>
          </w:divBdr>
        </w:div>
        <w:div w:id="1716351382">
          <w:marLeft w:val="0"/>
          <w:marRight w:val="0"/>
          <w:marTop w:val="0"/>
          <w:marBottom w:val="0"/>
          <w:divBdr>
            <w:top w:val="none" w:sz="0" w:space="0" w:color="auto"/>
            <w:left w:val="none" w:sz="0" w:space="0" w:color="auto"/>
            <w:bottom w:val="none" w:sz="0" w:space="0" w:color="auto"/>
            <w:right w:val="none" w:sz="0" w:space="0" w:color="auto"/>
          </w:divBdr>
        </w:div>
        <w:div w:id="1133600762">
          <w:marLeft w:val="0"/>
          <w:marRight w:val="0"/>
          <w:marTop w:val="0"/>
          <w:marBottom w:val="0"/>
          <w:divBdr>
            <w:top w:val="none" w:sz="0" w:space="0" w:color="auto"/>
            <w:left w:val="none" w:sz="0" w:space="0" w:color="auto"/>
            <w:bottom w:val="none" w:sz="0" w:space="0" w:color="auto"/>
            <w:right w:val="none" w:sz="0" w:space="0" w:color="auto"/>
          </w:divBdr>
        </w:div>
        <w:div w:id="425853007">
          <w:marLeft w:val="0"/>
          <w:marRight w:val="0"/>
          <w:marTop w:val="0"/>
          <w:marBottom w:val="0"/>
          <w:divBdr>
            <w:top w:val="none" w:sz="0" w:space="0" w:color="auto"/>
            <w:left w:val="none" w:sz="0" w:space="0" w:color="auto"/>
            <w:bottom w:val="none" w:sz="0" w:space="0" w:color="auto"/>
            <w:right w:val="none" w:sz="0" w:space="0" w:color="auto"/>
          </w:divBdr>
        </w:div>
        <w:div w:id="1743672896">
          <w:marLeft w:val="0"/>
          <w:marRight w:val="0"/>
          <w:marTop w:val="0"/>
          <w:marBottom w:val="0"/>
          <w:divBdr>
            <w:top w:val="none" w:sz="0" w:space="0" w:color="auto"/>
            <w:left w:val="none" w:sz="0" w:space="0" w:color="auto"/>
            <w:bottom w:val="none" w:sz="0" w:space="0" w:color="auto"/>
            <w:right w:val="none" w:sz="0" w:space="0" w:color="auto"/>
          </w:divBdr>
        </w:div>
        <w:div w:id="1846893128">
          <w:marLeft w:val="0"/>
          <w:marRight w:val="0"/>
          <w:marTop w:val="0"/>
          <w:marBottom w:val="0"/>
          <w:divBdr>
            <w:top w:val="none" w:sz="0" w:space="0" w:color="auto"/>
            <w:left w:val="none" w:sz="0" w:space="0" w:color="auto"/>
            <w:bottom w:val="none" w:sz="0" w:space="0" w:color="auto"/>
            <w:right w:val="none" w:sz="0" w:space="0" w:color="auto"/>
          </w:divBdr>
        </w:div>
        <w:div w:id="390273259">
          <w:marLeft w:val="0"/>
          <w:marRight w:val="0"/>
          <w:marTop w:val="0"/>
          <w:marBottom w:val="0"/>
          <w:divBdr>
            <w:top w:val="none" w:sz="0" w:space="0" w:color="auto"/>
            <w:left w:val="none" w:sz="0" w:space="0" w:color="auto"/>
            <w:bottom w:val="none" w:sz="0" w:space="0" w:color="auto"/>
            <w:right w:val="none" w:sz="0" w:space="0" w:color="auto"/>
          </w:divBdr>
        </w:div>
        <w:div w:id="2061902936">
          <w:marLeft w:val="0"/>
          <w:marRight w:val="0"/>
          <w:marTop w:val="0"/>
          <w:marBottom w:val="0"/>
          <w:divBdr>
            <w:top w:val="none" w:sz="0" w:space="0" w:color="auto"/>
            <w:left w:val="none" w:sz="0" w:space="0" w:color="auto"/>
            <w:bottom w:val="none" w:sz="0" w:space="0" w:color="auto"/>
            <w:right w:val="none" w:sz="0" w:space="0" w:color="auto"/>
          </w:divBdr>
        </w:div>
        <w:div w:id="1497962357">
          <w:marLeft w:val="0"/>
          <w:marRight w:val="0"/>
          <w:marTop w:val="0"/>
          <w:marBottom w:val="0"/>
          <w:divBdr>
            <w:top w:val="none" w:sz="0" w:space="0" w:color="auto"/>
            <w:left w:val="none" w:sz="0" w:space="0" w:color="auto"/>
            <w:bottom w:val="none" w:sz="0" w:space="0" w:color="auto"/>
            <w:right w:val="none" w:sz="0" w:space="0" w:color="auto"/>
          </w:divBdr>
        </w:div>
        <w:div w:id="1739985260">
          <w:marLeft w:val="0"/>
          <w:marRight w:val="0"/>
          <w:marTop w:val="0"/>
          <w:marBottom w:val="0"/>
          <w:divBdr>
            <w:top w:val="none" w:sz="0" w:space="0" w:color="auto"/>
            <w:left w:val="none" w:sz="0" w:space="0" w:color="auto"/>
            <w:bottom w:val="none" w:sz="0" w:space="0" w:color="auto"/>
            <w:right w:val="none" w:sz="0" w:space="0" w:color="auto"/>
          </w:divBdr>
        </w:div>
        <w:div w:id="1594319004">
          <w:marLeft w:val="0"/>
          <w:marRight w:val="0"/>
          <w:marTop w:val="0"/>
          <w:marBottom w:val="0"/>
          <w:divBdr>
            <w:top w:val="none" w:sz="0" w:space="0" w:color="auto"/>
            <w:left w:val="none" w:sz="0" w:space="0" w:color="auto"/>
            <w:bottom w:val="none" w:sz="0" w:space="0" w:color="auto"/>
            <w:right w:val="none" w:sz="0" w:space="0" w:color="auto"/>
          </w:divBdr>
        </w:div>
        <w:div w:id="1933658744">
          <w:marLeft w:val="0"/>
          <w:marRight w:val="0"/>
          <w:marTop w:val="0"/>
          <w:marBottom w:val="0"/>
          <w:divBdr>
            <w:top w:val="none" w:sz="0" w:space="0" w:color="auto"/>
            <w:left w:val="none" w:sz="0" w:space="0" w:color="auto"/>
            <w:bottom w:val="none" w:sz="0" w:space="0" w:color="auto"/>
            <w:right w:val="none" w:sz="0" w:space="0" w:color="auto"/>
          </w:divBdr>
        </w:div>
        <w:div w:id="2050568132">
          <w:marLeft w:val="0"/>
          <w:marRight w:val="0"/>
          <w:marTop w:val="0"/>
          <w:marBottom w:val="0"/>
          <w:divBdr>
            <w:top w:val="none" w:sz="0" w:space="0" w:color="auto"/>
            <w:left w:val="none" w:sz="0" w:space="0" w:color="auto"/>
            <w:bottom w:val="none" w:sz="0" w:space="0" w:color="auto"/>
            <w:right w:val="none" w:sz="0" w:space="0" w:color="auto"/>
          </w:divBdr>
        </w:div>
        <w:div w:id="409547346">
          <w:marLeft w:val="0"/>
          <w:marRight w:val="0"/>
          <w:marTop w:val="0"/>
          <w:marBottom w:val="0"/>
          <w:divBdr>
            <w:top w:val="none" w:sz="0" w:space="0" w:color="auto"/>
            <w:left w:val="none" w:sz="0" w:space="0" w:color="auto"/>
            <w:bottom w:val="none" w:sz="0" w:space="0" w:color="auto"/>
            <w:right w:val="none" w:sz="0" w:space="0" w:color="auto"/>
          </w:divBdr>
        </w:div>
        <w:div w:id="2132479679">
          <w:marLeft w:val="0"/>
          <w:marRight w:val="0"/>
          <w:marTop w:val="0"/>
          <w:marBottom w:val="0"/>
          <w:divBdr>
            <w:top w:val="none" w:sz="0" w:space="0" w:color="auto"/>
            <w:left w:val="none" w:sz="0" w:space="0" w:color="auto"/>
            <w:bottom w:val="none" w:sz="0" w:space="0" w:color="auto"/>
            <w:right w:val="none" w:sz="0" w:space="0" w:color="auto"/>
          </w:divBdr>
        </w:div>
        <w:div w:id="1074546180">
          <w:marLeft w:val="0"/>
          <w:marRight w:val="0"/>
          <w:marTop w:val="0"/>
          <w:marBottom w:val="0"/>
          <w:divBdr>
            <w:top w:val="none" w:sz="0" w:space="0" w:color="auto"/>
            <w:left w:val="none" w:sz="0" w:space="0" w:color="auto"/>
            <w:bottom w:val="none" w:sz="0" w:space="0" w:color="auto"/>
            <w:right w:val="none" w:sz="0" w:space="0" w:color="auto"/>
          </w:divBdr>
        </w:div>
        <w:div w:id="586766939">
          <w:marLeft w:val="0"/>
          <w:marRight w:val="0"/>
          <w:marTop w:val="0"/>
          <w:marBottom w:val="0"/>
          <w:divBdr>
            <w:top w:val="none" w:sz="0" w:space="0" w:color="auto"/>
            <w:left w:val="none" w:sz="0" w:space="0" w:color="auto"/>
            <w:bottom w:val="none" w:sz="0" w:space="0" w:color="auto"/>
            <w:right w:val="none" w:sz="0" w:space="0" w:color="auto"/>
          </w:divBdr>
        </w:div>
        <w:div w:id="1755662979">
          <w:marLeft w:val="0"/>
          <w:marRight w:val="0"/>
          <w:marTop w:val="0"/>
          <w:marBottom w:val="0"/>
          <w:divBdr>
            <w:top w:val="none" w:sz="0" w:space="0" w:color="auto"/>
            <w:left w:val="none" w:sz="0" w:space="0" w:color="auto"/>
            <w:bottom w:val="none" w:sz="0" w:space="0" w:color="auto"/>
            <w:right w:val="none" w:sz="0" w:space="0" w:color="auto"/>
          </w:divBdr>
        </w:div>
        <w:div w:id="476722593">
          <w:marLeft w:val="0"/>
          <w:marRight w:val="0"/>
          <w:marTop w:val="0"/>
          <w:marBottom w:val="0"/>
          <w:divBdr>
            <w:top w:val="none" w:sz="0" w:space="0" w:color="auto"/>
            <w:left w:val="none" w:sz="0" w:space="0" w:color="auto"/>
            <w:bottom w:val="none" w:sz="0" w:space="0" w:color="auto"/>
            <w:right w:val="none" w:sz="0" w:space="0" w:color="auto"/>
          </w:divBdr>
        </w:div>
        <w:div w:id="1855877089">
          <w:marLeft w:val="0"/>
          <w:marRight w:val="0"/>
          <w:marTop w:val="0"/>
          <w:marBottom w:val="0"/>
          <w:divBdr>
            <w:top w:val="none" w:sz="0" w:space="0" w:color="auto"/>
            <w:left w:val="none" w:sz="0" w:space="0" w:color="auto"/>
            <w:bottom w:val="none" w:sz="0" w:space="0" w:color="auto"/>
            <w:right w:val="none" w:sz="0" w:space="0" w:color="auto"/>
          </w:divBdr>
        </w:div>
        <w:div w:id="850408665">
          <w:marLeft w:val="0"/>
          <w:marRight w:val="0"/>
          <w:marTop w:val="0"/>
          <w:marBottom w:val="0"/>
          <w:divBdr>
            <w:top w:val="none" w:sz="0" w:space="0" w:color="auto"/>
            <w:left w:val="none" w:sz="0" w:space="0" w:color="auto"/>
            <w:bottom w:val="none" w:sz="0" w:space="0" w:color="auto"/>
            <w:right w:val="none" w:sz="0" w:space="0" w:color="auto"/>
          </w:divBdr>
        </w:div>
        <w:div w:id="1995791436">
          <w:marLeft w:val="0"/>
          <w:marRight w:val="0"/>
          <w:marTop w:val="0"/>
          <w:marBottom w:val="0"/>
          <w:divBdr>
            <w:top w:val="none" w:sz="0" w:space="0" w:color="auto"/>
            <w:left w:val="none" w:sz="0" w:space="0" w:color="auto"/>
            <w:bottom w:val="none" w:sz="0" w:space="0" w:color="auto"/>
            <w:right w:val="none" w:sz="0" w:space="0" w:color="auto"/>
          </w:divBdr>
        </w:div>
        <w:div w:id="1831823959">
          <w:marLeft w:val="0"/>
          <w:marRight w:val="0"/>
          <w:marTop w:val="0"/>
          <w:marBottom w:val="0"/>
          <w:divBdr>
            <w:top w:val="none" w:sz="0" w:space="0" w:color="auto"/>
            <w:left w:val="none" w:sz="0" w:space="0" w:color="auto"/>
            <w:bottom w:val="none" w:sz="0" w:space="0" w:color="auto"/>
            <w:right w:val="none" w:sz="0" w:space="0" w:color="auto"/>
          </w:divBdr>
        </w:div>
        <w:div w:id="922446846">
          <w:marLeft w:val="0"/>
          <w:marRight w:val="0"/>
          <w:marTop w:val="0"/>
          <w:marBottom w:val="0"/>
          <w:divBdr>
            <w:top w:val="none" w:sz="0" w:space="0" w:color="auto"/>
            <w:left w:val="none" w:sz="0" w:space="0" w:color="auto"/>
            <w:bottom w:val="none" w:sz="0" w:space="0" w:color="auto"/>
            <w:right w:val="none" w:sz="0" w:space="0" w:color="auto"/>
          </w:divBdr>
        </w:div>
        <w:div w:id="301618655">
          <w:marLeft w:val="0"/>
          <w:marRight w:val="0"/>
          <w:marTop w:val="0"/>
          <w:marBottom w:val="0"/>
          <w:divBdr>
            <w:top w:val="none" w:sz="0" w:space="0" w:color="auto"/>
            <w:left w:val="none" w:sz="0" w:space="0" w:color="auto"/>
            <w:bottom w:val="none" w:sz="0" w:space="0" w:color="auto"/>
            <w:right w:val="none" w:sz="0" w:space="0" w:color="auto"/>
          </w:divBdr>
        </w:div>
        <w:div w:id="2117407238">
          <w:marLeft w:val="0"/>
          <w:marRight w:val="0"/>
          <w:marTop w:val="0"/>
          <w:marBottom w:val="0"/>
          <w:divBdr>
            <w:top w:val="none" w:sz="0" w:space="0" w:color="auto"/>
            <w:left w:val="none" w:sz="0" w:space="0" w:color="auto"/>
            <w:bottom w:val="none" w:sz="0" w:space="0" w:color="auto"/>
            <w:right w:val="none" w:sz="0" w:space="0" w:color="auto"/>
          </w:divBdr>
        </w:div>
        <w:div w:id="2077701813">
          <w:marLeft w:val="0"/>
          <w:marRight w:val="0"/>
          <w:marTop w:val="0"/>
          <w:marBottom w:val="0"/>
          <w:divBdr>
            <w:top w:val="none" w:sz="0" w:space="0" w:color="auto"/>
            <w:left w:val="none" w:sz="0" w:space="0" w:color="auto"/>
            <w:bottom w:val="none" w:sz="0" w:space="0" w:color="auto"/>
            <w:right w:val="none" w:sz="0" w:space="0" w:color="auto"/>
          </w:divBdr>
        </w:div>
        <w:div w:id="1277562609">
          <w:marLeft w:val="0"/>
          <w:marRight w:val="0"/>
          <w:marTop w:val="0"/>
          <w:marBottom w:val="0"/>
          <w:divBdr>
            <w:top w:val="none" w:sz="0" w:space="0" w:color="auto"/>
            <w:left w:val="none" w:sz="0" w:space="0" w:color="auto"/>
            <w:bottom w:val="none" w:sz="0" w:space="0" w:color="auto"/>
            <w:right w:val="none" w:sz="0" w:space="0" w:color="auto"/>
          </w:divBdr>
        </w:div>
        <w:div w:id="1076824546">
          <w:marLeft w:val="0"/>
          <w:marRight w:val="0"/>
          <w:marTop w:val="0"/>
          <w:marBottom w:val="0"/>
          <w:divBdr>
            <w:top w:val="none" w:sz="0" w:space="0" w:color="auto"/>
            <w:left w:val="none" w:sz="0" w:space="0" w:color="auto"/>
            <w:bottom w:val="none" w:sz="0" w:space="0" w:color="auto"/>
            <w:right w:val="none" w:sz="0" w:space="0" w:color="auto"/>
          </w:divBdr>
        </w:div>
        <w:div w:id="980188825">
          <w:marLeft w:val="0"/>
          <w:marRight w:val="0"/>
          <w:marTop w:val="0"/>
          <w:marBottom w:val="0"/>
          <w:divBdr>
            <w:top w:val="none" w:sz="0" w:space="0" w:color="auto"/>
            <w:left w:val="none" w:sz="0" w:space="0" w:color="auto"/>
            <w:bottom w:val="none" w:sz="0" w:space="0" w:color="auto"/>
            <w:right w:val="none" w:sz="0" w:space="0" w:color="auto"/>
          </w:divBdr>
        </w:div>
        <w:div w:id="1573157247">
          <w:marLeft w:val="0"/>
          <w:marRight w:val="0"/>
          <w:marTop w:val="0"/>
          <w:marBottom w:val="0"/>
          <w:divBdr>
            <w:top w:val="none" w:sz="0" w:space="0" w:color="auto"/>
            <w:left w:val="none" w:sz="0" w:space="0" w:color="auto"/>
            <w:bottom w:val="none" w:sz="0" w:space="0" w:color="auto"/>
            <w:right w:val="none" w:sz="0" w:space="0" w:color="auto"/>
          </w:divBdr>
        </w:div>
        <w:div w:id="674039477">
          <w:marLeft w:val="0"/>
          <w:marRight w:val="0"/>
          <w:marTop w:val="0"/>
          <w:marBottom w:val="0"/>
          <w:divBdr>
            <w:top w:val="none" w:sz="0" w:space="0" w:color="auto"/>
            <w:left w:val="none" w:sz="0" w:space="0" w:color="auto"/>
            <w:bottom w:val="none" w:sz="0" w:space="0" w:color="auto"/>
            <w:right w:val="none" w:sz="0" w:space="0" w:color="auto"/>
          </w:divBdr>
        </w:div>
        <w:div w:id="1314599840">
          <w:marLeft w:val="0"/>
          <w:marRight w:val="0"/>
          <w:marTop w:val="0"/>
          <w:marBottom w:val="0"/>
          <w:divBdr>
            <w:top w:val="none" w:sz="0" w:space="0" w:color="auto"/>
            <w:left w:val="none" w:sz="0" w:space="0" w:color="auto"/>
            <w:bottom w:val="none" w:sz="0" w:space="0" w:color="auto"/>
            <w:right w:val="none" w:sz="0" w:space="0" w:color="auto"/>
          </w:divBdr>
        </w:div>
        <w:div w:id="172962774">
          <w:marLeft w:val="0"/>
          <w:marRight w:val="0"/>
          <w:marTop w:val="0"/>
          <w:marBottom w:val="0"/>
          <w:divBdr>
            <w:top w:val="none" w:sz="0" w:space="0" w:color="auto"/>
            <w:left w:val="none" w:sz="0" w:space="0" w:color="auto"/>
            <w:bottom w:val="none" w:sz="0" w:space="0" w:color="auto"/>
            <w:right w:val="none" w:sz="0" w:space="0" w:color="auto"/>
          </w:divBdr>
        </w:div>
        <w:div w:id="1027759168">
          <w:marLeft w:val="0"/>
          <w:marRight w:val="0"/>
          <w:marTop w:val="0"/>
          <w:marBottom w:val="0"/>
          <w:divBdr>
            <w:top w:val="none" w:sz="0" w:space="0" w:color="auto"/>
            <w:left w:val="none" w:sz="0" w:space="0" w:color="auto"/>
            <w:bottom w:val="none" w:sz="0" w:space="0" w:color="auto"/>
            <w:right w:val="none" w:sz="0" w:space="0" w:color="auto"/>
          </w:divBdr>
        </w:div>
        <w:div w:id="702512809">
          <w:marLeft w:val="0"/>
          <w:marRight w:val="0"/>
          <w:marTop w:val="0"/>
          <w:marBottom w:val="0"/>
          <w:divBdr>
            <w:top w:val="none" w:sz="0" w:space="0" w:color="auto"/>
            <w:left w:val="none" w:sz="0" w:space="0" w:color="auto"/>
            <w:bottom w:val="none" w:sz="0" w:space="0" w:color="auto"/>
            <w:right w:val="none" w:sz="0" w:space="0" w:color="auto"/>
          </w:divBdr>
        </w:div>
        <w:div w:id="1013725739">
          <w:marLeft w:val="0"/>
          <w:marRight w:val="0"/>
          <w:marTop w:val="0"/>
          <w:marBottom w:val="0"/>
          <w:divBdr>
            <w:top w:val="none" w:sz="0" w:space="0" w:color="auto"/>
            <w:left w:val="none" w:sz="0" w:space="0" w:color="auto"/>
            <w:bottom w:val="none" w:sz="0" w:space="0" w:color="auto"/>
            <w:right w:val="none" w:sz="0" w:space="0" w:color="auto"/>
          </w:divBdr>
        </w:div>
        <w:div w:id="605697557">
          <w:marLeft w:val="0"/>
          <w:marRight w:val="0"/>
          <w:marTop w:val="0"/>
          <w:marBottom w:val="0"/>
          <w:divBdr>
            <w:top w:val="none" w:sz="0" w:space="0" w:color="auto"/>
            <w:left w:val="none" w:sz="0" w:space="0" w:color="auto"/>
            <w:bottom w:val="none" w:sz="0" w:space="0" w:color="auto"/>
            <w:right w:val="none" w:sz="0" w:space="0" w:color="auto"/>
          </w:divBdr>
        </w:div>
        <w:div w:id="1648439250">
          <w:marLeft w:val="0"/>
          <w:marRight w:val="0"/>
          <w:marTop w:val="0"/>
          <w:marBottom w:val="0"/>
          <w:divBdr>
            <w:top w:val="none" w:sz="0" w:space="0" w:color="auto"/>
            <w:left w:val="none" w:sz="0" w:space="0" w:color="auto"/>
            <w:bottom w:val="none" w:sz="0" w:space="0" w:color="auto"/>
            <w:right w:val="none" w:sz="0" w:space="0" w:color="auto"/>
          </w:divBdr>
        </w:div>
        <w:div w:id="289746336">
          <w:marLeft w:val="0"/>
          <w:marRight w:val="0"/>
          <w:marTop w:val="0"/>
          <w:marBottom w:val="0"/>
          <w:divBdr>
            <w:top w:val="none" w:sz="0" w:space="0" w:color="auto"/>
            <w:left w:val="none" w:sz="0" w:space="0" w:color="auto"/>
            <w:bottom w:val="none" w:sz="0" w:space="0" w:color="auto"/>
            <w:right w:val="none" w:sz="0" w:space="0" w:color="auto"/>
          </w:divBdr>
        </w:div>
        <w:div w:id="1593473300">
          <w:marLeft w:val="0"/>
          <w:marRight w:val="0"/>
          <w:marTop w:val="0"/>
          <w:marBottom w:val="0"/>
          <w:divBdr>
            <w:top w:val="none" w:sz="0" w:space="0" w:color="auto"/>
            <w:left w:val="none" w:sz="0" w:space="0" w:color="auto"/>
            <w:bottom w:val="none" w:sz="0" w:space="0" w:color="auto"/>
            <w:right w:val="none" w:sz="0" w:space="0" w:color="auto"/>
          </w:divBdr>
        </w:div>
        <w:div w:id="837379715">
          <w:marLeft w:val="0"/>
          <w:marRight w:val="0"/>
          <w:marTop w:val="0"/>
          <w:marBottom w:val="0"/>
          <w:divBdr>
            <w:top w:val="none" w:sz="0" w:space="0" w:color="auto"/>
            <w:left w:val="none" w:sz="0" w:space="0" w:color="auto"/>
            <w:bottom w:val="none" w:sz="0" w:space="0" w:color="auto"/>
            <w:right w:val="none" w:sz="0" w:space="0" w:color="auto"/>
          </w:divBdr>
        </w:div>
        <w:div w:id="1530484479">
          <w:marLeft w:val="0"/>
          <w:marRight w:val="0"/>
          <w:marTop w:val="0"/>
          <w:marBottom w:val="0"/>
          <w:divBdr>
            <w:top w:val="none" w:sz="0" w:space="0" w:color="auto"/>
            <w:left w:val="none" w:sz="0" w:space="0" w:color="auto"/>
            <w:bottom w:val="none" w:sz="0" w:space="0" w:color="auto"/>
            <w:right w:val="none" w:sz="0" w:space="0" w:color="auto"/>
          </w:divBdr>
        </w:div>
        <w:div w:id="164976146">
          <w:marLeft w:val="0"/>
          <w:marRight w:val="0"/>
          <w:marTop w:val="0"/>
          <w:marBottom w:val="0"/>
          <w:divBdr>
            <w:top w:val="none" w:sz="0" w:space="0" w:color="auto"/>
            <w:left w:val="none" w:sz="0" w:space="0" w:color="auto"/>
            <w:bottom w:val="none" w:sz="0" w:space="0" w:color="auto"/>
            <w:right w:val="none" w:sz="0" w:space="0" w:color="auto"/>
          </w:divBdr>
        </w:div>
        <w:div w:id="50353182">
          <w:marLeft w:val="0"/>
          <w:marRight w:val="0"/>
          <w:marTop w:val="0"/>
          <w:marBottom w:val="0"/>
          <w:divBdr>
            <w:top w:val="none" w:sz="0" w:space="0" w:color="auto"/>
            <w:left w:val="none" w:sz="0" w:space="0" w:color="auto"/>
            <w:bottom w:val="none" w:sz="0" w:space="0" w:color="auto"/>
            <w:right w:val="none" w:sz="0" w:space="0" w:color="auto"/>
          </w:divBdr>
        </w:div>
        <w:div w:id="289366122">
          <w:marLeft w:val="0"/>
          <w:marRight w:val="0"/>
          <w:marTop w:val="0"/>
          <w:marBottom w:val="0"/>
          <w:divBdr>
            <w:top w:val="none" w:sz="0" w:space="0" w:color="auto"/>
            <w:left w:val="none" w:sz="0" w:space="0" w:color="auto"/>
            <w:bottom w:val="none" w:sz="0" w:space="0" w:color="auto"/>
            <w:right w:val="none" w:sz="0" w:space="0" w:color="auto"/>
          </w:divBdr>
        </w:div>
        <w:div w:id="2044817474">
          <w:marLeft w:val="0"/>
          <w:marRight w:val="0"/>
          <w:marTop w:val="0"/>
          <w:marBottom w:val="0"/>
          <w:divBdr>
            <w:top w:val="none" w:sz="0" w:space="0" w:color="auto"/>
            <w:left w:val="none" w:sz="0" w:space="0" w:color="auto"/>
            <w:bottom w:val="none" w:sz="0" w:space="0" w:color="auto"/>
            <w:right w:val="none" w:sz="0" w:space="0" w:color="auto"/>
          </w:divBdr>
        </w:div>
        <w:div w:id="837959904">
          <w:marLeft w:val="0"/>
          <w:marRight w:val="0"/>
          <w:marTop w:val="0"/>
          <w:marBottom w:val="0"/>
          <w:divBdr>
            <w:top w:val="none" w:sz="0" w:space="0" w:color="auto"/>
            <w:left w:val="none" w:sz="0" w:space="0" w:color="auto"/>
            <w:bottom w:val="none" w:sz="0" w:space="0" w:color="auto"/>
            <w:right w:val="none" w:sz="0" w:space="0" w:color="auto"/>
          </w:divBdr>
        </w:div>
        <w:div w:id="1724987602">
          <w:marLeft w:val="0"/>
          <w:marRight w:val="0"/>
          <w:marTop w:val="0"/>
          <w:marBottom w:val="0"/>
          <w:divBdr>
            <w:top w:val="none" w:sz="0" w:space="0" w:color="auto"/>
            <w:left w:val="none" w:sz="0" w:space="0" w:color="auto"/>
            <w:bottom w:val="none" w:sz="0" w:space="0" w:color="auto"/>
            <w:right w:val="none" w:sz="0" w:space="0" w:color="auto"/>
          </w:divBdr>
        </w:div>
        <w:div w:id="1790974390">
          <w:marLeft w:val="0"/>
          <w:marRight w:val="0"/>
          <w:marTop w:val="0"/>
          <w:marBottom w:val="0"/>
          <w:divBdr>
            <w:top w:val="none" w:sz="0" w:space="0" w:color="auto"/>
            <w:left w:val="none" w:sz="0" w:space="0" w:color="auto"/>
            <w:bottom w:val="none" w:sz="0" w:space="0" w:color="auto"/>
            <w:right w:val="none" w:sz="0" w:space="0" w:color="auto"/>
          </w:divBdr>
        </w:div>
        <w:div w:id="2074309310">
          <w:marLeft w:val="0"/>
          <w:marRight w:val="0"/>
          <w:marTop w:val="0"/>
          <w:marBottom w:val="0"/>
          <w:divBdr>
            <w:top w:val="none" w:sz="0" w:space="0" w:color="auto"/>
            <w:left w:val="none" w:sz="0" w:space="0" w:color="auto"/>
            <w:bottom w:val="none" w:sz="0" w:space="0" w:color="auto"/>
            <w:right w:val="none" w:sz="0" w:space="0" w:color="auto"/>
          </w:divBdr>
        </w:div>
        <w:div w:id="397901201">
          <w:marLeft w:val="0"/>
          <w:marRight w:val="0"/>
          <w:marTop w:val="0"/>
          <w:marBottom w:val="0"/>
          <w:divBdr>
            <w:top w:val="none" w:sz="0" w:space="0" w:color="auto"/>
            <w:left w:val="none" w:sz="0" w:space="0" w:color="auto"/>
            <w:bottom w:val="none" w:sz="0" w:space="0" w:color="auto"/>
            <w:right w:val="none" w:sz="0" w:space="0" w:color="auto"/>
          </w:divBdr>
        </w:div>
        <w:div w:id="1511525586">
          <w:marLeft w:val="0"/>
          <w:marRight w:val="0"/>
          <w:marTop w:val="0"/>
          <w:marBottom w:val="0"/>
          <w:divBdr>
            <w:top w:val="none" w:sz="0" w:space="0" w:color="auto"/>
            <w:left w:val="none" w:sz="0" w:space="0" w:color="auto"/>
            <w:bottom w:val="none" w:sz="0" w:space="0" w:color="auto"/>
            <w:right w:val="none" w:sz="0" w:space="0" w:color="auto"/>
          </w:divBdr>
        </w:div>
        <w:div w:id="1486817228">
          <w:marLeft w:val="0"/>
          <w:marRight w:val="0"/>
          <w:marTop w:val="0"/>
          <w:marBottom w:val="0"/>
          <w:divBdr>
            <w:top w:val="none" w:sz="0" w:space="0" w:color="auto"/>
            <w:left w:val="none" w:sz="0" w:space="0" w:color="auto"/>
            <w:bottom w:val="none" w:sz="0" w:space="0" w:color="auto"/>
            <w:right w:val="none" w:sz="0" w:space="0" w:color="auto"/>
          </w:divBdr>
        </w:div>
      </w:divsChild>
    </w:div>
    <w:div w:id="508253382">
      <w:bodyDiv w:val="1"/>
      <w:marLeft w:val="0"/>
      <w:marRight w:val="0"/>
      <w:marTop w:val="0"/>
      <w:marBottom w:val="0"/>
      <w:divBdr>
        <w:top w:val="none" w:sz="0" w:space="0" w:color="auto"/>
        <w:left w:val="none" w:sz="0" w:space="0" w:color="auto"/>
        <w:bottom w:val="none" w:sz="0" w:space="0" w:color="auto"/>
        <w:right w:val="none" w:sz="0" w:space="0" w:color="auto"/>
      </w:divBdr>
    </w:div>
    <w:div w:id="753283011">
      <w:bodyDiv w:val="1"/>
      <w:marLeft w:val="390"/>
      <w:marRight w:val="390"/>
      <w:marTop w:val="0"/>
      <w:marBottom w:val="0"/>
      <w:divBdr>
        <w:top w:val="none" w:sz="0" w:space="0" w:color="auto"/>
        <w:left w:val="none" w:sz="0" w:space="0" w:color="auto"/>
        <w:bottom w:val="none" w:sz="0" w:space="0" w:color="auto"/>
        <w:right w:val="none" w:sz="0" w:space="0" w:color="auto"/>
      </w:divBdr>
      <w:divsChild>
        <w:div w:id="343674552">
          <w:marLeft w:val="0"/>
          <w:marRight w:val="0"/>
          <w:marTop w:val="75"/>
          <w:marBottom w:val="0"/>
          <w:divBdr>
            <w:top w:val="none" w:sz="0" w:space="0" w:color="auto"/>
            <w:left w:val="none" w:sz="0" w:space="0" w:color="auto"/>
            <w:bottom w:val="none" w:sz="0" w:space="0" w:color="auto"/>
            <w:right w:val="none" w:sz="0" w:space="0" w:color="auto"/>
          </w:divBdr>
        </w:div>
      </w:divsChild>
    </w:div>
    <w:div w:id="9422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6C59-E848-4FBF-B671-F59DB540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Evstatiy Evstatiev</cp:lastModifiedBy>
  <cp:revision>4</cp:revision>
  <cp:lastPrinted>2023-07-20T09:25:00Z</cp:lastPrinted>
  <dcterms:created xsi:type="dcterms:W3CDTF">2023-07-20T11:52:00Z</dcterms:created>
  <dcterms:modified xsi:type="dcterms:W3CDTF">2023-07-20T12:41:00Z</dcterms:modified>
</cp:coreProperties>
</file>