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702" w:rsidRPr="00AE7702" w:rsidRDefault="001144FC" w:rsidP="00AE7702">
      <w:pPr>
        <w:spacing w:after="200" w:line="276" w:lineRule="auto"/>
        <w:rPr>
          <w:b/>
          <w:lang w:eastAsia="en-US" w:bidi="en-US"/>
        </w:rPr>
      </w:pPr>
      <w:r w:rsidRPr="00D644B8">
        <w:rPr>
          <w:b/>
          <w:noProof/>
          <w:sz w:val="16"/>
          <w:szCs w:val="16"/>
          <w:lang w:val="en-US" w:eastAsia="en-US"/>
        </w:rPr>
        <w:drawing>
          <wp:inline distT="0" distB="0" distL="0" distR="0">
            <wp:extent cx="1709420"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9420" cy="688975"/>
                    </a:xfrm>
                    <a:prstGeom prst="rect">
                      <a:avLst/>
                    </a:prstGeom>
                    <a:noFill/>
                    <a:ln>
                      <a:noFill/>
                    </a:ln>
                  </pic:spPr>
                </pic:pic>
              </a:graphicData>
            </a:graphic>
          </wp:inline>
        </w:drawing>
      </w:r>
      <w:r w:rsidR="00AE7702">
        <w:rPr>
          <w:b/>
          <w:sz w:val="16"/>
          <w:szCs w:val="16"/>
        </w:rPr>
        <w:tab/>
      </w:r>
      <w:r w:rsidR="00AE7702">
        <w:rPr>
          <w:b/>
          <w:sz w:val="16"/>
          <w:szCs w:val="16"/>
        </w:rPr>
        <w:tab/>
      </w:r>
      <w:r w:rsidR="00AE7702">
        <w:rPr>
          <w:b/>
          <w:sz w:val="16"/>
          <w:szCs w:val="16"/>
        </w:rPr>
        <w:tab/>
      </w:r>
      <w:r w:rsidR="00AE7702">
        <w:rPr>
          <w:b/>
          <w:sz w:val="16"/>
          <w:szCs w:val="16"/>
        </w:rPr>
        <w:tab/>
      </w:r>
      <w:r w:rsidR="00AE7702">
        <w:rPr>
          <w:b/>
          <w:sz w:val="16"/>
          <w:szCs w:val="16"/>
        </w:rPr>
        <w:tab/>
      </w:r>
      <w:r w:rsidR="00AE7702">
        <w:rPr>
          <w:b/>
          <w:sz w:val="16"/>
          <w:szCs w:val="16"/>
        </w:rPr>
        <w:tab/>
      </w:r>
      <w:r w:rsidR="00AE7702">
        <w:rPr>
          <w:b/>
          <w:sz w:val="16"/>
          <w:szCs w:val="16"/>
        </w:rPr>
        <w:tab/>
      </w:r>
      <w:r>
        <w:rPr>
          <w:noProof/>
          <w:lang w:val="en-US" w:eastAsia="en-US"/>
        </w:rPr>
        <w:drawing>
          <wp:inline distT="0" distB="0" distL="0" distR="0">
            <wp:extent cx="1325245" cy="795020"/>
            <wp:effectExtent l="0" t="0" r="0" b="0"/>
            <wp:docPr id="2" name="Picture 2" descr="&amp;Rcy;&amp;iecy;&amp;zcy;&amp;ucy;&amp;lcy;&amp;tcy;&amp;acy;&amp;tcy; &amp;scy; &amp;icy;&amp;zcy;&amp;ocy;&amp;bcy;&amp;rcy;&amp;acy;&amp;zhcy;&amp;iecy;&amp;ncy;&amp;icy;&amp;iecy; &amp;zcy;&amp;acy; &amp;iecy;&amp;s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Rcy;&amp;iecy;&amp;zcy;&amp;ucy;&amp;lcy;&amp;tcy;&amp;acy;&amp;tcy; &amp;scy; &amp;icy;&amp;zcy;&amp;ocy;&amp;bcy;&amp;rcy;&amp;acy;&amp;zhcy;&amp;iecy;&amp;ncy;&amp;icy;&amp;iecy; &amp;zcy;&amp;acy; &amp;iecy;&amp;s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5245" cy="795020"/>
                    </a:xfrm>
                    <a:prstGeom prst="rect">
                      <a:avLst/>
                    </a:prstGeom>
                    <a:noFill/>
                    <a:ln>
                      <a:noFill/>
                    </a:ln>
                  </pic:spPr>
                </pic:pic>
              </a:graphicData>
            </a:graphic>
          </wp:inline>
        </w:drawing>
      </w:r>
    </w:p>
    <w:p w:rsidR="00AE7702" w:rsidRPr="00C460C2" w:rsidRDefault="00AE7702" w:rsidP="00AE7702">
      <w:pPr>
        <w:ind w:left="4956" w:hanging="4956"/>
        <w:rPr>
          <w:b/>
          <w:color w:val="4F6228"/>
          <w:sz w:val="16"/>
          <w:szCs w:val="16"/>
        </w:rPr>
      </w:pPr>
      <w:r w:rsidRPr="00C460C2">
        <w:rPr>
          <w:b/>
          <w:color w:val="4F6228"/>
          <w:sz w:val="16"/>
          <w:szCs w:val="16"/>
        </w:rPr>
        <w:t xml:space="preserve">Стратегически план за развитие на          </w:t>
      </w:r>
      <w:r w:rsidR="00C460C2">
        <w:rPr>
          <w:b/>
          <w:color w:val="4F6228"/>
          <w:sz w:val="16"/>
          <w:szCs w:val="16"/>
        </w:rPr>
        <w:t xml:space="preserve">                                                       </w:t>
      </w:r>
      <w:r w:rsidRPr="00C460C2">
        <w:rPr>
          <w:b/>
          <w:color w:val="4F6228"/>
          <w:sz w:val="16"/>
          <w:szCs w:val="16"/>
        </w:rPr>
        <w:t xml:space="preserve">  Европейски земеделски фонд за гарантиране в земеделието</w:t>
      </w:r>
    </w:p>
    <w:p w:rsidR="00AE7702" w:rsidRPr="00C460C2" w:rsidRDefault="00AE7702" w:rsidP="00AE7702">
      <w:pPr>
        <w:ind w:left="2832" w:hanging="2832"/>
        <w:rPr>
          <w:b/>
          <w:color w:val="4F6228"/>
          <w:sz w:val="16"/>
          <w:szCs w:val="16"/>
        </w:rPr>
      </w:pPr>
      <w:r w:rsidRPr="00C460C2">
        <w:rPr>
          <w:b/>
          <w:color w:val="4F6228"/>
          <w:sz w:val="16"/>
          <w:szCs w:val="16"/>
        </w:rPr>
        <w:t xml:space="preserve">земеделието </w:t>
      </w:r>
      <w:r w:rsidR="00C460C2" w:rsidRPr="00C460C2">
        <w:rPr>
          <w:b/>
          <w:color w:val="4F6228"/>
          <w:sz w:val="16"/>
          <w:szCs w:val="16"/>
        </w:rPr>
        <w:t xml:space="preserve"> и селските райони</w:t>
      </w:r>
      <w:r w:rsidR="00C460C2">
        <w:rPr>
          <w:b/>
          <w:color w:val="4F6228"/>
          <w:sz w:val="16"/>
          <w:szCs w:val="16"/>
        </w:rPr>
        <w:t xml:space="preserve"> 2023-2027 г.</w:t>
      </w:r>
      <w:r w:rsidRPr="00C460C2">
        <w:rPr>
          <w:b/>
          <w:color w:val="4F6228"/>
          <w:sz w:val="16"/>
          <w:szCs w:val="16"/>
        </w:rPr>
        <w:tab/>
      </w:r>
      <w:r w:rsidR="00C460C2">
        <w:rPr>
          <w:b/>
          <w:color w:val="4F6228"/>
          <w:sz w:val="16"/>
          <w:szCs w:val="16"/>
        </w:rPr>
        <w:t xml:space="preserve">         </w:t>
      </w:r>
      <w:r w:rsidRPr="00C460C2">
        <w:rPr>
          <w:b/>
          <w:color w:val="4F6228"/>
          <w:sz w:val="16"/>
          <w:szCs w:val="16"/>
        </w:rPr>
        <w:tab/>
      </w:r>
      <w:r w:rsidR="00C460C2">
        <w:rPr>
          <w:b/>
          <w:color w:val="4F6228"/>
          <w:sz w:val="16"/>
          <w:szCs w:val="16"/>
        </w:rPr>
        <w:t xml:space="preserve">                      </w:t>
      </w:r>
      <w:r w:rsidRPr="00C460C2">
        <w:rPr>
          <w:b/>
          <w:color w:val="4F6228"/>
          <w:sz w:val="16"/>
          <w:szCs w:val="16"/>
        </w:rPr>
        <w:t>Европейски земеделски фонд за развитие на селските райони</w:t>
      </w:r>
    </w:p>
    <w:p w:rsidR="00D72EFD" w:rsidRPr="005916BE" w:rsidRDefault="00AE7702" w:rsidP="00AE7702">
      <w:pPr>
        <w:rPr>
          <w:b/>
          <w:color w:val="4F6228"/>
          <w:sz w:val="20"/>
          <w:szCs w:val="20"/>
          <w:lang w:val="ru-RU"/>
        </w:rPr>
      </w:pPr>
      <w:r>
        <w:rPr>
          <w:b/>
          <w:color w:val="4F6228"/>
          <w:sz w:val="20"/>
          <w:szCs w:val="20"/>
          <w:lang w:val="ru-RU"/>
        </w:rPr>
        <w:tab/>
      </w:r>
      <w:r>
        <w:rPr>
          <w:b/>
          <w:color w:val="4F6228"/>
          <w:sz w:val="20"/>
          <w:szCs w:val="20"/>
          <w:lang w:val="ru-RU"/>
        </w:rPr>
        <w:tab/>
      </w:r>
      <w:r>
        <w:rPr>
          <w:b/>
          <w:color w:val="4F6228"/>
          <w:sz w:val="20"/>
          <w:szCs w:val="20"/>
          <w:lang w:val="ru-RU"/>
        </w:rPr>
        <w:tab/>
      </w:r>
      <w:r>
        <w:rPr>
          <w:b/>
          <w:color w:val="4F6228"/>
          <w:sz w:val="20"/>
          <w:szCs w:val="20"/>
          <w:lang w:val="ru-RU"/>
        </w:rPr>
        <w:tab/>
      </w:r>
      <w:r>
        <w:rPr>
          <w:b/>
          <w:color w:val="4F6228"/>
          <w:sz w:val="20"/>
          <w:szCs w:val="20"/>
          <w:lang w:val="ru-RU"/>
        </w:rPr>
        <w:tab/>
      </w:r>
      <w:r>
        <w:rPr>
          <w:b/>
          <w:color w:val="4F6228"/>
          <w:sz w:val="20"/>
          <w:szCs w:val="20"/>
          <w:lang w:val="ru-RU"/>
        </w:rPr>
        <w:tab/>
      </w:r>
    </w:p>
    <w:p w:rsidR="002F3E64" w:rsidRDefault="002F3E64" w:rsidP="00D72EFD"/>
    <w:p w:rsidR="002F3E64" w:rsidRDefault="007970CA" w:rsidP="00AE7702">
      <w:pPr>
        <w:ind w:left="1416" w:firstLine="70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CB60DE2C-F3A0-4DA1-8048-9BF2C9907F9B}" provid="{00000000-0000-0000-0000-000000000000}" issignatureline="t"/>
          </v:shape>
        </w:pict>
      </w:r>
    </w:p>
    <w:p w:rsidR="00AE7702" w:rsidRDefault="00AE7702" w:rsidP="00D72EFD"/>
    <w:p w:rsidR="00AE7702" w:rsidRDefault="00A21EEC" w:rsidP="00D72EFD">
      <w:r>
        <w:t>Одобрил:</w:t>
      </w:r>
    </w:p>
    <w:p w:rsidR="00AE7702" w:rsidRDefault="007970CA" w:rsidP="00D72EFD">
      <w:r>
        <w:pict>
          <v:shape id="_x0000_i1026" type="#_x0000_t75" alt="Microsoft Office Signature Line..." style="width:192pt;height:96pt">
            <v:imagedata r:id="rId11" o:title=""/>
            <o:lock v:ext="edit" ungrouping="t" rotation="t" cropping="t" verticies="t" text="t" grouping="t"/>
            <o:signatureline v:ext="edit" id="{620A1E51-E3FA-4836-962B-5C27A4C786E8}" provid="{00000000-0000-0000-0000-000000000000}" o:suggestedsigner="Таня Георгиева" o:suggestedsigner2="Заместник-министър на земеделието и храните и ръководител на Управляващия орган на СПРЗСР " issignatureline="t"/>
          </v:shape>
        </w:pict>
      </w:r>
    </w:p>
    <w:p w:rsidR="00D72EFD" w:rsidRDefault="00D72EFD" w:rsidP="008F2014">
      <w:pPr>
        <w:pStyle w:val="BodyText"/>
        <w:tabs>
          <w:tab w:val="left" w:pos="900"/>
        </w:tabs>
        <w:jc w:val="left"/>
        <w:rPr>
          <w:sz w:val="24"/>
          <w:szCs w:val="24"/>
        </w:rPr>
      </w:pPr>
    </w:p>
    <w:p w:rsidR="0024296D" w:rsidRPr="00187679" w:rsidRDefault="0024296D" w:rsidP="008F2014">
      <w:pPr>
        <w:pStyle w:val="BodyText"/>
        <w:tabs>
          <w:tab w:val="left" w:pos="900"/>
        </w:tabs>
        <w:jc w:val="left"/>
        <w:rPr>
          <w:sz w:val="24"/>
          <w:szCs w:val="24"/>
        </w:rPr>
      </w:pPr>
    </w:p>
    <w:p w:rsidR="00C6500B" w:rsidRPr="00187679" w:rsidRDefault="00C6500B" w:rsidP="00D72EFD">
      <w:pPr>
        <w:pStyle w:val="BodyText"/>
        <w:tabs>
          <w:tab w:val="left" w:pos="900"/>
        </w:tabs>
        <w:rPr>
          <w:sz w:val="24"/>
          <w:szCs w:val="24"/>
        </w:rPr>
      </w:pPr>
    </w:p>
    <w:p w:rsidR="00D72EFD" w:rsidRPr="00187679" w:rsidRDefault="00D72EFD" w:rsidP="00D72EFD">
      <w:pPr>
        <w:pStyle w:val="BodyText"/>
        <w:tabs>
          <w:tab w:val="left" w:pos="900"/>
        </w:tabs>
        <w:rPr>
          <w:sz w:val="24"/>
          <w:szCs w:val="24"/>
        </w:rPr>
      </w:pPr>
      <w:r w:rsidRPr="00187679">
        <w:rPr>
          <w:sz w:val="24"/>
          <w:szCs w:val="24"/>
        </w:rPr>
        <w:t>ПРОТОКОЛ</w:t>
      </w:r>
    </w:p>
    <w:p w:rsidR="00C45B09" w:rsidRDefault="00AE7702" w:rsidP="00D72EFD">
      <w:pPr>
        <w:pStyle w:val="BodyText"/>
        <w:tabs>
          <w:tab w:val="left" w:pos="900"/>
        </w:tabs>
        <w:rPr>
          <w:sz w:val="24"/>
          <w:szCs w:val="24"/>
        </w:rPr>
      </w:pPr>
      <w:r>
        <w:rPr>
          <w:sz w:val="24"/>
          <w:szCs w:val="24"/>
        </w:rPr>
        <w:t xml:space="preserve">ОТ </w:t>
      </w:r>
      <w:r w:rsidR="00D72EFD" w:rsidRPr="00187679">
        <w:rPr>
          <w:sz w:val="24"/>
          <w:szCs w:val="24"/>
        </w:rPr>
        <w:t xml:space="preserve">ПРОВЕДЕНА ПИСМЕНА ПРОЦЕДУРА </w:t>
      </w:r>
    </w:p>
    <w:p w:rsidR="00D72EFD" w:rsidRPr="00187679" w:rsidRDefault="0020491B" w:rsidP="00D72EFD">
      <w:pPr>
        <w:pStyle w:val="BodyText"/>
        <w:tabs>
          <w:tab w:val="left" w:pos="900"/>
        </w:tabs>
        <w:rPr>
          <w:sz w:val="24"/>
          <w:szCs w:val="24"/>
        </w:rPr>
      </w:pPr>
      <w:r>
        <w:rPr>
          <w:sz w:val="24"/>
          <w:szCs w:val="24"/>
        </w:rPr>
        <w:t>ЗА НЕПРИСЪСТВЕНО ВЗЕМАНЕ НА РЕШЕНИЕ</w:t>
      </w:r>
    </w:p>
    <w:p w:rsidR="00C6500B" w:rsidRDefault="00D72EFD" w:rsidP="00C6500B">
      <w:pPr>
        <w:pStyle w:val="BodyText"/>
        <w:tabs>
          <w:tab w:val="left" w:pos="900"/>
        </w:tabs>
        <w:rPr>
          <w:sz w:val="24"/>
          <w:szCs w:val="24"/>
        </w:rPr>
      </w:pPr>
      <w:r w:rsidRPr="00187679">
        <w:rPr>
          <w:sz w:val="24"/>
          <w:szCs w:val="24"/>
        </w:rPr>
        <w:t xml:space="preserve">НА КОМИТЕТА ПО </w:t>
      </w:r>
      <w:r w:rsidR="0017417A">
        <w:rPr>
          <w:sz w:val="24"/>
          <w:szCs w:val="24"/>
        </w:rPr>
        <w:t xml:space="preserve">НАБЛЮДЕНИЕ НА </w:t>
      </w:r>
      <w:r w:rsidR="000A45D8">
        <w:rPr>
          <w:sz w:val="24"/>
          <w:szCs w:val="24"/>
        </w:rPr>
        <w:t>СТРАТЕГИЧЕСКИЯ ПЛАН ЗА РАЗВИТИЕ НА ЗЕМЕДЕЛИЕТО И СЕЛСКИТЕ РАЙОНИ</w:t>
      </w:r>
      <w:r w:rsidR="0017417A">
        <w:rPr>
          <w:sz w:val="24"/>
          <w:szCs w:val="24"/>
        </w:rPr>
        <w:t xml:space="preserve"> </w:t>
      </w:r>
      <w:r w:rsidR="00AE7702">
        <w:rPr>
          <w:sz w:val="24"/>
          <w:szCs w:val="24"/>
        </w:rPr>
        <w:t>(2023-2027</w:t>
      </w:r>
      <w:r w:rsidR="00C45B09">
        <w:rPr>
          <w:sz w:val="24"/>
          <w:szCs w:val="24"/>
        </w:rPr>
        <w:t>)</w:t>
      </w:r>
      <w:r w:rsidR="0017417A">
        <w:rPr>
          <w:sz w:val="24"/>
          <w:szCs w:val="24"/>
        </w:rPr>
        <w:t xml:space="preserve"> </w:t>
      </w:r>
    </w:p>
    <w:p w:rsidR="0024429D" w:rsidRPr="0024429D" w:rsidRDefault="0024429D" w:rsidP="00C6500B">
      <w:pPr>
        <w:pStyle w:val="BodyText"/>
        <w:tabs>
          <w:tab w:val="left" w:pos="900"/>
        </w:tabs>
        <w:rPr>
          <w:sz w:val="24"/>
          <w:szCs w:val="24"/>
        </w:rPr>
      </w:pPr>
      <w:r>
        <w:rPr>
          <w:sz w:val="24"/>
          <w:szCs w:val="24"/>
        </w:rPr>
        <w:t>В ПЕРИОДА 20.06.-27.06.2023 г.</w:t>
      </w:r>
    </w:p>
    <w:p w:rsidR="00EC5B43" w:rsidRPr="00C6500B" w:rsidRDefault="00EC5B43" w:rsidP="00C6500B">
      <w:pPr>
        <w:pStyle w:val="BodyText"/>
        <w:tabs>
          <w:tab w:val="left" w:pos="900"/>
        </w:tabs>
        <w:rPr>
          <w:sz w:val="24"/>
          <w:szCs w:val="24"/>
          <w:lang w:val="en-US"/>
        </w:rPr>
      </w:pPr>
    </w:p>
    <w:p w:rsidR="00EC5B43" w:rsidRDefault="00EC5B43" w:rsidP="00C0374A">
      <w:pPr>
        <w:pStyle w:val="BodyText"/>
        <w:jc w:val="both"/>
        <w:outlineLvl w:val="0"/>
        <w:rPr>
          <w:sz w:val="24"/>
          <w:szCs w:val="24"/>
          <w:u w:val="single"/>
        </w:rPr>
      </w:pPr>
    </w:p>
    <w:p w:rsidR="0024429D" w:rsidRDefault="0024429D" w:rsidP="00C0374A">
      <w:pPr>
        <w:pStyle w:val="BodyText"/>
        <w:jc w:val="both"/>
        <w:outlineLvl w:val="0"/>
        <w:rPr>
          <w:sz w:val="24"/>
          <w:szCs w:val="24"/>
          <w:u w:val="single"/>
        </w:rPr>
      </w:pPr>
    </w:p>
    <w:p w:rsidR="0024429D" w:rsidRDefault="0024429D" w:rsidP="00C0374A">
      <w:pPr>
        <w:pStyle w:val="BodyText"/>
        <w:jc w:val="both"/>
        <w:outlineLvl w:val="0"/>
        <w:rPr>
          <w:sz w:val="24"/>
          <w:szCs w:val="24"/>
          <w:u w:val="single"/>
        </w:rPr>
      </w:pPr>
    </w:p>
    <w:p w:rsidR="00D72EFD" w:rsidRPr="00187679" w:rsidRDefault="00D72EFD" w:rsidP="00C0374A">
      <w:pPr>
        <w:pStyle w:val="BodyText"/>
        <w:jc w:val="both"/>
        <w:outlineLvl w:val="0"/>
        <w:rPr>
          <w:sz w:val="24"/>
          <w:szCs w:val="24"/>
        </w:rPr>
      </w:pPr>
      <w:r w:rsidRPr="00187679">
        <w:rPr>
          <w:sz w:val="24"/>
          <w:szCs w:val="24"/>
          <w:u w:val="single"/>
        </w:rPr>
        <w:t>ФАКТОЛОГИЯ</w:t>
      </w:r>
      <w:r w:rsidRPr="00187679">
        <w:rPr>
          <w:sz w:val="24"/>
          <w:szCs w:val="24"/>
        </w:rPr>
        <w:t>:</w:t>
      </w:r>
    </w:p>
    <w:p w:rsidR="00AF0D6E" w:rsidRDefault="00AF0D6E" w:rsidP="00D71A6D">
      <w:pPr>
        <w:spacing w:before="120"/>
        <w:ind w:firstLine="706"/>
        <w:jc w:val="both"/>
      </w:pPr>
      <w:r w:rsidRPr="00AF0D6E">
        <w:t>На основание параграф 4, т. 10 от Заключителните разпоредби на Постановление № 302/2022 г. на Министерския съвет за създаване на комитети за наблюдение на Споразумението за партньорство на Република България и на програмите, съфинансирани от ЕФСУ за програмен период 2021-2027 г. (ПМС №302/2022), в съответствие с чл. 23, ал. 1 от Вътрешните правила на КН на СПРЗСР (2023-2027)</w:t>
      </w:r>
      <w:r>
        <w:t xml:space="preserve"> и писмо с изх. № </w:t>
      </w:r>
      <w:r w:rsidRPr="00AF0D6E">
        <w:t xml:space="preserve">91-337/20.06.2023 </w:t>
      </w:r>
      <w:r>
        <w:t xml:space="preserve"> на Таня Георгиева се проведе повторна писмена процедура на Комитета за наблюдение на СПРЗСР (2023-2027) за разглеждане и одобрение:</w:t>
      </w:r>
    </w:p>
    <w:p w:rsidR="00AF0D6E" w:rsidRPr="00AF0D6E" w:rsidRDefault="00AF0D6E" w:rsidP="00D71A6D">
      <w:pPr>
        <w:spacing w:before="120"/>
        <w:ind w:firstLine="706"/>
        <w:jc w:val="both"/>
        <w:rPr>
          <w:b/>
        </w:rPr>
      </w:pPr>
      <w:r w:rsidRPr="00AF0D6E">
        <w:rPr>
          <w:b/>
        </w:rPr>
        <w:t>І. Проект на Годишен доклад за изпълнението на ПРСР (2014-2020) за периода 01.01.2022 г. – 31.12.2022 г.</w:t>
      </w:r>
    </w:p>
    <w:p w:rsidR="00AF0D6E" w:rsidRDefault="00AF0D6E" w:rsidP="00D71A6D">
      <w:pPr>
        <w:spacing w:before="120"/>
        <w:ind w:firstLine="706"/>
        <w:jc w:val="both"/>
      </w:pPr>
      <w:r w:rsidRPr="00AF0D6E">
        <w:t xml:space="preserve">Годишният доклад за изпълнението на Програмата за развитие на селските райони 2014-2020 г. за периода 1 януари 2022 г. - 31 декември 2022 г. беше изпратен за одобрение на членовете на Комитета за наблюдение на 06.06.2023 г. В рамките на същия ден, със заповед № КВ – 173 от 06.06.2023 г., са били прекратени правомощията на г-н Събев в качеството му на заместник-министър и ръководител на Управляващия орган, поради което на 20.06.2023 г. </w:t>
      </w:r>
      <w:r w:rsidRPr="00AF0D6E">
        <w:lastRenderedPageBreak/>
        <w:t>Управляващият орган на Стратегическия план за развитие на земеделието и селските райони 2023-2027 г.  стартира повторна процедур</w:t>
      </w:r>
      <w:r w:rsidR="0024296D">
        <w:t>а за разглеждане и одобрение на Годишния доклад.</w:t>
      </w:r>
    </w:p>
    <w:p w:rsidR="00AC4F2F" w:rsidRDefault="00B73813" w:rsidP="00D71A6D">
      <w:pPr>
        <w:spacing w:before="120"/>
        <w:ind w:firstLine="706"/>
        <w:jc w:val="both"/>
      </w:pPr>
      <w:r w:rsidRPr="00B73813">
        <w:t>Към писмото за иницииране на пи</w:t>
      </w:r>
      <w:r>
        <w:t>смената процедура беше приложена</w:t>
      </w:r>
      <w:r w:rsidRPr="00B73813">
        <w:t xml:space="preserve"> обяснителна</w:t>
      </w:r>
      <w:r w:rsidR="008F2014">
        <w:t xml:space="preserve"> </w:t>
      </w:r>
      <w:r>
        <w:t>з</w:t>
      </w:r>
      <w:r w:rsidRPr="00B73813">
        <w:t>ап</w:t>
      </w:r>
      <w:r>
        <w:t xml:space="preserve">иска с проект на </w:t>
      </w:r>
      <w:r w:rsidRPr="00B73813">
        <w:t>решение.</w:t>
      </w:r>
      <w:r w:rsidR="00211858">
        <w:t xml:space="preserve"> </w:t>
      </w:r>
    </w:p>
    <w:p w:rsidR="00AF0D6E" w:rsidRDefault="00AF0D6E" w:rsidP="00D71A6D">
      <w:pPr>
        <w:spacing w:before="120"/>
        <w:ind w:firstLine="706"/>
        <w:jc w:val="both"/>
      </w:pPr>
    </w:p>
    <w:p w:rsidR="00996192" w:rsidRDefault="00D72EFD" w:rsidP="00DB58D7">
      <w:pPr>
        <w:ind w:firstLine="706"/>
        <w:jc w:val="both"/>
      </w:pPr>
      <w:r w:rsidRPr="00187679">
        <w:t>П</w:t>
      </w:r>
      <w:r w:rsidR="00027B6F">
        <w:t xml:space="preserve">ри съгласувателната процедура </w:t>
      </w:r>
      <w:r w:rsidR="00DB58D7">
        <w:t>становища са получени от</w:t>
      </w:r>
      <w:r w:rsidR="00996192">
        <w:t>:</w:t>
      </w:r>
    </w:p>
    <w:p w:rsidR="003E7B66" w:rsidRPr="0078721A" w:rsidRDefault="00A05194" w:rsidP="00DB58D7">
      <w:pPr>
        <w:ind w:firstLine="706"/>
        <w:jc w:val="both"/>
      </w:pPr>
      <w:r>
        <w:t>1.</w:t>
      </w:r>
      <w:r>
        <w:tab/>
      </w:r>
      <w:r w:rsidR="0078721A">
        <w:t>„Фонд Мениджър на финансови инструменти в България“ ЕАД</w:t>
      </w:r>
      <w:r w:rsidR="0048663B">
        <w:t>;</w:t>
      </w:r>
    </w:p>
    <w:p w:rsidR="00A05194" w:rsidRDefault="00A05194" w:rsidP="00DC0AF8">
      <w:pPr>
        <w:ind w:firstLine="706"/>
        <w:jc w:val="both"/>
      </w:pPr>
      <w:r>
        <w:t>2.</w:t>
      </w:r>
      <w:r>
        <w:tab/>
      </w:r>
      <w:r w:rsidR="00DC0AF8">
        <w:t>г-жа Галина Симеонова – главен директор на ГД „Оперативна програма Околна среда“, МОСВ</w:t>
      </w:r>
      <w:r w:rsidR="0048663B">
        <w:t>;</w:t>
      </w:r>
    </w:p>
    <w:p w:rsidR="00E041CC" w:rsidRDefault="00A05194" w:rsidP="00E041CC">
      <w:pPr>
        <w:ind w:firstLine="706"/>
        <w:jc w:val="both"/>
      </w:pPr>
      <w:r>
        <w:t>3.</w:t>
      </w:r>
      <w:r w:rsidR="0048663B">
        <w:tab/>
      </w:r>
      <w:r w:rsidR="00E041CC">
        <w:t>г-н Иван Главчовски –  Сдружение „Екология, Образование, Иновации“</w:t>
      </w:r>
      <w:r w:rsidR="00263408">
        <w:t>;</w:t>
      </w:r>
    </w:p>
    <w:p w:rsidR="00A05194" w:rsidRDefault="00E041CC" w:rsidP="00263408">
      <w:pPr>
        <w:ind w:firstLine="706"/>
        <w:jc w:val="both"/>
      </w:pPr>
      <w:r>
        <w:tab/>
      </w:r>
      <w:r w:rsidR="002A0E3D">
        <w:t xml:space="preserve">4. </w:t>
      </w:r>
      <w:r w:rsidR="002A0E3D">
        <w:tab/>
      </w:r>
      <w:r w:rsidR="00263408">
        <w:t>г-н Ангел Сираков - началник сектор „Политики и програми за устойчив растеж“, отдел „Наблюдение и анализ“, дирекция „Централно координационно звено“, Администрация на Министерския съвет.</w:t>
      </w:r>
    </w:p>
    <w:p w:rsidR="00DB58D7" w:rsidRDefault="00DB58D7" w:rsidP="0024296D">
      <w:pPr>
        <w:ind w:firstLine="706"/>
        <w:jc w:val="both"/>
      </w:pPr>
      <w:r>
        <w:t>П</w:t>
      </w:r>
      <w:r w:rsidRPr="00DB58D7">
        <w:t>исмени</w:t>
      </w:r>
      <w:r>
        <w:t>те</w:t>
      </w:r>
      <w:r w:rsidRPr="00DB58D7">
        <w:t xml:space="preserve"> становища, касаещи Годишния доклад за изпъ</w:t>
      </w:r>
      <w:r w:rsidR="003E7B66">
        <w:t>лнение на ПРСР за 2022</w:t>
      </w:r>
      <w:r>
        <w:t xml:space="preserve"> г.</w:t>
      </w:r>
      <w:r w:rsidR="005154B9">
        <w:t>,</w:t>
      </w:r>
      <w:r w:rsidRPr="00DB58D7">
        <w:t xml:space="preserve"> са представени като Приложение</w:t>
      </w:r>
      <w:r w:rsidR="003E7B66">
        <w:t xml:space="preserve"> 1</w:t>
      </w:r>
      <w:r w:rsidRPr="00DB58D7">
        <w:t xml:space="preserve"> към настоящия</w:t>
      </w:r>
      <w:r>
        <w:t xml:space="preserve"> протокол.</w:t>
      </w:r>
    </w:p>
    <w:p w:rsidR="0017417A" w:rsidRDefault="007A1CB9" w:rsidP="00D71A6D">
      <w:pPr>
        <w:spacing w:before="120"/>
        <w:ind w:firstLine="706"/>
        <w:jc w:val="both"/>
      </w:pPr>
      <w:r>
        <w:rPr>
          <w:b/>
        </w:rPr>
        <w:t>В</w:t>
      </w:r>
      <w:r w:rsidR="00B856A5">
        <w:rPr>
          <w:b/>
        </w:rPr>
        <w:t xml:space="preserve"> </w:t>
      </w:r>
      <w:r w:rsidR="003F35A2" w:rsidRPr="003F35A2">
        <w:rPr>
          <w:b/>
        </w:rPr>
        <w:t xml:space="preserve">резултат от проведената писмена процедура </w:t>
      </w:r>
      <w:r w:rsidR="003F35A2">
        <w:rPr>
          <w:b/>
        </w:rPr>
        <w:t xml:space="preserve">и в </w:t>
      </w:r>
      <w:r w:rsidR="00B856A5">
        <w:rPr>
          <w:b/>
        </w:rPr>
        <w:t>съответствие с ч</w:t>
      </w:r>
      <w:r w:rsidR="0017417A">
        <w:rPr>
          <w:b/>
        </w:rPr>
        <w:t xml:space="preserve">л. </w:t>
      </w:r>
      <w:r w:rsidR="009F2F1F">
        <w:rPr>
          <w:b/>
        </w:rPr>
        <w:t>20, ал. 3</w:t>
      </w:r>
      <w:r>
        <w:rPr>
          <w:b/>
        </w:rPr>
        <w:t xml:space="preserve"> на ПМС </w:t>
      </w:r>
      <w:r w:rsidR="003F35A2">
        <w:rPr>
          <w:b/>
        </w:rPr>
        <w:t xml:space="preserve">№ </w:t>
      </w:r>
      <w:r w:rsidR="00A05194">
        <w:rPr>
          <w:b/>
        </w:rPr>
        <w:t>302/2022</w:t>
      </w:r>
      <w:r w:rsidR="003F35A2">
        <w:rPr>
          <w:b/>
        </w:rPr>
        <w:t xml:space="preserve"> г. </w:t>
      </w:r>
      <w:r w:rsidR="0017417A" w:rsidRPr="00187679">
        <w:rPr>
          <w:b/>
        </w:rPr>
        <w:t xml:space="preserve">КН </w:t>
      </w:r>
      <w:r w:rsidR="003E7B66">
        <w:rPr>
          <w:b/>
        </w:rPr>
        <w:t>на СПРЗСР (2023-2027</w:t>
      </w:r>
      <w:r w:rsidR="003F35A2">
        <w:rPr>
          <w:b/>
        </w:rPr>
        <w:t xml:space="preserve">) </w:t>
      </w:r>
      <w:r w:rsidR="00C0374A">
        <w:rPr>
          <w:b/>
        </w:rPr>
        <w:t xml:space="preserve">взе следното </w:t>
      </w:r>
      <w:r w:rsidR="0017417A" w:rsidRPr="00187679">
        <w:rPr>
          <w:b/>
          <w:u w:val="single"/>
        </w:rPr>
        <w:t>РЕШЕНИЕ</w:t>
      </w:r>
      <w:r w:rsidR="0017417A" w:rsidRPr="00187679">
        <w:t>:</w:t>
      </w:r>
    </w:p>
    <w:p w:rsidR="00316609" w:rsidRPr="00187679" w:rsidRDefault="00316609" w:rsidP="00D71A6D">
      <w:pPr>
        <w:spacing w:before="120"/>
        <w:jc w:val="both"/>
      </w:pPr>
    </w:p>
    <w:p w:rsidR="00B67F11" w:rsidRPr="003E7B66" w:rsidRDefault="005F277E" w:rsidP="00EB317D">
      <w:pPr>
        <w:numPr>
          <w:ilvl w:val="0"/>
          <w:numId w:val="18"/>
        </w:numPr>
        <w:jc w:val="both"/>
      </w:pPr>
      <w:r w:rsidRPr="003E7B66">
        <w:rPr>
          <w:b/>
          <w:i/>
        </w:rPr>
        <w:t>Комитетът по наблюдение одобрява текста на Годишния док</w:t>
      </w:r>
      <w:r w:rsidR="004E0FFF" w:rsidRPr="003E7B66">
        <w:rPr>
          <w:b/>
          <w:i/>
        </w:rPr>
        <w:t xml:space="preserve">лад за изпълнението на ПРСР </w:t>
      </w:r>
      <w:r w:rsidRPr="003E7B66">
        <w:rPr>
          <w:b/>
          <w:i/>
        </w:rPr>
        <w:t xml:space="preserve">(2014-2020) </w:t>
      </w:r>
      <w:r w:rsidR="004E0FFF" w:rsidRPr="003E7B66">
        <w:rPr>
          <w:b/>
          <w:i/>
        </w:rPr>
        <w:t>за периода 01.01.</w:t>
      </w:r>
      <w:r w:rsidR="003E7B66" w:rsidRPr="003E7B66">
        <w:rPr>
          <w:b/>
          <w:i/>
        </w:rPr>
        <w:t>2022</w:t>
      </w:r>
      <w:r w:rsidR="00634879" w:rsidRPr="003E7B66">
        <w:rPr>
          <w:b/>
          <w:i/>
        </w:rPr>
        <w:t xml:space="preserve"> г. </w:t>
      </w:r>
      <w:r w:rsidR="004E0FFF" w:rsidRPr="003E7B66">
        <w:rPr>
          <w:b/>
          <w:i/>
        </w:rPr>
        <w:t>– 31.12.</w:t>
      </w:r>
      <w:r w:rsidR="003E7B66" w:rsidRPr="003E7B66">
        <w:rPr>
          <w:b/>
          <w:i/>
        </w:rPr>
        <w:t>2022</w:t>
      </w:r>
      <w:r w:rsidRPr="003E7B66">
        <w:rPr>
          <w:b/>
          <w:i/>
        </w:rPr>
        <w:t xml:space="preserve"> г.</w:t>
      </w:r>
      <w:r w:rsidR="005D142B" w:rsidRPr="003E7B66">
        <w:rPr>
          <w:b/>
          <w:i/>
        </w:rPr>
        <w:t xml:space="preserve"> </w:t>
      </w:r>
      <w:r w:rsidRPr="003E7B66">
        <w:rPr>
          <w:b/>
          <w:i/>
        </w:rPr>
        <w:t>и упълномощава</w:t>
      </w:r>
      <w:r w:rsidR="003E7B66" w:rsidRPr="003E7B66">
        <w:rPr>
          <w:b/>
          <w:i/>
        </w:rPr>
        <w:t xml:space="preserve"> Управляващия орган на Стратегическия план</w:t>
      </w:r>
      <w:r w:rsidRPr="003E7B66">
        <w:rPr>
          <w:b/>
          <w:i/>
        </w:rPr>
        <w:t xml:space="preserve"> да го изпрати официално (по съответния ред) на Европейската комисия.</w:t>
      </w:r>
    </w:p>
    <w:p w:rsidR="003E7B66" w:rsidRDefault="003E7B66" w:rsidP="003E7B66">
      <w:pPr>
        <w:ind w:left="360"/>
        <w:jc w:val="both"/>
      </w:pPr>
    </w:p>
    <w:p w:rsidR="00A21EEC" w:rsidRPr="003E7B66" w:rsidRDefault="00A21EEC" w:rsidP="003E7B66">
      <w:pPr>
        <w:ind w:left="360"/>
        <w:jc w:val="both"/>
      </w:pPr>
      <w:r>
        <w:pict>
          <v:shape id="_x0000_i1027" type="#_x0000_t75" alt="Microsoft Office Signature Line..." style="width:192pt;height:96pt">
            <v:imagedata r:id="rId12" o:title=""/>
            <o:lock v:ext="edit" ungrouping="t" rotation="t" cropping="t" verticies="t" text="t" grouping="t"/>
            <o:signatureline v:ext="edit" id="{5B5DB561-16C0-4CD2-9F67-900CB0A06328}" provid="{00000000-0000-0000-0000-000000000000}" o:suggestedsigner="Елена Иванова" o:suggestedsigner2="Директор на дирекция РСР" issignatureline="t"/>
          </v:shape>
        </w:pict>
      </w:r>
      <w:bookmarkStart w:id="0" w:name="_GoBack"/>
      <w:bookmarkEnd w:id="0"/>
    </w:p>
    <w:p w:rsidR="003E7B66" w:rsidRPr="000D70DC" w:rsidRDefault="003E7B66" w:rsidP="003E7B66">
      <w:pPr>
        <w:jc w:val="both"/>
        <w:sectPr w:rsidR="003E7B66" w:rsidRPr="000D70DC" w:rsidSect="00D72EFD">
          <w:footerReference w:type="even" r:id="rId13"/>
          <w:footerReference w:type="default" r:id="rId14"/>
          <w:pgSz w:w="11906" w:h="16838" w:code="9"/>
          <w:pgMar w:top="567" w:right="720" w:bottom="284" w:left="1418" w:header="709" w:footer="709" w:gutter="0"/>
          <w:cols w:space="708"/>
          <w:docGrid w:linePitch="360"/>
        </w:sectPr>
      </w:pPr>
    </w:p>
    <w:p w:rsidR="00B25469" w:rsidRDefault="00C0374A" w:rsidP="007244F7">
      <w:pPr>
        <w:rPr>
          <w:b/>
          <w:i/>
          <w:sz w:val="22"/>
          <w:szCs w:val="22"/>
          <w:lang w:val="ru-RU"/>
        </w:rPr>
      </w:pPr>
      <w:r>
        <w:rPr>
          <w:b/>
          <w:i/>
          <w:sz w:val="22"/>
          <w:szCs w:val="22"/>
          <w:lang w:val="ru-RU"/>
        </w:rPr>
        <w:lastRenderedPageBreak/>
        <w:t>Приложение</w:t>
      </w:r>
      <w:r w:rsidR="00B93BB7">
        <w:rPr>
          <w:b/>
          <w:i/>
          <w:sz w:val="22"/>
          <w:szCs w:val="22"/>
          <w:lang w:val="en-US"/>
        </w:rPr>
        <w:t xml:space="preserve"> 1</w:t>
      </w:r>
      <w:r>
        <w:rPr>
          <w:b/>
          <w:i/>
          <w:sz w:val="22"/>
          <w:szCs w:val="22"/>
          <w:lang w:val="ru-RU"/>
        </w:rPr>
        <w:t xml:space="preserve"> </w:t>
      </w:r>
    </w:p>
    <w:p w:rsidR="00483758" w:rsidRDefault="00483758" w:rsidP="007244F7">
      <w:pPr>
        <w:rPr>
          <w:b/>
          <w:i/>
          <w:sz w:val="22"/>
          <w:szCs w:val="22"/>
          <w:lang w:val="ru-RU"/>
        </w:rPr>
      </w:pPr>
    </w:p>
    <w:p w:rsidR="00483758" w:rsidRPr="00483758" w:rsidRDefault="00483758" w:rsidP="00483758">
      <w:pPr>
        <w:keepNext/>
        <w:spacing w:before="120" w:after="120" w:line="276" w:lineRule="auto"/>
        <w:outlineLvl w:val="0"/>
        <w:rPr>
          <w:caps/>
          <w:noProof/>
          <w:color w:val="0000FF"/>
          <w:kern w:val="32"/>
          <w:sz w:val="22"/>
          <w:szCs w:val="22"/>
          <w:lang w:eastAsia="en-US"/>
        </w:rPr>
      </w:pPr>
    </w:p>
    <w:tbl>
      <w:tblPr>
        <w:tblpPr w:leftFromText="141" w:rightFromText="141" w:vertAnchor="text" w:tblpY="1"/>
        <w:tblOverlap w:val="never"/>
        <w:tblW w:w="15593" w:type="dxa"/>
        <w:tblBorders>
          <w:top w:val="single" w:sz="18" w:space="0" w:color="2E74B5"/>
          <w:left w:val="single" w:sz="18" w:space="0" w:color="2E74B5"/>
          <w:bottom w:val="single" w:sz="18" w:space="0" w:color="2E74B5"/>
          <w:right w:val="single" w:sz="18" w:space="0" w:color="2E74B5"/>
          <w:insideH w:val="single" w:sz="6" w:space="0" w:color="2E74B5"/>
          <w:insideV w:val="single" w:sz="6" w:space="0" w:color="2E74B5"/>
        </w:tblBorders>
        <w:tblLayout w:type="fixed"/>
        <w:tblLook w:val="0000" w:firstRow="0" w:lastRow="0" w:firstColumn="0" w:lastColumn="0" w:noHBand="0" w:noVBand="0"/>
      </w:tblPr>
      <w:tblGrid>
        <w:gridCol w:w="568"/>
        <w:gridCol w:w="1842"/>
        <w:gridCol w:w="6445"/>
        <w:gridCol w:w="1493"/>
        <w:gridCol w:w="5245"/>
      </w:tblGrid>
      <w:tr w:rsidR="00483758" w:rsidRPr="00483758" w:rsidTr="002B7926">
        <w:trPr>
          <w:trHeight w:val="958"/>
        </w:trPr>
        <w:tc>
          <w:tcPr>
            <w:tcW w:w="15593" w:type="dxa"/>
            <w:gridSpan w:val="5"/>
            <w:shd w:val="clear" w:color="auto" w:fill="BDD6EE"/>
          </w:tcPr>
          <w:p w:rsidR="00483758" w:rsidRPr="00483758" w:rsidRDefault="00483758" w:rsidP="00483758">
            <w:pPr>
              <w:tabs>
                <w:tab w:val="left" w:pos="2190"/>
              </w:tabs>
              <w:spacing w:before="120" w:after="120" w:line="276" w:lineRule="auto"/>
              <w:jc w:val="center"/>
              <w:rPr>
                <w:b/>
                <w:color w:val="000000"/>
                <w:spacing w:val="60"/>
                <w:sz w:val="22"/>
                <w:szCs w:val="22"/>
              </w:rPr>
            </w:pPr>
            <w:r w:rsidRPr="00483758">
              <w:rPr>
                <w:b/>
                <w:color w:val="000000"/>
                <w:spacing w:val="60"/>
                <w:sz w:val="22"/>
                <w:szCs w:val="22"/>
              </w:rPr>
              <w:t>СПРАВКА</w:t>
            </w:r>
          </w:p>
          <w:p w:rsidR="00483758" w:rsidRPr="00483758" w:rsidRDefault="00483758" w:rsidP="00483758">
            <w:pPr>
              <w:spacing w:before="120" w:after="120" w:line="276" w:lineRule="auto"/>
              <w:jc w:val="center"/>
              <w:rPr>
                <w:b/>
                <w:color w:val="000000"/>
                <w:sz w:val="22"/>
                <w:szCs w:val="22"/>
              </w:rPr>
            </w:pPr>
            <w:r w:rsidRPr="00483758">
              <w:rPr>
                <w:b/>
                <w:color w:val="000000"/>
                <w:sz w:val="22"/>
                <w:szCs w:val="22"/>
              </w:rPr>
              <w:t xml:space="preserve">ЗА ОТРАЗЯВАНЕ НА ПОСТЪПИЛИТЕ КОМЕНТАРИ ОТ ПРОВЕДЕНАТА </w:t>
            </w:r>
            <w:r w:rsidRPr="00483758">
              <w:rPr>
                <w:color w:val="000000"/>
              </w:rPr>
              <w:t xml:space="preserve"> </w:t>
            </w:r>
            <w:r w:rsidRPr="00483758">
              <w:rPr>
                <w:b/>
                <w:color w:val="000000"/>
                <w:sz w:val="22"/>
                <w:szCs w:val="22"/>
              </w:rPr>
              <w:t xml:space="preserve">ПИСМЕНА  НЕПРИСЪСТВЕНА ПРОЦЕДУРА </w:t>
            </w:r>
            <w:r w:rsidRPr="00483758">
              <w:rPr>
                <w:color w:val="000000"/>
              </w:rPr>
              <w:t xml:space="preserve"> </w:t>
            </w:r>
            <w:r w:rsidRPr="00483758">
              <w:rPr>
                <w:b/>
                <w:color w:val="000000"/>
                <w:sz w:val="22"/>
                <w:szCs w:val="22"/>
              </w:rPr>
              <w:t>ЗА РАЗГЛЕЖДАНЕ И ОДОБРЕНИЕ ОТ  КОМИТЕТА ЗА НАБЛЮДЕНИЕ НА ПРОГРАМАТА ЗА РАЗВИТИЕ НА СЕЛСКИТЕ РАЙОНИ (2014-2020) НА ПРОЕКТ НА ГОДИШЕН ДОКЛАД ЗА ИЗПЪЛНЕНИЕТО НА ПРОГРАМАТА ЗА РАЗВИТИЕ НА СЕЛСКИТЕ РАЙОНИ (2014-2020) В РЕПУБЛИКА БЪЛГАРИЯ ЗА ПЕРИОДА  1 ЯНУАРИ 2022 ДО 31 ДЕКЕМВРИ 20</w:t>
            </w:r>
            <w:r w:rsidRPr="00483758">
              <w:rPr>
                <w:b/>
                <w:color w:val="000000"/>
                <w:sz w:val="22"/>
                <w:szCs w:val="22"/>
                <w:lang w:val="en-US"/>
              </w:rPr>
              <w:t>2</w:t>
            </w:r>
            <w:r w:rsidRPr="00483758">
              <w:rPr>
                <w:b/>
                <w:color w:val="000000"/>
                <w:sz w:val="22"/>
                <w:szCs w:val="22"/>
              </w:rPr>
              <w:t>2 ГОДИНА.</w:t>
            </w:r>
          </w:p>
        </w:tc>
      </w:tr>
      <w:tr w:rsidR="00483758" w:rsidRPr="00483758" w:rsidTr="002B7926">
        <w:trPr>
          <w:trHeight w:val="737"/>
        </w:trPr>
        <w:tc>
          <w:tcPr>
            <w:tcW w:w="568" w:type="dxa"/>
            <w:shd w:val="clear" w:color="auto" w:fill="DEEAF6"/>
            <w:vAlign w:val="center"/>
          </w:tcPr>
          <w:p w:rsidR="00483758" w:rsidRPr="00483758" w:rsidRDefault="00483758" w:rsidP="00483758">
            <w:pPr>
              <w:tabs>
                <w:tab w:val="left" w:pos="192"/>
              </w:tabs>
              <w:spacing w:before="120" w:after="120" w:line="276" w:lineRule="auto"/>
              <w:jc w:val="center"/>
              <w:rPr>
                <w:b/>
                <w:color w:val="000000"/>
                <w:sz w:val="22"/>
                <w:szCs w:val="22"/>
              </w:rPr>
            </w:pPr>
            <w:r w:rsidRPr="00483758">
              <w:rPr>
                <w:b/>
                <w:color w:val="000000"/>
                <w:sz w:val="22"/>
                <w:szCs w:val="22"/>
              </w:rPr>
              <w:t>№</w:t>
            </w:r>
          </w:p>
        </w:tc>
        <w:tc>
          <w:tcPr>
            <w:tcW w:w="1842" w:type="dxa"/>
            <w:shd w:val="clear" w:color="auto" w:fill="DEEAF6"/>
            <w:vAlign w:val="center"/>
          </w:tcPr>
          <w:p w:rsidR="00483758" w:rsidRPr="00483758" w:rsidRDefault="00483758" w:rsidP="00483758">
            <w:pPr>
              <w:spacing w:before="120" w:after="120" w:line="276" w:lineRule="auto"/>
              <w:jc w:val="center"/>
              <w:rPr>
                <w:b/>
                <w:color w:val="000000"/>
                <w:sz w:val="22"/>
                <w:szCs w:val="22"/>
              </w:rPr>
            </w:pPr>
            <w:r w:rsidRPr="00483758">
              <w:rPr>
                <w:b/>
                <w:color w:val="000000"/>
                <w:spacing w:val="-2"/>
                <w:sz w:val="22"/>
                <w:szCs w:val="22"/>
              </w:rPr>
              <w:t>Организация-участник в КН на ПРСР/Дата на получаване</w:t>
            </w:r>
          </w:p>
        </w:tc>
        <w:tc>
          <w:tcPr>
            <w:tcW w:w="6445" w:type="dxa"/>
            <w:shd w:val="clear" w:color="auto" w:fill="DEEAF6"/>
            <w:vAlign w:val="center"/>
          </w:tcPr>
          <w:p w:rsidR="00483758" w:rsidRPr="00483758" w:rsidRDefault="00483758" w:rsidP="00483758">
            <w:pPr>
              <w:spacing w:before="120" w:after="120" w:line="276" w:lineRule="auto"/>
              <w:jc w:val="center"/>
              <w:rPr>
                <w:b/>
                <w:color w:val="000000"/>
                <w:sz w:val="22"/>
                <w:szCs w:val="22"/>
              </w:rPr>
            </w:pPr>
            <w:r w:rsidRPr="00483758">
              <w:rPr>
                <w:b/>
                <w:color w:val="000000"/>
                <w:sz w:val="22"/>
                <w:szCs w:val="22"/>
              </w:rPr>
              <w:t>Коментар/Предложение</w:t>
            </w:r>
          </w:p>
        </w:tc>
        <w:tc>
          <w:tcPr>
            <w:tcW w:w="1493" w:type="dxa"/>
            <w:shd w:val="clear" w:color="auto" w:fill="DEEAF6"/>
            <w:vAlign w:val="center"/>
          </w:tcPr>
          <w:p w:rsidR="00483758" w:rsidRPr="00483758" w:rsidRDefault="00483758" w:rsidP="00483758">
            <w:pPr>
              <w:spacing w:before="120" w:after="120" w:line="276" w:lineRule="auto"/>
              <w:jc w:val="center"/>
              <w:rPr>
                <w:b/>
                <w:color w:val="000000"/>
                <w:sz w:val="22"/>
                <w:szCs w:val="22"/>
              </w:rPr>
            </w:pPr>
            <w:r w:rsidRPr="00483758">
              <w:rPr>
                <w:b/>
                <w:color w:val="000000"/>
                <w:sz w:val="22"/>
                <w:szCs w:val="22"/>
              </w:rPr>
              <w:t>Приети/</w:t>
            </w:r>
          </w:p>
          <w:p w:rsidR="00483758" w:rsidRPr="00483758" w:rsidRDefault="00483758" w:rsidP="00483758">
            <w:pPr>
              <w:spacing w:before="120" w:after="120" w:line="276" w:lineRule="auto"/>
              <w:jc w:val="center"/>
              <w:rPr>
                <w:b/>
                <w:color w:val="000000"/>
                <w:sz w:val="22"/>
                <w:szCs w:val="22"/>
              </w:rPr>
            </w:pPr>
            <w:r w:rsidRPr="00483758">
              <w:rPr>
                <w:b/>
                <w:color w:val="000000"/>
                <w:sz w:val="22"/>
                <w:szCs w:val="22"/>
              </w:rPr>
              <w:t>неприети</w:t>
            </w:r>
          </w:p>
        </w:tc>
        <w:tc>
          <w:tcPr>
            <w:tcW w:w="5245" w:type="dxa"/>
            <w:shd w:val="clear" w:color="auto" w:fill="DEEAF6"/>
            <w:vAlign w:val="center"/>
          </w:tcPr>
          <w:p w:rsidR="00483758" w:rsidRPr="00483758" w:rsidRDefault="00483758" w:rsidP="00483758">
            <w:pPr>
              <w:spacing w:before="120" w:after="120" w:line="276" w:lineRule="auto"/>
              <w:jc w:val="center"/>
              <w:rPr>
                <w:color w:val="000000"/>
                <w:sz w:val="22"/>
                <w:szCs w:val="22"/>
              </w:rPr>
            </w:pPr>
            <w:r w:rsidRPr="00483758">
              <w:rPr>
                <w:b/>
                <w:color w:val="000000"/>
                <w:sz w:val="22"/>
                <w:szCs w:val="22"/>
              </w:rPr>
              <w:t>Становище на УО на ПРСР</w:t>
            </w:r>
          </w:p>
        </w:tc>
      </w:tr>
      <w:tr w:rsidR="00483758" w:rsidRPr="00483758" w:rsidTr="002B7926">
        <w:trPr>
          <w:trHeight w:val="596"/>
        </w:trPr>
        <w:tc>
          <w:tcPr>
            <w:tcW w:w="568" w:type="dxa"/>
            <w:vMerge w:val="restart"/>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r w:rsidRPr="00483758">
              <w:rPr>
                <w:b/>
                <w:color w:val="000000"/>
                <w:sz w:val="22"/>
                <w:szCs w:val="22"/>
              </w:rPr>
              <w:t>1.</w:t>
            </w:r>
          </w:p>
        </w:tc>
        <w:tc>
          <w:tcPr>
            <w:tcW w:w="1842" w:type="dxa"/>
            <w:vMerge w:val="restart"/>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Становище на ФМФИБ ЕАД, получено на 20.06.2023 г.</w:t>
            </w: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1. На стр. 62-63 от изпратения доклад е направено сравнение в изпълнението на ФИ по ПРСР 2014 – 2020 с изпълнението на ФИ с рециклирания ресурс по ПРСР 2007 – 2013, което не е базирано на обективно съпоставяне на информацията. Направеното заключение не отчита спецификите на всеки от инструментите, както и много по-големите възможности за подкрепа с рециклирания ресурс по ПРСР 2007-2013 по отношение на:</w:t>
            </w:r>
          </w:p>
          <w:p w:rsidR="00483758" w:rsidRPr="00483758" w:rsidRDefault="00483758" w:rsidP="00483758">
            <w:pPr>
              <w:spacing w:before="120" w:after="120" w:line="276" w:lineRule="auto"/>
              <w:jc w:val="both"/>
              <w:rPr>
                <w:rFonts w:eastAsia="Calibri"/>
                <w:color w:val="000000"/>
                <w:sz w:val="22"/>
                <w:szCs w:val="22"/>
                <w:lang w:eastAsia="en-US"/>
              </w:rPr>
            </w:pPr>
          </w:p>
        </w:tc>
        <w:tc>
          <w:tcPr>
            <w:tcW w:w="1493" w:type="dxa"/>
            <w:shd w:val="clear" w:color="auto" w:fill="auto"/>
          </w:tcPr>
          <w:p w:rsidR="00483758" w:rsidRPr="00483758" w:rsidRDefault="00483758" w:rsidP="00483758">
            <w:pPr>
              <w:spacing w:before="120" w:after="120" w:line="276" w:lineRule="auto"/>
              <w:rPr>
                <w:color w:val="000000"/>
                <w:sz w:val="22"/>
                <w:szCs w:val="22"/>
              </w:rPr>
            </w:pP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F8395E">
              <w:rPr>
                <w:color w:val="000000"/>
                <w:spacing w:val="-4"/>
                <w:sz w:val="22"/>
                <w:szCs w:val="22"/>
              </w:rPr>
              <w:t xml:space="preserve">Направените коментари </w:t>
            </w:r>
            <w:r w:rsidR="004F6A9A" w:rsidRPr="00F8395E">
              <w:rPr>
                <w:color w:val="000000"/>
                <w:spacing w:val="-4"/>
                <w:sz w:val="22"/>
                <w:szCs w:val="22"/>
              </w:rPr>
              <w:t xml:space="preserve">не </w:t>
            </w:r>
            <w:r w:rsidRPr="00F8395E">
              <w:rPr>
                <w:color w:val="000000"/>
                <w:spacing w:val="-4"/>
                <w:sz w:val="22"/>
                <w:szCs w:val="22"/>
              </w:rPr>
              <w:t>се приемат</w:t>
            </w:r>
            <w:r w:rsidR="004F6A9A" w:rsidRPr="00F8395E">
              <w:rPr>
                <w:color w:val="000000"/>
                <w:spacing w:val="-4"/>
                <w:sz w:val="22"/>
                <w:szCs w:val="22"/>
              </w:rPr>
              <w:t xml:space="preserve"> или се приемат </w:t>
            </w:r>
            <w:r w:rsidRPr="00F8395E">
              <w:rPr>
                <w:color w:val="000000"/>
                <w:spacing w:val="-4"/>
                <w:sz w:val="22"/>
                <w:szCs w:val="22"/>
                <w:lang w:val="en-US"/>
              </w:rPr>
              <w:t xml:space="preserve"> </w:t>
            </w:r>
            <w:r w:rsidRPr="00F8395E">
              <w:rPr>
                <w:color w:val="000000"/>
                <w:spacing w:val="-4"/>
                <w:sz w:val="22"/>
                <w:szCs w:val="22"/>
              </w:rPr>
              <w:t>частично поради следните мотиви по отделните подточки:</w:t>
            </w:r>
          </w:p>
          <w:p w:rsidR="00483758" w:rsidRPr="00483758" w:rsidRDefault="00483758" w:rsidP="00483758">
            <w:pPr>
              <w:spacing w:before="120" w:after="120" w:line="276" w:lineRule="auto"/>
              <w:jc w:val="both"/>
              <w:rPr>
                <w:color w:val="000000"/>
                <w:spacing w:val="-4"/>
                <w:sz w:val="22"/>
                <w:szCs w:val="22"/>
              </w:rPr>
            </w:pPr>
          </w:p>
        </w:tc>
      </w:tr>
      <w:tr w:rsidR="00483758" w:rsidRPr="00483758" w:rsidTr="002B7926">
        <w:trPr>
          <w:trHeight w:val="596"/>
        </w:trPr>
        <w:tc>
          <w:tcPr>
            <w:tcW w:w="568" w:type="dxa"/>
            <w:vMerge/>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vMerge/>
            <w:shd w:val="clear" w:color="auto" w:fill="auto"/>
          </w:tcPr>
          <w:p w:rsidR="00483758" w:rsidRPr="00483758" w:rsidRDefault="00483758" w:rsidP="00483758">
            <w:pPr>
              <w:spacing w:before="120" w:after="120" w:line="276" w:lineRule="auto"/>
              <w:rPr>
                <w:color w:val="000000"/>
                <w:sz w:val="22"/>
                <w:szCs w:val="22"/>
              </w:rPr>
            </w:pP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1.1 Срок на прилагане: гаранционната схема на НГФ е стартирала през 2013 г. и е добре позната на земеделските стопани, докато ФИ по ПРСР 2014-2020 за кредитиране при облекчени условия се предлага от месец май 2022 г.;</w:t>
            </w:r>
          </w:p>
          <w:p w:rsidR="00483758" w:rsidRPr="00483758" w:rsidRDefault="00483758" w:rsidP="00483758">
            <w:pPr>
              <w:spacing w:before="120" w:after="120" w:line="276" w:lineRule="auto"/>
              <w:jc w:val="both"/>
              <w:rPr>
                <w:rFonts w:eastAsia="Calibri"/>
                <w:color w:val="000000"/>
                <w:sz w:val="22"/>
                <w:szCs w:val="22"/>
                <w:lang w:eastAsia="en-US"/>
              </w:rPr>
            </w:pPr>
          </w:p>
        </w:tc>
        <w:tc>
          <w:tcPr>
            <w:tcW w:w="1493"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Не се приема</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Споразумението за финансиране с  ФМФИБ ЕАД е подписано на 03.09.2020 г., през месец февруари 2021 г. ФМФИБ ЕАД е обявил състезателна процедура с договаряне по реда на ЗОП с предмет „Изпълнение на финансов инструмент „Финансиране в селските райони“, а през месец ноември 2021 г. са сключени три </w:t>
            </w:r>
            <w:r w:rsidRPr="00483758">
              <w:rPr>
                <w:color w:val="000000"/>
                <w:spacing w:val="-4"/>
                <w:sz w:val="22"/>
                <w:szCs w:val="22"/>
              </w:rPr>
              <w:lastRenderedPageBreak/>
              <w:t>оперативни споразумения с ПИБ ЕАД по едно за всяка една от обособените позиции.</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Споразумението за финансиране с НГФ е подписано на 20.12.2011 г., съответно през септември 2012 г. НГФ </w:t>
            </w:r>
            <w:r w:rsidRPr="00483758">
              <w:rPr>
                <w:color w:val="000000"/>
              </w:rPr>
              <w:t xml:space="preserve"> </w:t>
            </w:r>
            <w:r w:rsidRPr="00483758">
              <w:rPr>
                <w:color w:val="000000"/>
                <w:spacing w:val="-4"/>
                <w:sz w:val="22"/>
                <w:szCs w:val="22"/>
              </w:rPr>
              <w:t>стартира открита процедура с предмет „Избор на банки-партньори на „Национален гаранционен фонд“ ЕАД, а през месец януари 2013 г. са подписани първите оперативни споразумения с осем финансови посредника.</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При извършване на съпоставка на данните за периодите на възлагане на оперативните споразумения и за двете финансови институции се стига до заключението, че за едно и също време НГФ показва по-добър резулат.</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Изборът на повече финансови посредници е довело предоставянето на 400 гаранции по мярка 121 и 70 гаранци по мярка 123 от ПРСР 2007-2013 г. към края на 2014 г. (по данни от ГД на изпълнението на ПРСР 2007-2014 г. за 2014 г.).</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Данните предоставени от ФМФИБ ЕАД показват, че за периода от месец ноември 2021 г. към 31.12.2022 г. са постигнати едва 6% по показател „общ размер на допустимите разходи по ПРСР“, като от инструмента са се възползвали 3 крайни получатели.</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Посочените изводи в доклада за 2022 г. са коректни, а направеният коментар е неоснователен.</w:t>
            </w:r>
          </w:p>
        </w:tc>
      </w:tr>
      <w:tr w:rsidR="00483758" w:rsidRPr="00483758" w:rsidTr="002B7926">
        <w:trPr>
          <w:trHeight w:val="596"/>
        </w:trPr>
        <w:tc>
          <w:tcPr>
            <w:tcW w:w="568" w:type="dxa"/>
            <w:vMerge/>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vMerge/>
            <w:shd w:val="clear" w:color="auto" w:fill="auto"/>
          </w:tcPr>
          <w:p w:rsidR="00483758" w:rsidRPr="00483758" w:rsidRDefault="00483758" w:rsidP="00483758">
            <w:pPr>
              <w:spacing w:before="120" w:after="120" w:line="276" w:lineRule="auto"/>
              <w:rPr>
                <w:color w:val="000000"/>
                <w:sz w:val="22"/>
                <w:szCs w:val="22"/>
              </w:rPr>
            </w:pP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 xml:space="preserve">1.2 Обхват на допустими крайни получатели: по гаранционната схема с рециклиран ресурс по ПРСР 2007-2013 обхватът на кредитополучателите е отворен на практика за всички бенефициенти по ПРСР, докато за нисколихвените кредити по </w:t>
            </w:r>
            <w:r w:rsidRPr="00483758">
              <w:rPr>
                <w:rFonts w:eastAsia="Calibri"/>
                <w:color w:val="000000"/>
                <w:sz w:val="22"/>
                <w:szCs w:val="22"/>
                <w:lang w:eastAsia="en-US"/>
              </w:rPr>
              <w:lastRenderedPageBreak/>
              <w:t>ПРСР 2014-2020 са допустими кандидати само по мерки на Програмата – 4.1, 4.2. 6.4 и 19.2.;</w:t>
            </w:r>
          </w:p>
        </w:tc>
        <w:tc>
          <w:tcPr>
            <w:tcW w:w="1493"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lastRenderedPageBreak/>
              <w:t>Не се приема</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Гаранционният фонд за ПРСР 2007-2013 г. се  прилага за проекти на бенефициенти по мерки 121, 122 и 123, които са малки и средни предприятия, без значение на инвестициите, за които са подпомагани, което </w:t>
            </w:r>
            <w:r w:rsidRPr="00483758">
              <w:rPr>
                <w:color w:val="000000"/>
                <w:spacing w:val="-4"/>
                <w:sz w:val="22"/>
                <w:szCs w:val="22"/>
              </w:rPr>
              <w:lastRenderedPageBreak/>
              <w:t>опровергава направения коментар. Следва да се обърне внимание, че отправеният коментар е некоректен, основно поради факта, че реално, точно обратно на твърдението, мерки 121 и 122 от едната програма се припокриват с мерки 4.1 и 4.2 от ПРСР 2014-2020, като в допълнение, с подмерки 6.4.1 и 19.2. се дава най-широка възможност за финансиране на най-широк кръг допустими получатели на средствата.</w:t>
            </w:r>
          </w:p>
        </w:tc>
      </w:tr>
      <w:tr w:rsidR="00483758" w:rsidRPr="00483758" w:rsidTr="002B7926">
        <w:trPr>
          <w:trHeight w:val="596"/>
        </w:trPr>
        <w:tc>
          <w:tcPr>
            <w:tcW w:w="568" w:type="dxa"/>
            <w:vMerge/>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vMerge/>
            <w:shd w:val="clear" w:color="auto" w:fill="auto"/>
          </w:tcPr>
          <w:p w:rsidR="00483758" w:rsidRPr="00483758" w:rsidRDefault="00483758" w:rsidP="00483758">
            <w:pPr>
              <w:spacing w:before="120" w:after="120" w:line="276" w:lineRule="auto"/>
              <w:rPr>
                <w:color w:val="000000"/>
                <w:sz w:val="22"/>
                <w:szCs w:val="22"/>
              </w:rPr>
            </w:pP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1.3 Времева синхронизация на финансирането с ФИ и БФП: по гаранционната схема с рециклиран ресурс по ПРСР 2007-2013 бенефициентът получава достъп до него веднага след подписване на административен договор за БФП (АДБФП) с ДФЗ, докато при ФИ по ПРСР 2014-2020  - поради закъснелия старт в изпълне-нието, беше налице разминаване с приемите за БФП по допустимите мерки, а навременният достъп до финансов ресурс има ключово значение не само за ефективността на инструмента, но и за изпълнението на проектите на бенефициентите;</w:t>
            </w:r>
          </w:p>
          <w:p w:rsidR="00483758" w:rsidRPr="00483758" w:rsidRDefault="00483758" w:rsidP="00483758">
            <w:pPr>
              <w:spacing w:before="120" w:after="120" w:line="276" w:lineRule="auto"/>
              <w:jc w:val="both"/>
              <w:rPr>
                <w:rFonts w:eastAsia="Calibri"/>
                <w:color w:val="000000"/>
                <w:sz w:val="22"/>
                <w:szCs w:val="22"/>
                <w:lang w:eastAsia="en-US"/>
              </w:rPr>
            </w:pPr>
          </w:p>
        </w:tc>
        <w:tc>
          <w:tcPr>
            <w:tcW w:w="1493"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Не се приема</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По подмерки 4.1, 4.2. 6.4 и 19.2. от ПРСР 2014-2020 г. за периода след избора на ПИБ ЕАД за финансов посредник, ДФЗ е подписал административни договори бенефициенти по ПРСР, потенциални получатели на средства и по финансовия инструмент, управляван от ФМФИБ , както следва:</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по подмярка 4.1 – 492 договора с ДФЗ;</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по подмярка 4.2 – 13 договора с ДФЗ;</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по подмярка 6.4 – 76 договора с ДФЗ;</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по подмярка 19.2 – 121 договора с ДФЗ.</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Данните опровергават направения коментар.</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Обратно на твърдението в коментара, слабите ре-зултати, показани в изпълнението на подписаното между ФМФИБ ЕАД и УО на ПРСР финансово спо-разумение за средствата по финансовия инструмент са по-скоро базирани на лошо структуриране и из-пълнение на конкретния инструмент, не толкова липсата на потенциални кредитополучатели по него.</w:t>
            </w:r>
          </w:p>
        </w:tc>
      </w:tr>
      <w:tr w:rsidR="00483758" w:rsidRPr="00483758" w:rsidTr="002B7926">
        <w:trPr>
          <w:trHeight w:val="596"/>
        </w:trPr>
        <w:tc>
          <w:tcPr>
            <w:tcW w:w="568" w:type="dxa"/>
            <w:vMerge/>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vMerge/>
            <w:shd w:val="clear" w:color="auto" w:fill="auto"/>
          </w:tcPr>
          <w:p w:rsidR="00483758" w:rsidRPr="00483758" w:rsidRDefault="00483758" w:rsidP="00483758">
            <w:pPr>
              <w:spacing w:before="120" w:after="120" w:line="276" w:lineRule="auto"/>
              <w:rPr>
                <w:color w:val="000000"/>
                <w:sz w:val="22"/>
                <w:szCs w:val="22"/>
              </w:rPr>
            </w:pP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 xml:space="preserve">1.4 Тип на подкрепените проекти: гаранцията от НГФ е предоставяна за кредитиране на одобрени за БФП проекти, без да </w:t>
            </w:r>
            <w:r w:rsidRPr="00483758">
              <w:rPr>
                <w:rFonts w:eastAsia="Calibri"/>
                <w:color w:val="000000"/>
                <w:sz w:val="22"/>
                <w:szCs w:val="22"/>
                <w:lang w:eastAsia="en-US"/>
              </w:rPr>
              <w:lastRenderedPageBreak/>
              <w:t>са налице ограничения, докато при ФИ по ПРСР 2014-2020 са налице редица ограничения, произтичащи от правилата за средствата по ЕФРЗСР. Така например не е възможно предоставянето на кредит от ФИ по ПРСР 2014-2020 за проекти, одобрени за БФП поради отпускания максимално допустим по Програмата интензитет;</w:t>
            </w:r>
          </w:p>
          <w:p w:rsidR="00483758" w:rsidRPr="00483758" w:rsidRDefault="00483758" w:rsidP="00483758">
            <w:pPr>
              <w:spacing w:before="120" w:after="120" w:line="276" w:lineRule="auto"/>
              <w:jc w:val="both"/>
              <w:rPr>
                <w:rFonts w:eastAsia="Calibri"/>
                <w:color w:val="000000"/>
                <w:sz w:val="22"/>
                <w:szCs w:val="22"/>
                <w:lang w:eastAsia="en-US"/>
              </w:rPr>
            </w:pPr>
          </w:p>
        </w:tc>
        <w:tc>
          <w:tcPr>
            <w:tcW w:w="1493"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lastRenderedPageBreak/>
              <w:t>Не се приема</w:t>
            </w:r>
          </w:p>
        </w:tc>
        <w:tc>
          <w:tcPr>
            <w:tcW w:w="5245" w:type="dxa"/>
            <w:shd w:val="clear" w:color="auto" w:fill="FFFFFF"/>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И двата цитирани финансови инструмента са из-пълнявани по условията и със средства от ЕЗФРСР. В </w:t>
            </w:r>
            <w:r w:rsidRPr="00483758">
              <w:rPr>
                <w:color w:val="000000"/>
                <w:spacing w:val="-4"/>
                <w:sz w:val="22"/>
                <w:szCs w:val="22"/>
              </w:rPr>
              <w:lastRenderedPageBreak/>
              <w:t xml:space="preserve">тази връзка, няма как да се приеме, че инструментите са били изпълнявани при различни условия. Единственото различно е самата специфика на отделните инструменти, което не би следвало да бъде обект на обсъждане от страна на ФМФИБ, дружество, създадено единствено с цел предоставяне на професионална услуга по управление на европейски фондове и програма в частта подпомагане чрез използване на финансови инструменти. Цитираното условие е било видно още с направената актуализирана предварителна оценка за необходимостта от прилагане на финансов инструмент по ПРСР 2014-2020, а параметрите на ФИ са били ясни още преди подписването на финансовото споразумение за средствата. ФМФИБ е следвало предварително да направи оценка на възможността за изпълнение на така предложеният в предварителната оценка конк-ретен инструмент, както и риска от негово неиз-пълнение. ФМФИБ е бил наясно с условията по регламент за увеличение на интензитета на помощта, но само и единствено при спазване на записаните там условия. Не е видно да е правен анализ реалноно колко от бенефициентите, сключили договор по програмата отговарят комулативно и на условията за увеличение на интензитета на помощта във връзка с финансовия инструмент. Следва, също така да се има предвид, че съгласно разпределението на средствата, направено още с предварителната оценка, едва 1/3 от тях са за проекти със сключен договор по програмата, останалите 2/3 от ресурса е следвало да бъдат заделени само и единствено за проекти, които отговарят на </w:t>
            </w:r>
            <w:r w:rsidRPr="00483758">
              <w:rPr>
                <w:color w:val="000000"/>
                <w:spacing w:val="-4"/>
                <w:sz w:val="22"/>
                <w:szCs w:val="22"/>
              </w:rPr>
              <w:lastRenderedPageBreak/>
              <w:t>общите цели на програмата, но нямат договор за подпомагане по същата.</w:t>
            </w:r>
          </w:p>
        </w:tc>
      </w:tr>
      <w:tr w:rsidR="00483758" w:rsidRPr="00483758" w:rsidTr="002B7926">
        <w:trPr>
          <w:trHeight w:val="596"/>
        </w:trPr>
        <w:tc>
          <w:tcPr>
            <w:tcW w:w="568" w:type="dxa"/>
            <w:vMerge/>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vMerge/>
            <w:shd w:val="clear" w:color="auto" w:fill="auto"/>
          </w:tcPr>
          <w:p w:rsidR="00483758" w:rsidRPr="00483758" w:rsidRDefault="00483758" w:rsidP="00483758">
            <w:pPr>
              <w:spacing w:before="120" w:after="120" w:line="276" w:lineRule="auto"/>
              <w:rPr>
                <w:color w:val="000000"/>
                <w:sz w:val="22"/>
                <w:szCs w:val="22"/>
              </w:rPr>
            </w:pP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1.5 В общия случай, при подписан АДБФП при интензитет 50% няма възможност за включване на допълнителен брутен еквивалент към него от подкрепата чрез ФИ, като по този начин повечето бенефициенти на Програмата остават извън обхвата на инструмента, което има съществено негативно отражение върху неговата ефективност. Този проблем е поставян нееднократно на вниманието на Управляващия орган и до този момент не е намерил решение. От друга страна, средствата от рециклирания ресурс от ПРСР 2007-2013 имат характер на национални средства и се  предоставят без да се налага спазване на изискванията за максимално допустим интензитет по ПРСР 2014-2020. Така по същество всички бенефициенти по ПРСР могат да се възползват от финансиране гарантирано от НГФ за осигуряване на самоучастието на бенефициентите.</w:t>
            </w:r>
          </w:p>
        </w:tc>
        <w:tc>
          <w:tcPr>
            <w:tcW w:w="1493"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Не се приема</w:t>
            </w:r>
          </w:p>
        </w:tc>
        <w:tc>
          <w:tcPr>
            <w:tcW w:w="5245" w:type="dxa"/>
            <w:shd w:val="clear" w:color="auto" w:fill="FFFFFF"/>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Виж отговор по коментар 1.4.</w:t>
            </w:r>
          </w:p>
        </w:tc>
      </w:tr>
      <w:tr w:rsidR="00483758" w:rsidRPr="00483758" w:rsidTr="002B7926">
        <w:trPr>
          <w:trHeight w:val="596"/>
        </w:trPr>
        <w:tc>
          <w:tcPr>
            <w:tcW w:w="568" w:type="dxa"/>
            <w:vMerge/>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vMerge/>
            <w:shd w:val="clear" w:color="auto" w:fill="auto"/>
          </w:tcPr>
          <w:p w:rsidR="00483758" w:rsidRPr="00483758" w:rsidRDefault="00483758" w:rsidP="00483758">
            <w:pPr>
              <w:spacing w:before="120" w:after="120" w:line="276" w:lineRule="auto"/>
              <w:rPr>
                <w:color w:val="000000"/>
                <w:sz w:val="22"/>
                <w:szCs w:val="22"/>
              </w:rPr>
            </w:pP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1.6 Като е посочено по-горе, гаранционната схема е обезпечена със средства, които представляват рециклиран ресурс от ПРСР 2007 – 2013 и като такъв имат характер на национални средства, с което остават извън обхвата на изискванията, заложени в регулациите за ЕЗФРСР и ПРСР 2014-2020. Това прави възможно пре-доставяне на подкрепа за едни и същи допустими разходи и прилагане на гаранционната схема за предварително финансиране на БФП, което е недопустимо по отношение на ФИ по ПРСР 2014-2020 поради, нормативните забрани за използването на финансовия инструмент за префинансиране на БФП („мостово“ финан-сиране), което е основната част от гарантираните кредити от НГФ.</w:t>
            </w:r>
          </w:p>
          <w:p w:rsidR="00483758" w:rsidRPr="00483758" w:rsidRDefault="00483758" w:rsidP="00483758">
            <w:pPr>
              <w:spacing w:before="120" w:after="120" w:line="276" w:lineRule="auto"/>
              <w:jc w:val="both"/>
              <w:rPr>
                <w:rFonts w:eastAsia="Calibri"/>
                <w:color w:val="000000"/>
                <w:sz w:val="22"/>
                <w:szCs w:val="22"/>
                <w:lang w:eastAsia="en-US"/>
              </w:rPr>
            </w:pPr>
          </w:p>
        </w:tc>
        <w:tc>
          <w:tcPr>
            <w:tcW w:w="1493"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Не се приема</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Виж. Мотивите в т. 1.1</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Твърдението е извадено извън контекста. Следва да се има предвид, че преди да се превърнат в национален ресурс, средствата по га-ранционната схема по ПРСР 2007-2013 г. бяха пър-воначално използвани като европейски средства по програмата, заделени за използване през финансови инструменти и предоставени за тези цели на НГФ. След като бяха изключително успешно усвоени, през издадените от НГФ гаранции  по инструмента към избраните (над 10) търговски банки, финанси-ращи земеделски проекти по програмата, същите средства, вече рециклирани, </w:t>
            </w:r>
            <w:r w:rsidRPr="00483758">
              <w:rPr>
                <w:color w:val="000000"/>
                <w:spacing w:val="-4"/>
                <w:sz w:val="22"/>
                <w:szCs w:val="22"/>
              </w:rPr>
              <w:lastRenderedPageBreak/>
              <w:t>продължиха успешно да бъдат управлявани от НГФ под формата на вече национален ресурс.</w:t>
            </w:r>
          </w:p>
        </w:tc>
      </w:tr>
      <w:tr w:rsidR="00483758" w:rsidRPr="00483758" w:rsidTr="002B7926">
        <w:trPr>
          <w:trHeight w:val="596"/>
        </w:trPr>
        <w:tc>
          <w:tcPr>
            <w:tcW w:w="568" w:type="dxa"/>
            <w:vMerge/>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vMerge/>
            <w:shd w:val="clear" w:color="auto" w:fill="auto"/>
          </w:tcPr>
          <w:p w:rsidR="00483758" w:rsidRPr="00483758" w:rsidRDefault="00483758" w:rsidP="00483758">
            <w:pPr>
              <w:spacing w:before="120" w:after="120" w:line="276" w:lineRule="auto"/>
              <w:rPr>
                <w:color w:val="000000"/>
                <w:sz w:val="22"/>
                <w:szCs w:val="22"/>
              </w:rPr>
            </w:pP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1.7 Чувствителна промяна на икономическата, политическа и финансова среда и активност: последиците от световната пандемия и войната в Украйна дават своето отражение и върху инвестиционните намерения на производителите и преработвателите в сектор „Земеделие“. Получената обратна връзка от бранша показва предпазливост в разходването и стартирането на нови проекти, несигурност в краткосрочен план, търсене на оборотно финансиране за покриване на нуждата от ликвидни средства. Невъзможността да се отговори на промяната в нагласата на потенциалните крайни получатели поради програмни или регулаторни изисквания е друг фактор, който дава своето отражение върху реа-лизацията на финансовите инструменти. В същото време настоящата ситуация е и възможност за активиране на ресурса по инструментите с предимствата, които предоставят – след задълбочен преглед и правилното им позициониране и промотиране.</w:t>
            </w:r>
          </w:p>
          <w:p w:rsidR="00483758" w:rsidRPr="00483758" w:rsidRDefault="00483758" w:rsidP="00483758">
            <w:pPr>
              <w:spacing w:before="120" w:after="120" w:line="276" w:lineRule="auto"/>
              <w:jc w:val="both"/>
              <w:rPr>
                <w:rFonts w:eastAsia="Calibri"/>
                <w:color w:val="000000"/>
                <w:sz w:val="22"/>
                <w:szCs w:val="22"/>
                <w:lang w:eastAsia="en-US"/>
              </w:rPr>
            </w:pPr>
          </w:p>
        </w:tc>
        <w:tc>
          <w:tcPr>
            <w:tcW w:w="1493"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Не се приема</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Действително, последиците от световната пандемия и войната в Украйна дават своето отражение и върху инвестиционните намерения на производителите и преработвателите в сектор „Земеделие“, но добрата информационна кампания би могла да насърчи и разшири кръга бенефициенти, кандидатстващи за подпомагане по програмите, което ще доведе до по-добри резултати като цяло. Също така, по-големият брой финансови посредници също би могъл да окаже положително влияние върху постигнатите резултати.</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Видно от сайта на ФМФИБ ЕАД е, че дружеството няма никаква политика по промотиране на своите про-дукти, като в сайта на дружеството липсва актуална информация, както за дейността на дружеството, така и за коректните контакти и достъп до актуални финансови инструменти. </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Конкретен пример е инструмента по ПРСР. При отваряне на линка към финансов инструмент „ФИ-НАНСИРАНЕ В СЕЛСКИТЕ РАЙОНИ“, препратката е към друг раздел от сайта на ФМФИБ ЕАД с въз-можно най-общо описание на финансовия инстру-мент, а при отваряне на линка към финансовия пос-редник, се отваря страницата на банката, където се предлага друг за банката финансов инструмент, нямащ нищо общо с този по ПРСР. </w:t>
            </w:r>
          </w:p>
        </w:tc>
      </w:tr>
      <w:tr w:rsidR="00483758" w:rsidRPr="00483758" w:rsidTr="002B7926">
        <w:trPr>
          <w:trHeight w:val="596"/>
        </w:trPr>
        <w:tc>
          <w:tcPr>
            <w:tcW w:w="568" w:type="dxa"/>
            <w:vMerge/>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vMerge/>
            <w:shd w:val="clear" w:color="auto" w:fill="auto"/>
          </w:tcPr>
          <w:p w:rsidR="00483758" w:rsidRPr="00483758" w:rsidRDefault="00483758" w:rsidP="00483758">
            <w:pPr>
              <w:spacing w:before="120" w:after="120" w:line="276" w:lineRule="auto"/>
              <w:rPr>
                <w:color w:val="000000"/>
                <w:sz w:val="22"/>
                <w:szCs w:val="22"/>
              </w:rPr>
            </w:pP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 xml:space="preserve">В резултат на гореизложеното, ФМФИБ, счита, че следва да се заличи направеното сравнение в Годишния доклад за изпълне-ние </w:t>
            </w:r>
            <w:r w:rsidRPr="00483758">
              <w:rPr>
                <w:rFonts w:eastAsia="Calibri"/>
                <w:color w:val="000000"/>
                <w:sz w:val="22"/>
                <w:szCs w:val="22"/>
                <w:lang w:eastAsia="en-US"/>
              </w:rPr>
              <w:lastRenderedPageBreak/>
              <w:t>на ПРСР или алтернативно да се коригира изложената ин-формация за сравнението на ефективността между ФИ, управ-лявани от НГФ и ФМФИБ, като се представят съпоставими данни и се анализират съпътстващите прилагането на инструментите фактори, както и техните специфики, с което да се положи коректна основа за предприемане на последващи стъпки и бъдещи действия по отношение на реализацията им.</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ФМФИБ приветства идеята за иницииране на законодателни промени по отношение на прилагането на финансови инстру-менти с цел ускоряване на изпълнението, разкриване на пълния потенциал и ползи от използването им, намаляване на ад-министративната тежест за крайните получатели и се улесняване на достъпа им до финансов ресурс. В тази връзка изразяваме готовност и желание да участваме в процеса по структуриране и обсъждане на процедурите по измененията.</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В допълнение на гореизложеното, в ГДИ би могло да се добави информация за проведените през 2022 и 2023 г. срещи с финансовия посредник и УО на ПРСР, в рамките на които са набелязани последващи стъпки, насочени към оптимизация на изпълнението, в т.ч. проактивно таргетиране на крайни получатели, колаборация на местно ниво с общински служби „Земеделие“ в ключови райони, провеждане на допълнителна кампания за популяризиране на инструмента. Обсъдена бе и възможността за удължаване на периода на изпълнение на ФИ по ПРСР 2014-2020 до края на 2025 г. във връзка с измененията, въведени с Регламент (ЕС) 2020/2220 (Преходен регламент), с който периодът на допустимост на Програмата се удължи до 31.12.2025 г.</w:t>
            </w:r>
          </w:p>
        </w:tc>
        <w:tc>
          <w:tcPr>
            <w:tcW w:w="1493"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lastRenderedPageBreak/>
              <w:t>Приема се частично</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В ГДИ </w:t>
            </w:r>
            <w:r w:rsidRPr="00483758">
              <w:rPr>
                <w:color w:val="000000"/>
              </w:rPr>
              <w:t xml:space="preserve"> </w:t>
            </w:r>
            <w:r w:rsidRPr="00483758">
              <w:rPr>
                <w:color w:val="000000"/>
                <w:spacing w:val="-4"/>
                <w:sz w:val="22"/>
                <w:szCs w:val="22"/>
              </w:rPr>
              <w:t xml:space="preserve">ще се добави информация за проведените през 2022 и 2023 г. срещи с финансовия посредник и УО на </w:t>
            </w:r>
            <w:r w:rsidRPr="00483758">
              <w:rPr>
                <w:color w:val="000000"/>
                <w:spacing w:val="-4"/>
                <w:sz w:val="22"/>
                <w:szCs w:val="22"/>
              </w:rPr>
              <w:lastRenderedPageBreak/>
              <w:t>ПРСР, но напредъкът през 2023 г. е обект на последващо докладване.</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Не се приема заличаването на текстове в доклада по отношение на направеното сравнение на ФМФИБ ЕАД и НГФ, както и отправените препоръки.</w:t>
            </w:r>
          </w:p>
        </w:tc>
      </w:tr>
      <w:tr w:rsidR="00483758" w:rsidRPr="00483758" w:rsidTr="002B7926">
        <w:trPr>
          <w:trHeight w:val="596"/>
        </w:trPr>
        <w:tc>
          <w:tcPr>
            <w:tcW w:w="568" w:type="dxa"/>
            <w:vMerge/>
            <w:shd w:val="clear" w:color="auto" w:fill="auto"/>
          </w:tcPr>
          <w:p w:rsidR="00483758" w:rsidRPr="00483758" w:rsidRDefault="00483758" w:rsidP="00483758">
            <w:pPr>
              <w:tabs>
                <w:tab w:val="left" w:pos="192"/>
              </w:tabs>
              <w:spacing w:before="120" w:after="120" w:line="276" w:lineRule="auto"/>
              <w:rPr>
                <w:b/>
                <w:color w:val="000000"/>
                <w:sz w:val="22"/>
                <w:szCs w:val="22"/>
              </w:rPr>
            </w:pPr>
          </w:p>
        </w:tc>
        <w:tc>
          <w:tcPr>
            <w:tcW w:w="1842" w:type="dxa"/>
            <w:vMerge/>
            <w:shd w:val="clear" w:color="auto" w:fill="auto"/>
          </w:tcPr>
          <w:p w:rsidR="00483758" w:rsidRPr="00483758" w:rsidRDefault="00483758" w:rsidP="00483758">
            <w:pPr>
              <w:spacing w:before="120" w:after="120" w:line="276" w:lineRule="auto"/>
              <w:rPr>
                <w:color w:val="000000"/>
                <w:sz w:val="22"/>
                <w:szCs w:val="22"/>
              </w:rPr>
            </w:pP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 xml:space="preserve">2. По отношение на предоставената информация в ГДИ и при-ложението за мониторинг, обръщаме внимание, че в него лип-сват </w:t>
            </w:r>
            <w:r w:rsidRPr="00483758">
              <w:rPr>
                <w:rFonts w:eastAsia="Calibri"/>
                <w:color w:val="000000"/>
                <w:sz w:val="22"/>
                <w:szCs w:val="22"/>
                <w:lang w:eastAsia="en-US"/>
              </w:rPr>
              <w:lastRenderedPageBreak/>
              <w:t>определени данни по отношение на изпълнението на ФИ по ПРСР 2014-2020.</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Считаме, че същите следва да бъдат допълнени с данните за подкрепа под формата на финансови инструменти по мярка 4 на Програмата – в реда за Приоритет 2, приоритетна област 2А.</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В раздел 10 „Доклад за изпълнението на ФИ“ е попълнен само образеца за Фонд на фондове, но липсва Приложение 1 за фи-нансовия инструмент, изпълняван от ПИБ АД, като финансов посредник. Респективно в ГДИ не са посочени данни за пре-доставените 4 кредита на КП по ПРСР, за разплатените разходи от ПРСР към крайни получатели и за такси и разходи за управление на финансовия посредник ПИБ АД.</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В приложението за индикаторите за мониторинг, в полетата за финансови инструменти по мярка 4 са посочени нулеви стой-ности, което не отговаря на направените разходи към крайни получатели по разплатените до момента 4 кредита от ФИ по ПРСР 2014-2020.</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lastRenderedPageBreak/>
              <w:t>Приема се</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Към настоящия момент в раздел 10 „Доклад за изпълнението на ФИ“ са попълнение наличните данни, </w:t>
            </w:r>
            <w:r w:rsidRPr="00483758">
              <w:rPr>
                <w:color w:val="000000"/>
                <w:spacing w:val="-4"/>
                <w:sz w:val="22"/>
                <w:szCs w:val="22"/>
              </w:rPr>
              <w:lastRenderedPageBreak/>
              <w:t>предоставени от ФМФИБ ЕАД. След предоставяне на допълителни данни от ФМФИБ ЕАД, съответстващи на необходимите разбивки по фокус области за всеки конкретен проект – съобразно шаблона на ЕК, същите ще бъдат надлежно отразени в съответните места от образеца на ГДИ за 2022 г.</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r w:rsidRPr="00483758">
              <w:rPr>
                <w:b/>
                <w:color w:val="000000"/>
                <w:sz w:val="22"/>
                <w:szCs w:val="22"/>
              </w:rPr>
              <w:lastRenderedPageBreak/>
              <w:t>2.</w:t>
            </w:r>
          </w:p>
        </w:tc>
        <w:tc>
          <w:tcPr>
            <w:tcW w:w="1842"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ГД „Оперативна програма Околна среда“, МОСВ, получено на 20.06.2023 г.</w:t>
            </w: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Във връзка с предложението в проекта на Годишен доклад за изпълнението на Програмата за развитие на селските райони 2014-2020 г. за периода1 януари 2022 г. - 31 декември 2022 г., за отчитане изпълнението по реда на ЗПЗП, Управляващият орган на ОПОС 2014-2021 г. има следния коментар:</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 xml:space="preserve">Обръщаме внимание, че направеното предложение на стр. 53, последен абзац от т. 2.с) Описание на дейностите, предприети по отношение на предоставянето и управлението на данни (във връзка с раздел 4 на плана за оценка) е в несъответствие с чл. 31, параграф 5 на Регламент 1060/2021 (Като се спазват обхватът и правилата за допустимост на всеки фонд, участващ в предоставянето на подкрепа за стратегията, за тази стратегия се </w:t>
            </w:r>
            <w:r w:rsidRPr="00483758">
              <w:rPr>
                <w:rFonts w:eastAsia="Calibri"/>
                <w:color w:val="000000"/>
                <w:sz w:val="22"/>
                <w:szCs w:val="22"/>
                <w:lang w:eastAsia="en-US"/>
              </w:rPr>
              <w:lastRenderedPageBreak/>
              <w:t>прилагат правилата на водещия фонд. Органите на другите фондове се  осланят на решенията и проверките на управлението, извършени от компетентния орган на водещия фонд.) и би следвало да се прилага ЗУСЕФСУ.</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Мотиви: Регламент 1060/2021 е транспониран в българската нормативна уредба чрез ЗУСЕФСУ, а не чрез Закона за под-помагане на земеделските производители (ЗПЗП). ЗПЗП се явява общ закон урегулиращ държавното подпомагане на зе-меделските стопани, включително земеделските производители, като подпомагането по линия на Европейските фондове при споделено управление е само една от възможните хипотези за подпомагане на земеделските стопани, включително земеделските производители. В този смисъл ЗУСЕФСУ се явява специален закон урегулиращ частноправните отношения между субектите в производството по администриране на сключени административни договори за предоставяне на безвъзмездна финансова помощ. На следващо място следва да се има предвид, че подпомагането по линия на ВОМР, в комбинация между няколко фонда, обикновено е насочено към мерки, които по своята същност не предполагат бенефициенти да носят характеристиките на земеделските стопани, включително земеделските производители, а са насочени към по широк кръг заинтересовани лица.</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В заключение считаме, че липсата на технически възможности за прилагане на закона не е основание за дерогация на същест-вуващи правни норми, следователно избирането на предложения от Вас подход би се явявал неизпълнение на приложимия закон.</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 xml:space="preserve">Предвид гореизложеното, предлагам да отпадне текстът от стр. 53 на годишния доклад: „Въпреки промените в ЗПЗП (изм. и доп. на ДВ. бр. 102 от 23.12.2022 г.), които отчасти управляват риска от събиране на ненадеждни данни, във връзка с наблюдението и </w:t>
            </w:r>
            <w:r w:rsidRPr="00483758">
              <w:rPr>
                <w:rFonts w:eastAsia="Calibri"/>
                <w:color w:val="000000"/>
                <w:sz w:val="22"/>
                <w:szCs w:val="22"/>
                <w:lang w:eastAsia="en-US"/>
              </w:rPr>
              <w:lastRenderedPageBreak/>
              <w:t>оценката на подхода ВОМР в СП, и предвид, че ЕЗФРСР е избран за водещ фонд, следва да се обмисли доколко е целесъобразно този подход да бъде приложен, съгласно правилата и системите, предвидени в ЗУСЕФСУ. Необходимо е да се прецени дали ВОМР не следва да се прилага по правилата на ЗПЗП, като по този начин ще се гарантира събирането на информация, необходима за целите на изготвянето на Годишните доклади за качеството на изпълнението на СП. Към настоящия момент все още ИСУН 2020 не дава възможност за събиране на данни, от които автоматично да се извеждат стойности за показателите по индикаторен план, включително индикаторите за резултат, индикаторите за продукт, финансовите индикатори, целевите индикатори и индикаторите от рамката за изпълнение.“</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pacing w:val="-4"/>
                <w:sz w:val="22"/>
                <w:szCs w:val="22"/>
              </w:rPr>
              <w:lastRenderedPageBreak/>
              <w:t>Не се приема</w:t>
            </w:r>
          </w:p>
        </w:tc>
        <w:tc>
          <w:tcPr>
            <w:tcW w:w="52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color w:val="000000"/>
                <w:spacing w:val="-4"/>
                <w:sz w:val="22"/>
                <w:szCs w:val="22"/>
              </w:rPr>
              <w:t xml:space="preserve">Съгласно чл. 288 от ДФЕС Регламентът е с пряко приложение в държавите-членки. Следователно националното законодателство следва да е съобразено с разпоредбите на правото на ЕС и да не противоречи на неговите разпоредби. Според тълкуването на УО на ПРСР на направения коментар, изложеното в него следва да покаже, че ЗУСЕФСУ е в пряко противоречие с разпоредбите на чл. 31, параграф 5 на Регламент 1060/2021 (Като се спазват обхватът и правилата за допустимост на всеки фонд, участващ в предоставянето на подкрепа за стратегията, за тази стратегия се прилагат правилата на водещия фонд. Органите на другите фондове се  осланят на решенията и проверките </w:t>
            </w:r>
            <w:r w:rsidRPr="00483758">
              <w:rPr>
                <w:color w:val="000000"/>
                <w:spacing w:val="-4"/>
                <w:sz w:val="22"/>
                <w:szCs w:val="22"/>
              </w:rPr>
              <w:lastRenderedPageBreak/>
              <w:t xml:space="preserve">на управлението, извършени от компетентния орган на водещия фонд.), в случай, че се приеме, че специален закон се явява ЗУСЕФСУ. Предвид изискванията на чл. 31, параграф 5 от Регламент 1060/2021, ЗПЗП е специалния закон по отношение на подпомагането по линия на европейските земеделски фондове. В тази връзка, за да бъдат правилно трнспонирани европейските разпоредби, би следвало подходът ВОМР да се прилага по правилата на водещия фонд, а именно по реда на ЗПЗП. Не считаме, че е верен и представеният мотив във връзка с това, че ЗПЗП стеснява кръга от заинтересовани лица, предвид, че „той бил насочен към подпомагане на </w:t>
            </w:r>
            <w:r w:rsidRPr="00483758">
              <w:rPr>
                <w:rFonts w:eastAsia="Calibri"/>
                <w:color w:val="000000"/>
                <w:sz w:val="22"/>
                <w:szCs w:val="22"/>
                <w:lang w:eastAsia="en-US"/>
              </w:rPr>
              <w:t xml:space="preserve">бенефициенти, които  носят характеристиките на земеделските стопани, включително земеделските производители“ - факт, който не се потвърждава, както от разпоредбите на закона (чл. 11, ал. 2 т. 2 и чл. 11а, ал. 1, т. 8), така и от подпомаганите и към момента по линия на ЕЗФРСР общини, МСП, горски предприятия, вероизповедания, училища и други, различни от земеделски стопани бенефициенти. </w:t>
            </w:r>
          </w:p>
          <w:p w:rsidR="00483758" w:rsidRPr="00483758" w:rsidRDefault="00483758" w:rsidP="00483758">
            <w:pPr>
              <w:spacing w:before="120" w:after="120" w:line="276" w:lineRule="auto"/>
              <w:jc w:val="both"/>
              <w:rPr>
                <w:color w:val="000000"/>
                <w:spacing w:val="-4"/>
                <w:sz w:val="22"/>
                <w:szCs w:val="22"/>
                <w:lang w:val="en-US"/>
              </w:rPr>
            </w:pPr>
            <w:r w:rsidRPr="00483758">
              <w:rPr>
                <w:rFonts w:eastAsia="Calibri"/>
                <w:color w:val="000000"/>
                <w:sz w:val="22"/>
                <w:szCs w:val="22"/>
                <w:lang w:eastAsia="en-US"/>
              </w:rPr>
              <w:t xml:space="preserve">Именно по тази причина, и с оглед да се приложат научените уроци от програмен период 2014-2020, е направено предложението за уеднаквяване на подхода по прилагане на ВОМР с останалите части на СП РЗСР. Към настоящия момент все още ИСУН 2020 не дава възможност за събиране на данни, от които автоматично да се извеждат стойности за показателите по индикаторен план, включително индикаторите за резултат, индикаторите за продукт, финансовите индикатори, целевите индикатори и </w:t>
            </w:r>
            <w:r w:rsidRPr="00483758">
              <w:rPr>
                <w:rFonts w:eastAsia="Calibri"/>
                <w:color w:val="000000"/>
                <w:sz w:val="22"/>
                <w:szCs w:val="22"/>
                <w:lang w:eastAsia="en-US"/>
              </w:rPr>
              <w:lastRenderedPageBreak/>
              <w:t>индикаторите от рамката за изпълнение. Все още не са направени и постъпки към изпълнение на чл. 52, ал. 8 и 9 от ЗПЗП, поради което текстът на стр. 53 от ГД за 2022 г. се запазва. Годишният доклад не следва да се счита за одитен такъв, нито, че има директна правно обвързваща сила, и препоръките в него би следвало да бъдат единствено обследвани като възможности от още една гледна точка, но не и приемани за обоснова-ващи крайно решение.</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Сдружение „Екология Образование Иновации“, получено на 23.06.2023 г.</w:t>
            </w: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Поради разминаване във формата на годишните доклади за 2019, 2020, 2021г. и предоставения ни годишен доклад за 2022г. и с цел за внасяне на повече яснота за изпълнението на програма „Развитие на Селските Райони“ 2014 – 2020 и заложените приоритети, желаем представените предложения да се допълнят към годишния доклад за 2022г.</w:t>
            </w:r>
          </w:p>
          <w:p w:rsidR="00483758" w:rsidRPr="00483758" w:rsidRDefault="00483758" w:rsidP="00483758">
            <w:pPr>
              <w:spacing w:before="120" w:after="120" w:line="276" w:lineRule="auto"/>
              <w:jc w:val="both"/>
              <w:rPr>
                <w:rFonts w:eastAsia="Calibri"/>
                <w:color w:val="000000"/>
                <w:sz w:val="22"/>
                <w:szCs w:val="22"/>
                <w:lang w:eastAsia="en-US"/>
              </w:rPr>
            </w:pP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 xml:space="preserve">ПРЕДЛОЖЕНИЕ № 1 </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 xml:space="preserve">ПРОГРАМА - 14-ТО ИЗМЕНЕНИЕ </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ТАБЛИЦА № 7.1 ПОКАЗАТЕЛИ</w:t>
            </w:r>
          </w:p>
          <w:p w:rsidR="00483758" w:rsidRDefault="00483758" w:rsidP="00483758">
            <w:pPr>
              <w:spacing w:before="120" w:after="120" w:line="276" w:lineRule="auto"/>
              <w:jc w:val="both"/>
              <w:rPr>
                <w:rFonts w:eastAsia="Calibri"/>
                <w:color w:val="000000"/>
                <w:sz w:val="22"/>
                <w:szCs w:val="22"/>
                <w:lang w:eastAsia="en-US"/>
              </w:rPr>
            </w:pPr>
          </w:p>
          <w:p w:rsidR="00FF674A" w:rsidRDefault="00FF674A" w:rsidP="00483758">
            <w:pPr>
              <w:spacing w:before="120" w:after="120" w:line="276" w:lineRule="auto"/>
              <w:jc w:val="both"/>
              <w:rPr>
                <w:rFonts w:eastAsia="Calibri"/>
                <w:color w:val="000000"/>
                <w:sz w:val="22"/>
                <w:szCs w:val="22"/>
                <w:lang w:eastAsia="en-US"/>
              </w:rPr>
            </w:pPr>
          </w:p>
          <w:p w:rsidR="00FF674A" w:rsidRDefault="00FF674A" w:rsidP="00483758">
            <w:pPr>
              <w:spacing w:before="120" w:after="120" w:line="276" w:lineRule="auto"/>
              <w:jc w:val="both"/>
              <w:rPr>
                <w:rFonts w:eastAsia="Calibri"/>
                <w:color w:val="000000"/>
                <w:sz w:val="22"/>
                <w:szCs w:val="22"/>
                <w:lang w:eastAsia="en-US"/>
              </w:rPr>
            </w:pPr>
          </w:p>
          <w:p w:rsidR="00FF674A" w:rsidRDefault="00FF674A" w:rsidP="00483758">
            <w:pPr>
              <w:spacing w:before="120" w:after="120" w:line="276" w:lineRule="auto"/>
              <w:jc w:val="both"/>
              <w:rPr>
                <w:rFonts w:eastAsia="Calibri"/>
                <w:color w:val="000000"/>
                <w:sz w:val="22"/>
                <w:szCs w:val="22"/>
                <w:lang w:eastAsia="en-US"/>
              </w:rPr>
            </w:pPr>
          </w:p>
          <w:p w:rsidR="00FF674A" w:rsidRDefault="00FF674A" w:rsidP="00483758">
            <w:pPr>
              <w:spacing w:before="120" w:after="120" w:line="276" w:lineRule="auto"/>
              <w:jc w:val="both"/>
              <w:rPr>
                <w:rFonts w:eastAsia="Calibri"/>
                <w:color w:val="000000"/>
                <w:sz w:val="22"/>
                <w:szCs w:val="22"/>
                <w:lang w:eastAsia="en-US"/>
              </w:rPr>
            </w:pPr>
          </w:p>
          <w:p w:rsidR="00FF674A" w:rsidRDefault="001144FC" w:rsidP="00483758">
            <w:pPr>
              <w:spacing w:before="120" w:after="120" w:line="276" w:lineRule="auto"/>
              <w:jc w:val="both"/>
              <w:rPr>
                <w:rFonts w:eastAsia="Calibri"/>
                <w:color w:val="000000"/>
                <w:sz w:val="22"/>
                <w:szCs w:val="22"/>
                <w:lang w:eastAsia="en-US"/>
              </w:rPr>
            </w:pPr>
            <w:r>
              <w:rPr>
                <w:rFonts w:eastAsia="Calibri"/>
                <w:noProof/>
                <w:color w:val="000000"/>
                <w:sz w:val="22"/>
                <w:szCs w:val="22"/>
                <w:lang w:val="en-US" w:eastAsia="en-US"/>
              </w:rPr>
              <w:drawing>
                <wp:inline distT="0" distB="0" distL="0" distR="0">
                  <wp:extent cx="3828415" cy="4590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8415" cy="4590415"/>
                          </a:xfrm>
                          <a:prstGeom prst="rect">
                            <a:avLst/>
                          </a:prstGeom>
                          <a:noFill/>
                        </pic:spPr>
                      </pic:pic>
                    </a:graphicData>
                  </a:graphic>
                </wp:inline>
              </w:drawing>
            </w:r>
          </w:p>
          <w:p w:rsidR="00FF674A" w:rsidRPr="00483758" w:rsidRDefault="00FF674A" w:rsidP="00483758">
            <w:pPr>
              <w:spacing w:before="120" w:after="120" w:line="276" w:lineRule="auto"/>
              <w:jc w:val="both"/>
              <w:rPr>
                <w:rFonts w:eastAsia="Calibri"/>
                <w:color w:val="000000"/>
                <w:sz w:val="22"/>
                <w:szCs w:val="22"/>
                <w:lang w:eastAsia="en-US"/>
              </w:rPr>
            </w:pP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На практика при попълването на стойностите в таблицата за показатели, най – добре ще се види изпълнението на програмата.</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lastRenderedPageBreak/>
              <w:t>Приема се</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Информацията е налична в раздел 1.</w:t>
            </w:r>
            <w:r w:rsidRPr="00483758">
              <w:rPr>
                <w:color w:val="000000"/>
                <w:spacing w:val="-4"/>
                <w:sz w:val="22"/>
                <w:szCs w:val="22"/>
                <w:lang w:val="en-US"/>
              </w:rPr>
              <w:t>f</w:t>
            </w:r>
            <w:r w:rsidRPr="00483758">
              <w:rPr>
                <w:color w:val="000000"/>
                <w:spacing w:val="-4"/>
                <w:sz w:val="22"/>
                <w:szCs w:val="22"/>
              </w:rPr>
              <w:t>) Таблица Е: Постигане на показателите от рамката на изпълнението от доклада.</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Сдружение „Екология Образование Иновации“, получено на 23.06.2023 г.</w:t>
            </w: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 xml:space="preserve">ПРЕДЛОЖЕНИЕ № 2 </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Непосредствено след „Мерки и подмерки в процес на прилагане от стартирането на Програмата до края на 2022 г.“ в поле „1.c) Ключова информация относно изпълнението на ПРСР въз основа на данни от a) и б) по акцентирани области“ да се добавят актуализирани таблици от Годишен отчет за 2021 г. с актуална към 31.12.2022г., а именно:</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1) Таблица № 1.1: Изпълнение на ПРСР през 2022 г. в евро, общо за ПРСР по мерки</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2) Таблица № 1.1а):Изпълнение на ПРСР към 31.12.2022 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3) Таблица № 1.1б): Изпълнение на Мерки от ПРСР 2014-2020 към 31.12.2022 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4) Таблица № 1.2: Данни към 31.12.2022 г., евро ЕЗФРСР</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5) Таблица № 1.3: Изпълнение на Рамката на изпълнение, към 31.12.2022г.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6) Таблица № 1.4: Стартирали приеми през 2022г. по ПРСР 2014-2020</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Присъстват доклада за 2021 а липсват в този за 2022г.</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t>Не се приема</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Изискване към съдържанието на раздел 1.c) „Ключова информация относно изпълнението на ПРСР въз основа на данни от a) и б) по акцентирани области“ в образеца на доклада не са налични, а повечето от исканите данни са представени в различни раздели в доклада, главно поради ограничение в символите, налични за попълване в системата. Както е посочено в доклада „</w:t>
            </w:r>
            <w:r w:rsidRPr="00483758">
              <w:rPr>
                <w:i/>
                <w:iCs/>
                <w:color w:val="000000"/>
                <w:spacing w:val="-4"/>
                <w:sz w:val="22"/>
                <w:szCs w:val="22"/>
              </w:rPr>
              <w:t>Анализът е представен като цяло следвайки разпоредбите на Регламент за изпълнение (ЕС) 2018/276 на Комисията от 23 февруари 2018 година за изменение на Регламент за изпълнение (ЕС) № 215/2014, на базата на което са представени и таблиците от Приложенията към доклада в системата (част 11 от годишния доклад), а именно - отчитането на прилагането на Програмата се извършва предимно на база сключени договори, с получени междинни и/или окончателни плащания (не се включват договори, или договори с получени авансови плащания). Въпреки това, за целите на анализа са представяни на места и сравнения на база приети заявления, или договори, или договори с получени плащания, вкл. само изплатени аванси и др. В тази връзка, изрично е упоменато навсякъде каква база е използвана за представения анализ, във всеки конкретен случай</w:t>
            </w:r>
            <w:r w:rsidRPr="00483758">
              <w:rPr>
                <w:color w:val="000000"/>
                <w:spacing w:val="-4"/>
                <w:sz w:val="22"/>
                <w:szCs w:val="22"/>
              </w:rPr>
              <w:t xml:space="preserve">.“. </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В допълнение, информацията, която е предложена за допълване с коментарите от Сдружение „Екология Образование Иновации“, изглежда едностранна и касае конкретни параметри на прилагането на ПРСР 2014-2020 г., като същевременно е публично достъпна на сайта на ДФЗ и МЗХ и/или се предоставя като част от материалите за всеки Комитет по наблюдение, </w:t>
            </w:r>
            <w:r w:rsidRPr="00483758">
              <w:rPr>
                <w:color w:val="000000"/>
                <w:spacing w:val="-4"/>
                <w:sz w:val="22"/>
                <w:szCs w:val="22"/>
              </w:rPr>
              <w:lastRenderedPageBreak/>
              <w:t>провеждан по ПРСР. Също така, доколкото е позволено от законодателството, подробна информация по отношение на бенефициенти, договори, ЕИК на конкретни фирми и т.н. може да бъде изискана по Закона за достъп до обществена информация, и да бъде получена от всяко заинтересовано лице.</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Посочените данни в доклада имат за цел да предоставят необходимата обратна връзка към УО и РА за резултата от техните действия, както и да им даде препоръки за подобряване на усвояването на средствата и резултатите от тяхната работа по време на прилагане на Програмата. </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Съгласно Регламент за изпълнение (ЕС) № 808/2014 данните трябва да представят отчет на направените и включените в декларациите разходи за всяка мярка и област с поставен акцент. Те обхващат общо направените публични разходи, както и възстановяванията на средства и корекциите, направени от държавите членки през предходната календарна година.</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Сдружение „Екология Образование Иновации“, получено на 23.06.2023 г.</w:t>
            </w: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ПРЕДЛОЖЕНИЕ № 3</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В таблица №3 от предложение №1 с наименование „Таблица № 1.1б): Изпълнение на Мерки от ПРСР 2014-2020 към 31.12.2022 г.“ да се добавят следните колони и актуални към 31.12.2022г. данни за тях:</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1) Заявления в процес на обработка:</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a. К-во</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b. Общо публични разходи</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lastRenderedPageBreak/>
              <w:t>2) Заповеди за отказ за предоставяне на БФП:</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a. К-во</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b. Общо публични разходи</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3) Договори с извършени окончателни плащания по тях:</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a. К-во</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b. Общо публични разходи</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4) Договори, прекратени по искане на ДФЗ:</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a. К-во</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b. Общо публични разходи</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5) Договори, прекратени по искане на Бенефициента:</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a. К-во</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b. Общо публични разходи</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6) Допълнителни споразумения по сключени договори:</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a. К-во</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Предложението ще предостави реална информация за обработката на заявления и договори от страна на ДФЗ, както и възможността за повишаване на изпълнението на програмата чрез неприключени със заповед заявления за подпомагане.</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Присъства в доклада за 2021 а липсват в този за 2022г</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lastRenderedPageBreak/>
              <w:t>Не се приема</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Виж коментар по Предложение 2</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 xml:space="preserve">Сдружение „Екология Образование Иновации“, </w:t>
            </w:r>
            <w:r w:rsidRPr="00483758">
              <w:rPr>
                <w:color w:val="000000"/>
                <w:sz w:val="22"/>
                <w:szCs w:val="22"/>
              </w:rPr>
              <w:lastRenderedPageBreak/>
              <w:t>получено на 23.06.2023 г.</w:t>
            </w: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lastRenderedPageBreak/>
              <w:t>ПРЕДЛОЖЕНИЕ № 4</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Във всяка таблица, която е включена в проекта на доклад в поле „1.c) Ключова информация относно изпълнението на ПРСР въз основа на данни от a) и б) по акцентирани области“ с данни за „Приоритет/Област с поставен акцент“ да се добавят нови колони:</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lastRenderedPageBreak/>
              <w:t>1) Целева стойност към 2025</w:t>
            </w:r>
            <w:r w:rsidRPr="00483758">
              <w:rPr>
                <w:rFonts w:eastAsia="Calibri"/>
                <w:color w:val="000000"/>
                <w:sz w:val="22"/>
                <w:szCs w:val="22"/>
                <w:lang w:val="en-US" w:eastAsia="en-US"/>
              </w:rPr>
              <w:t xml:space="preserve"> </w:t>
            </w:r>
            <w:r w:rsidRPr="00483758">
              <w:rPr>
                <w:rFonts w:eastAsia="Calibri"/>
                <w:color w:val="000000"/>
                <w:sz w:val="22"/>
                <w:szCs w:val="22"/>
                <w:lang w:eastAsia="en-US"/>
              </w:rPr>
              <w:t>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2) Процент на общо разплатените публични средства към целевата стойност, към 31.12.2022г. (млн.евро).</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Предложението ще позволи проследимостта на нарастване на разплатените публични средства спрямо целевата им стойност към края на отчетната година.</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lastRenderedPageBreak/>
              <w:t>Не се приема</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Целевите стойности, чието изпълнение се следи към 31.12.2025 г. са заложени в раздел 11 „План на показателите“ и раздел 7 „Рамка на изпълнението“ – таблиците в раздела са аналитични с цел онагледяване </w:t>
            </w:r>
            <w:r w:rsidRPr="00483758">
              <w:rPr>
                <w:color w:val="000000"/>
                <w:spacing w:val="-4"/>
                <w:sz w:val="22"/>
                <w:szCs w:val="22"/>
              </w:rPr>
              <w:lastRenderedPageBreak/>
              <w:t xml:space="preserve">на анализа и по тях не са залагани таргети за изпълнение към края на 2025 г. </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Сдружение „Екология Образование Иновации“, получено на 23.06.2023 г.</w:t>
            </w: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ПРЕДЛОЖЕНИЕ № 5</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В поле „1.c) Ключова информация относно изпълнението на ПРСР въз основа на данни от a) и б) по акцентирани области“ за Подмярка 6.4.1 „Инвестиции в подкрепа на неземеделски дейности“, във връзка с констатация „Тези данни показват, че почти равният брой на изпълнените проекти и тези с прекратени/анулирани договори може да се дължи на забавянето на обработката на проектите и е показателно, че не са положени достатъчно усилия за скъсяване на времето за обработка, чрез опростяване на правилата и намаляване на административната тежест.“ предлагаме УО да включи нова таблична информация в проекта на доклад за следното, която да е за всяка подмярка от програма:</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1) Брой заявления в процес на обработка в ДФЗ към 01.01.2022г.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2) Брой нови заявления през 2022г.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3) Брой приключени заявления през 2022г.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4) Брой заявления в процес на обработка в ДФЗ към 31.12.2022г.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5) Брой служители „Договаряне“ в ДФЗ към 01.01.2022г.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6) Брой нови служители „Договаряне“ през 2022г.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7) Брой напуснали служители „Договаряне“ през 2022г.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lastRenderedPageBreak/>
              <w:t>8) Брой служители „Договаряне“ към 31.12.2022г.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Предложението ще предостави информация на КН за действителната натовареност на ДФЗ по проектите, както и вложените чч за обработка на проект за 2022 г., което да е изходен показател за проследяване на намаляване на административната тежест по тях и увеличаване на ефективността на ДФЗ при тяхната обработка. В момента липсват показатели, с които да се отчита ефективността на работата на ДФЗ във връзка с програмата</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lastRenderedPageBreak/>
              <w:t>Не се приема</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Включването на информацията, изискана в точки от 1 до 8 на ПРЕДЛОЖЕНИЕ 5 няма съществен принос към предоставяне на данни за направените и включените в декларациите разходи за всяка мярка и област с поставен акцент, особено по </w:t>
            </w:r>
            <w:r w:rsidRPr="00483758">
              <w:t xml:space="preserve"> </w:t>
            </w:r>
            <w:r w:rsidRPr="00483758">
              <w:rPr>
                <w:color w:val="000000"/>
                <w:spacing w:val="-4"/>
                <w:sz w:val="22"/>
                <w:szCs w:val="22"/>
              </w:rPr>
              <w:t>Подмярка 6.4.1 „Инвестиции в подкрепа на неземеделски дейности“, по която през 2022 г. не са приемани заявления за подпомагане. Докладът като цяло е структуриран около предварително изградени шаблони на ЕК, следвайки разпоредбите на Регламент за изпълнение (ЕС) 2018/276 на Комисията от 23 февруари 2018 година за изменение на Регламент за изпълнение (ЕС) № 215/2014, на базата на което са представени и таблиците от Приложенията към доклада в системата (част 11 от годишния доклад), а именно - отчитането на прилагането на Програмата се извършва предимно на база сключени договори, с получени междинни и/или окончателни плащания (не се включват договори, или договори с получени авансови плащания).</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Посочените данни в доклада имат за цел да предос-тавят необходимата обратна връзка към УО и РА за резултата от техните действия, както и да им даде препоръки за подобряване на усвояването на средствата </w:t>
            </w:r>
            <w:r w:rsidRPr="00483758">
              <w:rPr>
                <w:color w:val="000000"/>
                <w:spacing w:val="-4"/>
                <w:sz w:val="22"/>
                <w:szCs w:val="22"/>
              </w:rPr>
              <w:lastRenderedPageBreak/>
              <w:t xml:space="preserve">и резултатите от тяхната работа по време на прилагане на Програмата. </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Информацията в доклада за увеличеният брой на персонала на ДФЗ е посочена като мярка за смекчаване и управление на риска от забавянето на обработка на проектите. Резултатите от същата следва да бъдат анализирани в следващи отчетни периоди, предвид, че мярката е приложена през 2023 г.</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Сдружение „Екология Образование Иновации“, получено на 23.06.2023 г.</w:t>
            </w: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ПРЕДЛОЖЕНИЕ № 6</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В поле „1.c) Ключова информация относно изпълнението на ПРСР въз основа на данни от a) и б) по акцентирани области“ за Подмярка 6.4.1 „Инвестиции в подкрепа на неземеделски дейности“, във връзка с констатация „Необходимо е да се положат допълнителни усилия за популяризирането на възможностите, предоставени от финансовите инструменти, с оглед гарантиране на необходимото финансиране.“ предлагаме УО да включи нова информация, с която да се опишат предприетите действия срещу този негативен ефект за 2022 г., включително и какви условия са поставени към управляващия орган на финансовите инструменти и какъв отчет по тях е представен за 2022 г</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t>Не се приема</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Констатацията е текуща, от което следва, че няма как да бъдат предприети мерки през 2022 г. Предвид, че финансовите инструменти са приложени за пръв път през месец май 2022 г., и споменатите проблеми се установяват в настоящия доклад, няма възможност УО да включи нова информация, с която да се опишат предприетите действия срещу този негативен ефект за 2022 г.</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Предприетите действия следва да бъдат анализирани и докладвани в следващи отчетни периоди.</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Сдружение „Екология Образование Иновации“, получено на 23.06.2023 г.</w:t>
            </w: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ПРЕДЛОЖЕНИЕ № 7</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 xml:space="preserve">В поле „1.c) Ключова информация относно изпълнението на ПРСР въз основа на данни от a) и б) по акцентирани области“ за Подмярка 6.4.1 „Инвестиции в подкрепа на неземеделски дейности“, във връзка с констатацията „В допълнение, съгласно публикуваната Индикативна годишна работна програма за 2023 г. (ИГРП) се предвижда прием по подмярката. Предвид значителното затруднение при прилагането на подмярката, следва да се анализира обосноваността и необходимостта за отваряне на </w:t>
            </w:r>
            <w:r w:rsidRPr="00483758">
              <w:rPr>
                <w:rFonts w:eastAsia="Calibri"/>
                <w:color w:val="000000"/>
                <w:sz w:val="22"/>
                <w:szCs w:val="22"/>
                <w:lang w:eastAsia="en-US"/>
              </w:rPr>
              <w:lastRenderedPageBreak/>
              <w:t>прием през 2023 г. Съществува риск проектите да не бъдат изпълнени в срок, позволяващ тяхното отчитане и изпълнение в периода, в който разходите по тях могат да бъдат счетени като допустими за възстановяване от ЕС.“ предлагаме УО да включи нова информация, с която да мотивира предприетите от него действия за целите на приема през 2023г., които няма да позволят реализирането на негативната констатация</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lastRenderedPageBreak/>
              <w:t>Не се приема</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Констатацията е текуща, от което следва, че няма как да са предприети мерки през 2022 г. Предвид, че приемът по подмярка 6.4.1 не е стартирал и към настоящия момент, както и не са публикувани насоки за обществено обсъждане, няма възможност УО да включи нова информация, с която да се опишат предприетите действия срещу този негативен ефект.</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lastRenderedPageBreak/>
              <w:t>Предприетите действия следва да бъдат анализирани и докладвани в следващите отчетни периоди.</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Сдружение „Екология Образование Иновации“, получено на 23.06.2023 г.</w:t>
            </w: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 xml:space="preserve">ПРЕДЛОЖЕНИЕ № 8 </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Във връзка с констатация в поле „2.c) Описание на дейностите, предприети по отношение на предоставянето и управлението на данни (във връзка с раздел 4 на плана за оценка):</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 xml:space="preserve">„Към края на 2022 г. все още не е разработен информационен модул за мониторинг, който да позволи отчитане в реално време на всички индикатори, напредъка в договарянето и разплащането на средствата, както и остатъчните бюджети по мерките. В изпълнение на функцията си по наблюдение, УО на ПРСР 2014-2020 следва да търси начини, или за разширяване обхвата на системата ИСУН 2020, или за създаване на специализиран модул към вече изградената информационна система на ДФЗ, с цел отчитане в реално време за всички индикатори по индикаторен план и мониторинговите таблици към годишния доклад за изпълнението, напредъка в договарянето и разплащането на средствата, остатъчните бюджети по мерките и резултатите от изпълнението на мерките от ПРСР 2014-2020 г.“ Предлагаме УО да включи в доклада информация с изчерпателно изброяване на конкретните проблеми за решаване на негативната констатация, за предприети от него действия през 2022г., като включи резюме на всяка кореспонденция, която е осъществена с Институция по решаване на проблема, и получените резултатите от нея, включително какво е положителното решение и по кои конкретни </w:t>
            </w:r>
            <w:r w:rsidRPr="00483758">
              <w:rPr>
                <w:rFonts w:eastAsia="Calibri"/>
                <w:color w:val="000000"/>
                <w:sz w:val="22"/>
                <w:szCs w:val="22"/>
                <w:lang w:eastAsia="en-US"/>
              </w:rPr>
              <w:lastRenderedPageBreak/>
              <w:t>проблеми. Поради констатирането му в последните три годишни доклада за 2019, 2020 и 2021г., а не са предприети мерки. Предложението ще систематизира проблема и ще позволи проследяване на неговото решаване и през следващите отчетни период, като се включи като задължителна информация за всеки годишен доклад.</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lastRenderedPageBreak/>
              <w:t>Приема се частично</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Виж коментар по Предложение 2</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Констатацията е текуща и през 2022 г. Предвид факта, че към момента на извършване на анализа в доклада,</w:t>
            </w:r>
            <w:r w:rsidRPr="00483758">
              <w:rPr>
                <w:color w:val="000000"/>
              </w:rPr>
              <w:t xml:space="preserve"> </w:t>
            </w:r>
            <w:r w:rsidRPr="00483758">
              <w:rPr>
                <w:color w:val="000000"/>
                <w:spacing w:val="-4"/>
                <w:sz w:val="22"/>
                <w:szCs w:val="22"/>
              </w:rPr>
              <w:t>създадените системи за наблюдение и оценка на ПРСР в ИСУН 2020 все още не са в състояние да отговорят на нуждите за оценка на Програмата, няма възможност УО да включи нова информация, с която да се опишат предприетите действия срещу този негативен ефект.</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Годишният доклад не следва да се счита за одитен такъв, нито, че има директна правно обвързваща сила, и препоръките в него би следвало да бъдат единствено обследвани като възможности от още една гледна точка, но не и приемани за обосноваващи крайно решение.</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Въпреки това, чрез системата, изградена в ДФЗ се събират данни за нуждите на оценката, мониторинга и докладването на Програмата, но това е в резултат на значително натоварване при успоредна работа в двете информационни системи – ИСУН 2020 и ИСАК.</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Предприетите действия следва да бъдат анализирани и докладвани в следващите отчетни периоди.</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Сдружение „Екология Образование Иновации“, получено на 23.06.2023 г.</w:t>
            </w: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ПРЕДЛОЖЕНИЕ № 9</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По точка „3.a) Описание на предприетите стъпки за осигуряване на качеството и ефективността на изпълнението на програмата“ правим следните предложения за включване на нова информация от страна на УО:</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1) Във връзка с публичност на писмените процедури на КН от страна на УО може ли да се инициира и реализира публикуване на страницата на МЗХ и на всички материали по писмената процедура, а не само на протокола от нея, по аналогия на присъствено заседание;</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2) Във връзка с проследимост на решенията на КН от страна на УО може ли да се инициира задължително включва в протокол на всички неизпълнени задължения по взети решения на КН, а не само спрямо последния такъв;</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3) Във връзка с описаните предложения за изменения на Индикативната годишна работна програма на ПРСР за 2022г. да се включи информация за мотивите за промяна и тяхната връзка с изпълнение на приоритетите и целите на програмата, включително и количествени и качествени мотиви за това;</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4) Във връзка с текста „Положителният резултат от прилагането на въведените мерки за подобряване дейността на ДФЗ, предлагаме УО за включи таблична информация за следното:</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lastRenderedPageBreak/>
              <w:t>a. Брой входирани в ДФЗ и чрез ДФЗ до МЗХ жалби срещу мълчаливи откази или бездействие на ДФЗ по всяка подмярка от програмата през 2022г.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b. Брой заведени съдебни дела по вид и по подмярка от програма срещу ДФЗ за 2022г.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c. Изплатени разходи(обезщетения, такси, възнаграждения и хонорари) от ДФЗ по загубени дела по вид и по подмярка от програмата за 2022г.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5) Във връзка с текста „През 2022 г. ДФЗ успешно е защитил необходимостта от увеличаване на щатния персонал на администрацията, като, считано от началото на 2023 г. са осигурени допълнителни 130 щатни бройки, като дирекция ДПМРСР нараства до 164, а дирекция ОППМРСР нараства до 104“ предлагаме ДФЗ да предостави на УО актуализира информация за 2022г., за видовете цели и резултатите по тях с цел доказване запазване условията, по които е мотивирано увеличението на новите щатни бройки, както и тяхната натовареност;</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6) Във връзка с текста „УО, съвместно с ДФЗ следва да продължи да анализира причините и да търси непрекъснато подобряване на процесите по одобрение, изпълнение и отчитане на проектните предложения, в резултат на което да се насочат допълнителни усилия за опростяване на правилата и намаляване на административната тежест.“ предлагам да се включат нови текстове, които да описват конкретните анализи с посочени цели и резултатите от тях, които са извършени през 2022г., с цел проследяване през следващите отчетни периоди за тяхното реализиране и спазване от страна на УО и на ДФЗ;</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 xml:space="preserve">7) Във връзка с текста „Въпреки това, още в началото на м. януари 2023 г., от страна на УО, след направен анализ, e идентифициран риск по отношение на разплащанията по ПРСР 2014-2020 към края </w:t>
            </w:r>
            <w:r w:rsidRPr="00483758">
              <w:rPr>
                <w:rFonts w:eastAsia="Calibri"/>
                <w:color w:val="000000"/>
                <w:sz w:val="22"/>
                <w:szCs w:val="22"/>
                <w:lang w:eastAsia="en-US"/>
              </w:rPr>
              <w:lastRenderedPageBreak/>
              <w:t>на 2023 г.“ предлагаме УО да включи в таблична форма резюме на направения анализ, с което да посочи по подметки от програмата размера на публичните средства, които са под риск.</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lastRenderedPageBreak/>
              <w:t>Приема се частично</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Включването на информацията, изискана в точки от 1 до 7 на ПРЕДЛОЖЕНИЕ 9 не би допринесла съществено към предоставяне на данни за направените и включените в декларациите разходи за всяка мярка и област с поставен акцент. </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Някои от предложенията не са ясно формулирани, други изглежда не са пряко свързани с настоящото докладване, например информацията по т. 4, която така изискана, не изглежда съвсем релевантна към годишния доклад за изпълнението на програмата.</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Препоръките към работата на КН са обект на коментар по време на провежданите задания, включително във връзка с приемане и изменение на правилата за работа на същия. Препоръката по т. 1, например, по своята същност е основателна, но би следвало да бъде депозирана директно на някое от следващите заседания на КН, с оглед нейното обсъждане.</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Посочените данни в доклада са обобщени, и имат за цел да предоставят необходимата обратна връзка към УО и РА за резултата от техните действия, както и да се даде препоръки за подобряване на усвояването на средствата и резултатите от тяхната работа по време на прилагане на Програмата. </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lastRenderedPageBreak/>
              <w:t>Информацията в доклада за увеличеният брой на персонала на ДФЗ е посочена като мярка за смекчаване и управление на риска от забавянето на обработка на проектите. Резултатите от същата следва да бъдат анализирани в следващи отчетни периоди, предвид, че мярката е приложена през 2023 г.</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Информацията по т. 7, свързана с правилото за автоматична отмяна на средства по бюджета на програмата за 2022 г. е представена в раздел 3а, като съгласно същия „…към 31.12.2022 г., съгласно правилото N+3 са разплатени 100,8 % от всички необходими средства от ЕЗФРСР ...“. </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Изготвеният от УО анализ в началото на 2023 г., както и постигнатите резултати, съгласно правилото </w:t>
            </w:r>
            <w:r w:rsidRPr="00483758">
              <w:rPr>
                <w:color w:val="000000"/>
                <w:spacing w:val="-4"/>
                <w:sz w:val="22"/>
                <w:szCs w:val="22"/>
                <w:lang w:val="en-US"/>
              </w:rPr>
              <w:t>N</w:t>
            </w:r>
            <w:r w:rsidRPr="00483758">
              <w:rPr>
                <w:color w:val="000000"/>
                <w:spacing w:val="-4"/>
                <w:sz w:val="22"/>
                <w:szCs w:val="22"/>
              </w:rPr>
              <w:t>+3, следва да бъдат обект на доклада за 2023 г.</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Сдружение „Екология Образование Иновации“, получено на 23.06.2023 г.</w:t>
            </w: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ПРЕДЛОЖЕНИЕ № 10</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В точка „4.b) Стъпки, предприети за осигуряване на публичност на програмата (член 13 от Регламент за изпълнение (ЕС) № 808/2014 на Комисията)“ предлагаме УО да включи допълнително информация за всеки сключен договор през 2022г. за информираност и публичност през 2022 г.:</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1) Дата на сключване на договора;</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2) ЕИК на Изпълнителя;</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3) Стойност на договора без ДДС;</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4) Брой събития по договора.</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Предложението е свързано с публичност на разходваните средства с цел ефективност и ефикасност, но след проверка в ИСУН се констатира, че повечето от посочените договори са сключени през 2018 г. и изпълнението им е приключило през 2022г. Не е ясно как ще се отразява публичността за 2023, 2024 и 2025 г.</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t>Не се приема</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Исканата информация е достъпна в раздел „Изпълнители“ в  ИСУН 2020. Информацията в годишния доклад е синтезирана с цел обобщаване и, при необходимост, може да бъде направена справка относно всеки договор в информационната система за управление и наблюдение, като по този начин съответната заинтересована страна ще получи подробни и изчерпателни данни. </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В съответствие с указанията на ЕК, в годишните доклади се отчитат като цяло всички разплащания по Програмата кумулативно (с малки изключения), извършени не само в съответната година на оценка, независимо от това кога са подадени проектните предложения, кога са обработени и/или договорени. </w:t>
            </w:r>
          </w:p>
          <w:p w:rsidR="00483758" w:rsidRPr="00483758" w:rsidRDefault="00483758" w:rsidP="00483758">
            <w:pPr>
              <w:spacing w:before="120" w:after="120" w:line="276" w:lineRule="auto"/>
              <w:jc w:val="both"/>
              <w:rPr>
                <w:color w:val="000000"/>
                <w:spacing w:val="-4"/>
                <w:sz w:val="22"/>
                <w:szCs w:val="22"/>
              </w:rPr>
            </w:pP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Централното координационно звено, получено на 27.06.2026 г.</w:t>
            </w: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По т. 2 с) Описание на дейностите, предприети по отношение на предоставянето и управлението на данни (във връзка с раздел 4 на плана за оценка), стр. 53:</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ab/>
              <w:t xml:space="preserve">Предложението за разширяване на обхвата на системата ИСУН 2020 с цел отчитане на всички индикатори следва да отпадне. Твърденията по отношение на функционалностите на системата повече от 5 години след началото на използването ѝ за целите на ПРСР не отговарят на фактическата обстановка. Констатираме, че при програмирането на отделните процедури за </w:t>
            </w:r>
            <w:r w:rsidRPr="00483758">
              <w:rPr>
                <w:rFonts w:eastAsia="Calibri"/>
                <w:color w:val="000000"/>
                <w:sz w:val="22"/>
                <w:szCs w:val="22"/>
                <w:lang w:eastAsia="en-US"/>
              </w:rPr>
              <w:lastRenderedPageBreak/>
              <w:t>предоставяне на безвъзмездна финансова помощ институциите отговорни за изпълнението и контрола на програмата не са структурирали формулярите за кандидатстване по начин, осигуряващ пълнота на информацията и единствено по ПРСР 2014-2020, индикатори на ниво проект не се изискват от кандидатите, независимо, че в условията за кандидатстване и в системата такава информация е предвидена. Функционалностите на ИСУН 2020 позволяват потребителите от ПРСР безпроблемно да  въвеждат и агрегират надеждна информация за различните видове индикатори (включително индикаторите за резултат, индикаторите за продукт, финансовите индикатори, целевите индикатори и индикаторите от рамката за изпълнение) в структуриран вид, аналогично на всички останали програми, използващи ИСУН. Горното е валидно единствено при условие, че отговорните ведомства използват ИСУН адекватно, коректно и в съответствие с утвърдените указания за работа със системата. Приложените практики и предполагаемото събиране на данни извън ИСУН, в неструктуриран вид, каквато явно е практиката в момента, създават рискове за некоректно отчитане на напредъка по програмата, затрудняват потвърждаването и проверката на отчетените резултата, а също така и ограничават възможностите за анализ на резултатите по програмата.</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ab/>
            </w:r>
          </w:p>
          <w:p w:rsidR="00483758" w:rsidRPr="00483758" w:rsidRDefault="00483758" w:rsidP="00483758">
            <w:pPr>
              <w:spacing w:before="120" w:after="120" w:line="276" w:lineRule="auto"/>
              <w:jc w:val="both"/>
              <w:rPr>
                <w:rFonts w:eastAsia="Calibri"/>
                <w:color w:val="000000"/>
                <w:sz w:val="22"/>
                <w:szCs w:val="22"/>
                <w:lang w:eastAsia="en-US"/>
              </w:rPr>
            </w:pP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lastRenderedPageBreak/>
              <w:t>Не се приема</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Следва да се отбележи, че въпреки изразеното в коментара становище, че „…функционалностите на ИСУН 2020 позволяват потребителите от ПРСР безпроблемно да  въвеждат и агрегират надеждна информация за различните видове индикатори (включително инди-каторите за резултат, индикаторите за продукт, финансовите индикатори, целевите индикатори и индикаторите от рамката за изпълнение)…“, същите не съответстват на описаните в </w:t>
            </w:r>
            <w:r w:rsidRPr="00483758">
              <w:rPr>
                <w:color w:val="000000"/>
                <w:spacing w:val="-4"/>
                <w:sz w:val="22"/>
                <w:szCs w:val="22"/>
              </w:rPr>
              <w:lastRenderedPageBreak/>
              <w:t xml:space="preserve">приложение за мониторинг към настоящия годишен доклад. </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В допълнение, дори и отговорните ведомства да използват ИСУН адекватно, коректно и в съответствие с утвърдените указания за работа, системата позволява въвеждане само на крайни обобщени индикатори индивидуално за всяко едно проектно предложение. В системата липсват отразени спецификите и изискванията по отношение на данните, които се събират за мерките от ПРСР, посочени във формите за наблюдение от раздел 9 на програмата, а също така липсва и модел, в който да бъде възможно извеждането на индикаторите в съответствие с изискванията на годишния доклад, съгласно Регламент за изпълнение (ЕС) № 808/2014 и Регламент за изпълнение (ЕС) № 215/2014.</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Съгласно изискванията за оценка и наблюдение към всяко заявление за подпомагане и заявка за плащане са разработени и се попълват форми за наблюдение и оценка на проекти по съответната мярка. Форми за наблюдение се изготвят за всяка мярка и са задължителна част от заявлението за кандидатстване и позволяват извеждане на стойности за индикаторния план. Данните, представени от бенефициентите следва да бъдат попълнени от РА в унифициран електронен формат, позволяващ автоматизирано окрупняване на информацията и извеждане на справки и отчети за целите на мониторинга. Данните следва да бъдат актуализирани от РА на етап сключване на договор и плащане и събраната информация въвеждана във формат, съответстващ на системата за наблюдение, </w:t>
            </w:r>
            <w:r w:rsidRPr="00483758">
              <w:rPr>
                <w:color w:val="000000"/>
                <w:spacing w:val="-4"/>
                <w:sz w:val="22"/>
                <w:szCs w:val="22"/>
              </w:rPr>
              <w:lastRenderedPageBreak/>
              <w:t xml:space="preserve">където данните автоматично се обобщават в таблиците с индикаторите за наблюдение. </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Безспорен е фактът, че необходимите данни, които се събират от бенефициентите са публикувани ведно с условията за кандидатстване и са публично достъпни. Не може да бъде прието мнението, че ИСУН е разработен по начин, който отчита всички данни за всички мерки. Това може да е валидно на ниво общи индикатори, но в никакъв случай няма възможност да се попълват всички данни от формите за наблюдение, които в последствие се обобщават в общи индикатори. Следва да се има предвид, че ИСУН 2020 е разработен преди влизането на ПРСР в обхвата на ЗУСЕФСУ и при неговата разработка най-вероятно не са отчетени спецификите и данните, които се събират по отношение на мерките от програмата. </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Предвид, че съгласно чл. 22 от ЗУСЕФСУ Централното координационно звено отговаря за поддръжката на електронната система, би следвало управляващите органи да получат изградена в своята цялост система, която позволява извършването на дейностите по оценка и наблюдение на различните механизми за подпомагане, обхванати от ИСУН. </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Липсващата информация в ИСУН се събира в системата, изградена в ДФЗ, с оглед обезпечаване на данни за нуждите на оценката, мониторинга и докладването на Програмата, като това е в резултат на значително експертно натоварване при успоредна работа в двете информационни системи – ИСУН 2020 и ИСАК.</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Следва да отпадне текстът:</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„Въпреки промените в ЗПЗП (изм. и доп. на ДВ. бр. 102 от 23.12.2022 г.), които отчасти управляват риска от събиране на ненадежни данни, във връзка с наблюдението и оценката на подхода ВОМР в СП, и предвид, че ЕЗФРСР е избран за водещ фонд, следва да се обмисли доколко е целесъобразно този подход да бъде приложен, съгласно правилата и системите, предвидени в ЗУСЕФСУ. Необходимо е да се прецени дали ВОМР не следва да се прилага по правилата на ЗПЗП, като по този начин ще се гарантира събирането на информация, необходима за целите на изготвянето на Годишните доклади за качеството на изпълнението на СП. Към настоящия момент все още ИСУН 2020 не дава възможност за събиране на данни, от които автоматично да се извеждат стойности за показателите по индикаторен план, включително индикаторите за резултат, индикаторите за продукт, финансовите индикатори, целевите индикатори и индикаторите от рамката за изпълнение.“ със следните аргументи:</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 xml:space="preserve">През програмен период 2021-2027  България пое ангажимент да прилага подхода ВОМР, предоставяйки финансиране чрез повече от един от Европейските фондове за споделено управление (ЕФСУ). В изпълняваните стратегии ще бъдат ангажирани средства не само от Стратегическия план за развитие на земеделието и селските райони 2023-2027 г., но и от програмите: „Околна среда“, „Образование“, „Човешки ресурси“ и „Конкурентоспособност и иновации в предприятията“. Разпоредбите на Регламент (ЕС) 2021/1060, уреждащи прилагането на подхода ВОМР са  приложими и за Стратегическия план. Същите са уредени и в Закона за управление на средствата от Европейските фондове при споделено управление (ЗУСЕФСУ), тъй като са приложими за всички участващи в подхода програми, т.е. по отношение на подхода ВОМР,ЗУСЕВСУ урежда на </w:t>
            </w:r>
            <w:r w:rsidRPr="00483758">
              <w:rPr>
                <w:rFonts w:eastAsia="Calibri"/>
                <w:color w:val="000000"/>
                <w:sz w:val="22"/>
                <w:szCs w:val="22"/>
                <w:lang w:eastAsia="en-US"/>
              </w:rPr>
              <w:lastRenderedPageBreak/>
              <w:t xml:space="preserve">национално ниво редът за неговото прилагане. В този смисъл няма как те да се подчиняват на разпоредби на Законът за подпомагане на земеделските производители. От УО на СПРЗСР зависи ясното разписване в процедурите на набираните  индикатори. </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Категорично не подкрепяме изразеното становище, че ИСУН 2020 не дава възможност за събиране на данни, от които автоматично да се извеждат стойности за показателите по индикаторен план. Системата разполага с пълен набор от функционалности, осигуряващи попълването на информация в структуриран вид за дефинираните от МЗХ/ДФЗ индикаторите по съответната процедура от всеки бенефициент при кандидатстване и по време на изпълнението на проектите. Отказът от използване на ИСУН за целите на новия програмен период, съобразно извършените промени може единствено да затрудни допълнително събирането на надеждни данни и да задълбочи констатираните проблеми. Извършеният от наша страна анализ явно показва, че не са идентифицирани проблеми от системно естество, ограничаващи събирането на надеждни данни по подхода ВОМР в ИСУН, а са свързани с организационни и административни предизвикателства в МЗХ/ДФЗ по отношение управлението и мониторинга на подхода ВОМР. За да се намери решение на съществуващите по програмата организационни и административни проблеми, свързани с набирането на надеждни данни за нуждите на мониторинга на подхода ВОМР, същите следва да бъдат коректно идентифицирани, причините за затрудненията да бъдат адекватно и компетентно анализирани и да бъдат предложени адекватни организационни решения.</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lastRenderedPageBreak/>
              <w:t>Не се приема</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Годишният доклад не следва да се счита за одитен такъв, нито, че има директна правно обвързваща сила, и препоръките в него би следвало да бъдат единствено обследвани като възможности от още една гледна точка, но не и приемани за обосноваващи крайно решение.</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Съгласно чл. 288 от ДФЕС регламентът е с пряко приложение в държавите-членки, т.е. националното законодателство следва да е съобразено с разпоредбите на правото на ЕС и да не противоречи на неговите разпоредби. Според тълкуването на УО на ПРСР на направения коментар, изложеното в него следва да покаже, че ЗУСЕФСУ е в пряко противоречие с разпоредбите на чл. 31, параграф 6 на Регламент 1060/2021, където е посочено, че „…като се спазват обхватът и правилата за допустимост на всеки фонд, участващ в предоставянето на подкрепа за стратегията, </w:t>
            </w:r>
            <w:r w:rsidRPr="00483758">
              <w:rPr>
                <w:color w:val="000000"/>
                <w:spacing w:val="-4"/>
                <w:sz w:val="22"/>
                <w:szCs w:val="22"/>
                <w:u w:val="single"/>
              </w:rPr>
              <w:t>за тази стратегия се прилагат правилата на водещия фонд</w:t>
            </w:r>
            <w:r w:rsidRPr="00483758">
              <w:rPr>
                <w:color w:val="000000"/>
                <w:spacing w:val="-4"/>
                <w:sz w:val="22"/>
                <w:szCs w:val="22"/>
              </w:rPr>
              <w:t xml:space="preserve">…“, в случай, че се приеме, че специален закон се явява ЗУСЕФСУ. Предвид изискванията на чл. 31, параграф 5 от Регламент 1060/2021, ЗПЗП е специалния закон по отношение на подпомагането по линия на европейските земеделски фондове. В тази връзка, за да бъдат правилно трнспонирани европейските разпоредби, би следвало подходът ВОМР да се прилага по правилата на водещия фонд, а именно по реда на ЗПЗП. </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Именно по тази причина, и с оглед да се приложат научените уроци от програмен период 2014-2020, е направено предложението за уеднаквяване на подхода по прилагане на ВОМР с останалите части на СП РЗСР. Към настоящия момент все още ИСУН 2020 не дава </w:t>
            </w:r>
            <w:r w:rsidRPr="00483758">
              <w:rPr>
                <w:color w:val="000000"/>
                <w:spacing w:val="-4"/>
                <w:sz w:val="22"/>
                <w:szCs w:val="22"/>
              </w:rPr>
              <w:lastRenderedPageBreak/>
              <w:t xml:space="preserve">възможност за събиране на данни, от които автоматично да се извеждат стойности за показателите по индикаторен план, включително индикаторите за резултат, индикаторите за продукт, финансовите индикатори, целевите индикатори и индикаторите от рамката за изпълнение. Все още не са направени и постъпки към изпълнение на чл. 52, ал. 8 и 9 от ЗПЗП, поради което текстът на стр. 53 от ГД за 2022 г. се запазва. </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 xml:space="preserve">Централното координационно </w:t>
            </w:r>
            <w:r w:rsidRPr="00483758">
              <w:rPr>
                <w:color w:val="000000"/>
                <w:sz w:val="22"/>
                <w:szCs w:val="22"/>
              </w:rPr>
              <w:lastRenderedPageBreak/>
              <w:t>звено, получено на 27.06.2026 г.</w:t>
            </w: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lastRenderedPageBreak/>
              <w:t>По т. 3 а) Описание на предприетите стъпки за осигуряване на качеството и ефективността на изпълнението на програмата, стр. 55.</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lastRenderedPageBreak/>
              <w:t>Считаме, че следният текст: „Запазва се и предпоставката за забавяне, свързана с въведеното обжалване от страна на кандидатите, както на етап предварителна оценка, така и на етап оценка за административно съответствие и допустимост.“  следва да отпадне.</w:t>
            </w:r>
          </w:p>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Спазването на основните  принципи при управление на европейските средства, а именно  прозрачност и партньорство налагат допускане на възможността за  обжалването на оценката за административно съответствие и допустимост от страна на кандидатите.</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lastRenderedPageBreak/>
              <w:t>Приема се за сведение</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Годишният доклад не следва да се счита за одитен такъв, нито, че има директна правно обвързваща сила, и препоръките в него би следвало да бъдат единствено </w:t>
            </w:r>
            <w:r w:rsidRPr="00483758">
              <w:rPr>
                <w:color w:val="000000"/>
                <w:spacing w:val="-4"/>
                <w:sz w:val="22"/>
                <w:szCs w:val="22"/>
              </w:rPr>
              <w:lastRenderedPageBreak/>
              <w:t>обследвани като възможности от още една гледна точка, но не и приемани за обосноваващи крайно решение.</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r w:rsidRPr="00483758">
              <w:rPr>
                <w:color w:val="000000"/>
                <w:sz w:val="22"/>
                <w:szCs w:val="22"/>
              </w:rPr>
              <w:t>Централното координационно звено, получено на 27.06.2026 г.</w:t>
            </w: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В доклада е посочено, че „При изготвянето на настоящата оценка оценителният екип срещна затруднения от този характер при събирането на данните, най-вече във връзка с подхода ЛИДЕР“ . Тъй като доклада в частта ВОМР е доста  лимитиран, предлагаме да бъде допълнен. В изпълнение на чл. 39, ал. 2 от 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(ВОМР) за периода 2014 – 2020 г., УО на ПРСР е изготвил отчет относно прилагането на стратегиите по подхода ВОМР за периода от 07.01.2022 г. до 31.12.2022 г., който прилагаме. Същият съдържа подборна информация за изпълнените индикатори по оперативните програми. В ИСУН също се съдържа информация както за изпълнение на подхода ВОМР, така и за изпълнението на индикаторите за всяка МИГ.</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t>Приема се за сведение</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Посочените данни в доклада са обобщени, и имат за цел да предоставят необходимата обратна връзка към УО и РА за резултата от техните действия, както и да се даде препоръки за подобряване на усвояването на средствата и резултатите от тяхната работа по време на прилагане на Програмата.</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r w:rsidRPr="00483758">
              <w:rPr>
                <w:rFonts w:eastAsia="Calibri"/>
                <w:color w:val="000000"/>
                <w:sz w:val="22"/>
                <w:szCs w:val="22"/>
                <w:lang w:eastAsia="en-US"/>
              </w:rPr>
              <w:t xml:space="preserve">Предлагаме текстът на стр. 56 „Положителният резултат от прилагането на въведените мерки за подобряване дейността на ДФЗ се потвърждава и от постъпил и публикуван на сайта </w:t>
            </w:r>
            <w:r w:rsidRPr="00483758">
              <w:rPr>
                <w:rFonts w:eastAsia="Calibri"/>
                <w:color w:val="000000"/>
                <w:sz w:val="22"/>
                <w:szCs w:val="22"/>
                <w:lang w:eastAsia="en-US"/>
              </w:rPr>
              <w:lastRenderedPageBreak/>
              <w:t>поздравителен адрес*, в който се посочва, че експертите на ДФЗ са обработили над 4000 проекта по подмерки 6.1, 6.3 и други. В адреса е отбелязано, че е наваксано и изоставането с години, обработени са проекти дори и от 2019 г. Спазени са всички срокове, съгласно индикативния график за кампания 2022 г.“ също да отпадне. Изводите свързани с броя на обработени проекти и като резултат подобрената работа на ДФЗ следва да се базират на данни от системата за мониторинг на фонда, а не на поздравителен адрес.</w:t>
            </w: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r w:rsidRPr="00483758">
              <w:rPr>
                <w:color w:val="000000"/>
                <w:sz w:val="22"/>
                <w:szCs w:val="22"/>
              </w:rPr>
              <w:lastRenderedPageBreak/>
              <w:t>Не се приема</w:t>
            </w: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Във връзка с направения коментар, следва да се има предвид, че в доклада са проследени предприетите </w:t>
            </w:r>
            <w:r w:rsidRPr="00483758">
              <w:rPr>
                <w:color w:val="000000"/>
                <w:spacing w:val="-4"/>
                <w:sz w:val="22"/>
                <w:szCs w:val="22"/>
              </w:rPr>
              <w:lastRenderedPageBreak/>
              <w:t>действия по плана с мерки за подобряване дейността на ДФЗ на база официална предоставена информация.</w:t>
            </w:r>
          </w:p>
          <w:p w:rsidR="00483758" w:rsidRPr="00483758" w:rsidRDefault="00483758" w:rsidP="00483758">
            <w:pPr>
              <w:spacing w:before="120" w:after="120" w:line="276" w:lineRule="auto"/>
              <w:jc w:val="both"/>
              <w:rPr>
                <w:color w:val="000000"/>
                <w:spacing w:val="-4"/>
                <w:sz w:val="22"/>
                <w:szCs w:val="22"/>
              </w:rPr>
            </w:pPr>
            <w:r w:rsidRPr="00483758">
              <w:rPr>
                <w:color w:val="000000"/>
                <w:spacing w:val="-4"/>
                <w:sz w:val="22"/>
                <w:szCs w:val="22"/>
              </w:rPr>
              <w:t xml:space="preserve">В разултат на разработения план за действие и успешно приложените мерки от страна на ДФЗ са наваксани значителна част от забавените проекти. Поздравителнлият адрес не е единственото, а още едно доказателство в потвърждение на този факт и същият по никакъв начин не е използван за формулиране на изводите, свързани с броя на обработените проекти.  </w:t>
            </w: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p>
        </w:tc>
      </w:tr>
      <w:tr w:rsidR="00483758" w:rsidRPr="00483758" w:rsidTr="002B7926">
        <w:trPr>
          <w:trHeight w:val="596"/>
        </w:trPr>
        <w:tc>
          <w:tcPr>
            <w:tcW w:w="568" w:type="dxa"/>
            <w:shd w:val="clear" w:color="auto" w:fill="auto"/>
            <w:vAlign w:val="center"/>
          </w:tcPr>
          <w:p w:rsidR="00483758" w:rsidRPr="00483758" w:rsidRDefault="00483758" w:rsidP="00483758">
            <w:pPr>
              <w:tabs>
                <w:tab w:val="left" w:pos="192"/>
              </w:tabs>
              <w:spacing w:before="120" w:after="120" w:line="276" w:lineRule="auto"/>
              <w:jc w:val="center"/>
              <w:rPr>
                <w:b/>
                <w:color w:val="000000"/>
                <w:sz w:val="22"/>
                <w:szCs w:val="22"/>
              </w:rPr>
            </w:pPr>
          </w:p>
        </w:tc>
        <w:tc>
          <w:tcPr>
            <w:tcW w:w="1842" w:type="dxa"/>
            <w:shd w:val="clear" w:color="auto" w:fill="auto"/>
          </w:tcPr>
          <w:p w:rsidR="00483758" w:rsidRPr="00483758" w:rsidRDefault="00483758" w:rsidP="00483758">
            <w:pPr>
              <w:spacing w:before="120" w:after="120" w:line="276" w:lineRule="auto"/>
              <w:rPr>
                <w:color w:val="000000"/>
                <w:sz w:val="22"/>
                <w:szCs w:val="22"/>
              </w:rPr>
            </w:pPr>
          </w:p>
        </w:tc>
        <w:tc>
          <w:tcPr>
            <w:tcW w:w="6445" w:type="dxa"/>
            <w:shd w:val="clear" w:color="auto" w:fill="auto"/>
          </w:tcPr>
          <w:p w:rsidR="00483758" w:rsidRPr="00483758" w:rsidRDefault="00483758" w:rsidP="00483758">
            <w:pPr>
              <w:spacing w:before="120" w:after="120" w:line="276" w:lineRule="auto"/>
              <w:jc w:val="both"/>
              <w:rPr>
                <w:rFonts w:eastAsia="Calibri"/>
                <w:color w:val="000000"/>
                <w:sz w:val="22"/>
                <w:szCs w:val="22"/>
                <w:lang w:eastAsia="en-US"/>
              </w:rPr>
            </w:pPr>
          </w:p>
        </w:tc>
        <w:tc>
          <w:tcPr>
            <w:tcW w:w="1493" w:type="dxa"/>
            <w:shd w:val="clear" w:color="auto" w:fill="auto"/>
          </w:tcPr>
          <w:p w:rsidR="00483758" w:rsidRPr="00483758" w:rsidRDefault="00483758" w:rsidP="00483758">
            <w:pPr>
              <w:spacing w:before="120" w:after="120" w:line="276" w:lineRule="auto"/>
              <w:jc w:val="both"/>
              <w:rPr>
                <w:color w:val="000000"/>
                <w:sz w:val="22"/>
                <w:szCs w:val="22"/>
              </w:rPr>
            </w:pPr>
          </w:p>
        </w:tc>
        <w:tc>
          <w:tcPr>
            <w:tcW w:w="5245" w:type="dxa"/>
            <w:shd w:val="clear" w:color="auto" w:fill="auto"/>
          </w:tcPr>
          <w:p w:rsidR="00483758" w:rsidRPr="00483758" w:rsidRDefault="00483758" w:rsidP="00483758">
            <w:pPr>
              <w:spacing w:before="120" w:after="120" w:line="276" w:lineRule="auto"/>
              <w:jc w:val="both"/>
              <w:rPr>
                <w:color w:val="000000"/>
                <w:spacing w:val="-4"/>
                <w:sz w:val="22"/>
                <w:szCs w:val="22"/>
              </w:rPr>
            </w:pPr>
          </w:p>
        </w:tc>
      </w:tr>
    </w:tbl>
    <w:p w:rsidR="00483758" w:rsidRDefault="00483758" w:rsidP="00483758">
      <w:pPr>
        <w:widowControl w:val="0"/>
        <w:autoSpaceDE w:val="0"/>
        <w:autoSpaceDN w:val="0"/>
        <w:adjustRightInd w:val="0"/>
        <w:spacing w:before="120" w:after="120" w:line="276" w:lineRule="auto"/>
        <w:rPr>
          <w:smallCaps/>
          <w:color w:val="0000FF"/>
          <w:sz w:val="22"/>
          <w:szCs w:val="22"/>
        </w:rPr>
      </w:pPr>
      <w:r w:rsidRPr="00483758">
        <w:rPr>
          <w:smallCaps/>
          <w:color w:val="0000FF"/>
          <w:sz w:val="22"/>
          <w:szCs w:val="22"/>
        </w:rPr>
        <w:t xml:space="preserve"> </w:t>
      </w:r>
    </w:p>
    <w:p w:rsidR="008641D4" w:rsidRDefault="008641D4" w:rsidP="00483758">
      <w:pPr>
        <w:widowControl w:val="0"/>
        <w:autoSpaceDE w:val="0"/>
        <w:autoSpaceDN w:val="0"/>
        <w:adjustRightInd w:val="0"/>
        <w:spacing w:before="120" w:after="120" w:line="276" w:lineRule="auto"/>
        <w:rPr>
          <w:smallCaps/>
          <w:color w:val="0000FF"/>
          <w:sz w:val="22"/>
          <w:szCs w:val="22"/>
        </w:rPr>
      </w:pPr>
    </w:p>
    <w:p w:rsidR="008641D4" w:rsidRDefault="008641D4" w:rsidP="00483758">
      <w:pPr>
        <w:widowControl w:val="0"/>
        <w:autoSpaceDE w:val="0"/>
        <w:autoSpaceDN w:val="0"/>
        <w:adjustRightInd w:val="0"/>
        <w:spacing w:before="120" w:after="120" w:line="276" w:lineRule="auto"/>
        <w:rPr>
          <w:smallCaps/>
          <w:color w:val="0000FF"/>
          <w:sz w:val="22"/>
          <w:szCs w:val="22"/>
        </w:rPr>
      </w:pPr>
    </w:p>
    <w:p w:rsidR="008641D4" w:rsidRDefault="008641D4" w:rsidP="00483758">
      <w:pPr>
        <w:widowControl w:val="0"/>
        <w:autoSpaceDE w:val="0"/>
        <w:autoSpaceDN w:val="0"/>
        <w:adjustRightInd w:val="0"/>
        <w:spacing w:before="120" w:after="120" w:line="276" w:lineRule="auto"/>
        <w:rPr>
          <w:smallCaps/>
          <w:color w:val="0000FF"/>
          <w:sz w:val="22"/>
          <w:szCs w:val="22"/>
        </w:rPr>
      </w:pPr>
    </w:p>
    <w:p w:rsidR="008641D4" w:rsidRDefault="008641D4" w:rsidP="00483758">
      <w:pPr>
        <w:widowControl w:val="0"/>
        <w:autoSpaceDE w:val="0"/>
        <w:autoSpaceDN w:val="0"/>
        <w:adjustRightInd w:val="0"/>
        <w:spacing w:before="120" w:after="120" w:line="276" w:lineRule="auto"/>
        <w:rPr>
          <w:smallCaps/>
          <w:color w:val="0000FF"/>
          <w:sz w:val="22"/>
          <w:szCs w:val="22"/>
        </w:rPr>
      </w:pPr>
    </w:p>
    <w:p w:rsidR="008641D4" w:rsidRDefault="008641D4" w:rsidP="00483758">
      <w:pPr>
        <w:widowControl w:val="0"/>
        <w:autoSpaceDE w:val="0"/>
        <w:autoSpaceDN w:val="0"/>
        <w:adjustRightInd w:val="0"/>
        <w:spacing w:before="120" w:after="120" w:line="276" w:lineRule="auto"/>
        <w:rPr>
          <w:smallCaps/>
          <w:color w:val="0000FF"/>
          <w:sz w:val="22"/>
          <w:szCs w:val="22"/>
        </w:rPr>
      </w:pPr>
    </w:p>
    <w:p w:rsidR="008641D4" w:rsidRDefault="008641D4" w:rsidP="00483758">
      <w:pPr>
        <w:widowControl w:val="0"/>
        <w:autoSpaceDE w:val="0"/>
        <w:autoSpaceDN w:val="0"/>
        <w:adjustRightInd w:val="0"/>
        <w:spacing w:before="120" w:after="120" w:line="276" w:lineRule="auto"/>
        <w:rPr>
          <w:smallCaps/>
          <w:color w:val="0000FF"/>
          <w:sz w:val="22"/>
          <w:szCs w:val="22"/>
        </w:rPr>
      </w:pPr>
    </w:p>
    <w:p w:rsidR="008641D4" w:rsidRDefault="008641D4" w:rsidP="00483758">
      <w:pPr>
        <w:widowControl w:val="0"/>
        <w:autoSpaceDE w:val="0"/>
        <w:autoSpaceDN w:val="0"/>
        <w:adjustRightInd w:val="0"/>
        <w:spacing w:before="120" w:after="120" w:line="276" w:lineRule="auto"/>
        <w:rPr>
          <w:smallCaps/>
          <w:color w:val="0000FF"/>
          <w:sz w:val="22"/>
          <w:szCs w:val="22"/>
        </w:rPr>
      </w:pPr>
    </w:p>
    <w:p w:rsidR="008641D4" w:rsidRDefault="008641D4" w:rsidP="00483758">
      <w:pPr>
        <w:widowControl w:val="0"/>
        <w:autoSpaceDE w:val="0"/>
        <w:autoSpaceDN w:val="0"/>
        <w:adjustRightInd w:val="0"/>
        <w:spacing w:before="120" w:after="120" w:line="276" w:lineRule="auto"/>
        <w:rPr>
          <w:smallCaps/>
          <w:color w:val="0000FF"/>
          <w:sz w:val="22"/>
          <w:szCs w:val="22"/>
        </w:rPr>
      </w:pPr>
    </w:p>
    <w:p w:rsidR="008641D4" w:rsidRDefault="008641D4" w:rsidP="00483758">
      <w:pPr>
        <w:widowControl w:val="0"/>
        <w:autoSpaceDE w:val="0"/>
        <w:autoSpaceDN w:val="0"/>
        <w:adjustRightInd w:val="0"/>
        <w:spacing w:before="120" w:after="120" w:line="276" w:lineRule="auto"/>
        <w:rPr>
          <w:smallCaps/>
          <w:color w:val="0000FF"/>
          <w:sz w:val="22"/>
          <w:szCs w:val="22"/>
        </w:rPr>
      </w:pPr>
    </w:p>
    <w:p w:rsidR="008641D4" w:rsidRDefault="008641D4" w:rsidP="00483758">
      <w:pPr>
        <w:widowControl w:val="0"/>
        <w:autoSpaceDE w:val="0"/>
        <w:autoSpaceDN w:val="0"/>
        <w:adjustRightInd w:val="0"/>
        <w:spacing w:before="120" w:after="120" w:line="276" w:lineRule="auto"/>
        <w:rPr>
          <w:smallCaps/>
          <w:color w:val="0000FF"/>
          <w:sz w:val="22"/>
          <w:szCs w:val="22"/>
        </w:rPr>
      </w:pPr>
    </w:p>
    <w:p w:rsidR="008641D4" w:rsidRPr="00483758" w:rsidRDefault="008641D4" w:rsidP="00483758">
      <w:pPr>
        <w:widowControl w:val="0"/>
        <w:autoSpaceDE w:val="0"/>
        <w:autoSpaceDN w:val="0"/>
        <w:adjustRightInd w:val="0"/>
        <w:spacing w:before="120" w:after="120" w:line="276" w:lineRule="auto"/>
        <w:rPr>
          <w:smallCaps/>
          <w:color w:val="0000FF"/>
          <w:sz w:val="22"/>
          <w:szCs w:val="22"/>
        </w:rPr>
      </w:pPr>
    </w:p>
    <w:p w:rsidR="00B25469" w:rsidRPr="00B25469" w:rsidRDefault="00B25469" w:rsidP="00055B4A">
      <w:pPr>
        <w:jc w:val="center"/>
        <w:rPr>
          <w:b/>
          <w:i/>
          <w:sz w:val="22"/>
          <w:szCs w:val="22"/>
          <w:lang w:val="ru-RU"/>
        </w:rPr>
      </w:pPr>
    </w:p>
    <w:p w:rsidR="00DB58D7" w:rsidRPr="00CE3FA8" w:rsidRDefault="00DB58D7" w:rsidP="00A7330F">
      <w:pPr>
        <w:tabs>
          <w:tab w:val="left" w:pos="960"/>
        </w:tabs>
        <w:spacing w:line="360" w:lineRule="auto"/>
        <w:rPr>
          <w:color w:val="FFFFFF"/>
          <w:sz w:val="22"/>
          <w:szCs w:val="22"/>
        </w:rPr>
      </w:pPr>
      <w:r w:rsidRPr="00CE3FA8">
        <w:rPr>
          <w:color w:val="FFFFFF"/>
          <w:sz w:val="22"/>
          <w:szCs w:val="22"/>
        </w:rPr>
        <w:lastRenderedPageBreak/>
        <w:t xml:space="preserve">Съгласували: </w:t>
      </w:r>
    </w:p>
    <w:p w:rsidR="00DB58D7" w:rsidRPr="00CE3FA8" w:rsidRDefault="00DB58D7" w:rsidP="00A7330F">
      <w:pPr>
        <w:tabs>
          <w:tab w:val="left" w:pos="960"/>
        </w:tabs>
        <w:spacing w:line="360" w:lineRule="auto"/>
        <w:rPr>
          <w:color w:val="FFFFFF"/>
          <w:sz w:val="22"/>
          <w:szCs w:val="22"/>
        </w:rPr>
      </w:pPr>
      <w:r w:rsidRPr="00CE3FA8">
        <w:rPr>
          <w:color w:val="FFFFFF"/>
          <w:sz w:val="22"/>
          <w:szCs w:val="22"/>
        </w:rPr>
        <w:t>Цветомира Стайкова – директор на дирекция РСР</w:t>
      </w:r>
    </w:p>
    <w:p w:rsidR="00DB58D7" w:rsidRPr="00CE3FA8" w:rsidRDefault="00DB58D7" w:rsidP="00A7330F">
      <w:pPr>
        <w:tabs>
          <w:tab w:val="left" w:pos="960"/>
        </w:tabs>
        <w:spacing w:line="360" w:lineRule="auto"/>
        <w:rPr>
          <w:color w:val="FFFFFF"/>
          <w:sz w:val="22"/>
          <w:szCs w:val="22"/>
        </w:rPr>
      </w:pPr>
      <w:r w:rsidRPr="00CE3FA8">
        <w:rPr>
          <w:color w:val="FFFFFF"/>
          <w:sz w:val="22"/>
          <w:szCs w:val="22"/>
        </w:rPr>
        <w:t>Антон Аспарухов, началник на отдел ППНТП</w:t>
      </w:r>
    </w:p>
    <w:p w:rsidR="00F87583" w:rsidRPr="00CE3FA8" w:rsidRDefault="00DB58D7" w:rsidP="00A7330F">
      <w:pPr>
        <w:tabs>
          <w:tab w:val="left" w:pos="960"/>
        </w:tabs>
        <w:spacing w:line="360" w:lineRule="auto"/>
        <w:rPr>
          <w:color w:val="FFFFFF"/>
          <w:sz w:val="22"/>
          <w:szCs w:val="22"/>
        </w:rPr>
      </w:pPr>
      <w:r w:rsidRPr="00CE3FA8">
        <w:rPr>
          <w:color w:val="FFFFFF"/>
          <w:sz w:val="22"/>
          <w:szCs w:val="22"/>
        </w:rPr>
        <w:t>Изготвил: Снежана Григорова, главен експерт, ППНТП</w:t>
      </w:r>
    </w:p>
    <w:sectPr w:rsidR="00F87583" w:rsidRPr="00CE3FA8" w:rsidSect="00B67F11">
      <w:pgSz w:w="16838" w:h="11906" w:orient="landscape" w:code="9"/>
      <w:pgMar w:top="1418" w:right="567"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0CA" w:rsidRDefault="007970CA">
      <w:r>
        <w:separator/>
      </w:r>
    </w:p>
  </w:endnote>
  <w:endnote w:type="continuationSeparator" w:id="0">
    <w:p w:rsidR="007970CA" w:rsidRDefault="0079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
    <w:altName w:val="Courier New"/>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604" w:rsidRDefault="00FC4604" w:rsidP="007137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4604" w:rsidRDefault="00FC4604" w:rsidP="00E737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604" w:rsidRDefault="00FC4604" w:rsidP="007137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1EEC">
      <w:rPr>
        <w:rStyle w:val="PageNumber"/>
        <w:noProof/>
      </w:rPr>
      <w:t>5</w:t>
    </w:r>
    <w:r>
      <w:rPr>
        <w:rStyle w:val="PageNumber"/>
      </w:rPr>
      <w:fldChar w:fldCharType="end"/>
    </w:r>
  </w:p>
  <w:p w:rsidR="00FC4604" w:rsidRDefault="00FC4604" w:rsidP="00E737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0CA" w:rsidRDefault="007970CA">
      <w:r>
        <w:separator/>
      </w:r>
    </w:p>
  </w:footnote>
  <w:footnote w:type="continuationSeparator" w:id="0">
    <w:p w:rsidR="007970CA" w:rsidRDefault="00797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91ED4CE"/>
    <w:lvl w:ilvl="0">
      <w:start w:val="1"/>
      <w:numFmt w:val="bullet"/>
      <w:pStyle w:val="ListBullet"/>
      <w:lvlText w:val=""/>
      <w:lvlJc w:val="left"/>
      <w:pPr>
        <w:tabs>
          <w:tab w:val="num" w:pos="-60"/>
        </w:tabs>
        <w:ind w:left="-60" w:hanging="360"/>
      </w:pPr>
      <w:rPr>
        <w:rFonts w:ascii="Symbol" w:hAnsi="Symbol" w:hint="default"/>
      </w:rPr>
    </w:lvl>
  </w:abstractNum>
  <w:abstractNum w:abstractNumId="1" w15:restartNumberingAfterBreak="0">
    <w:nsid w:val="01303408"/>
    <w:multiLevelType w:val="hybridMultilevel"/>
    <w:tmpl w:val="DB480762"/>
    <w:lvl w:ilvl="0" w:tplc="73843022">
      <w:start w:val="1"/>
      <w:numFmt w:val="decimal"/>
      <w:lvlText w:val="%1."/>
      <w:lvlJc w:val="left"/>
      <w:pPr>
        <w:tabs>
          <w:tab w:val="num" w:pos="1210"/>
        </w:tabs>
        <w:ind w:left="1210" w:hanging="360"/>
      </w:pPr>
      <w:rPr>
        <w:rFonts w:ascii="Times New Roman" w:hAnsi="Times New Roman" w:cs="Times New Roman" w:hint="default"/>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1FA0F38"/>
    <w:multiLevelType w:val="hybridMultilevel"/>
    <w:tmpl w:val="9F260C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5FC4A6A"/>
    <w:multiLevelType w:val="hybridMultilevel"/>
    <w:tmpl w:val="3130621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6208B2"/>
    <w:multiLevelType w:val="hybridMultilevel"/>
    <w:tmpl w:val="6760358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74924CE"/>
    <w:multiLevelType w:val="hybridMultilevel"/>
    <w:tmpl w:val="7804D1D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076B3D01"/>
    <w:multiLevelType w:val="hybridMultilevel"/>
    <w:tmpl w:val="DDB2938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A335FD"/>
    <w:multiLevelType w:val="hybridMultilevel"/>
    <w:tmpl w:val="D4E62C4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07CF3A4B"/>
    <w:multiLevelType w:val="hybridMultilevel"/>
    <w:tmpl w:val="FA9CB5B2"/>
    <w:lvl w:ilvl="0" w:tplc="73843022">
      <w:start w:val="1"/>
      <w:numFmt w:val="decimal"/>
      <w:lvlText w:val="%1."/>
      <w:lvlJc w:val="left"/>
      <w:pPr>
        <w:tabs>
          <w:tab w:val="num" w:pos="540"/>
        </w:tabs>
        <w:ind w:left="540" w:hanging="360"/>
      </w:pPr>
      <w:rPr>
        <w:rFonts w:ascii="Times New Roman" w:hAnsi="Times New Roman" w:cs="Times New Roman"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0B8A4D33"/>
    <w:multiLevelType w:val="hybridMultilevel"/>
    <w:tmpl w:val="1C868846"/>
    <w:lvl w:ilvl="0" w:tplc="0402000D">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0" w15:restartNumberingAfterBreak="0">
    <w:nsid w:val="0C7E684F"/>
    <w:multiLevelType w:val="hybridMultilevel"/>
    <w:tmpl w:val="1F16EB2A"/>
    <w:lvl w:ilvl="0" w:tplc="6A1627AA">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1" w15:restartNumberingAfterBreak="0">
    <w:nsid w:val="0CFA17C2"/>
    <w:multiLevelType w:val="hybridMultilevel"/>
    <w:tmpl w:val="65DAB74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0FB13452"/>
    <w:multiLevelType w:val="hybridMultilevel"/>
    <w:tmpl w:val="E94EFC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17997FFD"/>
    <w:multiLevelType w:val="hybridMultilevel"/>
    <w:tmpl w:val="0F30086E"/>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15:restartNumberingAfterBreak="0">
    <w:nsid w:val="1A765528"/>
    <w:multiLevelType w:val="hybridMultilevel"/>
    <w:tmpl w:val="36BA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A00019"/>
    <w:multiLevelType w:val="hybridMultilevel"/>
    <w:tmpl w:val="27C661A2"/>
    <w:lvl w:ilvl="0" w:tplc="3856A070">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6" w15:restartNumberingAfterBreak="0">
    <w:nsid w:val="1E630514"/>
    <w:multiLevelType w:val="hybridMultilevel"/>
    <w:tmpl w:val="037C02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16C6DCE"/>
    <w:multiLevelType w:val="multilevel"/>
    <w:tmpl w:val="3D984A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420196A"/>
    <w:multiLevelType w:val="hybridMultilevel"/>
    <w:tmpl w:val="101C82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4FF01EA"/>
    <w:multiLevelType w:val="hybridMultilevel"/>
    <w:tmpl w:val="08D64DC6"/>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0" w15:restartNumberingAfterBreak="0">
    <w:nsid w:val="28A44D68"/>
    <w:multiLevelType w:val="hybridMultilevel"/>
    <w:tmpl w:val="38BA9C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9834502"/>
    <w:multiLevelType w:val="hybridMultilevel"/>
    <w:tmpl w:val="52ECC3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299B4D04"/>
    <w:multiLevelType w:val="hybridMultilevel"/>
    <w:tmpl w:val="9B9E837E"/>
    <w:lvl w:ilvl="0" w:tplc="0402000D">
      <w:start w:val="1"/>
      <w:numFmt w:val="bullet"/>
      <w:lvlText w:val=""/>
      <w:lvlJc w:val="left"/>
      <w:pPr>
        <w:ind w:left="-1164" w:hanging="360"/>
      </w:pPr>
      <w:rPr>
        <w:rFonts w:ascii="Wingdings" w:hAnsi="Wingdings" w:hint="default"/>
      </w:rPr>
    </w:lvl>
    <w:lvl w:ilvl="1" w:tplc="04020003" w:tentative="1">
      <w:start w:val="1"/>
      <w:numFmt w:val="bullet"/>
      <w:lvlText w:val="o"/>
      <w:lvlJc w:val="left"/>
      <w:pPr>
        <w:ind w:left="-444" w:hanging="360"/>
      </w:pPr>
      <w:rPr>
        <w:rFonts w:ascii="Courier New" w:hAnsi="Courier New" w:cs="Courier New" w:hint="default"/>
      </w:rPr>
    </w:lvl>
    <w:lvl w:ilvl="2" w:tplc="04020005" w:tentative="1">
      <w:start w:val="1"/>
      <w:numFmt w:val="bullet"/>
      <w:lvlText w:val=""/>
      <w:lvlJc w:val="left"/>
      <w:pPr>
        <w:ind w:left="276" w:hanging="360"/>
      </w:pPr>
      <w:rPr>
        <w:rFonts w:ascii="Wingdings" w:hAnsi="Wingdings" w:hint="default"/>
      </w:rPr>
    </w:lvl>
    <w:lvl w:ilvl="3" w:tplc="04020001" w:tentative="1">
      <w:start w:val="1"/>
      <w:numFmt w:val="bullet"/>
      <w:lvlText w:val=""/>
      <w:lvlJc w:val="left"/>
      <w:pPr>
        <w:ind w:left="996" w:hanging="360"/>
      </w:pPr>
      <w:rPr>
        <w:rFonts w:ascii="Symbol" w:hAnsi="Symbol" w:hint="default"/>
      </w:rPr>
    </w:lvl>
    <w:lvl w:ilvl="4" w:tplc="04020003" w:tentative="1">
      <w:start w:val="1"/>
      <w:numFmt w:val="bullet"/>
      <w:lvlText w:val="o"/>
      <w:lvlJc w:val="left"/>
      <w:pPr>
        <w:ind w:left="1716" w:hanging="360"/>
      </w:pPr>
      <w:rPr>
        <w:rFonts w:ascii="Courier New" w:hAnsi="Courier New" w:cs="Courier New" w:hint="default"/>
      </w:rPr>
    </w:lvl>
    <w:lvl w:ilvl="5" w:tplc="04020005" w:tentative="1">
      <w:start w:val="1"/>
      <w:numFmt w:val="bullet"/>
      <w:lvlText w:val=""/>
      <w:lvlJc w:val="left"/>
      <w:pPr>
        <w:ind w:left="2436" w:hanging="360"/>
      </w:pPr>
      <w:rPr>
        <w:rFonts w:ascii="Wingdings" w:hAnsi="Wingdings" w:hint="default"/>
      </w:rPr>
    </w:lvl>
    <w:lvl w:ilvl="6" w:tplc="04020001" w:tentative="1">
      <w:start w:val="1"/>
      <w:numFmt w:val="bullet"/>
      <w:lvlText w:val=""/>
      <w:lvlJc w:val="left"/>
      <w:pPr>
        <w:ind w:left="3156" w:hanging="360"/>
      </w:pPr>
      <w:rPr>
        <w:rFonts w:ascii="Symbol" w:hAnsi="Symbol" w:hint="default"/>
      </w:rPr>
    </w:lvl>
    <w:lvl w:ilvl="7" w:tplc="04020003" w:tentative="1">
      <w:start w:val="1"/>
      <w:numFmt w:val="bullet"/>
      <w:lvlText w:val="o"/>
      <w:lvlJc w:val="left"/>
      <w:pPr>
        <w:ind w:left="3876" w:hanging="360"/>
      </w:pPr>
      <w:rPr>
        <w:rFonts w:ascii="Courier New" w:hAnsi="Courier New" w:cs="Courier New" w:hint="default"/>
      </w:rPr>
    </w:lvl>
    <w:lvl w:ilvl="8" w:tplc="04020005" w:tentative="1">
      <w:start w:val="1"/>
      <w:numFmt w:val="bullet"/>
      <w:lvlText w:val=""/>
      <w:lvlJc w:val="left"/>
      <w:pPr>
        <w:ind w:left="4596" w:hanging="360"/>
      </w:pPr>
      <w:rPr>
        <w:rFonts w:ascii="Wingdings" w:hAnsi="Wingdings" w:hint="default"/>
      </w:rPr>
    </w:lvl>
  </w:abstractNum>
  <w:abstractNum w:abstractNumId="23" w15:restartNumberingAfterBreak="0">
    <w:nsid w:val="35605082"/>
    <w:multiLevelType w:val="hybridMultilevel"/>
    <w:tmpl w:val="2BD265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0A70ACD"/>
    <w:multiLevelType w:val="hybridMultilevel"/>
    <w:tmpl w:val="E098E2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55756B3"/>
    <w:multiLevelType w:val="hybridMultilevel"/>
    <w:tmpl w:val="AE86DECC"/>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26" w15:restartNumberingAfterBreak="0">
    <w:nsid w:val="495A4B41"/>
    <w:multiLevelType w:val="hybridMultilevel"/>
    <w:tmpl w:val="61300AAA"/>
    <w:lvl w:ilvl="0" w:tplc="CDA0FF0E">
      <w:numFmt w:val="bullet"/>
      <w:lvlText w:val="-"/>
      <w:lvlJc w:val="left"/>
      <w:pPr>
        <w:ind w:left="720" w:hanging="360"/>
      </w:pPr>
      <w:rPr>
        <w:rFonts w:ascii="Arial" w:eastAsia="Calibri" w:hAnsi="Arial" w:cs="Arial" w:hint="default"/>
        <w:color w:val="000000"/>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7" w15:restartNumberingAfterBreak="0">
    <w:nsid w:val="4CBC0C12"/>
    <w:multiLevelType w:val="hybridMultilevel"/>
    <w:tmpl w:val="955A338A"/>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8" w15:restartNumberingAfterBreak="0">
    <w:nsid w:val="4CD71A84"/>
    <w:multiLevelType w:val="hybridMultilevel"/>
    <w:tmpl w:val="4B7668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D840683"/>
    <w:multiLevelType w:val="hybridMultilevel"/>
    <w:tmpl w:val="73E6CDF6"/>
    <w:lvl w:ilvl="0" w:tplc="A942D204">
      <w:start w:val="2"/>
      <w:numFmt w:val="bullet"/>
      <w:lvlText w:val="-"/>
      <w:lvlJc w:val="left"/>
      <w:pPr>
        <w:tabs>
          <w:tab w:val="num" w:pos="326"/>
        </w:tabs>
        <w:ind w:left="326" w:hanging="360"/>
      </w:pPr>
      <w:rPr>
        <w:rFonts w:ascii="Times New Roman" w:eastAsia="Times New Roman" w:hAnsi="Times New Roman" w:cs="Times New Roman" w:hint="default"/>
      </w:rPr>
    </w:lvl>
    <w:lvl w:ilvl="1" w:tplc="04020003" w:tentative="1">
      <w:start w:val="1"/>
      <w:numFmt w:val="bullet"/>
      <w:lvlText w:val="o"/>
      <w:lvlJc w:val="left"/>
      <w:pPr>
        <w:tabs>
          <w:tab w:val="num" w:pos="1046"/>
        </w:tabs>
        <w:ind w:left="1046" w:hanging="360"/>
      </w:pPr>
      <w:rPr>
        <w:rFonts w:ascii="Courier New" w:hAnsi="Courier New" w:cs="Courier New" w:hint="default"/>
      </w:rPr>
    </w:lvl>
    <w:lvl w:ilvl="2" w:tplc="04020005" w:tentative="1">
      <w:start w:val="1"/>
      <w:numFmt w:val="bullet"/>
      <w:lvlText w:val=""/>
      <w:lvlJc w:val="left"/>
      <w:pPr>
        <w:tabs>
          <w:tab w:val="num" w:pos="1766"/>
        </w:tabs>
        <w:ind w:left="1766" w:hanging="360"/>
      </w:pPr>
      <w:rPr>
        <w:rFonts w:ascii="Wingdings" w:hAnsi="Wingdings" w:hint="default"/>
      </w:rPr>
    </w:lvl>
    <w:lvl w:ilvl="3" w:tplc="04020001" w:tentative="1">
      <w:start w:val="1"/>
      <w:numFmt w:val="bullet"/>
      <w:lvlText w:val=""/>
      <w:lvlJc w:val="left"/>
      <w:pPr>
        <w:tabs>
          <w:tab w:val="num" w:pos="2486"/>
        </w:tabs>
        <w:ind w:left="2486" w:hanging="360"/>
      </w:pPr>
      <w:rPr>
        <w:rFonts w:ascii="Symbol" w:hAnsi="Symbol" w:hint="default"/>
      </w:rPr>
    </w:lvl>
    <w:lvl w:ilvl="4" w:tplc="04020003" w:tentative="1">
      <w:start w:val="1"/>
      <w:numFmt w:val="bullet"/>
      <w:lvlText w:val="o"/>
      <w:lvlJc w:val="left"/>
      <w:pPr>
        <w:tabs>
          <w:tab w:val="num" w:pos="3206"/>
        </w:tabs>
        <w:ind w:left="3206" w:hanging="360"/>
      </w:pPr>
      <w:rPr>
        <w:rFonts w:ascii="Courier New" w:hAnsi="Courier New" w:cs="Courier New" w:hint="default"/>
      </w:rPr>
    </w:lvl>
    <w:lvl w:ilvl="5" w:tplc="04020005" w:tentative="1">
      <w:start w:val="1"/>
      <w:numFmt w:val="bullet"/>
      <w:lvlText w:val=""/>
      <w:lvlJc w:val="left"/>
      <w:pPr>
        <w:tabs>
          <w:tab w:val="num" w:pos="3926"/>
        </w:tabs>
        <w:ind w:left="3926" w:hanging="360"/>
      </w:pPr>
      <w:rPr>
        <w:rFonts w:ascii="Wingdings" w:hAnsi="Wingdings" w:hint="default"/>
      </w:rPr>
    </w:lvl>
    <w:lvl w:ilvl="6" w:tplc="04020001" w:tentative="1">
      <w:start w:val="1"/>
      <w:numFmt w:val="bullet"/>
      <w:lvlText w:val=""/>
      <w:lvlJc w:val="left"/>
      <w:pPr>
        <w:tabs>
          <w:tab w:val="num" w:pos="4646"/>
        </w:tabs>
        <w:ind w:left="4646" w:hanging="360"/>
      </w:pPr>
      <w:rPr>
        <w:rFonts w:ascii="Symbol" w:hAnsi="Symbol" w:hint="default"/>
      </w:rPr>
    </w:lvl>
    <w:lvl w:ilvl="7" w:tplc="04020003" w:tentative="1">
      <w:start w:val="1"/>
      <w:numFmt w:val="bullet"/>
      <w:lvlText w:val="o"/>
      <w:lvlJc w:val="left"/>
      <w:pPr>
        <w:tabs>
          <w:tab w:val="num" w:pos="5366"/>
        </w:tabs>
        <w:ind w:left="5366" w:hanging="360"/>
      </w:pPr>
      <w:rPr>
        <w:rFonts w:ascii="Courier New" w:hAnsi="Courier New" w:cs="Courier New" w:hint="default"/>
      </w:rPr>
    </w:lvl>
    <w:lvl w:ilvl="8" w:tplc="04020005" w:tentative="1">
      <w:start w:val="1"/>
      <w:numFmt w:val="bullet"/>
      <w:lvlText w:val=""/>
      <w:lvlJc w:val="left"/>
      <w:pPr>
        <w:tabs>
          <w:tab w:val="num" w:pos="6086"/>
        </w:tabs>
        <w:ind w:left="6086" w:hanging="360"/>
      </w:pPr>
      <w:rPr>
        <w:rFonts w:ascii="Wingdings" w:hAnsi="Wingdings" w:hint="default"/>
      </w:rPr>
    </w:lvl>
  </w:abstractNum>
  <w:abstractNum w:abstractNumId="30" w15:restartNumberingAfterBreak="0">
    <w:nsid w:val="504A70DC"/>
    <w:multiLevelType w:val="hybridMultilevel"/>
    <w:tmpl w:val="036EDECA"/>
    <w:lvl w:ilvl="0" w:tplc="D73EF314">
      <w:start w:val="1"/>
      <w:numFmt w:val="decimal"/>
      <w:lvlText w:val="%1."/>
      <w:lvlJc w:val="left"/>
      <w:pPr>
        <w:tabs>
          <w:tab w:val="num" w:pos="825"/>
        </w:tabs>
        <w:ind w:left="825" w:hanging="465"/>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15:restartNumberingAfterBreak="0">
    <w:nsid w:val="535E01E9"/>
    <w:multiLevelType w:val="hybridMultilevel"/>
    <w:tmpl w:val="3A3A1C1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2" w15:restartNumberingAfterBreak="0">
    <w:nsid w:val="5B8D6CBA"/>
    <w:multiLevelType w:val="multilevel"/>
    <w:tmpl w:val="AEF68BDC"/>
    <w:lvl w:ilvl="0">
      <w:start w:val="1"/>
      <w:numFmt w:val="decimal"/>
      <w:lvlText w:val="%1."/>
      <w:lvlJc w:val="left"/>
      <w:pPr>
        <w:ind w:left="1065" w:hanging="360"/>
      </w:pPr>
      <w:rPr>
        <w:rFonts w:hint="default"/>
        <w:b w:val="0"/>
      </w:rPr>
    </w:lvl>
    <w:lvl w:ilvl="1">
      <w:start w:val="1"/>
      <w:numFmt w:val="decimal"/>
      <w:isLgl/>
      <w:lvlText w:val="%1.%2."/>
      <w:lvlJc w:val="left"/>
      <w:pPr>
        <w:ind w:left="1425" w:hanging="36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33" w15:restartNumberingAfterBreak="0">
    <w:nsid w:val="5D1704DA"/>
    <w:multiLevelType w:val="hybridMultilevel"/>
    <w:tmpl w:val="6624DD54"/>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4" w15:restartNumberingAfterBreak="0">
    <w:nsid w:val="5DEC6E10"/>
    <w:multiLevelType w:val="hybridMultilevel"/>
    <w:tmpl w:val="B8E26BC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5" w15:restartNumberingAfterBreak="0">
    <w:nsid w:val="63F57385"/>
    <w:multiLevelType w:val="hybridMultilevel"/>
    <w:tmpl w:val="80DCF2DC"/>
    <w:lvl w:ilvl="0" w:tplc="8FDECB1A">
      <w:start w:val="1"/>
      <w:numFmt w:val="decimal"/>
      <w:lvlText w:val="%1."/>
      <w:lvlJc w:val="left"/>
      <w:pPr>
        <w:ind w:left="1681" w:hanging="972"/>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6" w15:restartNumberingAfterBreak="0">
    <w:nsid w:val="67E34428"/>
    <w:multiLevelType w:val="hybridMultilevel"/>
    <w:tmpl w:val="728A91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81C3EA8"/>
    <w:multiLevelType w:val="hybridMultilevel"/>
    <w:tmpl w:val="F8A699C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CBB0D2D"/>
    <w:multiLevelType w:val="hybridMultilevel"/>
    <w:tmpl w:val="90D8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C0A3F"/>
    <w:multiLevelType w:val="hybridMultilevel"/>
    <w:tmpl w:val="22B85A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0" w15:restartNumberingAfterBreak="0">
    <w:nsid w:val="710C359F"/>
    <w:multiLevelType w:val="hybridMultilevel"/>
    <w:tmpl w:val="8B1A03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22306F4"/>
    <w:multiLevelType w:val="hybridMultilevel"/>
    <w:tmpl w:val="722306F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2" w15:restartNumberingAfterBreak="0">
    <w:nsid w:val="72D11AC8"/>
    <w:multiLevelType w:val="hybridMultilevel"/>
    <w:tmpl w:val="64D83E9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3" w15:restartNumberingAfterBreak="0">
    <w:nsid w:val="747F0600"/>
    <w:multiLevelType w:val="multilevel"/>
    <w:tmpl w:val="86D64A4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8CC0D55"/>
    <w:multiLevelType w:val="hybridMultilevel"/>
    <w:tmpl w:val="3D32344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E9B5279"/>
    <w:multiLevelType w:val="hybridMultilevel"/>
    <w:tmpl w:val="FD069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FE727B9"/>
    <w:multiLevelType w:val="hybridMultilevel"/>
    <w:tmpl w:val="23B06126"/>
    <w:lvl w:ilvl="0" w:tplc="E7B0F074">
      <w:start w:val="6"/>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2"/>
  </w:num>
  <w:num w:numId="6">
    <w:abstractNumId w:val="35"/>
  </w:num>
  <w:num w:numId="7">
    <w:abstractNumId w:val="17"/>
  </w:num>
  <w:num w:numId="8">
    <w:abstractNumId w:val="43"/>
  </w:num>
  <w:num w:numId="9">
    <w:abstractNumId w:val="1"/>
  </w:num>
  <w:num w:numId="10">
    <w:abstractNumId w:val="23"/>
  </w:num>
  <w:num w:numId="11">
    <w:abstractNumId w:val="27"/>
  </w:num>
  <w:num w:numId="12">
    <w:abstractNumId w:val="7"/>
  </w:num>
  <w:num w:numId="13">
    <w:abstractNumId w:val="2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2"/>
  </w:num>
  <w:num w:numId="17">
    <w:abstractNumId w:val="33"/>
  </w:num>
  <w:num w:numId="18">
    <w:abstractNumId w:val="13"/>
  </w:num>
  <w:num w:numId="19">
    <w:abstractNumId w:val="21"/>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2"/>
  </w:num>
  <w:num w:numId="23">
    <w:abstractNumId w:val="44"/>
  </w:num>
  <w:num w:numId="24">
    <w:abstractNumId w:val="8"/>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
  </w:num>
  <w:num w:numId="31">
    <w:abstractNumId w:val="38"/>
  </w:num>
  <w:num w:numId="32">
    <w:abstractNumId w:val="26"/>
  </w:num>
  <w:num w:numId="33">
    <w:abstractNumId w:val="41"/>
  </w:num>
  <w:num w:numId="34">
    <w:abstractNumId w:val="34"/>
  </w:num>
  <w:num w:numId="35">
    <w:abstractNumId w:val="37"/>
  </w:num>
  <w:num w:numId="36">
    <w:abstractNumId w:val="16"/>
  </w:num>
  <w:num w:numId="37">
    <w:abstractNumId w:val="28"/>
  </w:num>
  <w:num w:numId="38">
    <w:abstractNumId w:val="11"/>
  </w:num>
  <w:num w:numId="39">
    <w:abstractNumId w:val="0"/>
  </w:num>
  <w:num w:numId="40">
    <w:abstractNumId w:val="0"/>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4"/>
  </w:num>
  <w:num w:numId="44">
    <w:abstractNumId w:val="9"/>
  </w:num>
  <w:num w:numId="45">
    <w:abstractNumId w:val="22"/>
  </w:num>
  <w:num w:numId="46">
    <w:abstractNumId w:val="36"/>
  </w:num>
  <w:num w:numId="47">
    <w:abstractNumId w:val="18"/>
  </w:num>
  <w:num w:numId="48">
    <w:abstractNumId w:val="24"/>
  </w:num>
  <w:num w:numId="49">
    <w:abstractNumId w:val="1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F6D"/>
    <w:rsid w:val="00005555"/>
    <w:rsid w:val="0001434E"/>
    <w:rsid w:val="00017B9F"/>
    <w:rsid w:val="00025158"/>
    <w:rsid w:val="00027B6F"/>
    <w:rsid w:val="00032C9A"/>
    <w:rsid w:val="00033EC2"/>
    <w:rsid w:val="000405B8"/>
    <w:rsid w:val="00043D09"/>
    <w:rsid w:val="00050191"/>
    <w:rsid w:val="00051901"/>
    <w:rsid w:val="00052E10"/>
    <w:rsid w:val="00055B4A"/>
    <w:rsid w:val="00056DA5"/>
    <w:rsid w:val="0007615E"/>
    <w:rsid w:val="00080A5F"/>
    <w:rsid w:val="0008138C"/>
    <w:rsid w:val="00081B91"/>
    <w:rsid w:val="00085A99"/>
    <w:rsid w:val="00086E1E"/>
    <w:rsid w:val="000918F1"/>
    <w:rsid w:val="00095BBA"/>
    <w:rsid w:val="000A26CC"/>
    <w:rsid w:val="000A45D8"/>
    <w:rsid w:val="000B17BE"/>
    <w:rsid w:val="000B4BBC"/>
    <w:rsid w:val="000B4CEA"/>
    <w:rsid w:val="000C07AD"/>
    <w:rsid w:val="000C5167"/>
    <w:rsid w:val="000D1791"/>
    <w:rsid w:val="000D3A9C"/>
    <w:rsid w:val="000D6DDA"/>
    <w:rsid w:val="000D70DC"/>
    <w:rsid w:val="000E470F"/>
    <w:rsid w:val="000E5BB4"/>
    <w:rsid w:val="000F037C"/>
    <w:rsid w:val="000F374C"/>
    <w:rsid w:val="000F46A4"/>
    <w:rsid w:val="000F58B7"/>
    <w:rsid w:val="001023FF"/>
    <w:rsid w:val="0011396C"/>
    <w:rsid w:val="001144FC"/>
    <w:rsid w:val="0011460D"/>
    <w:rsid w:val="00120298"/>
    <w:rsid w:val="001237B4"/>
    <w:rsid w:val="001339D2"/>
    <w:rsid w:val="001434BC"/>
    <w:rsid w:val="00143D19"/>
    <w:rsid w:val="0014484B"/>
    <w:rsid w:val="0015015D"/>
    <w:rsid w:val="00155BB0"/>
    <w:rsid w:val="00155CC8"/>
    <w:rsid w:val="001650C8"/>
    <w:rsid w:val="0016787C"/>
    <w:rsid w:val="00170C0A"/>
    <w:rsid w:val="0017417A"/>
    <w:rsid w:val="001832CA"/>
    <w:rsid w:val="001844AB"/>
    <w:rsid w:val="001914E8"/>
    <w:rsid w:val="00192EF8"/>
    <w:rsid w:val="001959EE"/>
    <w:rsid w:val="00196676"/>
    <w:rsid w:val="001A0AD3"/>
    <w:rsid w:val="001A1D6C"/>
    <w:rsid w:val="001A2ADA"/>
    <w:rsid w:val="001A735A"/>
    <w:rsid w:val="001A7F47"/>
    <w:rsid w:val="001D0466"/>
    <w:rsid w:val="001D186A"/>
    <w:rsid w:val="001D25FE"/>
    <w:rsid w:val="001E51C3"/>
    <w:rsid w:val="001F2CDA"/>
    <w:rsid w:val="001F7B14"/>
    <w:rsid w:val="002020F9"/>
    <w:rsid w:val="00202876"/>
    <w:rsid w:val="0020491B"/>
    <w:rsid w:val="0021118A"/>
    <w:rsid w:val="00211448"/>
    <w:rsid w:val="00211858"/>
    <w:rsid w:val="002161A5"/>
    <w:rsid w:val="00233EE3"/>
    <w:rsid w:val="0024296D"/>
    <w:rsid w:val="0024429D"/>
    <w:rsid w:val="002538E8"/>
    <w:rsid w:val="00260C23"/>
    <w:rsid w:val="00263408"/>
    <w:rsid w:val="00263ED0"/>
    <w:rsid w:val="00264399"/>
    <w:rsid w:val="00267DCB"/>
    <w:rsid w:val="00273021"/>
    <w:rsid w:val="002731A2"/>
    <w:rsid w:val="00275F49"/>
    <w:rsid w:val="00287263"/>
    <w:rsid w:val="00297A65"/>
    <w:rsid w:val="002A0E3D"/>
    <w:rsid w:val="002A1218"/>
    <w:rsid w:val="002A23AD"/>
    <w:rsid w:val="002A3A73"/>
    <w:rsid w:val="002A5780"/>
    <w:rsid w:val="002A6603"/>
    <w:rsid w:val="002A6F68"/>
    <w:rsid w:val="002A705B"/>
    <w:rsid w:val="002A766C"/>
    <w:rsid w:val="002B0396"/>
    <w:rsid w:val="002B0B78"/>
    <w:rsid w:val="002B7926"/>
    <w:rsid w:val="002C11BE"/>
    <w:rsid w:val="002C4C2C"/>
    <w:rsid w:val="002C591E"/>
    <w:rsid w:val="002D337F"/>
    <w:rsid w:val="002D3ECD"/>
    <w:rsid w:val="002E0FD4"/>
    <w:rsid w:val="002E20BC"/>
    <w:rsid w:val="002F042E"/>
    <w:rsid w:val="002F08CD"/>
    <w:rsid w:val="002F3E64"/>
    <w:rsid w:val="002F6AF4"/>
    <w:rsid w:val="0030306D"/>
    <w:rsid w:val="00312293"/>
    <w:rsid w:val="00312CCE"/>
    <w:rsid w:val="0031441B"/>
    <w:rsid w:val="003165A6"/>
    <w:rsid w:val="00316609"/>
    <w:rsid w:val="0032148B"/>
    <w:rsid w:val="003277A1"/>
    <w:rsid w:val="00344FA3"/>
    <w:rsid w:val="003537A0"/>
    <w:rsid w:val="00354EC6"/>
    <w:rsid w:val="00356970"/>
    <w:rsid w:val="00356C80"/>
    <w:rsid w:val="00357361"/>
    <w:rsid w:val="00364E3B"/>
    <w:rsid w:val="00365E21"/>
    <w:rsid w:val="00367513"/>
    <w:rsid w:val="0039336B"/>
    <w:rsid w:val="0039506E"/>
    <w:rsid w:val="003B39A1"/>
    <w:rsid w:val="003B3EB4"/>
    <w:rsid w:val="003B57C3"/>
    <w:rsid w:val="003B5F6E"/>
    <w:rsid w:val="003D1694"/>
    <w:rsid w:val="003D43C7"/>
    <w:rsid w:val="003D4459"/>
    <w:rsid w:val="003E66FD"/>
    <w:rsid w:val="003E7B66"/>
    <w:rsid w:val="003F32B8"/>
    <w:rsid w:val="003F35A2"/>
    <w:rsid w:val="0040091A"/>
    <w:rsid w:val="00412DE3"/>
    <w:rsid w:val="004148CD"/>
    <w:rsid w:val="00424C27"/>
    <w:rsid w:val="00430F64"/>
    <w:rsid w:val="0043229C"/>
    <w:rsid w:val="00433716"/>
    <w:rsid w:val="004364ED"/>
    <w:rsid w:val="00436F3C"/>
    <w:rsid w:val="0044401C"/>
    <w:rsid w:val="00450029"/>
    <w:rsid w:val="00450ADC"/>
    <w:rsid w:val="00450F63"/>
    <w:rsid w:val="00452FF9"/>
    <w:rsid w:val="004543AD"/>
    <w:rsid w:val="00456C97"/>
    <w:rsid w:val="0047655D"/>
    <w:rsid w:val="00482A7B"/>
    <w:rsid w:val="00483384"/>
    <w:rsid w:val="00483758"/>
    <w:rsid w:val="0048663B"/>
    <w:rsid w:val="00497330"/>
    <w:rsid w:val="004A0AD5"/>
    <w:rsid w:val="004A120A"/>
    <w:rsid w:val="004A7A98"/>
    <w:rsid w:val="004B2E88"/>
    <w:rsid w:val="004B4A28"/>
    <w:rsid w:val="004D5DF1"/>
    <w:rsid w:val="004D6CEA"/>
    <w:rsid w:val="004E0FFF"/>
    <w:rsid w:val="004E5716"/>
    <w:rsid w:val="004F2DCE"/>
    <w:rsid w:val="004F42FB"/>
    <w:rsid w:val="004F6A9A"/>
    <w:rsid w:val="00501AB3"/>
    <w:rsid w:val="00504D7B"/>
    <w:rsid w:val="0050677E"/>
    <w:rsid w:val="00512116"/>
    <w:rsid w:val="005131CC"/>
    <w:rsid w:val="005154B9"/>
    <w:rsid w:val="00521519"/>
    <w:rsid w:val="00546C59"/>
    <w:rsid w:val="00550097"/>
    <w:rsid w:val="005516D8"/>
    <w:rsid w:val="00554214"/>
    <w:rsid w:val="00554339"/>
    <w:rsid w:val="00557338"/>
    <w:rsid w:val="00570C9B"/>
    <w:rsid w:val="005916BE"/>
    <w:rsid w:val="005942D9"/>
    <w:rsid w:val="005945FA"/>
    <w:rsid w:val="005966E3"/>
    <w:rsid w:val="00597BF0"/>
    <w:rsid w:val="005A3BCC"/>
    <w:rsid w:val="005A47EE"/>
    <w:rsid w:val="005A598F"/>
    <w:rsid w:val="005B2E4A"/>
    <w:rsid w:val="005B3434"/>
    <w:rsid w:val="005C1F4B"/>
    <w:rsid w:val="005C6F85"/>
    <w:rsid w:val="005C74F9"/>
    <w:rsid w:val="005D142B"/>
    <w:rsid w:val="005D2FB3"/>
    <w:rsid w:val="005D3DC8"/>
    <w:rsid w:val="005D5DBE"/>
    <w:rsid w:val="005D698C"/>
    <w:rsid w:val="005D78DF"/>
    <w:rsid w:val="005E2B05"/>
    <w:rsid w:val="005E5C59"/>
    <w:rsid w:val="005E63FA"/>
    <w:rsid w:val="005E6C6B"/>
    <w:rsid w:val="005E789B"/>
    <w:rsid w:val="005F277E"/>
    <w:rsid w:val="005F57E4"/>
    <w:rsid w:val="005F73EE"/>
    <w:rsid w:val="00610007"/>
    <w:rsid w:val="00612906"/>
    <w:rsid w:val="00613D69"/>
    <w:rsid w:val="00614184"/>
    <w:rsid w:val="0061660F"/>
    <w:rsid w:val="00623344"/>
    <w:rsid w:val="00632F8C"/>
    <w:rsid w:val="00634879"/>
    <w:rsid w:val="006427C5"/>
    <w:rsid w:val="00645A23"/>
    <w:rsid w:val="00655566"/>
    <w:rsid w:val="006559FB"/>
    <w:rsid w:val="00655E10"/>
    <w:rsid w:val="006574D3"/>
    <w:rsid w:val="00665976"/>
    <w:rsid w:val="00670E18"/>
    <w:rsid w:val="006761B9"/>
    <w:rsid w:val="006821D2"/>
    <w:rsid w:val="00685182"/>
    <w:rsid w:val="006907CF"/>
    <w:rsid w:val="0069187A"/>
    <w:rsid w:val="006A0CF7"/>
    <w:rsid w:val="006B198E"/>
    <w:rsid w:val="006B727A"/>
    <w:rsid w:val="006C6E18"/>
    <w:rsid w:val="006C7433"/>
    <w:rsid w:val="006D7029"/>
    <w:rsid w:val="006E17F7"/>
    <w:rsid w:val="006E4502"/>
    <w:rsid w:val="006F747E"/>
    <w:rsid w:val="007044A1"/>
    <w:rsid w:val="007137D8"/>
    <w:rsid w:val="00721CB5"/>
    <w:rsid w:val="007244F7"/>
    <w:rsid w:val="00724F29"/>
    <w:rsid w:val="0073332A"/>
    <w:rsid w:val="00733852"/>
    <w:rsid w:val="00734668"/>
    <w:rsid w:val="007458D1"/>
    <w:rsid w:val="00745C9B"/>
    <w:rsid w:val="007701F8"/>
    <w:rsid w:val="00774D36"/>
    <w:rsid w:val="007837FC"/>
    <w:rsid w:val="0078721A"/>
    <w:rsid w:val="007970CA"/>
    <w:rsid w:val="007A10B5"/>
    <w:rsid w:val="007A1CB9"/>
    <w:rsid w:val="007B5C05"/>
    <w:rsid w:val="007C63B6"/>
    <w:rsid w:val="007D48A1"/>
    <w:rsid w:val="007D4C70"/>
    <w:rsid w:val="007E1C42"/>
    <w:rsid w:val="007E296C"/>
    <w:rsid w:val="007E7E9A"/>
    <w:rsid w:val="007F02F2"/>
    <w:rsid w:val="007F2E27"/>
    <w:rsid w:val="007F5CD1"/>
    <w:rsid w:val="007F6CEF"/>
    <w:rsid w:val="008068A8"/>
    <w:rsid w:val="00807228"/>
    <w:rsid w:val="00810484"/>
    <w:rsid w:val="00810527"/>
    <w:rsid w:val="00816C2E"/>
    <w:rsid w:val="008325E2"/>
    <w:rsid w:val="00832FBB"/>
    <w:rsid w:val="00834914"/>
    <w:rsid w:val="00834E90"/>
    <w:rsid w:val="00834F13"/>
    <w:rsid w:val="00843112"/>
    <w:rsid w:val="008458B6"/>
    <w:rsid w:val="00851EEA"/>
    <w:rsid w:val="00852582"/>
    <w:rsid w:val="00855450"/>
    <w:rsid w:val="00860C93"/>
    <w:rsid w:val="008641D4"/>
    <w:rsid w:val="00873575"/>
    <w:rsid w:val="00892F30"/>
    <w:rsid w:val="008A0D96"/>
    <w:rsid w:val="008A186A"/>
    <w:rsid w:val="008A3BEA"/>
    <w:rsid w:val="008A44EF"/>
    <w:rsid w:val="008A73EE"/>
    <w:rsid w:val="008B0D16"/>
    <w:rsid w:val="008B4803"/>
    <w:rsid w:val="008D440D"/>
    <w:rsid w:val="008D4CFB"/>
    <w:rsid w:val="008D6120"/>
    <w:rsid w:val="008D7862"/>
    <w:rsid w:val="008E1CED"/>
    <w:rsid w:val="008E369B"/>
    <w:rsid w:val="008F2014"/>
    <w:rsid w:val="009050E8"/>
    <w:rsid w:val="0090659B"/>
    <w:rsid w:val="00912339"/>
    <w:rsid w:val="00912AC2"/>
    <w:rsid w:val="00926FC6"/>
    <w:rsid w:val="00932B28"/>
    <w:rsid w:val="009344E6"/>
    <w:rsid w:val="00934E7F"/>
    <w:rsid w:val="009350AD"/>
    <w:rsid w:val="0093656A"/>
    <w:rsid w:val="00947FFB"/>
    <w:rsid w:val="00954633"/>
    <w:rsid w:val="0096292A"/>
    <w:rsid w:val="00964A20"/>
    <w:rsid w:val="00974F19"/>
    <w:rsid w:val="009752C1"/>
    <w:rsid w:val="00977B7B"/>
    <w:rsid w:val="0098018E"/>
    <w:rsid w:val="00990E60"/>
    <w:rsid w:val="00996192"/>
    <w:rsid w:val="00997D20"/>
    <w:rsid w:val="009A3B2F"/>
    <w:rsid w:val="009B2EEE"/>
    <w:rsid w:val="009B652A"/>
    <w:rsid w:val="009B68A2"/>
    <w:rsid w:val="009D371A"/>
    <w:rsid w:val="009E26A8"/>
    <w:rsid w:val="009E45EE"/>
    <w:rsid w:val="009F2F1F"/>
    <w:rsid w:val="009F3D89"/>
    <w:rsid w:val="009F5EA2"/>
    <w:rsid w:val="009F655D"/>
    <w:rsid w:val="00A0289B"/>
    <w:rsid w:val="00A05194"/>
    <w:rsid w:val="00A0667B"/>
    <w:rsid w:val="00A114AB"/>
    <w:rsid w:val="00A13763"/>
    <w:rsid w:val="00A21EEC"/>
    <w:rsid w:val="00A2402E"/>
    <w:rsid w:val="00A279DB"/>
    <w:rsid w:val="00A3366A"/>
    <w:rsid w:val="00A36B0E"/>
    <w:rsid w:val="00A433ED"/>
    <w:rsid w:val="00A47605"/>
    <w:rsid w:val="00A57AAD"/>
    <w:rsid w:val="00A7330F"/>
    <w:rsid w:val="00A84C5C"/>
    <w:rsid w:val="00A9547E"/>
    <w:rsid w:val="00AA02AF"/>
    <w:rsid w:val="00AA117F"/>
    <w:rsid w:val="00AA1A39"/>
    <w:rsid w:val="00AA266E"/>
    <w:rsid w:val="00AA577D"/>
    <w:rsid w:val="00AA71FF"/>
    <w:rsid w:val="00AB36B0"/>
    <w:rsid w:val="00AC2264"/>
    <w:rsid w:val="00AC3FD9"/>
    <w:rsid w:val="00AC4F2F"/>
    <w:rsid w:val="00AD73B5"/>
    <w:rsid w:val="00AE0AA1"/>
    <w:rsid w:val="00AE127D"/>
    <w:rsid w:val="00AE6124"/>
    <w:rsid w:val="00AE7702"/>
    <w:rsid w:val="00AF0D6E"/>
    <w:rsid w:val="00AF0D94"/>
    <w:rsid w:val="00AF4782"/>
    <w:rsid w:val="00AF7226"/>
    <w:rsid w:val="00AF7752"/>
    <w:rsid w:val="00AF78DC"/>
    <w:rsid w:val="00B01D38"/>
    <w:rsid w:val="00B02084"/>
    <w:rsid w:val="00B0629A"/>
    <w:rsid w:val="00B10351"/>
    <w:rsid w:val="00B13CE4"/>
    <w:rsid w:val="00B1646D"/>
    <w:rsid w:val="00B16C57"/>
    <w:rsid w:val="00B25469"/>
    <w:rsid w:val="00B310A0"/>
    <w:rsid w:val="00B314D2"/>
    <w:rsid w:val="00B3214B"/>
    <w:rsid w:val="00B35DAA"/>
    <w:rsid w:val="00B473B9"/>
    <w:rsid w:val="00B5631A"/>
    <w:rsid w:val="00B56811"/>
    <w:rsid w:val="00B56E8A"/>
    <w:rsid w:val="00B659A3"/>
    <w:rsid w:val="00B67F11"/>
    <w:rsid w:val="00B73813"/>
    <w:rsid w:val="00B73D4C"/>
    <w:rsid w:val="00B763B9"/>
    <w:rsid w:val="00B841C7"/>
    <w:rsid w:val="00B856A5"/>
    <w:rsid w:val="00B863BD"/>
    <w:rsid w:val="00B93BB7"/>
    <w:rsid w:val="00BA0689"/>
    <w:rsid w:val="00BA1A6F"/>
    <w:rsid w:val="00BA20CC"/>
    <w:rsid w:val="00BA2F6D"/>
    <w:rsid w:val="00BA5C0D"/>
    <w:rsid w:val="00BB50F2"/>
    <w:rsid w:val="00BB5A0A"/>
    <w:rsid w:val="00BB6D6C"/>
    <w:rsid w:val="00BB760A"/>
    <w:rsid w:val="00BC53E6"/>
    <w:rsid w:val="00BE0563"/>
    <w:rsid w:val="00BE186D"/>
    <w:rsid w:val="00BE22DF"/>
    <w:rsid w:val="00BF2CCA"/>
    <w:rsid w:val="00C014B7"/>
    <w:rsid w:val="00C0374A"/>
    <w:rsid w:val="00C13D2D"/>
    <w:rsid w:val="00C22DDC"/>
    <w:rsid w:val="00C30B2B"/>
    <w:rsid w:val="00C32753"/>
    <w:rsid w:val="00C350B5"/>
    <w:rsid w:val="00C36EBF"/>
    <w:rsid w:val="00C419C5"/>
    <w:rsid w:val="00C45973"/>
    <w:rsid w:val="00C45B09"/>
    <w:rsid w:val="00C460C2"/>
    <w:rsid w:val="00C56CEA"/>
    <w:rsid w:val="00C6500B"/>
    <w:rsid w:val="00C67B32"/>
    <w:rsid w:val="00C67C13"/>
    <w:rsid w:val="00C71686"/>
    <w:rsid w:val="00C74004"/>
    <w:rsid w:val="00C763DD"/>
    <w:rsid w:val="00C84C7B"/>
    <w:rsid w:val="00C86CE6"/>
    <w:rsid w:val="00C9186C"/>
    <w:rsid w:val="00C93767"/>
    <w:rsid w:val="00C94AFD"/>
    <w:rsid w:val="00C94B80"/>
    <w:rsid w:val="00C964C1"/>
    <w:rsid w:val="00CA094C"/>
    <w:rsid w:val="00CA1BEE"/>
    <w:rsid w:val="00CA2503"/>
    <w:rsid w:val="00CA3194"/>
    <w:rsid w:val="00CC4BCA"/>
    <w:rsid w:val="00CC72D0"/>
    <w:rsid w:val="00CD0997"/>
    <w:rsid w:val="00CD37A9"/>
    <w:rsid w:val="00CD41B9"/>
    <w:rsid w:val="00CD5652"/>
    <w:rsid w:val="00CD713D"/>
    <w:rsid w:val="00CE3FA8"/>
    <w:rsid w:val="00D05E72"/>
    <w:rsid w:val="00D07590"/>
    <w:rsid w:val="00D128E8"/>
    <w:rsid w:val="00D12B54"/>
    <w:rsid w:val="00D135B3"/>
    <w:rsid w:val="00D20C9C"/>
    <w:rsid w:val="00D22DED"/>
    <w:rsid w:val="00D3336E"/>
    <w:rsid w:val="00D339F2"/>
    <w:rsid w:val="00D416BD"/>
    <w:rsid w:val="00D426ED"/>
    <w:rsid w:val="00D47E08"/>
    <w:rsid w:val="00D5065D"/>
    <w:rsid w:val="00D62E7B"/>
    <w:rsid w:val="00D656B5"/>
    <w:rsid w:val="00D65788"/>
    <w:rsid w:val="00D71A6D"/>
    <w:rsid w:val="00D72EFD"/>
    <w:rsid w:val="00D74280"/>
    <w:rsid w:val="00D82B76"/>
    <w:rsid w:val="00D8705D"/>
    <w:rsid w:val="00D87F9C"/>
    <w:rsid w:val="00D92318"/>
    <w:rsid w:val="00D95CB6"/>
    <w:rsid w:val="00D96DBC"/>
    <w:rsid w:val="00DA2845"/>
    <w:rsid w:val="00DA45F3"/>
    <w:rsid w:val="00DB318C"/>
    <w:rsid w:val="00DB33C7"/>
    <w:rsid w:val="00DB58D7"/>
    <w:rsid w:val="00DC0AF8"/>
    <w:rsid w:val="00DC12F7"/>
    <w:rsid w:val="00DC3EA2"/>
    <w:rsid w:val="00DE1F35"/>
    <w:rsid w:val="00DE78ED"/>
    <w:rsid w:val="00E041CC"/>
    <w:rsid w:val="00E146A0"/>
    <w:rsid w:val="00E30339"/>
    <w:rsid w:val="00E30D97"/>
    <w:rsid w:val="00E37328"/>
    <w:rsid w:val="00E40B16"/>
    <w:rsid w:val="00E43686"/>
    <w:rsid w:val="00E51979"/>
    <w:rsid w:val="00E55436"/>
    <w:rsid w:val="00E61C2F"/>
    <w:rsid w:val="00E62AA9"/>
    <w:rsid w:val="00E73732"/>
    <w:rsid w:val="00E92B0E"/>
    <w:rsid w:val="00E96E28"/>
    <w:rsid w:val="00EA2879"/>
    <w:rsid w:val="00EA4A93"/>
    <w:rsid w:val="00EB317D"/>
    <w:rsid w:val="00EB4053"/>
    <w:rsid w:val="00EC4ABD"/>
    <w:rsid w:val="00EC5B43"/>
    <w:rsid w:val="00ED3B3D"/>
    <w:rsid w:val="00ED3D1B"/>
    <w:rsid w:val="00EE5DE3"/>
    <w:rsid w:val="00EF426E"/>
    <w:rsid w:val="00F02F67"/>
    <w:rsid w:val="00F15CEB"/>
    <w:rsid w:val="00F253D2"/>
    <w:rsid w:val="00F26426"/>
    <w:rsid w:val="00F32DF2"/>
    <w:rsid w:val="00F354FB"/>
    <w:rsid w:val="00F3681C"/>
    <w:rsid w:val="00F373CA"/>
    <w:rsid w:val="00F46510"/>
    <w:rsid w:val="00F53F01"/>
    <w:rsid w:val="00F5553B"/>
    <w:rsid w:val="00F57C89"/>
    <w:rsid w:val="00F60952"/>
    <w:rsid w:val="00F624A3"/>
    <w:rsid w:val="00F630B3"/>
    <w:rsid w:val="00F66359"/>
    <w:rsid w:val="00F666E0"/>
    <w:rsid w:val="00F71676"/>
    <w:rsid w:val="00F74B6A"/>
    <w:rsid w:val="00F8395E"/>
    <w:rsid w:val="00F87583"/>
    <w:rsid w:val="00F90C3C"/>
    <w:rsid w:val="00FA0394"/>
    <w:rsid w:val="00FA4BEE"/>
    <w:rsid w:val="00FA7E0A"/>
    <w:rsid w:val="00FB310D"/>
    <w:rsid w:val="00FB4C1C"/>
    <w:rsid w:val="00FB4D27"/>
    <w:rsid w:val="00FC025D"/>
    <w:rsid w:val="00FC4604"/>
    <w:rsid w:val="00FC7D82"/>
    <w:rsid w:val="00FD0397"/>
    <w:rsid w:val="00FD189D"/>
    <w:rsid w:val="00FD6492"/>
    <w:rsid w:val="00FE12DD"/>
    <w:rsid w:val="00FE6CFF"/>
    <w:rsid w:val="00FE6DDB"/>
    <w:rsid w:val="00FF1EFF"/>
    <w:rsid w:val="00FF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F3AA8"/>
  <w15:chartTrackingRefBased/>
  <w15:docId w15:val="{7E4ADC05-6089-4117-8BCB-EB099237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14B"/>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1CharCharCharChar1">
    <w:name w:val="Char1 Char Char1 Char Char Char Char1"/>
    <w:basedOn w:val="Normal"/>
    <w:rsid w:val="00E73732"/>
    <w:pPr>
      <w:tabs>
        <w:tab w:val="left" w:pos="709"/>
      </w:tabs>
      <w:spacing w:line="360" w:lineRule="auto"/>
    </w:pPr>
    <w:rPr>
      <w:rFonts w:ascii="Tahoma" w:hAnsi="Tahoma"/>
      <w:lang w:val="pl-PL" w:eastAsia="pl-PL"/>
    </w:rPr>
  </w:style>
  <w:style w:type="character" w:customStyle="1" w:styleId="desi">
    <w:name w:val="desi"/>
    <w:semiHidden/>
    <w:rsid w:val="00E73732"/>
    <w:rPr>
      <w:rFonts w:ascii="Arial" w:hAnsi="Arial" w:cs="Arial"/>
      <w:color w:val="000080"/>
      <w:sz w:val="20"/>
      <w:szCs w:val="20"/>
    </w:rPr>
  </w:style>
  <w:style w:type="paragraph" w:styleId="Footer">
    <w:name w:val="footer"/>
    <w:basedOn w:val="Normal"/>
    <w:rsid w:val="00E73732"/>
    <w:pPr>
      <w:tabs>
        <w:tab w:val="center" w:pos="4536"/>
        <w:tab w:val="right" w:pos="9072"/>
      </w:tabs>
    </w:pPr>
  </w:style>
  <w:style w:type="character" w:styleId="PageNumber">
    <w:name w:val="page number"/>
    <w:basedOn w:val="DefaultParagraphFont"/>
    <w:rsid w:val="00E73732"/>
  </w:style>
  <w:style w:type="paragraph" w:customStyle="1" w:styleId="Style">
    <w:name w:val="Style"/>
    <w:rsid w:val="00D96DBC"/>
    <w:pPr>
      <w:widowControl w:val="0"/>
      <w:autoSpaceDE w:val="0"/>
      <w:autoSpaceDN w:val="0"/>
      <w:adjustRightInd w:val="0"/>
      <w:ind w:left="140" w:right="140" w:firstLine="840"/>
      <w:jc w:val="both"/>
    </w:pPr>
    <w:rPr>
      <w:sz w:val="24"/>
      <w:szCs w:val="24"/>
      <w:lang w:val="bg-BG" w:eastAsia="bg-BG"/>
    </w:rPr>
  </w:style>
  <w:style w:type="paragraph" w:styleId="FootnoteText">
    <w:name w:val="footnote text"/>
    <w:aliases w:val="Fußnotentext arial,fn,Schriftart: 9 pt,Schriftart: 10 pt,Schriftart: 8 pt,WB-Fußnotentext,Fu?notentext arial,Sprotna opomba - besedilo Znak1,Sprotna opomba - besedilo Znak Znak2,Sprotna opomba - besedilo Znak1 Znak Znak1"/>
    <w:basedOn w:val="Normal"/>
    <w:link w:val="FootnoteTextChar"/>
    <w:semiHidden/>
    <w:rsid w:val="00632F8C"/>
    <w:pPr>
      <w:suppressAutoHyphens/>
      <w:jc w:val="both"/>
    </w:pPr>
    <w:rPr>
      <w:rFonts w:eastAsia="Calibri" w:cs="Arial"/>
      <w:sz w:val="20"/>
      <w:szCs w:val="20"/>
      <w:lang w:val="en-GB" w:eastAsia="ar-SA"/>
    </w:rPr>
  </w:style>
  <w:style w:type="character" w:customStyle="1" w:styleId="FootnoteTextChar">
    <w:name w:val="Footnote Text Char"/>
    <w:aliases w:val="Fußnotentext arial Char,fn Char,Schriftart: 9 pt Char,Schriftart: 10 pt Char,Schriftart: 8 pt Char,WB-Fußnotentext Char,Fu?notentext arial Char,Sprotna opomba - besedilo Znak1 Char,Sprotna opomba - besedilo Znak Znak2 Char"/>
    <w:link w:val="FootnoteText"/>
    <w:semiHidden/>
    <w:locked/>
    <w:rsid w:val="00632F8C"/>
    <w:rPr>
      <w:rFonts w:eastAsia="Calibri" w:cs="Arial"/>
      <w:lang w:val="en-GB" w:eastAsia="ar-SA" w:bidi="ar-SA"/>
    </w:rPr>
  </w:style>
  <w:style w:type="character" w:styleId="FootnoteReference">
    <w:name w:val="footnote reference"/>
    <w:semiHidden/>
    <w:rsid w:val="00632F8C"/>
    <w:rPr>
      <w:rFonts w:cs="Times New Roman"/>
      <w:vertAlign w:val="superscript"/>
    </w:rPr>
  </w:style>
  <w:style w:type="paragraph" w:styleId="BalloonText">
    <w:name w:val="Balloon Text"/>
    <w:basedOn w:val="Normal"/>
    <w:semiHidden/>
    <w:rsid w:val="00632F8C"/>
    <w:rPr>
      <w:rFonts w:ascii="Tahoma" w:hAnsi="Tahoma" w:cs="Tahoma"/>
      <w:sz w:val="16"/>
      <w:szCs w:val="16"/>
    </w:rPr>
  </w:style>
  <w:style w:type="paragraph" w:customStyle="1" w:styleId="1">
    <w:name w:val="Знак Знак1"/>
    <w:basedOn w:val="Normal"/>
    <w:rsid w:val="008B0D16"/>
    <w:rPr>
      <w:rFonts w:ascii="Hebar" w:hAnsi="Hebar"/>
      <w:szCs w:val="20"/>
      <w:lang w:val="pl-PL" w:eastAsia="pl-PL"/>
    </w:rPr>
  </w:style>
  <w:style w:type="paragraph" w:customStyle="1" w:styleId="CharCharChar">
    <w:name w:val="Char Знак Знак Знак Char Char Знак"/>
    <w:basedOn w:val="Normal"/>
    <w:rsid w:val="00852582"/>
    <w:pPr>
      <w:tabs>
        <w:tab w:val="left" w:pos="709"/>
      </w:tabs>
    </w:pPr>
    <w:rPr>
      <w:rFonts w:ascii="Tahoma" w:hAnsi="Tahoma"/>
      <w:lang w:val="pl-PL" w:eastAsia="pl-PL"/>
    </w:rPr>
  </w:style>
  <w:style w:type="paragraph" w:styleId="BodyText">
    <w:name w:val="Body Text"/>
    <w:basedOn w:val="Normal"/>
    <w:link w:val="BodyTextChar"/>
    <w:rsid w:val="00CA3194"/>
    <w:pPr>
      <w:jc w:val="center"/>
    </w:pPr>
    <w:rPr>
      <w:b/>
      <w:sz w:val="28"/>
      <w:szCs w:val="20"/>
    </w:rPr>
  </w:style>
  <w:style w:type="character" w:customStyle="1" w:styleId="BodyTextChar">
    <w:name w:val="Body Text Char"/>
    <w:link w:val="BodyText"/>
    <w:rsid w:val="00CA3194"/>
    <w:rPr>
      <w:b/>
      <w:sz w:val="28"/>
    </w:rPr>
  </w:style>
  <w:style w:type="paragraph" w:styleId="ListParagraph">
    <w:name w:val="List Paragraph"/>
    <w:basedOn w:val="Normal"/>
    <w:uiPriority w:val="34"/>
    <w:qFormat/>
    <w:rsid w:val="00977B7B"/>
    <w:pPr>
      <w:ind w:left="708"/>
    </w:pPr>
  </w:style>
  <w:style w:type="paragraph" w:customStyle="1" w:styleId="msolistparagraph0">
    <w:name w:val="msolistparagraph"/>
    <w:basedOn w:val="Normal"/>
    <w:rsid w:val="008D4CFB"/>
    <w:pPr>
      <w:ind w:left="720"/>
    </w:pPr>
    <w:rPr>
      <w:rFonts w:ascii="Times New Roman Bold" w:hAnsi="Times New Roman Bold"/>
      <w:b/>
      <w:bCs/>
      <w:smallCaps/>
    </w:rPr>
  </w:style>
  <w:style w:type="character" w:customStyle="1" w:styleId="PlainTextChar">
    <w:name w:val="Plain Text Char"/>
    <w:link w:val="PlainText"/>
    <w:rsid w:val="005C74F9"/>
    <w:rPr>
      <w:rFonts w:ascii="Consolas" w:hAnsi="Consolas"/>
      <w:b/>
      <w:bCs/>
      <w:smallCaps/>
      <w:lang w:bidi="ar-SA"/>
    </w:rPr>
  </w:style>
  <w:style w:type="paragraph" w:styleId="PlainText">
    <w:name w:val="Plain Text"/>
    <w:basedOn w:val="Normal"/>
    <w:link w:val="PlainTextChar"/>
    <w:rsid w:val="005C74F9"/>
    <w:rPr>
      <w:rFonts w:ascii="Consolas" w:hAnsi="Consolas"/>
      <w:b/>
      <w:bCs/>
      <w:smallCaps/>
      <w:sz w:val="20"/>
      <w:szCs w:val="20"/>
      <w:lang w:val="en-US" w:eastAsia="en-US"/>
    </w:rPr>
  </w:style>
  <w:style w:type="paragraph" w:styleId="NormalWeb">
    <w:name w:val="Normal (Web)"/>
    <w:basedOn w:val="Normal"/>
    <w:uiPriority w:val="99"/>
    <w:rsid w:val="00CD713D"/>
    <w:pPr>
      <w:spacing w:before="100" w:beforeAutospacing="1" w:after="100" w:afterAutospacing="1"/>
    </w:pPr>
  </w:style>
  <w:style w:type="character" w:styleId="CommentReference">
    <w:name w:val="annotation reference"/>
    <w:rsid w:val="00D8705D"/>
    <w:rPr>
      <w:sz w:val="16"/>
      <w:szCs w:val="16"/>
    </w:rPr>
  </w:style>
  <w:style w:type="paragraph" w:styleId="CommentText">
    <w:name w:val="annotation text"/>
    <w:basedOn w:val="Normal"/>
    <w:link w:val="CommentTextChar"/>
    <w:rsid w:val="00D8705D"/>
    <w:rPr>
      <w:sz w:val="20"/>
      <w:szCs w:val="20"/>
    </w:rPr>
  </w:style>
  <w:style w:type="character" w:customStyle="1" w:styleId="CommentTextChar">
    <w:name w:val="Comment Text Char"/>
    <w:basedOn w:val="DefaultParagraphFont"/>
    <w:link w:val="CommentText"/>
    <w:rsid w:val="00D8705D"/>
  </w:style>
  <w:style w:type="paragraph" w:styleId="CommentSubject">
    <w:name w:val="annotation subject"/>
    <w:basedOn w:val="CommentText"/>
    <w:next w:val="CommentText"/>
    <w:link w:val="CommentSubjectChar"/>
    <w:rsid w:val="00D8705D"/>
    <w:rPr>
      <w:b/>
      <w:bCs/>
    </w:rPr>
  </w:style>
  <w:style w:type="character" w:customStyle="1" w:styleId="CommentSubjectChar">
    <w:name w:val="Comment Subject Char"/>
    <w:link w:val="CommentSubject"/>
    <w:rsid w:val="00D8705D"/>
    <w:rPr>
      <w:b/>
      <w:bCs/>
    </w:rPr>
  </w:style>
  <w:style w:type="table" w:styleId="TableGrid">
    <w:name w:val="Table Grid"/>
    <w:basedOn w:val="TableNormal"/>
    <w:rsid w:val="00055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
    <w:unhideWhenUsed/>
    <w:qFormat/>
    <w:rsid w:val="00F87583"/>
    <w:pPr>
      <w:numPr>
        <w:numId w:val="39"/>
      </w:numPr>
      <w:spacing w:after="200" w:line="276" w:lineRule="auto"/>
      <w:contextualSpacing/>
    </w:pPr>
    <w:rPr>
      <w:rFonts w:ascii="Calibri" w:eastAsia="Calibri" w:hAnsi="Calibri"/>
      <w:sz w:val="20"/>
      <w:szCs w:val="20"/>
      <w:lang w:val="en-US" w:eastAsia="en-US"/>
    </w:rPr>
  </w:style>
  <w:style w:type="paragraph" w:customStyle="1" w:styleId="Default">
    <w:name w:val="Default"/>
    <w:rsid w:val="006821D2"/>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6821D2"/>
    <w:rPr>
      <w:rFonts w:cs="Times New Roman"/>
      <w:color w:val="auto"/>
    </w:rPr>
  </w:style>
  <w:style w:type="paragraph" w:customStyle="1" w:styleId="CM3">
    <w:name w:val="CM3"/>
    <w:basedOn w:val="Default"/>
    <w:next w:val="Default"/>
    <w:uiPriority w:val="99"/>
    <w:rsid w:val="006821D2"/>
    <w:rPr>
      <w:rFonts w:cs="Times New Roman"/>
      <w:color w:val="auto"/>
    </w:rPr>
  </w:style>
  <w:style w:type="paragraph" w:styleId="Header">
    <w:name w:val="header"/>
    <w:basedOn w:val="Normal"/>
    <w:link w:val="HeaderChar"/>
    <w:rsid w:val="00B73D4C"/>
    <w:pPr>
      <w:tabs>
        <w:tab w:val="center" w:pos="4703"/>
        <w:tab w:val="right" w:pos="9406"/>
      </w:tabs>
    </w:pPr>
  </w:style>
  <w:style w:type="character" w:customStyle="1" w:styleId="HeaderChar">
    <w:name w:val="Header Char"/>
    <w:link w:val="Header"/>
    <w:rsid w:val="00B73D4C"/>
    <w:rPr>
      <w:sz w:val="24"/>
      <w:szCs w:val="24"/>
      <w:lang w:val="bg-BG" w:eastAsia="bg-BG"/>
    </w:rPr>
  </w:style>
  <w:style w:type="character" w:styleId="Hyperlink">
    <w:name w:val="Hyperlink"/>
    <w:rsid w:val="0096292A"/>
    <w:rPr>
      <w:color w:val="0563C1"/>
      <w:u w:val="single"/>
    </w:rPr>
  </w:style>
  <w:style w:type="character" w:styleId="FollowedHyperlink">
    <w:name w:val="FollowedHyperlink"/>
    <w:rsid w:val="0096292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587">
      <w:bodyDiv w:val="1"/>
      <w:marLeft w:val="0"/>
      <w:marRight w:val="0"/>
      <w:marTop w:val="0"/>
      <w:marBottom w:val="0"/>
      <w:divBdr>
        <w:top w:val="none" w:sz="0" w:space="0" w:color="auto"/>
        <w:left w:val="none" w:sz="0" w:space="0" w:color="auto"/>
        <w:bottom w:val="none" w:sz="0" w:space="0" w:color="auto"/>
        <w:right w:val="none" w:sz="0" w:space="0" w:color="auto"/>
      </w:divBdr>
    </w:div>
    <w:div w:id="136383091">
      <w:bodyDiv w:val="1"/>
      <w:marLeft w:val="150"/>
      <w:marRight w:val="150"/>
      <w:marTop w:val="150"/>
      <w:marBottom w:val="150"/>
      <w:divBdr>
        <w:top w:val="none" w:sz="0" w:space="0" w:color="auto"/>
        <w:left w:val="none" w:sz="0" w:space="0" w:color="auto"/>
        <w:bottom w:val="none" w:sz="0" w:space="0" w:color="auto"/>
        <w:right w:val="none" w:sz="0" w:space="0" w:color="auto"/>
      </w:divBdr>
    </w:div>
    <w:div w:id="189299954">
      <w:bodyDiv w:val="1"/>
      <w:marLeft w:val="0"/>
      <w:marRight w:val="0"/>
      <w:marTop w:val="0"/>
      <w:marBottom w:val="0"/>
      <w:divBdr>
        <w:top w:val="none" w:sz="0" w:space="0" w:color="auto"/>
        <w:left w:val="none" w:sz="0" w:space="0" w:color="auto"/>
        <w:bottom w:val="none" w:sz="0" w:space="0" w:color="auto"/>
        <w:right w:val="none" w:sz="0" w:space="0" w:color="auto"/>
      </w:divBdr>
    </w:div>
    <w:div w:id="396365995">
      <w:bodyDiv w:val="1"/>
      <w:marLeft w:val="0"/>
      <w:marRight w:val="0"/>
      <w:marTop w:val="0"/>
      <w:marBottom w:val="0"/>
      <w:divBdr>
        <w:top w:val="none" w:sz="0" w:space="0" w:color="auto"/>
        <w:left w:val="none" w:sz="0" w:space="0" w:color="auto"/>
        <w:bottom w:val="none" w:sz="0" w:space="0" w:color="auto"/>
        <w:right w:val="none" w:sz="0" w:space="0" w:color="auto"/>
      </w:divBdr>
    </w:div>
    <w:div w:id="407120703">
      <w:bodyDiv w:val="1"/>
      <w:marLeft w:val="0"/>
      <w:marRight w:val="0"/>
      <w:marTop w:val="0"/>
      <w:marBottom w:val="0"/>
      <w:divBdr>
        <w:top w:val="none" w:sz="0" w:space="0" w:color="auto"/>
        <w:left w:val="none" w:sz="0" w:space="0" w:color="auto"/>
        <w:bottom w:val="none" w:sz="0" w:space="0" w:color="auto"/>
        <w:right w:val="none" w:sz="0" w:space="0" w:color="auto"/>
      </w:divBdr>
    </w:div>
    <w:div w:id="421268772">
      <w:bodyDiv w:val="1"/>
      <w:marLeft w:val="0"/>
      <w:marRight w:val="0"/>
      <w:marTop w:val="0"/>
      <w:marBottom w:val="0"/>
      <w:divBdr>
        <w:top w:val="none" w:sz="0" w:space="0" w:color="auto"/>
        <w:left w:val="none" w:sz="0" w:space="0" w:color="auto"/>
        <w:bottom w:val="none" w:sz="0" w:space="0" w:color="auto"/>
        <w:right w:val="none" w:sz="0" w:space="0" w:color="auto"/>
      </w:divBdr>
    </w:div>
    <w:div w:id="441610975">
      <w:bodyDiv w:val="1"/>
      <w:marLeft w:val="0"/>
      <w:marRight w:val="0"/>
      <w:marTop w:val="0"/>
      <w:marBottom w:val="0"/>
      <w:divBdr>
        <w:top w:val="none" w:sz="0" w:space="0" w:color="auto"/>
        <w:left w:val="none" w:sz="0" w:space="0" w:color="auto"/>
        <w:bottom w:val="none" w:sz="0" w:space="0" w:color="auto"/>
        <w:right w:val="none" w:sz="0" w:space="0" w:color="auto"/>
      </w:divBdr>
    </w:div>
    <w:div w:id="442846933">
      <w:bodyDiv w:val="1"/>
      <w:marLeft w:val="0"/>
      <w:marRight w:val="0"/>
      <w:marTop w:val="0"/>
      <w:marBottom w:val="0"/>
      <w:divBdr>
        <w:top w:val="none" w:sz="0" w:space="0" w:color="auto"/>
        <w:left w:val="none" w:sz="0" w:space="0" w:color="auto"/>
        <w:bottom w:val="none" w:sz="0" w:space="0" w:color="auto"/>
        <w:right w:val="none" w:sz="0" w:space="0" w:color="auto"/>
      </w:divBdr>
    </w:div>
    <w:div w:id="547650817">
      <w:bodyDiv w:val="1"/>
      <w:marLeft w:val="0"/>
      <w:marRight w:val="0"/>
      <w:marTop w:val="0"/>
      <w:marBottom w:val="0"/>
      <w:divBdr>
        <w:top w:val="none" w:sz="0" w:space="0" w:color="auto"/>
        <w:left w:val="none" w:sz="0" w:space="0" w:color="auto"/>
        <w:bottom w:val="none" w:sz="0" w:space="0" w:color="auto"/>
        <w:right w:val="none" w:sz="0" w:space="0" w:color="auto"/>
      </w:divBdr>
    </w:div>
    <w:div w:id="550194825">
      <w:bodyDiv w:val="1"/>
      <w:marLeft w:val="0"/>
      <w:marRight w:val="0"/>
      <w:marTop w:val="0"/>
      <w:marBottom w:val="0"/>
      <w:divBdr>
        <w:top w:val="none" w:sz="0" w:space="0" w:color="auto"/>
        <w:left w:val="none" w:sz="0" w:space="0" w:color="auto"/>
        <w:bottom w:val="none" w:sz="0" w:space="0" w:color="auto"/>
        <w:right w:val="none" w:sz="0" w:space="0" w:color="auto"/>
      </w:divBdr>
      <w:divsChild>
        <w:div w:id="597519972">
          <w:marLeft w:val="0"/>
          <w:marRight w:val="0"/>
          <w:marTop w:val="0"/>
          <w:marBottom w:val="0"/>
          <w:divBdr>
            <w:top w:val="none" w:sz="0" w:space="0" w:color="auto"/>
            <w:left w:val="none" w:sz="0" w:space="0" w:color="auto"/>
            <w:bottom w:val="none" w:sz="0" w:space="0" w:color="auto"/>
            <w:right w:val="none" w:sz="0" w:space="0" w:color="auto"/>
          </w:divBdr>
          <w:divsChild>
            <w:div w:id="1528715765">
              <w:marLeft w:val="0"/>
              <w:marRight w:val="0"/>
              <w:marTop w:val="0"/>
              <w:marBottom w:val="0"/>
              <w:divBdr>
                <w:top w:val="none" w:sz="0" w:space="0" w:color="auto"/>
                <w:left w:val="none" w:sz="0" w:space="0" w:color="auto"/>
                <w:bottom w:val="none" w:sz="0" w:space="0" w:color="auto"/>
                <w:right w:val="none" w:sz="0" w:space="0" w:color="auto"/>
              </w:divBdr>
              <w:divsChild>
                <w:div w:id="7063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17225">
      <w:bodyDiv w:val="1"/>
      <w:marLeft w:val="0"/>
      <w:marRight w:val="0"/>
      <w:marTop w:val="0"/>
      <w:marBottom w:val="0"/>
      <w:divBdr>
        <w:top w:val="none" w:sz="0" w:space="0" w:color="auto"/>
        <w:left w:val="none" w:sz="0" w:space="0" w:color="auto"/>
        <w:bottom w:val="none" w:sz="0" w:space="0" w:color="auto"/>
        <w:right w:val="none" w:sz="0" w:space="0" w:color="auto"/>
      </w:divBdr>
    </w:div>
    <w:div w:id="626201887">
      <w:bodyDiv w:val="1"/>
      <w:marLeft w:val="0"/>
      <w:marRight w:val="0"/>
      <w:marTop w:val="0"/>
      <w:marBottom w:val="0"/>
      <w:divBdr>
        <w:top w:val="none" w:sz="0" w:space="0" w:color="auto"/>
        <w:left w:val="none" w:sz="0" w:space="0" w:color="auto"/>
        <w:bottom w:val="none" w:sz="0" w:space="0" w:color="auto"/>
        <w:right w:val="none" w:sz="0" w:space="0" w:color="auto"/>
      </w:divBdr>
      <w:divsChild>
        <w:div w:id="1460800744">
          <w:marLeft w:val="0"/>
          <w:marRight w:val="0"/>
          <w:marTop w:val="0"/>
          <w:marBottom w:val="0"/>
          <w:divBdr>
            <w:top w:val="none" w:sz="0" w:space="0" w:color="auto"/>
            <w:left w:val="none" w:sz="0" w:space="0" w:color="auto"/>
            <w:bottom w:val="none" w:sz="0" w:space="0" w:color="auto"/>
            <w:right w:val="none" w:sz="0" w:space="0" w:color="auto"/>
          </w:divBdr>
        </w:div>
        <w:div w:id="2103063761">
          <w:marLeft w:val="0"/>
          <w:marRight w:val="0"/>
          <w:marTop w:val="0"/>
          <w:marBottom w:val="0"/>
          <w:divBdr>
            <w:top w:val="none" w:sz="0" w:space="0" w:color="auto"/>
            <w:left w:val="none" w:sz="0" w:space="0" w:color="auto"/>
            <w:bottom w:val="none" w:sz="0" w:space="0" w:color="auto"/>
            <w:right w:val="none" w:sz="0" w:space="0" w:color="auto"/>
          </w:divBdr>
        </w:div>
      </w:divsChild>
    </w:div>
    <w:div w:id="659116701">
      <w:bodyDiv w:val="1"/>
      <w:marLeft w:val="0"/>
      <w:marRight w:val="0"/>
      <w:marTop w:val="0"/>
      <w:marBottom w:val="0"/>
      <w:divBdr>
        <w:top w:val="none" w:sz="0" w:space="0" w:color="auto"/>
        <w:left w:val="none" w:sz="0" w:space="0" w:color="auto"/>
        <w:bottom w:val="none" w:sz="0" w:space="0" w:color="auto"/>
        <w:right w:val="none" w:sz="0" w:space="0" w:color="auto"/>
      </w:divBdr>
    </w:div>
    <w:div w:id="725181310">
      <w:bodyDiv w:val="1"/>
      <w:marLeft w:val="0"/>
      <w:marRight w:val="0"/>
      <w:marTop w:val="0"/>
      <w:marBottom w:val="0"/>
      <w:divBdr>
        <w:top w:val="none" w:sz="0" w:space="0" w:color="auto"/>
        <w:left w:val="none" w:sz="0" w:space="0" w:color="auto"/>
        <w:bottom w:val="none" w:sz="0" w:space="0" w:color="auto"/>
        <w:right w:val="none" w:sz="0" w:space="0" w:color="auto"/>
      </w:divBdr>
    </w:div>
    <w:div w:id="741147452">
      <w:bodyDiv w:val="1"/>
      <w:marLeft w:val="0"/>
      <w:marRight w:val="0"/>
      <w:marTop w:val="0"/>
      <w:marBottom w:val="0"/>
      <w:divBdr>
        <w:top w:val="none" w:sz="0" w:space="0" w:color="auto"/>
        <w:left w:val="none" w:sz="0" w:space="0" w:color="auto"/>
        <w:bottom w:val="none" w:sz="0" w:space="0" w:color="auto"/>
        <w:right w:val="none" w:sz="0" w:space="0" w:color="auto"/>
      </w:divBdr>
    </w:div>
    <w:div w:id="828905923">
      <w:bodyDiv w:val="1"/>
      <w:marLeft w:val="0"/>
      <w:marRight w:val="0"/>
      <w:marTop w:val="0"/>
      <w:marBottom w:val="0"/>
      <w:divBdr>
        <w:top w:val="none" w:sz="0" w:space="0" w:color="auto"/>
        <w:left w:val="none" w:sz="0" w:space="0" w:color="auto"/>
        <w:bottom w:val="none" w:sz="0" w:space="0" w:color="auto"/>
        <w:right w:val="none" w:sz="0" w:space="0" w:color="auto"/>
      </w:divBdr>
    </w:div>
    <w:div w:id="843738369">
      <w:bodyDiv w:val="1"/>
      <w:marLeft w:val="0"/>
      <w:marRight w:val="0"/>
      <w:marTop w:val="0"/>
      <w:marBottom w:val="0"/>
      <w:divBdr>
        <w:top w:val="none" w:sz="0" w:space="0" w:color="auto"/>
        <w:left w:val="none" w:sz="0" w:space="0" w:color="auto"/>
        <w:bottom w:val="none" w:sz="0" w:space="0" w:color="auto"/>
        <w:right w:val="none" w:sz="0" w:space="0" w:color="auto"/>
      </w:divBdr>
    </w:div>
    <w:div w:id="885802326">
      <w:bodyDiv w:val="1"/>
      <w:marLeft w:val="0"/>
      <w:marRight w:val="0"/>
      <w:marTop w:val="0"/>
      <w:marBottom w:val="0"/>
      <w:divBdr>
        <w:top w:val="none" w:sz="0" w:space="0" w:color="auto"/>
        <w:left w:val="none" w:sz="0" w:space="0" w:color="auto"/>
        <w:bottom w:val="none" w:sz="0" w:space="0" w:color="auto"/>
        <w:right w:val="none" w:sz="0" w:space="0" w:color="auto"/>
      </w:divBdr>
    </w:div>
    <w:div w:id="893737010">
      <w:bodyDiv w:val="1"/>
      <w:marLeft w:val="0"/>
      <w:marRight w:val="0"/>
      <w:marTop w:val="0"/>
      <w:marBottom w:val="0"/>
      <w:divBdr>
        <w:top w:val="none" w:sz="0" w:space="0" w:color="auto"/>
        <w:left w:val="none" w:sz="0" w:space="0" w:color="auto"/>
        <w:bottom w:val="none" w:sz="0" w:space="0" w:color="auto"/>
        <w:right w:val="none" w:sz="0" w:space="0" w:color="auto"/>
      </w:divBdr>
    </w:div>
    <w:div w:id="963775144">
      <w:bodyDiv w:val="1"/>
      <w:marLeft w:val="0"/>
      <w:marRight w:val="0"/>
      <w:marTop w:val="0"/>
      <w:marBottom w:val="0"/>
      <w:divBdr>
        <w:top w:val="none" w:sz="0" w:space="0" w:color="auto"/>
        <w:left w:val="none" w:sz="0" w:space="0" w:color="auto"/>
        <w:bottom w:val="none" w:sz="0" w:space="0" w:color="auto"/>
        <w:right w:val="none" w:sz="0" w:space="0" w:color="auto"/>
      </w:divBdr>
    </w:div>
    <w:div w:id="1091052607">
      <w:bodyDiv w:val="1"/>
      <w:marLeft w:val="0"/>
      <w:marRight w:val="0"/>
      <w:marTop w:val="0"/>
      <w:marBottom w:val="0"/>
      <w:divBdr>
        <w:top w:val="none" w:sz="0" w:space="0" w:color="auto"/>
        <w:left w:val="none" w:sz="0" w:space="0" w:color="auto"/>
        <w:bottom w:val="none" w:sz="0" w:space="0" w:color="auto"/>
        <w:right w:val="none" w:sz="0" w:space="0" w:color="auto"/>
      </w:divBdr>
    </w:div>
    <w:div w:id="1153571879">
      <w:bodyDiv w:val="1"/>
      <w:marLeft w:val="0"/>
      <w:marRight w:val="0"/>
      <w:marTop w:val="0"/>
      <w:marBottom w:val="0"/>
      <w:divBdr>
        <w:top w:val="none" w:sz="0" w:space="0" w:color="auto"/>
        <w:left w:val="none" w:sz="0" w:space="0" w:color="auto"/>
        <w:bottom w:val="none" w:sz="0" w:space="0" w:color="auto"/>
        <w:right w:val="none" w:sz="0" w:space="0" w:color="auto"/>
      </w:divBdr>
    </w:div>
    <w:div w:id="1181044924">
      <w:bodyDiv w:val="1"/>
      <w:marLeft w:val="0"/>
      <w:marRight w:val="0"/>
      <w:marTop w:val="0"/>
      <w:marBottom w:val="0"/>
      <w:divBdr>
        <w:top w:val="none" w:sz="0" w:space="0" w:color="auto"/>
        <w:left w:val="none" w:sz="0" w:space="0" w:color="auto"/>
        <w:bottom w:val="none" w:sz="0" w:space="0" w:color="auto"/>
        <w:right w:val="none" w:sz="0" w:space="0" w:color="auto"/>
      </w:divBdr>
      <w:divsChild>
        <w:div w:id="1364673265">
          <w:marLeft w:val="0"/>
          <w:marRight w:val="0"/>
          <w:marTop w:val="0"/>
          <w:marBottom w:val="0"/>
          <w:divBdr>
            <w:top w:val="none" w:sz="0" w:space="0" w:color="auto"/>
            <w:left w:val="none" w:sz="0" w:space="0" w:color="auto"/>
            <w:bottom w:val="none" w:sz="0" w:space="0" w:color="auto"/>
            <w:right w:val="none" w:sz="0" w:space="0" w:color="auto"/>
          </w:divBdr>
        </w:div>
      </w:divsChild>
    </w:div>
    <w:div w:id="1217546492">
      <w:bodyDiv w:val="1"/>
      <w:marLeft w:val="0"/>
      <w:marRight w:val="0"/>
      <w:marTop w:val="0"/>
      <w:marBottom w:val="0"/>
      <w:divBdr>
        <w:top w:val="none" w:sz="0" w:space="0" w:color="auto"/>
        <w:left w:val="none" w:sz="0" w:space="0" w:color="auto"/>
        <w:bottom w:val="none" w:sz="0" w:space="0" w:color="auto"/>
        <w:right w:val="none" w:sz="0" w:space="0" w:color="auto"/>
      </w:divBdr>
    </w:div>
    <w:div w:id="1264798487">
      <w:bodyDiv w:val="1"/>
      <w:marLeft w:val="0"/>
      <w:marRight w:val="0"/>
      <w:marTop w:val="0"/>
      <w:marBottom w:val="0"/>
      <w:divBdr>
        <w:top w:val="none" w:sz="0" w:space="0" w:color="auto"/>
        <w:left w:val="none" w:sz="0" w:space="0" w:color="auto"/>
        <w:bottom w:val="none" w:sz="0" w:space="0" w:color="auto"/>
        <w:right w:val="none" w:sz="0" w:space="0" w:color="auto"/>
      </w:divBdr>
    </w:div>
    <w:div w:id="1290745966">
      <w:bodyDiv w:val="1"/>
      <w:marLeft w:val="0"/>
      <w:marRight w:val="0"/>
      <w:marTop w:val="0"/>
      <w:marBottom w:val="0"/>
      <w:divBdr>
        <w:top w:val="none" w:sz="0" w:space="0" w:color="auto"/>
        <w:left w:val="none" w:sz="0" w:space="0" w:color="auto"/>
        <w:bottom w:val="none" w:sz="0" w:space="0" w:color="auto"/>
        <w:right w:val="none" w:sz="0" w:space="0" w:color="auto"/>
      </w:divBdr>
    </w:div>
    <w:div w:id="1305698395">
      <w:bodyDiv w:val="1"/>
      <w:marLeft w:val="0"/>
      <w:marRight w:val="0"/>
      <w:marTop w:val="0"/>
      <w:marBottom w:val="0"/>
      <w:divBdr>
        <w:top w:val="none" w:sz="0" w:space="0" w:color="auto"/>
        <w:left w:val="none" w:sz="0" w:space="0" w:color="auto"/>
        <w:bottom w:val="none" w:sz="0" w:space="0" w:color="auto"/>
        <w:right w:val="none" w:sz="0" w:space="0" w:color="auto"/>
      </w:divBdr>
    </w:div>
    <w:div w:id="1368678955">
      <w:bodyDiv w:val="1"/>
      <w:marLeft w:val="0"/>
      <w:marRight w:val="0"/>
      <w:marTop w:val="0"/>
      <w:marBottom w:val="0"/>
      <w:divBdr>
        <w:top w:val="none" w:sz="0" w:space="0" w:color="auto"/>
        <w:left w:val="none" w:sz="0" w:space="0" w:color="auto"/>
        <w:bottom w:val="none" w:sz="0" w:space="0" w:color="auto"/>
        <w:right w:val="none" w:sz="0" w:space="0" w:color="auto"/>
      </w:divBdr>
    </w:div>
    <w:div w:id="1397121752">
      <w:bodyDiv w:val="1"/>
      <w:marLeft w:val="0"/>
      <w:marRight w:val="0"/>
      <w:marTop w:val="0"/>
      <w:marBottom w:val="0"/>
      <w:divBdr>
        <w:top w:val="none" w:sz="0" w:space="0" w:color="auto"/>
        <w:left w:val="none" w:sz="0" w:space="0" w:color="auto"/>
        <w:bottom w:val="none" w:sz="0" w:space="0" w:color="auto"/>
        <w:right w:val="none" w:sz="0" w:space="0" w:color="auto"/>
      </w:divBdr>
    </w:div>
    <w:div w:id="1416825058">
      <w:bodyDiv w:val="1"/>
      <w:marLeft w:val="0"/>
      <w:marRight w:val="0"/>
      <w:marTop w:val="0"/>
      <w:marBottom w:val="0"/>
      <w:divBdr>
        <w:top w:val="none" w:sz="0" w:space="0" w:color="auto"/>
        <w:left w:val="none" w:sz="0" w:space="0" w:color="auto"/>
        <w:bottom w:val="none" w:sz="0" w:space="0" w:color="auto"/>
        <w:right w:val="none" w:sz="0" w:space="0" w:color="auto"/>
      </w:divBdr>
    </w:div>
    <w:div w:id="1435201382">
      <w:bodyDiv w:val="1"/>
      <w:marLeft w:val="60"/>
      <w:marRight w:val="60"/>
      <w:marTop w:val="60"/>
      <w:marBottom w:val="15"/>
      <w:divBdr>
        <w:top w:val="none" w:sz="0" w:space="0" w:color="auto"/>
        <w:left w:val="none" w:sz="0" w:space="0" w:color="auto"/>
        <w:bottom w:val="none" w:sz="0" w:space="0" w:color="auto"/>
        <w:right w:val="none" w:sz="0" w:space="0" w:color="auto"/>
      </w:divBdr>
      <w:divsChild>
        <w:div w:id="401876086">
          <w:marLeft w:val="0"/>
          <w:marRight w:val="0"/>
          <w:marTop w:val="0"/>
          <w:marBottom w:val="0"/>
          <w:divBdr>
            <w:top w:val="none" w:sz="0" w:space="0" w:color="auto"/>
            <w:left w:val="none" w:sz="0" w:space="0" w:color="auto"/>
            <w:bottom w:val="none" w:sz="0" w:space="0" w:color="auto"/>
            <w:right w:val="none" w:sz="0" w:space="0" w:color="auto"/>
          </w:divBdr>
        </w:div>
        <w:div w:id="820846628">
          <w:marLeft w:val="0"/>
          <w:marRight w:val="0"/>
          <w:marTop w:val="0"/>
          <w:marBottom w:val="0"/>
          <w:divBdr>
            <w:top w:val="none" w:sz="0" w:space="0" w:color="auto"/>
            <w:left w:val="none" w:sz="0" w:space="0" w:color="auto"/>
            <w:bottom w:val="none" w:sz="0" w:space="0" w:color="auto"/>
            <w:right w:val="none" w:sz="0" w:space="0" w:color="auto"/>
          </w:divBdr>
        </w:div>
      </w:divsChild>
    </w:div>
    <w:div w:id="1454519940">
      <w:bodyDiv w:val="1"/>
      <w:marLeft w:val="0"/>
      <w:marRight w:val="0"/>
      <w:marTop w:val="0"/>
      <w:marBottom w:val="0"/>
      <w:divBdr>
        <w:top w:val="none" w:sz="0" w:space="0" w:color="auto"/>
        <w:left w:val="none" w:sz="0" w:space="0" w:color="auto"/>
        <w:bottom w:val="none" w:sz="0" w:space="0" w:color="auto"/>
        <w:right w:val="none" w:sz="0" w:space="0" w:color="auto"/>
      </w:divBdr>
    </w:div>
    <w:div w:id="1488398041">
      <w:bodyDiv w:val="1"/>
      <w:marLeft w:val="0"/>
      <w:marRight w:val="0"/>
      <w:marTop w:val="0"/>
      <w:marBottom w:val="0"/>
      <w:divBdr>
        <w:top w:val="none" w:sz="0" w:space="0" w:color="auto"/>
        <w:left w:val="none" w:sz="0" w:space="0" w:color="auto"/>
        <w:bottom w:val="none" w:sz="0" w:space="0" w:color="auto"/>
        <w:right w:val="none" w:sz="0" w:space="0" w:color="auto"/>
      </w:divBdr>
    </w:div>
    <w:div w:id="1515725899">
      <w:bodyDiv w:val="1"/>
      <w:marLeft w:val="0"/>
      <w:marRight w:val="0"/>
      <w:marTop w:val="0"/>
      <w:marBottom w:val="0"/>
      <w:divBdr>
        <w:top w:val="none" w:sz="0" w:space="0" w:color="auto"/>
        <w:left w:val="none" w:sz="0" w:space="0" w:color="auto"/>
        <w:bottom w:val="none" w:sz="0" w:space="0" w:color="auto"/>
        <w:right w:val="none" w:sz="0" w:space="0" w:color="auto"/>
      </w:divBdr>
    </w:div>
    <w:div w:id="1597864896">
      <w:bodyDiv w:val="1"/>
      <w:marLeft w:val="0"/>
      <w:marRight w:val="0"/>
      <w:marTop w:val="0"/>
      <w:marBottom w:val="0"/>
      <w:divBdr>
        <w:top w:val="none" w:sz="0" w:space="0" w:color="auto"/>
        <w:left w:val="none" w:sz="0" w:space="0" w:color="auto"/>
        <w:bottom w:val="none" w:sz="0" w:space="0" w:color="auto"/>
        <w:right w:val="none" w:sz="0" w:space="0" w:color="auto"/>
      </w:divBdr>
      <w:divsChild>
        <w:div w:id="1047727034">
          <w:marLeft w:val="0"/>
          <w:marRight w:val="0"/>
          <w:marTop w:val="0"/>
          <w:marBottom w:val="0"/>
          <w:divBdr>
            <w:top w:val="none" w:sz="0" w:space="0" w:color="auto"/>
            <w:left w:val="none" w:sz="0" w:space="0" w:color="auto"/>
            <w:bottom w:val="none" w:sz="0" w:space="0" w:color="auto"/>
            <w:right w:val="none" w:sz="0" w:space="0" w:color="auto"/>
          </w:divBdr>
        </w:div>
      </w:divsChild>
    </w:div>
    <w:div w:id="1773621535">
      <w:bodyDiv w:val="1"/>
      <w:marLeft w:val="0"/>
      <w:marRight w:val="0"/>
      <w:marTop w:val="0"/>
      <w:marBottom w:val="0"/>
      <w:divBdr>
        <w:top w:val="none" w:sz="0" w:space="0" w:color="auto"/>
        <w:left w:val="none" w:sz="0" w:space="0" w:color="auto"/>
        <w:bottom w:val="none" w:sz="0" w:space="0" w:color="auto"/>
        <w:right w:val="none" w:sz="0" w:space="0" w:color="auto"/>
      </w:divBdr>
    </w:div>
    <w:div w:id="1832669995">
      <w:bodyDiv w:val="1"/>
      <w:marLeft w:val="0"/>
      <w:marRight w:val="0"/>
      <w:marTop w:val="0"/>
      <w:marBottom w:val="0"/>
      <w:divBdr>
        <w:top w:val="none" w:sz="0" w:space="0" w:color="auto"/>
        <w:left w:val="none" w:sz="0" w:space="0" w:color="auto"/>
        <w:bottom w:val="none" w:sz="0" w:space="0" w:color="auto"/>
        <w:right w:val="none" w:sz="0" w:space="0" w:color="auto"/>
      </w:divBdr>
    </w:div>
    <w:div w:id="1860123733">
      <w:bodyDiv w:val="1"/>
      <w:marLeft w:val="0"/>
      <w:marRight w:val="0"/>
      <w:marTop w:val="0"/>
      <w:marBottom w:val="0"/>
      <w:divBdr>
        <w:top w:val="none" w:sz="0" w:space="0" w:color="auto"/>
        <w:left w:val="none" w:sz="0" w:space="0" w:color="auto"/>
        <w:bottom w:val="none" w:sz="0" w:space="0" w:color="auto"/>
        <w:right w:val="none" w:sz="0" w:space="0" w:color="auto"/>
      </w:divBdr>
    </w:div>
    <w:div w:id="1879583103">
      <w:bodyDiv w:val="1"/>
      <w:marLeft w:val="60"/>
      <w:marRight w:val="60"/>
      <w:marTop w:val="60"/>
      <w:marBottom w:val="15"/>
      <w:divBdr>
        <w:top w:val="none" w:sz="0" w:space="0" w:color="auto"/>
        <w:left w:val="none" w:sz="0" w:space="0" w:color="auto"/>
        <w:bottom w:val="none" w:sz="0" w:space="0" w:color="auto"/>
        <w:right w:val="none" w:sz="0" w:space="0" w:color="auto"/>
      </w:divBdr>
      <w:divsChild>
        <w:div w:id="1550531421">
          <w:marLeft w:val="0"/>
          <w:marRight w:val="0"/>
          <w:marTop w:val="0"/>
          <w:marBottom w:val="0"/>
          <w:divBdr>
            <w:top w:val="none" w:sz="0" w:space="0" w:color="auto"/>
            <w:left w:val="none" w:sz="0" w:space="0" w:color="auto"/>
            <w:bottom w:val="none" w:sz="0" w:space="0" w:color="auto"/>
            <w:right w:val="none" w:sz="0" w:space="0" w:color="auto"/>
          </w:divBdr>
          <w:divsChild>
            <w:div w:id="19879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7866">
      <w:bodyDiv w:val="1"/>
      <w:marLeft w:val="0"/>
      <w:marRight w:val="0"/>
      <w:marTop w:val="0"/>
      <w:marBottom w:val="0"/>
      <w:divBdr>
        <w:top w:val="none" w:sz="0" w:space="0" w:color="auto"/>
        <w:left w:val="none" w:sz="0" w:space="0" w:color="auto"/>
        <w:bottom w:val="none" w:sz="0" w:space="0" w:color="auto"/>
        <w:right w:val="none" w:sz="0" w:space="0" w:color="auto"/>
      </w:divBdr>
    </w:div>
    <w:div w:id="1998729778">
      <w:bodyDiv w:val="1"/>
      <w:marLeft w:val="0"/>
      <w:marRight w:val="0"/>
      <w:marTop w:val="0"/>
      <w:marBottom w:val="0"/>
      <w:divBdr>
        <w:top w:val="none" w:sz="0" w:space="0" w:color="auto"/>
        <w:left w:val="none" w:sz="0" w:space="0" w:color="auto"/>
        <w:bottom w:val="none" w:sz="0" w:space="0" w:color="auto"/>
        <w:right w:val="none" w:sz="0" w:space="0" w:color="auto"/>
      </w:divBdr>
    </w:div>
    <w:div w:id="2050910716">
      <w:bodyDiv w:val="1"/>
      <w:marLeft w:val="0"/>
      <w:marRight w:val="0"/>
      <w:marTop w:val="0"/>
      <w:marBottom w:val="0"/>
      <w:divBdr>
        <w:top w:val="none" w:sz="0" w:space="0" w:color="auto"/>
        <w:left w:val="none" w:sz="0" w:space="0" w:color="auto"/>
        <w:bottom w:val="none" w:sz="0" w:space="0" w:color="auto"/>
        <w:right w:val="none" w:sz="0" w:space="0" w:color="auto"/>
      </w:divBdr>
      <w:divsChild>
        <w:div w:id="27797386">
          <w:marLeft w:val="0"/>
          <w:marRight w:val="0"/>
          <w:marTop w:val="0"/>
          <w:marBottom w:val="0"/>
          <w:divBdr>
            <w:top w:val="none" w:sz="0" w:space="0" w:color="auto"/>
            <w:left w:val="none" w:sz="0" w:space="0" w:color="auto"/>
            <w:bottom w:val="none" w:sz="0" w:space="0" w:color="auto"/>
            <w:right w:val="none" w:sz="0" w:space="0" w:color="auto"/>
          </w:divBdr>
          <w:divsChild>
            <w:div w:id="20297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87473">
      <w:bodyDiv w:val="1"/>
      <w:marLeft w:val="0"/>
      <w:marRight w:val="0"/>
      <w:marTop w:val="0"/>
      <w:marBottom w:val="0"/>
      <w:divBdr>
        <w:top w:val="none" w:sz="0" w:space="0" w:color="auto"/>
        <w:left w:val="none" w:sz="0" w:space="0" w:color="auto"/>
        <w:bottom w:val="none" w:sz="0" w:space="0" w:color="auto"/>
        <w:right w:val="none" w:sz="0" w:space="0" w:color="auto"/>
      </w:divBdr>
    </w:div>
    <w:div w:id="2084793362">
      <w:bodyDiv w:val="1"/>
      <w:marLeft w:val="0"/>
      <w:marRight w:val="0"/>
      <w:marTop w:val="0"/>
      <w:marBottom w:val="0"/>
      <w:divBdr>
        <w:top w:val="none" w:sz="0" w:space="0" w:color="auto"/>
        <w:left w:val="none" w:sz="0" w:space="0" w:color="auto"/>
        <w:bottom w:val="none" w:sz="0" w:space="0" w:color="auto"/>
        <w:right w:val="none" w:sz="0" w:space="0" w:color="auto"/>
      </w:divBdr>
    </w:div>
    <w:div w:id="213124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aDaZQ7mS1dluDV1jdy15DI+t/tE=</DigestValue>
    </Reference>
    <Reference URI="#idOfficeObject" Type="http://www.w3.org/2000/09/xmldsig#Object">
      <DigestMethod Algorithm="http://www.w3.org/2000/09/xmldsig#sha1"/>
      <DigestValue>swueFh0o3gMzPKsKnVHUGs38LUM=</DigestValue>
    </Reference>
    <Reference URI="#idSignedProperties" Type="http://uri.etsi.org/01903#SignedProperties">
      <Transforms>
        <Transform Algorithm="http://www.w3.org/TR/2001/REC-xml-c14n-20010315"/>
      </Transforms>
      <DigestMethod Algorithm="http://www.w3.org/2000/09/xmldsig#sha1"/>
      <DigestValue>jcnt7UmNwka6HK5Dhwsq8pxeLuY=</DigestValue>
    </Reference>
    <Reference URI="#idValidSigLnImg" Type="http://www.w3.org/2000/09/xmldsig#Object">
      <DigestMethod Algorithm="http://www.w3.org/2000/09/xmldsig#sha1"/>
      <DigestValue>Ls85JWlKBhefoCEhaYfMgPwQT9A=</DigestValue>
    </Reference>
    <Reference URI="#idInvalidSigLnImg" Type="http://www.w3.org/2000/09/xmldsig#Object">
      <DigestMethod Algorithm="http://www.w3.org/2000/09/xmldsig#sha1"/>
      <DigestValue>jRXG8u9Clyt5KFixLdE3M3Nm6W0=</DigestValue>
    </Reference>
  </SignedInfo>
  <SignatureValue>YEFMKCAlO1y28Dy/T5GNKlk+0V363quKhZqmfIBBTyrvGal1Twgyuv+Jexw43X76ad4sFVZSB/F2
JOTvBWt6evuld0ebHW2CtevSbLXm12TTjMv3hD0RHTjEg240Ov2fKeXpIJIZjjkmir2i6YRpjA1y
PLCb3i/7IlVBHDUPQ32RO16AJzZUkGpSaV8c2zh+uro9xoG845vo/iT1iMMsZbcd16dcTPQus86z
bzJXhmjEb8hXVJ/6lsE0zxOyHdKaVr03hbqnaZyaIgFSXcKsHmQr0pJILuWkk635nH/veC6CKnso
lhbvX+v91/2i1/eaWLFFO+KgtuWaWkwWz4hriw==</SignatureValue>
  <KeyInfo>
    <X509Data>
      <X509Certificate>MIIHPDCCBSSgAwIBAgIITZxFKWa8Xe0wDQYJKoZIhvcNAQELBQAwgYAxJDAiBgNVBAMMG1N0YW1w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</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u2gXRAJ3UV2U2o+2Mn16nWfTQVE=</DigestValue>
      </Reference>
      <Reference URI="/word/media/image2.jpeg?ContentType=image/jpeg">
        <DigestMethod Algorithm="http://www.w3.org/2000/09/xmldsig#sha1"/>
        <DigestValue>iY9qlnMNZtt9YHywKKNdnJWUa0M=</DigestValue>
      </Reference>
      <Reference URI="/word/media/image1.jpeg?ContentType=image/jpeg">
        <DigestMethod Algorithm="http://www.w3.org/2000/09/xmldsig#sha1"/>
        <DigestValue>vgNISOSjy2B4qhSqfw6R/vQI0k0=</DigestValue>
      </Reference>
      <Reference URI="/word/theme/theme1.xml?ContentType=application/vnd.openxmlformats-officedocument.theme+xml">
        <DigestMethod Algorithm="http://www.w3.org/2000/09/xmldsig#sha1"/>
        <DigestValue>yMa9PUQS8TtydQeECwxgT4ZyUH4=</DigestValue>
      </Reference>
      <Reference URI="/word/media/image6.png?ContentType=image/png">
        <DigestMethod Algorithm="http://www.w3.org/2000/09/xmldsig#sha1"/>
        <DigestValue>W55IBMkKuawocoayivHWRrfiaeg=</DigestValue>
      </Reference>
      <Reference URI="/word/settings.xml?ContentType=application/vnd.openxmlformats-officedocument.wordprocessingml.settings+xml">
        <DigestMethod Algorithm="http://www.w3.org/2000/09/xmldsig#sha1"/>
        <DigestValue>CtMq1PJNAq5aJxz1thO3oJs5EsY=</DigestValue>
      </Reference>
      <Reference URI="/word/styles.xml?ContentType=application/vnd.openxmlformats-officedocument.wordprocessingml.styles+xml">
        <DigestMethod Algorithm="http://www.w3.org/2000/09/xmldsig#sha1"/>
        <DigestValue>Gh4Oli2HVMVnIeBNNCvpTDMnhXU=</DigestValue>
      </Reference>
      <Reference URI="/word/numbering.xml?ContentType=application/vnd.openxmlformats-officedocument.wordprocessingml.numbering+xml">
        <DigestMethod Algorithm="http://www.w3.org/2000/09/xmldsig#sha1"/>
        <DigestValue>gngzBjrAxkQA9/Qkj0O3FXwyYFs=</DigestValue>
      </Reference>
      <Reference URI="/word/webSettings.xml?ContentType=application/vnd.openxmlformats-officedocument.wordprocessingml.webSettings+xml">
        <DigestMethod Algorithm="http://www.w3.org/2000/09/xmldsig#sha1"/>
        <DigestValue>FQuzfP3ayvNcoy35MmFNhJwcUcs=</DigestValue>
      </Reference>
      <Reference URI="/word/media/image5.emf?ContentType=image/x-emf">
        <DigestMethod Algorithm="http://www.w3.org/2000/09/xmldsig#sha1"/>
        <DigestValue>ctm68j8xB7hWM0rTlZYAJZXwrJA=</DigestValue>
      </Reference>
      <Reference URI="/word/media/image3.emf?ContentType=image/x-emf">
        <DigestMethod Algorithm="http://www.w3.org/2000/09/xmldsig#sha1"/>
        <DigestValue>wfIS5cgi/GLP1gZyTuOSSnYktfo=</DigestValue>
      </Reference>
      <Reference URI="/word/document.xml?ContentType=application/vnd.openxmlformats-officedocument.wordprocessingml.document.main+xml">
        <DigestMethod Algorithm="http://www.w3.org/2000/09/xmldsig#sha1"/>
        <DigestValue>2AqfRnZHNDVDW/F1+f5ZJ+fEwiI=</DigestValue>
      </Reference>
      <Reference URI="/word/media/image4.emf?ContentType=image/x-emf">
        <DigestMethod Algorithm="http://www.w3.org/2000/09/xmldsig#sha1"/>
        <DigestValue>lW74U5SdG/9ft/sMx5eSau+IipM=</DigestValue>
      </Reference>
      <Reference URI="/word/footer2.xml?ContentType=application/vnd.openxmlformats-officedocument.wordprocessingml.footer+xml">
        <DigestMethod Algorithm="http://www.w3.org/2000/09/xmldsig#sha1"/>
        <DigestValue>0w71N1+2I6MmJKKRieTcxPvHJ/g=</DigestValue>
      </Reference>
      <Reference URI="/word/footnotes.xml?ContentType=application/vnd.openxmlformats-officedocument.wordprocessingml.footnotes+xml">
        <DigestMethod Algorithm="http://www.w3.org/2000/09/xmldsig#sha1"/>
        <DigestValue>RDWi1geeKZoTQvkQGKbSU8s6w6M=</DigestValue>
      </Reference>
      <Reference URI="/word/footer1.xml?ContentType=application/vnd.openxmlformats-officedocument.wordprocessingml.footer+xml">
        <DigestMethod Algorithm="http://www.w3.org/2000/09/xmldsig#sha1"/>
        <DigestValue>vrLmvDLGMiS9OKtTs6pOHAFaLXU=</DigestValue>
      </Reference>
      <Reference URI="/word/endnotes.xml?ContentType=application/vnd.openxmlformats-officedocument.wordprocessingml.endnotes+xml">
        <DigestMethod Algorithm="http://www.w3.org/2000/09/xmldsig#sha1"/>
        <DigestValue>VWWc15bHsmfBnVHQS0gPG4V3++0=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+PIfGARpP/J/VIcoADjREgW76LY=</DigestValue>
      </Reference>
    </Manifest>
    <SignatureProperties>
      <SignatureProperty Id="idSignatureTime" Target="#idPackageSignature">
        <mdssi:SignatureTime>
          <mdssi:Format>YYYY-MM-DDThh:mm:ssTZD</mdssi:Format>
          <mdssi:Value>2023-07-05T10:36:32Z</mdssi:Value>
        </mdssi:SignatureTime>
      </SignatureProperty>
    </SignatureProperties>
  </Object>
  <Object Id="idOfficeObject">
    <SignatureProperties>
      <SignatureProperty Id="idOfficeV1Details" Target="#idPackageSignature">
        <SignatureInfoV1 xmlns="http://schemas.microsoft.com/office/2006/digsig">
          <SetupID>{5B5DB561-16C0-4CD2-9F67-900CB0A06328}</SetupID>
          <SignatureText>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2023-07-05T10:36:32Z</xd:SigningTime>
          <xd:SigningCertificate>
            <xd:Cert>
              <xd:CertDigest>
                <DigestMethod Algorithm="http://www.w3.org/2000/09/xmldsig#sha1"/>
                <DigestValue>4EAYAilnaIz/CqYVLR84tr4u2UU=</DigestValue>
              </xd:CertDigest>
              <xd:IssuerSerial>
                <X509IssuerName>C=BG, L=Sofia, O=Information Services JSC, OID.2.5.4.97=NTRBG-831641791, CN=StampIT Global Qualified CA</X509IssuerName>
                <X509SerialNumber>5592420881406909933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DYGAAAaQwAACBFTUYAAAEAaBsAAKoAAAAG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8ACg0sdrdobwAsaW8AExYKidhobwCk3ult8GhvADXs7m2Ybg9uAQAAAKhPXXdgNQQHyIB3A5huD24BAAAAFCILbiwiC25g6QMHYOkDBwAAAADQsultRD8PbgEAAAAUIgtuLCILbnSJIccAgHgD3GpvAFkKLHYsaW8A4P///wAALHbIgHcD4P///wAAAAAAAAAAAAAAAJABAAAAAAABAAAAAGEAcgBpAGEAbAAAAAAAAAAAAAAAAAAAAAAAAAAAAAAABgAAAAAAAADBBjd3AAAAAAYAAACQam8AkGpvAAACAAD8////AQAAAAAAAAAAAAAAAAAAAGgCAAD41H91ZHYACAAAAAAlAAAADAAAAAMAAAAYAAAADAAAAAAAAAI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VAAAAXAAAAAEAAAAAwMZBvoTGQQoAAABQAAAADQAAAEwAAAAAAAAAAAAAAAAAAAD//////////2gAAAAVBDsENQQ9BDAEIAAYBDIEMAQ9BD4EMgQwBAAABgAAAAYAAAAGAAAABgAAAAYAAAADAAAABwAAAAYAAAAGAAAABgAAAAYAAAAG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</Object>
  <Object Id="idInvalidSigLnImg">AQAAAGwAAAAAAAAAAAAAAP8AAAB/AAAAAAAAAAAAAADYGAAAaQwAACBFTUYAAAEAHB8AALAAAAAG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DnbUiVcgAGruVtAAB1AjAudQIAAAAA+Eshx6Kr5W1grW8AWQosdrCrbwD1////AAAsdmAAAAD1////g2XlbQAAAACAFnUCvGJ/AgC7VQODZeVtAAAAAIAVdQKQZHcDAGgEBeyrbwAsXuVtSJVyAPwBAAAorG8ARV3lbfwBAAAAAAAASl3lbd2WLlT8AQAASJVyAJBkdwMAAAAAVJVyAACsbwA0/G8ANPDhbgAAAABKXeVt+1zlbfwBAAAAAAAAAAAAAAAAAADBBjd3vLxVAwcAAABkrW8AZK1vAAACAAD8////AQAAAAAAAAAAAAAAAAAAAAAAAAAAAAAApA8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8ACg0sdrdobwAsaW8AExYKidhobwCk3ult8GhvADXs7m2Ybg9uAQAAAKhPXXdgNQQHyIB3A5huD24BAAAAFCILbiwiC25g6QMHYOkDBwAAAADQsultRD8PbgEAAAAUIgtuLCILbnSJIccAgHgD3GpvAFkKLHYsaW8A4P///wAALHbIgHcD4P///wAAAAAAAAAAAAAAAJABAAAAAAABAAAAAGEAcgBpAGEAbAAAAAAAAAAAAAAAAAAAAAAAAAAAAAAABgAAAAAAAADBBjd3AAAAAAYAAACQam8AkGpvAAACAAD8////AQAAAAAAAAAAAAAAAAAAAGgCAAD41H91ZHYACAAAAAAlAAAADAAAAAMAAAAYAAAADAAAAAAAAAI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VAAAAXAAAAAEAAAAAwMZBvoTGQQoAAABQAAAADQAAAEwAAAAAAAAAAAAAAAAAAAD//////////2gAAAAVBDsENQQ9BDAEIAAYBDIEMAQ9BD4EMgQwBAAABgAAAAYAAAAGAAAABgAAAAYAAAADAAAABwAAAAYAAAAGAAAABgAAAAYAAAAG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HCXJ6OcAkX2xIzgFyyzhAsBE21ndlFwmQtW5ahG1EUI=</DigestValue>
    </Reference>
    <Reference Type="http://www.w3.org/2000/09/xmldsig#Object" URI="#idOfficeObject">
      <DigestMethod Algorithm="http://www.w3.org/2001/04/xmlenc#sha256"/>
      <DigestValue>5m98TeFjrkFqCN1w98txzQJ5oafzMKyLJAVMuGJXBc4=</DigestValue>
    </Reference>
    <Reference Type="http://uri.etsi.org/01903#SignedProperties" URI="#idSignedProperties">
      <Transforms>
        <Transform Algorithm="http://www.w3.org/TR/2001/REC-xml-c14n-20010315"/>
      </Transforms>
      <DigestMethod Algorithm="http://www.w3.org/2001/04/xmlenc#sha256"/>
      <DigestValue>RnAoDO9zE+7H9QEbV93nPxuxSlTv6Kn2TJCn3kC/6Xs=</DigestValue>
    </Reference>
    <Reference Type="http://www.w3.org/2000/09/xmldsig#Object" URI="#idValidSigLnImg">
      <DigestMethod Algorithm="http://www.w3.org/2001/04/xmlenc#sha256"/>
      <DigestValue>o55PVjFjfo954UmEAlAJSBfMX0GQIq7QNWYZaCi3zXA=</DigestValue>
    </Reference>
    <Reference Type="http://www.w3.org/2000/09/xmldsig#Object" URI="#idInvalidSigLnImg">
      <DigestMethod Algorithm="http://www.w3.org/2001/04/xmlenc#sha256"/>
      <DigestValue>20AZd+FsihFEJdWnoc7PKBP3R5fETgFvYx/sfKZNz+k=</DigestValue>
    </Reference>
  </SignedInfo>
  <SignatureValue>srMQRiOEtOe28JbcqrxiMD51EveGmm83QVMC1dw8ERneNcpWujr0Nu47nGuvsgZybmAUoKAOedeM
XGWzAG0EXGybYQtPPTSVjFR3tq2ZkvH6t9t1Qk1uRIw1So731H07e4bRbh366i1fQR3BS3usWod4
16qNj7GPkduzhhhk7gPo3j/yV1t10julqq+NuQTWgHLa+GgLsgsA11ahv1BUvpwUkM/PQceX9YWf
5qmYESSqgWjTDbXDNhi7q8gG7qHPpLm4svGRztk9mVonALHS8dcoDPjSRqlWN7TONrBOFgTbYfLq
Ia14kr22H33a41kCd9np1bDqwNx+Q/7d838UDw==</SignatureValue>
  <KeyInfo>
    <X509Data>
      <X509Certificate>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uSU3RsFTL9z8FnhUCwWm+GGM/rR0grFT/1QPm22zdfM=</DigestValue>
      </Reference>
      <Reference URI="/word/document.xml?ContentType=application/vnd.openxmlformats-officedocument.wordprocessingml.document.main+xml">
        <DigestMethod Algorithm="http://www.w3.org/2001/04/xmlenc#sha256"/>
        <DigestValue>1/uc2CtG4ZSIGVW0y1wTGbG6U0wuxbSrjItrbJeuvEs=</DigestValue>
      </Reference>
      <Reference URI="/word/endnotes.xml?ContentType=application/vnd.openxmlformats-officedocument.wordprocessingml.endnotes+xml">
        <DigestMethod Algorithm="http://www.w3.org/2001/04/xmlenc#sha256"/>
        <DigestValue>/V8dEEsVNwSjVTilCC/4+kIRS3gBu4BOQQNVwxno4tU=</DigestValue>
      </Reference>
      <Reference URI="/word/fontTable.xml?ContentType=application/vnd.openxmlformats-officedocument.wordprocessingml.fontTable+xml">
        <DigestMethod Algorithm="http://www.w3.org/2001/04/xmlenc#sha256"/>
        <DigestValue>3xKf44q+5f6h94MmnUgoMuRNhvBraZKxJfF1VfN9+5k=</DigestValue>
      </Reference>
      <Reference URI="/word/footer1.xml?ContentType=application/vnd.openxmlformats-officedocument.wordprocessingml.footer+xml">
        <DigestMethod Algorithm="http://www.w3.org/2001/04/xmlenc#sha256"/>
        <DigestValue>FmDhoqHMXNTToYg1z6C4w0lNAu//RSGDo2J0hUbYRBE=</DigestValue>
      </Reference>
      <Reference URI="/word/footer2.xml?ContentType=application/vnd.openxmlformats-officedocument.wordprocessingml.footer+xml">
        <DigestMethod Algorithm="http://www.w3.org/2001/04/xmlenc#sha256"/>
        <DigestValue>rsbhDwGdI7Y7gnto3zjCa9AFX+yCx5z9Sfq4mhi72bU=</DigestValue>
      </Reference>
      <Reference URI="/word/footnotes.xml?ContentType=application/vnd.openxmlformats-officedocument.wordprocessingml.footnotes+xml">
        <DigestMethod Algorithm="http://www.w3.org/2001/04/xmlenc#sha256"/>
        <DigestValue>dVI5gGnc27Hy1ilki+ylzRhJoR61aUtRC69pHSCElNg=</DigestValue>
      </Reference>
      <Reference URI="/word/media/image1.jpeg?ContentType=image/jpeg">
        <DigestMethod Algorithm="http://www.w3.org/2001/04/xmlenc#sha256"/>
        <DigestValue>fAQo/NRLaUGcMFIHX/1/oBSZKp+ZUp8sKg5RYc4hels=</DigestValue>
      </Reference>
      <Reference URI="/word/media/image2.jpeg?ContentType=image/jpeg">
        <DigestMethod Algorithm="http://www.w3.org/2001/04/xmlenc#sha256"/>
        <DigestValue>VfxDMsqKGgDRPoFX7/bUOfpjBsYFuI+Y5u9ZwgUHA2Q=</DigestValue>
      </Reference>
      <Reference URI="/word/media/image3.emf?ContentType=image/x-emf">
        <DigestMethod Algorithm="http://www.w3.org/2001/04/xmlenc#sha256"/>
        <DigestValue>T+G5e/sAQMvyXmRQ61ZDCAaL89+dUNXLmKiwjFBwiEA=</DigestValue>
      </Reference>
      <Reference URI="/word/media/image4.emf?ContentType=image/x-emf">
        <DigestMethod Algorithm="http://www.w3.org/2001/04/xmlenc#sha256"/>
        <DigestValue>J2e2aoNomEQupg7TVCVMTedcrenbs3GymJQzZsAkqHg=</DigestValue>
      </Reference>
      <Reference URI="/word/media/image5.emf?ContentType=image/x-emf">
        <DigestMethod Algorithm="http://www.w3.org/2001/04/xmlenc#sha256"/>
        <DigestValue>sHHrsCI7sWGteFgwkvvwiJooK8Cv6LjTNMWNSO/+rCA=</DigestValue>
      </Reference>
      <Reference URI="/word/media/image6.png?ContentType=image/png">
        <DigestMethod Algorithm="http://www.w3.org/2001/04/xmlenc#sha256"/>
        <DigestValue>afOCl3qa+mTb61mF7Ymzu6aajHM0/R7Ntnshy23vMT8=</DigestValue>
      </Reference>
      <Reference URI="/word/numbering.xml?ContentType=application/vnd.openxmlformats-officedocument.wordprocessingml.numbering+xml">
        <DigestMethod Algorithm="http://www.w3.org/2001/04/xmlenc#sha256"/>
        <DigestValue>D/wmxVocEQL1uA17Z29Gb9sZcIpkBgfBqoNO6Y273JA=</DigestValue>
      </Reference>
      <Reference URI="/word/settings.xml?ContentType=application/vnd.openxmlformats-officedocument.wordprocessingml.settings+xml">
        <DigestMethod Algorithm="http://www.w3.org/2001/04/xmlenc#sha256"/>
        <DigestValue>VrYT52O+dBGSI4zt7lC+BbxTM7lvaBwWTo8Ei6jPQOQ=</DigestValue>
      </Reference>
      <Reference URI="/word/styles.xml?ContentType=application/vnd.openxmlformats-officedocument.wordprocessingml.styles+xml">
        <DigestMethod Algorithm="http://www.w3.org/2001/04/xmlenc#sha256"/>
        <DigestValue>n+k1V+RBnRh1JL0A3eEh0dsvxlZ/4N2IHn3ejMQrLGc=</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r1Ua9YzInJd0ScjAcENNQOIVb9COQX3YnuRz243QM1U=</DigestValue>
      </Reference>
    </Manifest>
    <SignatureProperties>
      <SignatureProperty Id="idSignatureTime" Target="#idPackageSignature">
        <mdssi:SignatureTime xmlns:mdssi="http://schemas.openxmlformats.org/package/2006/digital-signature">
          <mdssi:Format>YYYY-MM-DDThh:mm:ssTZD</mdssi:Format>
          <mdssi:Value>2023-07-05T11:19:57Z</mdssi:Value>
        </mdssi:SignatureTime>
      </SignatureProperty>
    </SignatureProperties>
  </Object>
  <Object Id="idOfficeObject">
    <SignatureProperties>
      <SignatureProperty Id="idOfficeV1Details" Target="#idPackageSignature">
        <SignatureInfoV1 xmlns="http://schemas.microsoft.com/office/2006/digsig">
          <SetupID>{620A1E51-E3FA-4836-962B-5C27A4C786E8}</SetupID>
          <SignatureText>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2023-07-05T11:19:57Z</xd:SigningTime>
          <xd:SigningCertificate>
            <xd:Cert>
              <xd:CertDigest>
                <DigestMethod Algorithm="http://www.w3.org/2001/04/xmlenc#sha256"/>
                <DigestValue>Cbv5WSs08H/9W1UJWNa3ZNP+uKxOtGoehGNd50xP6Zk=</DigestValue>
              </xd:CertDigest>
              <xd:IssuerSerial>
                <X509IssuerName>C=BG, L=Sofia, O=Information Services JSC, OID.2.5.4.97=NTRBG-831641791, CN=StampIT Global Qualified CA</X509IssuerName>
                <X509SerialNumber>6147484054803023346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zGwAAtQ0AACBFTUYAAAEA4BsAAK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gAAAHECAAD03o6Q/X8AAADGQo9xAgAA0G7/Av5/AAAAAAAAAAAAAAFPxpD9fwAAqG0TA/5/AACclwcD/n8AAAAAAAAAAAAAAAAAAAAAAABZLpEamlcAAOBYUI9xAgAAwHbyi8cAAAAAAAAAAAAAALDUSY9xAgAAKHnyiwAAAADg////AAAAAAYAAAAAAAAABwAAAAAAAABMePKLxwAAAKB48ovHAAAA0c3VAv5/AAC4r2CWcQIAAI1iBAMAAAAAuwQAAHECAAAbAAAA/X8AALDUSY9xAgAAyzDZAv5/AADwd/KLxwAAAKB48ovH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CAAAAAAAAAAgAAAAAAAAAAABoh3ECAADQbv8C/n8AAAAAAAAAAAAAx7NhBf5/AACobRMD/n8AAJyXBwP+fwAAAAAAAAAAAAAAAAAAAAAAALkvkRqaVwAAAQAAAAAAAAAgdvKLxwAAAAAAAAAAAAAAsNRJj3ECAACIePKLAAAAAPD///8AAAAACQAAAAAAAAAHAAAAAAAAAKx38ovHAAAAAHjyi8cAAADRzdUC/n8AADDxQZZxAgAAjWIEAwAAAAC8BAAAcQIAABsAAADHAAAAsNRJj3ECAADLMNkC/n8AAFB38ovHAAAAAHjyi8cAAAAgTJOccQIAAAAAAABkdgAIAAAAACUAAAAMAAAABAAAABgAAAAMAAAAAAAAAhIAAAAMAAAAAQAAAB4AAAAYAAAAKQAAADMAAAAvAAAASAAAACUAAAAMAAAABAAAAFQAAABUAAAAKgAAADMAAAAtAAAARwAAAAEAAABVldtBX0Lb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cAAAAXAAAAAEAAABVldtBX0LbQQoAAABQAAAADgAAAEwAAAAAAAAAAAAAAAAAAAD//////////2gAAAAiBDAEPQRPBCAAEwQ1BD4EQAQzBDgENQQyBDAEBgAAAAYAAAAHAAAABgAAAAMAAAAFAAAABgAAAAcAAAAHAAAABQAAAAcAAAAGAAAABg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</Object>
  <Object Id="idInvalidSigLnImg">AQAAAGwAAAAAAAAAAAAAAP8AAAB/AAAAAAAAAAAAAABzGwAAtQ0AACBFTUYAAAEAlB8AALA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IAAAABAAAAtgAAAAAAAADOAAAAAAAAANBu/wL+fwAAAAAAAAAAAAACAAAC/n8AAKhtEwP+fwAAnJcHA/5/AAAAAAAAAAAAAAAAAAAAAAAA2caRGppXAAAIBAAM/n8AAECf8ovHAAAAAAAAAAAAAACw1EmPcQIAAKih8osAAAAA9f///wAAAAAJAAAAAAAAAAEAAAAAAAAAzKDyi8cAAAAgofKLxwAAANHN1QL+fwAAQIlwlXECAACNYgQDAAAAAF0AAABxAgAAGwAAAP5/AACw1EmPcQIAAMsw2QL+fwAAcKDyi8cAAAAgofKLxwAAAAAAAAAAAAAAAAAAAGR2AAgAAAAAJQAAAAwAAAABAAAAGAAAAAwAAAD/AAACEgAAAAwAAAABAAAAHgAAABgAAAAiAAAABAAAAHoAAAARAAAAJQAAAAwAAAABAAAAVAAAALQAAAAjAAAABAAAAHgAAAAQAAAAAQAAAFWV20FfQtt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j8ovHAAAAUEB2BP5/AAAJAAAAAQAAANBu/wL+fwAAAAAAAAAAAAADhZWS/X8AAKCmaYdxAgAAAAAAAAAAAAAAAAAAAAAAAAAAAAAAAAAACYSRGppXAAAAAAAAAAAAAP////9xAgAAAAAAAAAAAACw1EmPcQIAAODi8osAAAAAMP89lnECAAAHAAAAAAAAAJDZUI9xAgAAHOLyi8cAAABw4vKLxwAAANHN1QL+fwAAHgAAAAAAAABynIT0AAAAAB4AAAAAAAAAcPCFk3ECAACw1EmPcQIAAMsw2QL+fwAAwOHyi8cAAABw4vKLx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gAAAHECAAD03o6Q/X8AAADGQo9xAgAA0G7/Av5/AAAAAAAAAAAAAAFPxpD9fwAAqG0TA/5/AACclwcD/n8AAAAAAAAAAAAAAAAAAAAAAABZLpEamlcAAOBYUI9xAgAAwHbyi8cAAAAAAAAAAAAAALDUSY9xAgAAKHnyiwAAAADg////AAAAAAYAAAAAAAAABwAAAAAAAABMePKLxwAAAKB48ovHAAAA0c3VAv5/AAC4r2CWcQIAAI1iBAMAAAAAuwQAAHECAAAbAAAA/X8AALDUSY9xAgAAyzDZAv5/AADwd/KLxwAAAKB48ovH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CAAAAAAAAAAgAAAAAAAAAAABoh3ECAADQbv8C/n8AAAAAAAAAAAAAx7NhBf5/AACobRMD/n8AAJyXBwP+fwAAAAAAAAAAAAAAAAAAAAAAALkvkRqaVwAAAQAAAAAAAAAgdvKLxwAAAAAAAAAAAAAAsNRJj3ECAACIePKLAAAAAPD///8AAAAACQAAAAAAAAAHAAAAAAAAAKx38ovHAAAAAHjyi8cAAADRzdUC/n8AADDxQZZxAgAAjWIEAwAAAAC8BAAAcQIAABsAAADHAAAAsNRJj3ECAADLMNkC/n8AAFB38ovHAAAAAHjyi8cAAAAgTJOccQIAAAAAAABkdgAIAAAAACUAAAAMAAAABAAAABgAAAAMAAAAAAAAAhIAAAAMAAAAAQAAAB4AAAAYAAAAKQAAADMAAAAvAAAASAAAACUAAAAMAAAABAAAAFQAAABUAAAAKgAAADMAAAAtAAAARwAAAAEAAABVldtBX0Lb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cAAAAXAAAAAEAAABVldtBX0LbQQoAAABQAAAADgAAAEwAAAAAAAAAAAAAAAAAAAD//////////2gAAAAiBDAEPQRPBCAAEwQ1BD4EQAQzBDgENQQyBDAEBgAAAAYAAAAHAAAABgAAAAMAAAAFAAAABgAAAAcAAAAHAAAABQAAAAcAAAAGAAAABg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QCe4c0faujxE5Mu8HouGn5ilDRQftz4K0+rRAJ+WGig=</DigestValue>
    </Reference>
    <Reference Type="http://www.w3.org/2000/09/xmldsig#Object" URI="#idOfficeObject">
      <DigestMethod Algorithm="http://www.w3.org/2001/04/xmlenc#sha256"/>
      <DigestValue>g6p+OZWFFnCTd4mfugdNROs3I/Q1k3to1QJhXtgGhGU=</DigestValue>
    </Reference>
    <Reference Type="http://uri.etsi.org/01903#SignedProperties" URI="#idSignedProperties">
      <Transforms>
        <Transform Algorithm="http://www.w3.org/TR/2001/REC-xml-c14n-20010315"/>
      </Transforms>
      <DigestMethod Algorithm="http://www.w3.org/2001/04/xmlenc#sha256"/>
      <DigestValue>H+dVrXKh8dPOGPTu8YMqV4xJOd/Z3nz2q/t1Kvv1mec=</DigestValue>
    </Reference>
    <Reference Type="http://www.w3.org/2000/09/xmldsig#Object" URI="#idValidSigLnImg">
      <DigestMethod Algorithm="http://www.w3.org/2001/04/xmlenc#sha256"/>
      <DigestValue>nQKv0Sd5T/xCP9RVQqA5KlvjldcA25MPbCW1gbNduKw=</DigestValue>
    </Reference>
    <Reference Type="http://www.w3.org/2000/09/xmldsig#Object" URI="#idInvalidSigLnImg">
      <DigestMethod Algorithm="http://www.w3.org/2001/04/xmlenc#sha256"/>
      <DigestValue>gLu75nJE/Dz/JK9cPHdQpLc+TXDAIurc/ctbOtrmjjo=</DigestValue>
    </Reference>
  </SignedInfo>
  <SignatureValue>zWGw9okRQ/NU376c6T4bTgk7lC5O2dIx78jL+xAFtVmpgHALIzRMw073dBXUbg6p4GHO81ezWrix
AQevcs8H9y7x75jQalG20YQ7lJfCC8BLH7VsX6qz+wg7Gkuf3gUMWGucDGYlDQomqX8PyovWyPwn
SQbM6fMOT5t+mWaASi8hJY5jyQ3Y2sigrVDCreYTudsG2IyZ9rj4K65uzwOF//DGNFQZP0MLtzBw
Akl9Bay+eceqRcz2M+i+IL3/rjAjTQzXRUPIkS4erUcqYi8O6OvPw+Kb+5sFRpgrRs4+hN+Uw/mT
jlfMF6rrUzvanMSqwvkjBi77gESaUS9H9VAKpw==</SignatureValue>
  <KeyInfo>
    <X509Data>
      <X509Certificate>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uSU3RsFTL9z8FnhUCwWm+GGM/rR0grFT/1QPm22zdfM=</DigestValue>
      </Reference>
      <Reference URI="/word/document.xml?ContentType=application/vnd.openxmlformats-officedocument.wordprocessingml.document.main+xml">
        <DigestMethod Algorithm="http://www.w3.org/2001/04/xmlenc#sha256"/>
        <DigestValue>1/uc2CtG4ZSIGVW0y1wTGbG6U0wuxbSrjItrbJeuvEs=</DigestValue>
      </Reference>
      <Reference URI="/word/endnotes.xml?ContentType=application/vnd.openxmlformats-officedocument.wordprocessingml.endnotes+xml">
        <DigestMethod Algorithm="http://www.w3.org/2001/04/xmlenc#sha256"/>
        <DigestValue>/V8dEEsVNwSjVTilCC/4+kIRS3gBu4BOQQNVwxno4tU=</DigestValue>
      </Reference>
      <Reference URI="/word/fontTable.xml?ContentType=application/vnd.openxmlformats-officedocument.wordprocessingml.fontTable+xml">
        <DigestMethod Algorithm="http://www.w3.org/2001/04/xmlenc#sha256"/>
        <DigestValue>3xKf44q+5f6h94MmnUgoMuRNhvBraZKxJfF1VfN9+5k=</DigestValue>
      </Reference>
      <Reference URI="/word/footer1.xml?ContentType=application/vnd.openxmlformats-officedocument.wordprocessingml.footer+xml">
        <DigestMethod Algorithm="http://www.w3.org/2001/04/xmlenc#sha256"/>
        <DigestValue>FmDhoqHMXNTToYg1z6C4w0lNAu//RSGDo2J0hUbYRBE=</DigestValue>
      </Reference>
      <Reference URI="/word/footer2.xml?ContentType=application/vnd.openxmlformats-officedocument.wordprocessingml.footer+xml">
        <DigestMethod Algorithm="http://www.w3.org/2001/04/xmlenc#sha256"/>
        <DigestValue>rsbhDwGdI7Y7gnto3zjCa9AFX+yCx5z9Sfq4mhi72bU=</DigestValue>
      </Reference>
      <Reference URI="/word/footnotes.xml?ContentType=application/vnd.openxmlformats-officedocument.wordprocessingml.footnotes+xml">
        <DigestMethod Algorithm="http://www.w3.org/2001/04/xmlenc#sha256"/>
        <DigestValue>dVI5gGnc27Hy1ilki+ylzRhJoR61aUtRC69pHSCElNg=</DigestValue>
      </Reference>
      <Reference URI="/word/media/image1.jpeg?ContentType=image/jpeg">
        <DigestMethod Algorithm="http://www.w3.org/2001/04/xmlenc#sha256"/>
        <DigestValue>fAQo/NRLaUGcMFIHX/1/oBSZKp+ZUp8sKg5RYc4hels=</DigestValue>
      </Reference>
      <Reference URI="/word/media/image2.jpeg?ContentType=image/jpeg">
        <DigestMethod Algorithm="http://www.w3.org/2001/04/xmlenc#sha256"/>
        <DigestValue>VfxDMsqKGgDRPoFX7/bUOfpjBsYFuI+Y5u9ZwgUHA2Q=</DigestValue>
      </Reference>
      <Reference URI="/word/media/image3.emf?ContentType=image/x-emf">
        <DigestMethod Algorithm="http://www.w3.org/2001/04/xmlenc#sha256"/>
        <DigestValue>T+G5e/sAQMvyXmRQ61ZDCAaL89+dUNXLmKiwjFBwiEA=</DigestValue>
      </Reference>
      <Reference URI="/word/media/image4.emf?ContentType=image/x-emf">
        <DigestMethod Algorithm="http://www.w3.org/2001/04/xmlenc#sha256"/>
        <DigestValue>J2e2aoNomEQupg7TVCVMTedcrenbs3GymJQzZsAkqHg=</DigestValue>
      </Reference>
      <Reference URI="/word/media/image5.emf?ContentType=image/x-emf">
        <DigestMethod Algorithm="http://www.w3.org/2001/04/xmlenc#sha256"/>
        <DigestValue>sHHrsCI7sWGteFgwkvvwiJooK8Cv6LjTNMWNSO/+rCA=</DigestValue>
      </Reference>
      <Reference URI="/word/media/image6.png?ContentType=image/png">
        <DigestMethod Algorithm="http://www.w3.org/2001/04/xmlenc#sha256"/>
        <DigestValue>afOCl3qa+mTb61mF7Ymzu6aajHM0/R7Ntnshy23vMT8=</DigestValue>
      </Reference>
      <Reference URI="/word/numbering.xml?ContentType=application/vnd.openxmlformats-officedocument.wordprocessingml.numbering+xml">
        <DigestMethod Algorithm="http://www.w3.org/2001/04/xmlenc#sha256"/>
        <DigestValue>D/wmxVocEQL1uA17Z29Gb9sZcIpkBgfBqoNO6Y273JA=</DigestValue>
      </Reference>
      <Reference URI="/word/settings.xml?ContentType=application/vnd.openxmlformats-officedocument.wordprocessingml.settings+xml">
        <DigestMethod Algorithm="http://www.w3.org/2001/04/xmlenc#sha256"/>
        <DigestValue>VrYT52O+dBGSI4zt7lC+BbxTM7lvaBwWTo8Ei6jPQOQ=</DigestValue>
      </Reference>
      <Reference URI="/word/styles.xml?ContentType=application/vnd.openxmlformats-officedocument.wordprocessingml.styles+xml">
        <DigestMethod Algorithm="http://www.w3.org/2001/04/xmlenc#sha256"/>
        <DigestValue>n+k1V+RBnRh1JL0A3eEh0dsvxlZ/4N2IHn3ejMQrLGc=</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r1Ua9YzInJd0ScjAcENNQOIVb9COQX3YnuRz243QM1U=</DigestValue>
      </Reference>
    </Manifest>
    <SignatureProperties>
      <SignatureProperty Id="idSignatureTime" Target="#idPackageSignature">
        <mdssi:SignatureTime xmlns:mdssi="http://schemas.openxmlformats.org/package/2006/digital-signature">
          <mdssi:Format>YYYY-MM-DDThh:mm:ssTZD</mdssi:Format>
          <mdssi:Value>2023-07-05T11:25:49Z</mdssi:Value>
        </mdssi:SignatureTime>
      </SignatureProperty>
    </SignatureProperties>
  </Object>
  <Object Id="idOfficeObject">
    <SignatureProperties>
      <SignatureProperty Id="idOfficeV1Details" Target="#idPackageSignature">
        <SignatureInfoV1 xmlns="http://schemas.microsoft.com/office/2006/digsig">
          <SetupID>{CB60DE2C-F3A0-4DA1-8048-9BF2C9907F9B}</SetupID>
          <SignatureText>РСР02-5/05.07.2023</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2023-07-05T11:25:49Z</xd:SigningTime>
          <xd:SigningCertificate>
            <xd:Cert>
              <xd:CertDigest>
                <DigestMethod Algorithm="http://www.w3.org/2001/04/xmlenc#sha256"/>
                <DigestValue>BNCnqEJ2bRJF9eIw+yYNWjZ0vko9CjaPAG6XeaU8vI8=</DigestValue>
              </xd:CertDigest>
              <xd:IssuerSerial>
                <X509IssuerName>C=BG, L=Sofia, O=Information Services JSC, OID.2.5.4.97=NTRBG-831641791, CN=StampIT Global Qualified CA</X509IssuerName>
                <X509SerialNumber>4957552684999972012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zGwAAtQ0AACBFTUYAAAEAMBk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gAAANZwAABXbsRNUXwAAPB+m0evAAAA0G7+w/9/AAAAAAAAAAAAAF+lX7L/fwAAqG3Qw/9/AACcl8TD/38AAAAAAAAAAAAAAAAAAAAAAABdPRkpW60AAGoTYLL/fwAAQH6bR68AAAAAAAAAAAAAAPDR0MWbAgAAqICbRwAAAADg////AAAAAAYAAAAAAAAAAgAAAAAAAADMf5tHrwAAACCAm0evAAAA0c3Uw/9/AABIMXLSmwIAAI1iwcMAAAAAjQAAAJsCAAAbAAAA/38AAPDR0MWbAgAAyzDYw/9/AABwf5tHrwAAACCAm0ev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</Object>
  <Object Id="idInvalidSigLnImg">AQAAAGwAAAAAAAAAAAAAAP8AAAB/AAAAAAAAAAAAAABzGwAAtQ0AACBFTUYAAAEA5BwAAKA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10gAAAAcKDQcKDQcJDQ4WMShFrjFU1TJV1gECBAIDBAECBQoRKyZBowsTMQAAAAAAfqbJd6PIeqDCQFZ4JTd0Lk/HMVPSGy5uFiE4GypVJ0KnHjN9AAABo70AAACcz+7S6ffb7fnC0t1haH0hMm8aLXIuT8ggOIwoRKslP58cK08AAAEAAAAAAMHg9P///////////+bm5k9SXjw/SzBRzTFU0y1NwSAyVzFGXwEBAuvB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IAAACvAAAAAAAAAAAAAAAAAOfF/38AANBu/sP/fwAAAAAAAAAAAAAohXg9/38AAAAAT8T/fwAARH6oPf9/AAAAAAAAAAAAAAAAAAAAAAAAbeMZKVutAAAAAAAAAAAAAEgAAACvAAAAAAAAAAAAAADw0dDFmwIAANimm0cAAAAA9f///wAAAAAJAAAAAAAAAAAAAAAAAAAA/KWbR68AAABQpptHrwAAANHN1MP/fwAAQAn2ypsCAAAAAAAAAAAAAPDR0MWbAgAA2KabR68AAADw0dDFmwIAAMsw2MP/fwAAoKWbR68AAABQpptHrwAAAAAAAAAAAAAAAAAAAGR2AAgAAAAAJQAAAAwAAAABAAAAGAAAAAwAAAD/AAACEgAAAAwAAAABAAAAHgAAABgAAAAiAAAABAAAAHoAAAARAAAAJQAAAAwAAAABAAAAVAAAALQAAAAjAAAABAAAAHgAAAAQAAAAAQAAAFWV20FfQtt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EDbm0evAAAAsPy1Pf9/AABwcbE9/38AANBu/sP/fwAAAAAAAAAAAAAAAAAAAAAAAAAAAAAAAAAAAAAAAAAAAAAAAAAAAAAAAAAAAAAAAAAAXaIZKVutAAAAAAAAAAAAAAAAAAAAAAAAAAAAAAAAAADw0dDFmwIAAJDnm0cAAAAAAK+/zJsCAAAHAAAAAAAAAGDC7MqbAgAAzOabR68AAAAg55tHrwAAANHN1MP/fwAAcOubR68AAAC46ptHAAAAAPDrm0evAAAAgPKbR68AAADw0dDFmwIAAMsw2MP/fwAAcOabR68AAAAg55tHr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gAAANZwAABXbsRNUXwAAPB+m0evAAAA0G7+w/9/AAAAAAAAAAAAAF+lX7L/fwAAqG3Qw/9/AACcl8TD/38AAAAAAAAAAAAAAAAAAAAAAABdPRkpW60AAGoTYLL/fwAAQH6bR68AAAAAAAAAAAAAAPDR0MWbAgAAqICbRwAAAADg////AAAAAAYAAAAAAAAAAgAAAAAAAADMf5tHrwAAACCAm0evAAAA0c3Uw/9/AABIMXLSmwIAAI1iwcMAAAAAjQAAAJsCAAAbAAAA/38AAPDR0MWbAgAAyzDYw/9/AABwf5tHrwAAACCAm0ev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2573A-7C17-436A-B6A0-B01EC6BE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8704</Words>
  <Characters>49613</Characters>
  <Application>Microsoft Office Word</Application>
  <DocSecurity>0</DocSecurity>
  <Lines>413</Lines>
  <Paragraphs>116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Справка за отразяване на становищата от членовете на УС по писмената процедура за съгласуване и одобрение на втората обява за набиране на заявления за одобрение на МИГ по мярка 41 „Прилагане на стратегии за местно развитие” по ПРСР (21 – 24</vt:lpstr>
      <vt:lpstr>Справка за отразяване на становищата от членовете на УС по писмената процедура за съгласуване и одобрение на втората обява за набиране на заявления за одобрение на МИГ по мярка 41 „Прилагане на стратегии за местно развитие” по ПРСР (21 – 24</vt:lpstr>
    </vt:vector>
  </TitlesOfParts>
  <Company>mzh</Company>
  <LinksUpToDate>false</LinksUpToDate>
  <CharactersWithSpaces>58201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становищата от членовете на УС по писмената процедура за съгласуване и одобрение на втората обява за набиране на заявления за одобрение на МИГ по мярка 41 „Прилагане на стратегии за местно развитие” по ПРСР (21 – 24</dc:title>
  <dc:subject/>
  <dc:creator>VBoyadzhieva</dc:creator>
  <cp:keywords/>
  <cp:lastModifiedBy>Snezhana Grigorova</cp:lastModifiedBy>
  <cp:revision>3</cp:revision>
  <cp:lastPrinted>2018-06-28T08:03:00Z</cp:lastPrinted>
  <dcterms:created xsi:type="dcterms:W3CDTF">2023-07-05T08:13:00Z</dcterms:created>
  <dcterms:modified xsi:type="dcterms:W3CDTF">2023-07-05T08:16:00Z</dcterms:modified>
</cp:coreProperties>
</file>