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C" w:rsidRPr="00C84A43" w:rsidRDefault="00C84A43" w:rsidP="00C84A43">
      <w:pPr>
        <w:pStyle w:val="Bodytext10"/>
        <w:tabs>
          <w:tab w:val="left" w:pos="1440"/>
        </w:tabs>
        <w:spacing w:line="276" w:lineRule="auto"/>
        <w:jc w:val="both"/>
        <w:rPr>
          <w:lang w:val="bg-BG"/>
        </w:rPr>
      </w:pPr>
      <w:r>
        <w:rPr>
          <w:rStyle w:val="Bodytext1"/>
          <w:b/>
        </w:rPr>
        <w:t>Предмет:</w:t>
      </w:r>
      <w:r>
        <w:rPr>
          <w:rStyle w:val="Bodytext1"/>
          <w:b/>
        </w:rPr>
        <w:tab/>
      </w:r>
      <w:r>
        <w:rPr>
          <w:rStyle w:val="Bodytext1"/>
          <w:b/>
          <w:lang w:val="bg-BG"/>
        </w:rPr>
        <w:t>П</w:t>
      </w:r>
      <w:r>
        <w:rPr>
          <w:rStyle w:val="Bodytext1"/>
          <w:b/>
        </w:rPr>
        <w:t>окана за представяне на кандидатури до 22 юни</w:t>
      </w:r>
      <w:r>
        <w:rPr>
          <w:rStyle w:val="Bodytext1"/>
          <w:b/>
          <w:lang w:val="bg-BG"/>
        </w:rPr>
        <w:t xml:space="preserve"> 2023 г.</w:t>
      </w:r>
    </w:p>
    <w:p w:rsidR="0020630C" w:rsidRDefault="00C84A43" w:rsidP="00C84A43">
      <w:pPr>
        <w:pStyle w:val="Bodytext10"/>
        <w:spacing w:after="600" w:line="276" w:lineRule="auto"/>
        <w:ind w:left="1460"/>
        <w:jc w:val="both"/>
      </w:pPr>
      <w:r>
        <w:rPr>
          <w:rStyle w:val="Bodytext1"/>
          <w:b/>
        </w:rPr>
        <w:t>Мисия на високо равнище на комисар Войчеховски в Индия, 6—12 декември 2023 г.</w:t>
      </w:r>
    </w:p>
    <w:p w:rsidR="00C84A43" w:rsidRDefault="00C84A43" w:rsidP="00C84A43">
      <w:pPr>
        <w:pStyle w:val="Bodytext10"/>
        <w:spacing w:line="276" w:lineRule="auto"/>
        <w:jc w:val="both"/>
        <w:rPr>
          <w:rStyle w:val="Bodytext1"/>
        </w:rPr>
      </w:pP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t>Уважаем</w:t>
      </w:r>
      <w:r>
        <w:rPr>
          <w:rStyle w:val="Bodytext1"/>
          <w:lang w:val="bg-BG"/>
        </w:rPr>
        <w:t>и дами и господа</w:t>
      </w:r>
      <w:r>
        <w:rPr>
          <w:rStyle w:val="Bodytext1"/>
        </w:rPr>
        <w:t>,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t>Комисар Войчеховски ще посети Индия на 6—12 декември 2023 г., придружен</w:t>
      </w:r>
      <w:r>
        <w:rPr>
          <w:rStyle w:val="Bodytext1"/>
        </w:rPr>
        <w:t xml:space="preserve"> от </w:t>
      </w:r>
      <w:r>
        <w:rPr>
          <w:rStyle w:val="Bodytext1"/>
          <w:b/>
        </w:rPr>
        <w:t>делегация от до 70 висши представители на европейски дружества/</w:t>
      </w:r>
      <w:r>
        <w:rPr>
          <w:rStyle w:val="Bodytext1"/>
          <w:b/>
          <w:lang w:val="bg-BG"/>
        </w:rPr>
        <w:t xml:space="preserve"> </w:t>
      </w:r>
      <w:r>
        <w:rPr>
          <w:rStyle w:val="Bodytext1"/>
          <w:b/>
        </w:rPr>
        <w:t xml:space="preserve">организации на производители от хранително-вкусовия сектор. </w:t>
      </w:r>
      <w:r>
        <w:rPr>
          <w:rStyle w:val="Bodytext1"/>
        </w:rPr>
        <w:t>Това пътуване ще съчетава официални срещи на комисаря със</w:t>
      </w:r>
      <w:r>
        <w:rPr>
          <w:rStyle w:val="Bodytext1"/>
        </w:rPr>
        <w:t xml:space="preserve"> съответните правителствени партньори и дейности за популяризиране, на които присъства бизнес делегацията във връзка с присъствието на Европейската комисия на международния панаир на храните SIAL India с павилион на ЕС.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t>Посещението в Индия ще се съсредоточ</w:t>
      </w:r>
      <w:r>
        <w:rPr>
          <w:rStyle w:val="Bodytext1"/>
        </w:rPr>
        <w:t xml:space="preserve">и върху предоставянето на проучване на пазара в сектора на храните и напитките, между стопанските дейности, както и върху посещенията на </w:t>
      </w:r>
      <w:r>
        <w:rPr>
          <w:rStyle w:val="Bodytext1"/>
        </w:rPr>
        <w:t>място. Програмата на бизнес делегацията ще предостави на представителите на европейския сектор на хранителн</w:t>
      </w:r>
      <w:r>
        <w:rPr>
          <w:rStyle w:val="Bodytext1"/>
        </w:rPr>
        <w:t xml:space="preserve">о-вкусовата промишленост отлична платформа за откриване на индийския пазар и за осъществяване на преки бизнес контакти както в </w:t>
      </w:r>
      <w:r>
        <w:rPr>
          <w:rStyle w:val="Bodytext1"/>
          <w:b/>
        </w:rPr>
        <w:t xml:space="preserve">Ню Делхи </w:t>
      </w:r>
      <w:r>
        <w:rPr>
          <w:rStyle w:val="Bodytext1"/>
        </w:rPr>
        <w:t xml:space="preserve">(основно в SIAL Индия), така и в </w:t>
      </w:r>
      <w:r>
        <w:rPr>
          <w:rStyle w:val="Bodytext1"/>
          <w:b/>
        </w:rPr>
        <w:t>Мумбай</w:t>
      </w:r>
      <w:r>
        <w:rPr>
          <w:rStyle w:val="Bodytext1"/>
        </w:rPr>
        <w:t>, с B2B професионалисти от цяла Индия.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t>Представителите на бизнеса, присъстващи на</w:t>
      </w:r>
      <w:r>
        <w:rPr>
          <w:rStyle w:val="Bodytext1"/>
        </w:rPr>
        <w:t xml:space="preserve"> тази мисия, следва да представляват по-специално, но не изключително, секторите на свинското и птичето месо, шоколада, сладкарството и хлебните изделия, млечните продукти, вината, бирата и спиртните напитки, маслиновото масло и растителните масла, плодове</w:t>
      </w:r>
      <w:r>
        <w:rPr>
          <w:rStyle w:val="Bodytext1"/>
        </w:rPr>
        <w:t>те и зеленчуците, продуктите с географско указание, стоките като зърнени култури, маслодайни семена и фуражи.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t xml:space="preserve">Комисар Войчеховски </w:t>
      </w:r>
      <w:r>
        <w:rPr>
          <w:rStyle w:val="Bodytext1"/>
        </w:rPr>
        <w:t>би искал да включи в своята бизнес делегация европейски и национални организации на производители и дружества от всички държав</w:t>
      </w:r>
      <w:r>
        <w:rPr>
          <w:rStyle w:val="Bodytext1"/>
        </w:rPr>
        <w:t>и членки на ЕС със силен потенциал за износ, които за предпочитане не са участвали в такива проекти на ЕС преди това. Окончателният подбор на представителите на бизнеса ще се основава на продуктовия и географския баланс на делегацията. В този контекст ще б</w:t>
      </w:r>
      <w:r>
        <w:rPr>
          <w:rStyle w:val="Bodytext1"/>
        </w:rPr>
        <w:t>ъдат взети предвид и представителността на кандидатите за даден сектор, способността им да осъществяват международна стопанска дейност и достъпът до трудни пазари.</w:t>
      </w:r>
    </w:p>
    <w:p w:rsidR="0020630C" w:rsidRDefault="00C84A43" w:rsidP="00C84A43">
      <w:pPr>
        <w:pStyle w:val="Bodytext10"/>
        <w:spacing w:line="276" w:lineRule="auto"/>
        <w:jc w:val="both"/>
      </w:pPr>
      <w:r w:rsidRPr="00C84A43">
        <w:rPr>
          <w:rStyle w:val="Bodytext1"/>
        </w:rPr>
        <w:t>Добре дошли да вземат участие</w:t>
      </w:r>
      <w:r w:rsidRPr="00C84A43">
        <w:rPr>
          <w:rStyle w:val="Bodytext1"/>
          <w:lang w:val="bg-BG"/>
        </w:rPr>
        <w:t xml:space="preserve"> са</w:t>
      </w:r>
      <w:r w:rsidRPr="00C84A43">
        <w:rPr>
          <w:rStyle w:val="Bodytext1"/>
        </w:rPr>
        <w:t xml:space="preserve"> представители на високо</w:t>
      </w:r>
      <w:r w:rsidRPr="00C84A43">
        <w:rPr>
          <w:rStyle w:val="Bodytext1"/>
          <w:lang w:val="bg-BG"/>
        </w:rPr>
        <w:t xml:space="preserve"> </w:t>
      </w:r>
      <w:r w:rsidRPr="00C84A43">
        <w:rPr>
          <w:rStyle w:val="Bodytext1"/>
        </w:rPr>
        <w:t>равнище както от</w:t>
      </w:r>
      <w:r>
        <w:rPr>
          <w:rStyle w:val="Bodytext1"/>
        </w:rPr>
        <w:t xml:space="preserve"> организации на производители, така и от отд</w:t>
      </w:r>
      <w:r>
        <w:rPr>
          <w:rStyle w:val="Bodytext1"/>
        </w:rPr>
        <w:t>елни дружества. Очаква се участниците да присъстват на цялата програма.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  <w:u w:val="single"/>
        </w:rPr>
        <w:t xml:space="preserve">Поканата за представяне на кандидатури </w:t>
      </w:r>
      <w:r>
        <w:rPr>
          <w:rStyle w:val="Bodytext1"/>
          <w:u w:val="single"/>
          <w:lang w:val="bg-BG"/>
        </w:rPr>
        <w:t>е до</w:t>
      </w:r>
      <w:r>
        <w:rPr>
          <w:rStyle w:val="Bodytext1"/>
          <w:u w:val="single"/>
        </w:rPr>
        <w:t xml:space="preserve"> 22 юни.</w:t>
      </w:r>
    </w:p>
    <w:p w:rsidR="0020630C" w:rsidRDefault="00C84A43" w:rsidP="00C84A43">
      <w:pPr>
        <w:pStyle w:val="Bodytext10"/>
        <w:spacing w:line="276" w:lineRule="auto"/>
        <w:jc w:val="both"/>
      </w:pPr>
      <w:r>
        <w:rPr>
          <w:rStyle w:val="Bodytext1"/>
        </w:rPr>
        <w:lastRenderedPageBreak/>
        <w:t xml:space="preserve">Заинтересованите организации/дружества се приканват да попълнят онлайн формуляра за кандидатстване до </w:t>
      </w:r>
      <w:r>
        <w:rPr>
          <w:rStyle w:val="Bodytext1"/>
          <w:b/>
          <w:u w:val="single"/>
        </w:rPr>
        <w:t xml:space="preserve">22 </w:t>
      </w:r>
      <w:r>
        <w:rPr>
          <w:rStyle w:val="Bodytext1"/>
          <w:b/>
          <w:u w:val="single"/>
        </w:rPr>
        <w:t>юни 2023 г.</w:t>
      </w:r>
      <w:r>
        <w:rPr>
          <w:rStyle w:val="Bodytext1"/>
          <w:b/>
        </w:rPr>
        <w:t xml:space="preserve"> </w:t>
      </w:r>
      <w:r>
        <w:rPr>
          <w:rStyle w:val="Bodytext1"/>
        </w:rPr>
        <w:t>на следния адрес:</w:t>
      </w:r>
      <w:hyperlink r:id="rId6" w:history="1">
        <w:r>
          <w:rPr>
            <w:rStyle w:val="Bodytext1"/>
          </w:rPr>
          <w:t xml:space="preserve"> </w:t>
        </w:r>
        <w:r>
          <w:rPr>
            <w:rStyle w:val="Bodytext1"/>
            <w:color w:val="0563C1"/>
            <w:u w:val="single"/>
          </w:rPr>
          <w:t>EUSurvey — Проучване (europa.eu)</w:t>
        </w:r>
      </w:hyperlink>
    </w:p>
    <w:p w:rsidR="0020630C" w:rsidRDefault="00C84A43" w:rsidP="00C84A43">
      <w:pPr>
        <w:pStyle w:val="Bodytext10"/>
        <w:spacing w:after="140" w:line="276" w:lineRule="auto"/>
        <w:jc w:val="both"/>
      </w:pPr>
      <w:r>
        <w:rPr>
          <w:rStyle w:val="Bodytext1"/>
        </w:rPr>
        <w:t xml:space="preserve">Практически въпроси ще бъдат адресирани пряко от Изпълнителната агенция за научни изследвания, към която </w:t>
      </w:r>
      <w:r>
        <w:rPr>
          <w:rStyle w:val="Bodytext1"/>
          <w:lang w:val="bg-BG"/>
        </w:rPr>
        <w:t>могат да се обърнат</w:t>
      </w:r>
      <w:r>
        <w:rPr>
          <w:rStyle w:val="Bodytext1"/>
        </w:rPr>
        <w:t xml:space="preserve"> заинтересованите представители от сектора на хранително-вкусовата промишленост (електронна поща:</w:t>
      </w:r>
      <w:hyperlink r:id="rId7" w:history="1">
        <w:r>
          <w:rPr>
            <w:rStyle w:val="Bodytext1"/>
          </w:rPr>
          <w:t xml:space="preserve"> </w:t>
        </w:r>
        <w:r>
          <w:rPr>
            <w:rStyle w:val="Bodytext1"/>
            <w:color w:val="0563C1"/>
            <w:u w:val="single"/>
          </w:rPr>
          <w:t>REA-AGRI-</w:t>
        </w:r>
      </w:hyperlink>
      <w:hyperlink r:id="rId8" w:history="1">
        <w:r>
          <w:rPr>
            <w:rStyle w:val="Bodytext1"/>
            <w:color w:val="0563C1"/>
            <w:u w:val="single"/>
          </w:rPr>
          <w:t xml:space="preserve"> EVENTS@ec.europa.eu</w:t>
        </w:r>
      </w:hyperlink>
      <w:hyperlink r:id="rId9" w:history="1">
        <w:r>
          <w:rPr>
            <w:rStyle w:val="Bodytext1"/>
          </w:rPr>
          <w:t>)</w:t>
        </w:r>
      </w:hyperlink>
      <w:r>
        <w:rPr>
          <w:rStyle w:val="Bodytext1"/>
        </w:rPr>
        <w:t>.</w:t>
      </w:r>
    </w:p>
    <w:p w:rsidR="0020630C" w:rsidRDefault="00C84A43" w:rsidP="00C84A43">
      <w:pPr>
        <w:pStyle w:val="Bodytext10"/>
        <w:spacing w:after="600" w:line="276" w:lineRule="auto"/>
        <w:jc w:val="both"/>
      </w:pPr>
      <w:r>
        <w:rPr>
          <w:rStyle w:val="Bodytext1"/>
        </w:rPr>
        <w:t>Съобщението на ГД „Земеделие и развитие на селските райони“ е достъпно на следния адрес:</w:t>
      </w:r>
      <w:hyperlink r:id="rId10" w:history="1">
        <w:r>
          <w:rPr>
            <w:rStyle w:val="Bodytext1"/>
          </w:rPr>
          <w:t xml:space="preserve"> </w:t>
        </w:r>
        <w:r>
          <w:rPr>
            <w:rStyle w:val="Bodytext1"/>
            <w:color w:val="0563C1"/>
            <w:u w:val="single"/>
          </w:rPr>
          <w:t>Присъединете се към</w:t>
        </w:r>
      </w:hyperlink>
      <w:r>
        <w:rPr>
          <w:rStyle w:val="Bodytext1"/>
          <w:color w:val="0563C1"/>
          <w:u w:val="single"/>
        </w:rPr>
        <w:t xml:space="preserve"> </w:t>
      </w:r>
      <w:hyperlink r:id="rId11" w:history="1">
        <w:r>
          <w:rPr>
            <w:rStyle w:val="Bodytext1"/>
            <w:color w:val="0563C1"/>
            <w:u w:val="single"/>
          </w:rPr>
          <w:t>делегацията на ЕС за хранително-вкусовата промишленост в Индия (europa.eu)</w:t>
        </w:r>
      </w:hyperlink>
      <w:bookmarkStart w:id="0" w:name="_GoBack"/>
      <w:bookmarkEnd w:id="0"/>
    </w:p>
    <w:sectPr w:rsidR="0020630C" w:rsidSect="00C84A43">
      <w:pgSz w:w="12240" w:h="15840"/>
      <w:pgMar w:top="1435" w:right="1456" w:bottom="1701" w:left="1372" w:header="1007" w:footer="17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A43">
      <w:r>
        <w:separator/>
      </w:r>
    </w:p>
  </w:endnote>
  <w:endnote w:type="continuationSeparator" w:id="0">
    <w:p w:rsidR="00000000" w:rsidRDefault="00C8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0C" w:rsidRDefault="0020630C"/>
  </w:footnote>
  <w:footnote w:type="continuationSeparator" w:id="0">
    <w:p w:rsidR="0020630C" w:rsidRDefault="00206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C"/>
    <w:rsid w:val="0020630C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3CE7"/>
  <w15:docId w15:val="{B5034AA8-2BBD-4B83-BEDC-104D536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b w:val="0"/>
      <w:i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c.europa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A-AGRI-EVENTS@ec.europ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survey/runner/HLM-India-2023" TargetMode="External"/><Relationship Id="rId11" Type="http://schemas.openxmlformats.org/officeDocument/2006/relationships/hyperlink" Target="https://agriculture.ec.europa.eu/news/join-eu-agri-food-business-delegation-india-2023-05-19_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griculture.ec.europa.eu/news/join-eu-agri-food-business-delegation-india-2023-05-19_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A-AGRI-EVENTS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Shtonova</cp:lastModifiedBy>
  <cp:revision>2</cp:revision>
  <dcterms:created xsi:type="dcterms:W3CDTF">2023-06-16T12:48:00Z</dcterms:created>
  <dcterms:modified xsi:type="dcterms:W3CDTF">2023-06-16T12:52:00Z</dcterms:modified>
</cp:coreProperties>
</file>