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5056ED" w14:textId="77777777" w:rsidR="00A14CC6" w:rsidRPr="00086D59" w:rsidRDefault="00A14CC6" w:rsidP="00BF4D2D">
      <w:pPr>
        <w:pStyle w:val="Title"/>
        <w:jc w:val="left"/>
        <w:outlineLvl w:val="0"/>
        <w:rPr>
          <w:rFonts w:ascii="Verdana" w:hAnsi="Verdana"/>
          <w:b w:val="0"/>
          <w:sz w:val="20"/>
          <w:szCs w:val="20"/>
        </w:rPr>
      </w:pPr>
    </w:p>
    <w:p w14:paraId="08ADE0DB" w14:textId="77777777" w:rsidR="008C236C" w:rsidRPr="00086D59" w:rsidRDefault="008C236C" w:rsidP="00370B70">
      <w:pPr>
        <w:pStyle w:val="Title"/>
        <w:spacing w:line="360" w:lineRule="auto"/>
        <w:jc w:val="left"/>
        <w:outlineLvl w:val="0"/>
        <w:rPr>
          <w:rFonts w:ascii="Verdana" w:hAnsi="Verdana"/>
          <w:b w:val="0"/>
          <w:sz w:val="20"/>
          <w:szCs w:val="20"/>
        </w:rPr>
      </w:pPr>
      <w:bookmarkStart w:id="0" w:name="_GoBack"/>
      <w:bookmarkEnd w:id="0"/>
    </w:p>
    <w:p w14:paraId="1197D800" w14:textId="77777777" w:rsidR="008919D8" w:rsidRPr="00086D59" w:rsidRDefault="00966106" w:rsidP="00E83873">
      <w:pPr>
        <w:pStyle w:val="Title"/>
        <w:spacing w:line="360" w:lineRule="auto"/>
        <w:ind w:left="283" w:right="283"/>
        <w:outlineLvl w:val="0"/>
        <w:rPr>
          <w:rFonts w:ascii="Verdana" w:hAnsi="Verdana"/>
          <w:spacing w:val="70"/>
          <w:sz w:val="24"/>
        </w:rPr>
      </w:pPr>
      <w:r w:rsidRPr="00086D59">
        <w:rPr>
          <w:rFonts w:ascii="Verdana" w:hAnsi="Verdana"/>
          <w:spacing w:val="70"/>
          <w:sz w:val="24"/>
        </w:rPr>
        <w:t>СПРАВКА</w:t>
      </w:r>
    </w:p>
    <w:tbl>
      <w:tblPr>
        <w:tblStyle w:val="TableGrid"/>
        <w:tblW w:w="14922" w:type="dxa"/>
        <w:tblInd w:w="283" w:type="dxa"/>
        <w:tblLook w:val="04A0" w:firstRow="1" w:lastRow="0" w:firstColumn="1" w:lastColumn="0" w:noHBand="0" w:noVBand="1"/>
      </w:tblPr>
      <w:tblGrid>
        <w:gridCol w:w="14922"/>
      </w:tblGrid>
      <w:tr w:rsidR="00533BAE" w:rsidRPr="00086D59" w14:paraId="650A0CF7" w14:textId="77777777" w:rsidTr="00404A37">
        <w:tc>
          <w:tcPr>
            <w:tcW w:w="14922" w:type="dxa"/>
            <w:shd w:val="clear" w:color="auto" w:fill="D6E3BC" w:themeFill="accent3" w:themeFillTint="66"/>
          </w:tcPr>
          <w:p w14:paraId="09463273" w14:textId="77777777" w:rsidR="00533BAE" w:rsidRPr="00086D59" w:rsidRDefault="00533BAE" w:rsidP="00533BAE">
            <w:pPr>
              <w:spacing w:line="276" w:lineRule="auto"/>
              <w:ind w:left="283" w:right="283"/>
              <w:jc w:val="center"/>
              <w:rPr>
                <w:rFonts w:ascii="Verdana" w:hAnsi="Verdana"/>
                <w:spacing w:val="70"/>
                <w:sz w:val="24"/>
              </w:rPr>
            </w:pPr>
            <w:r w:rsidRPr="00086D59">
              <w:rPr>
                <w:rFonts w:ascii="Verdana" w:hAnsi="Verdana"/>
                <w:b/>
                <w:spacing w:val="-2"/>
                <w:sz w:val="20"/>
                <w:szCs w:val="20"/>
              </w:rPr>
              <w:t xml:space="preserve">Таблица за направените предложения и възражения в процеса на обществено обсъждане на проект на заповед за изменение на Заповед № РД09-399 от 19.04.2021 г. на заместник-министъра на земеделието, храните и горите и ръководител на Управляващия орган на Програмата за развитие на селските райони за периода 2014 – 2020 г., с която са утвърдени Насоки за кандидатстване по процедура чрез подбор на проектни предложения № BG06RDNP001-4.012 по </w:t>
            </w:r>
            <w:proofErr w:type="spellStart"/>
            <w:r w:rsidRPr="00086D59">
              <w:rPr>
                <w:rFonts w:ascii="Verdana" w:hAnsi="Verdana"/>
                <w:b/>
                <w:spacing w:val="-2"/>
                <w:sz w:val="20"/>
                <w:szCs w:val="20"/>
              </w:rPr>
              <w:t>подмярка</w:t>
            </w:r>
            <w:proofErr w:type="spellEnd"/>
            <w:r w:rsidRPr="00086D59">
              <w:rPr>
                <w:rFonts w:ascii="Verdana" w:hAnsi="Verdana"/>
                <w:b/>
                <w:spacing w:val="-2"/>
                <w:sz w:val="20"/>
                <w:szCs w:val="20"/>
              </w:rPr>
              <w:t xml:space="preserve"> 4.1 „Инвестиции в земеделски стопанства“ от мярка 4 „Инвестиции в материални активи“ на Програмата за развитие на селските райони за периода 2014-2020 г.</w:t>
            </w:r>
          </w:p>
        </w:tc>
      </w:tr>
    </w:tbl>
    <w:p w14:paraId="4DA0397E" w14:textId="77777777" w:rsidR="005B5F77" w:rsidRPr="00086D59" w:rsidRDefault="005B5F77" w:rsidP="008C236C">
      <w:pPr>
        <w:spacing w:line="360" w:lineRule="auto"/>
        <w:ind w:left="283" w:right="283"/>
        <w:jc w:val="center"/>
        <w:rPr>
          <w:rFonts w:ascii="Verdana" w:hAnsi="Verdana"/>
          <w:b/>
          <w:spacing w:val="-2"/>
          <w:sz w:val="20"/>
          <w:szCs w:val="20"/>
        </w:rPr>
      </w:pPr>
    </w:p>
    <w:tbl>
      <w:tblPr>
        <w:tblStyle w:val="TableGrid"/>
        <w:tblW w:w="14937" w:type="dxa"/>
        <w:tblInd w:w="283" w:type="dxa"/>
        <w:tblLayout w:type="fixed"/>
        <w:tblLook w:val="04A0" w:firstRow="1" w:lastRow="0" w:firstColumn="1" w:lastColumn="0" w:noHBand="0" w:noVBand="1"/>
      </w:tblPr>
      <w:tblGrid>
        <w:gridCol w:w="792"/>
        <w:gridCol w:w="1809"/>
        <w:gridCol w:w="1695"/>
        <w:gridCol w:w="7311"/>
        <w:gridCol w:w="3330"/>
      </w:tblGrid>
      <w:tr w:rsidR="0055545C" w:rsidRPr="00086D59" w14:paraId="234AF13E" w14:textId="77777777" w:rsidTr="004B7063">
        <w:tc>
          <w:tcPr>
            <w:tcW w:w="792" w:type="dxa"/>
          </w:tcPr>
          <w:p w14:paraId="16CA87D8" w14:textId="77777777" w:rsidR="005B5F77" w:rsidRPr="00086D59" w:rsidRDefault="005B5F77" w:rsidP="005B5F77">
            <w:pPr>
              <w:spacing w:line="360" w:lineRule="auto"/>
              <w:ind w:right="283"/>
              <w:jc w:val="center"/>
              <w:rPr>
                <w:rFonts w:ascii="Verdana" w:hAnsi="Verdana"/>
                <w:b/>
                <w:spacing w:val="-2"/>
                <w:sz w:val="20"/>
                <w:szCs w:val="20"/>
              </w:rPr>
            </w:pPr>
            <w:r w:rsidRPr="00086D59">
              <w:rPr>
                <w:rFonts w:ascii="Verdana" w:hAnsi="Verdana"/>
                <w:b/>
                <w:sz w:val="18"/>
                <w:szCs w:val="18"/>
              </w:rPr>
              <w:t>№</w:t>
            </w:r>
          </w:p>
        </w:tc>
        <w:tc>
          <w:tcPr>
            <w:tcW w:w="1809" w:type="dxa"/>
          </w:tcPr>
          <w:p w14:paraId="72CA209D" w14:textId="77777777" w:rsidR="005B5F77" w:rsidRPr="00086D59" w:rsidRDefault="005B5F77" w:rsidP="005B5F77">
            <w:pPr>
              <w:spacing w:before="80" w:after="80" w:line="276" w:lineRule="auto"/>
              <w:jc w:val="center"/>
              <w:rPr>
                <w:rFonts w:ascii="Verdana" w:hAnsi="Verdana"/>
                <w:b/>
                <w:sz w:val="18"/>
                <w:szCs w:val="18"/>
              </w:rPr>
            </w:pPr>
            <w:r w:rsidRPr="00086D59">
              <w:rPr>
                <w:rFonts w:ascii="Verdana" w:hAnsi="Verdana"/>
                <w:b/>
                <w:sz w:val="18"/>
                <w:szCs w:val="18"/>
              </w:rPr>
              <w:t>Данни на подателя</w:t>
            </w:r>
          </w:p>
        </w:tc>
        <w:tc>
          <w:tcPr>
            <w:tcW w:w="1695" w:type="dxa"/>
          </w:tcPr>
          <w:p w14:paraId="4F521B40" w14:textId="77777777" w:rsidR="005B5F77" w:rsidRPr="00086D59" w:rsidRDefault="005B5F77" w:rsidP="005A44AD">
            <w:pPr>
              <w:spacing w:line="360" w:lineRule="auto"/>
              <w:ind w:right="33"/>
              <w:jc w:val="center"/>
              <w:rPr>
                <w:rFonts w:ascii="Verdana" w:hAnsi="Verdana"/>
                <w:b/>
                <w:spacing w:val="-2"/>
                <w:sz w:val="20"/>
                <w:szCs w:val="20"/>
              </w:rPr>
            </w:pPr>
            <w:r w:rsidRPr="00086D59">
              <w:rPr>
                <w:rFonts w:ascii="Verdana" w:hAnsi="Verdana"/>
                <w:b/>
                <w:sz w:val="18"/>
                <w:szCs w:val="18"/>
              </w:rPr>
              <w:t>Дата на получаване</w:t>
            </w:r>
          </w:p>
        </w:tc>
        <w:tc>
          <w:tcPr>
            <w:tcW w:w="7311" w:type="dxa"/>
          </w:tcPr>
          <w:p w14:paraId="1BEC359A" w14:textId="77777777" w:rsidR="005B5F77" w:rsidRPr="00086D59" w:rsidRDefault="005B5F77" w:rsidP="005B5F77">
            <w:pPr>
              <w:spacing w:line="360" w:lineRule="auto"/>
              <w:ind w:right="283"/>
              <w:jc w:val="center"/>
              <w:rPr>
                <w:rFonts w:ascii="Verdana" w:hAnsi="Verdana"/>
                <w:b/>
                <w:spacing w:val="-2"/>
                <w:sz w:val="20"/>
                <w:szCs w:val="20"/>
              </w:rPr>
            </w:pPr>
            <w:r w:rsidRPr="00086D59">
              <w:rPr>
                <w:rFonts w:ascii="Verdana" w:hAnsi="Verdana"/>
                <w:b/>
                <w:sz w:val="18"/>
                <w:szCs w:val="18"/>
              </w:rPr>
              <w:t>Предложение</w:t>
            </w:r>
          </w:p>
        </w:tc>
        <w:tc>
          <w:tcPr>
            <w:tcW w:w="3330" w:type="dxa"/>
          </w:tcPr>
          <w:p w14:paraId="4FD11622" w14:textId="77777777" w:rsidR="005B5F77" w:rsidRPr="00086D59" w:rsidRDefault="005B5F77" w:rsidP="005A44AD">
            <w:pPr>
              <w:spacing w:line="360" w:lineRule="auto"/>
              <w:jc w:val="center"/>
              <w:rPr>
                <w:rFonts w:ascii="Verdana" w:hAnsi="Verdana"/>
                <w:b/>
                <w:spacing w:val="-2"/>
                <w:sz w:val="20"/>
                <w:szCs w:val="20"/>
              </w:rPr>
            </w:pPr>
            <w:r w:rsidRPr="00086D59">
              <w:rPr>
                <w:rFonts w:ascii="Verdana" w:hAnsi="Verdana"/>
                <w:b/>
                <w:sz w:val="18"/>
                <w:szCs w:val="18"/>
              </w:rPr>
              <w:t>Становище на УО на ПРСР</w:t>
            </w:r>
          </w:p>
        </w:tc>
      </w:tr>
      <w:tr w:rsidR="005A44AD" w:rsidRPr="00086D59" w14:paraId="359A5613" w14:textId="77777777" w:rsidTr="004B7063">
        <w:tc>
          <w:tcPr>
            <w:tcW w:w="792" w:type="dxa"/>
          </w:tcPr>
          <w:p w14:paraId="0D1597AA" w14:textId="77777777" w:rsidR="005A44AD" w:rsidRPr="00086D59" w:rsidRDefault="005A44AD" w:rsidP="005B5F77">
            <w:pPr>
              <w:spacing w:line="360" w:lineRule="auto"/>
              <w:ind w:right="283"/>
              <w:jc w:val="center"/>
              <w:rPr>
                <w:rFonts w:ascii="Verdana" w:hAnsi="Verdana"/>
                <w:b/>
                <w:spacing w:val="-2"/>
                <w:sz w:val="20"/>
                <w:szCs w:val="20"/>
              </w:rPr>
            </w:pPr>
            <w:r w:rsidRPr="00086D59">
              <w:rPr>
                <w:rFonts w:ascii="Verdana" w:hAnsi="Verdana"/>
                <w:b/>
                <w:spacing w:val="-2"/>
                <w:sz w:val="20"/>
                <w:szCs w:val="20"/>
              </w:rPr>
              <w:t>1</w:t>
            </w:r>
          </w:p>
        </w:tc>
        <w:tc>
          <w:tcPr>
            <w:tcW w:w="1809" w:type="dxa"/>
          </w:tcPr>
          <w:p w14:paraId="10681AD2" w14:textId="77777777" w:rsidR="005A44AD" w:rsidRPr="00086D59" w:rsidRDefault="003A0370" w:rsidP="005A44AD">
            <w:pPr>
              <w:spacing w:before="80" w:after="40"/>
              <w:rPr>
                <w:rFonts w:ascii="Verdana" w:hAnsi="Verdana" w:cs="Tahoma"/>
                <w:color w:val="000000"/>
                <w:sz w:val="20"/>
                <w:szCs w:val="20"/>
              </w:rPr>
            </w:pPr>
            <w:r>
              <w:fldChar w:fldCharType="begin"/>
            </w:r>
            <w:r>
              <w:instrText xml:space="preserve"> HYPERLINK "mailto:emil.tzviatkov@gmail.com" </w:instrText>
            </w:r>
            <w:r>
              <w:fldChar w:fldCharType="separate"/>
            </w:r>
            <w:r w:rsidR="005A44AD" w:rsidRPr="00086D59">
              <w:rPr>
                <w:rFonts w:ascii="Verdana" w:hAnsi="Verdana" w:cs="Tahoma"/>
                <w:color w:val="000000"/>
                <w:sz w:val="20"/>
                <w:szCs w:val="20"/>
              </w:rPr>
              <w:t>emil.tzviatkov@gmail.com</w:t>
            </w:r>
            <w:r>
              <w:rPr>
                <w:rFonts w:ascii="Verdana" w:hAnsi="Verdana" w:cs="Tahoma"/>
                <w:color w:val="000000"/>
                <w:sz w:val="20"/>
                <w:szCs w:val="20"/>
              </w:rPr>
              <w:fldChar w:fldCharType="end"/>
            </w:r>
          </w:p>
        </w:tc>
        <w:tc>
          <w:tcPr>
            <w:tcW w:w="1695" w:type="dxa"/>
          </w:tcPr>
          <w:p w14:paraId="04D99766" w14:textId="77777777" w:rsidR="005A44AD" w:rsidRPr="00086D59" w:rsidRDefault="005A44AD" w:rsidP="005A44AD">
            <w:pPr>
              <w:spacing w:before="80" w:after="40"/>
              <w:rPr>
                <w:rFonts w:ascii="Verdana" w:hAnsi="Verdana" w:cs="Tahoma"/>
                <w:color w:val="000000"/>
                <w:sz w:val="20"/>
                <w:szCs w:val="20"/>
              </w:rPr>
            </w:pPr>
            <w:r w:rsidRPr="00086D59">
              <w:rPr>
                <w:rFonts w:ascii="Verdana" w:hAnsi="Verdana" w:cs="Tahoma"/>
                <w:color w:val="000000"/>
                <w:sz w:val="20"/>
                <w:szCs w:val="20"/>
              </w:rPr>
              <w:t>17.05.2023</w:t>
            </w:r>
            <w:r w:rsidR="00404A37">
              <w:rPr>
                <w:rFonts w:ascii="Verdana" w:hAnsi="Verdana" w:cs="Tahoma"/>
                <w:color w:val="000000"/>
                <w:sz w:val="20"/>
                <w:szCs w:val="20"/>
              </w:rPr>
              <w:t xml:space="preserve"> г.</w:t>
            </w:r>
          </w:p>
        </w:tc>
        <w:tc>
          <w:tcPr>
            <w:tcW w:w="7311" w:type="dxa"/>
          </w:tcPr>
          <w:p w14:paraId="2A91E4DF" w14:textId="77777777" w:rsidR="005A44AD" w:rsidRPr="006306D9" w:rsidRDefault="006306D9" w:rsidP="005A44AD">
            <w:pPr>
              <w:ind w:right="-15"/>
              <w:jc w:val="both"/>
              <w:rPr>
                <w:rFonts w:ascii="Verdana" w:hAnsi="Verdana"/>
                <w:spacing w:val="-2"/>
                <w:sz w:val="20"/>
                <w:szCs w:val="20"/>
              </w:rPr>
            </w:pPr>
            <w:r>
              <w:rPr>
                <w:rFonts w:ascii="Verdana" w:hAnsi="Verdana"/>
                <w:spacing w:val="-2"/>
                <w:sz w:val="20"/>
                <w:szCs w:val="20"/>
              </w:rPr>
              <w:t>По отношение доклада</w:t>
            </w:r>
            <w:r w:rsidR="00F2123C">
              <w:rPr>
                <w:rFonts w:ascii="Verdana" w:hAnsi="Verdana"/>
                <w:spacing w:val="-2"/>
                <w:sz w:val="20"/>
                <w:szCs w:val="20"/>
              </w:rPr>
              <w:t>:</w:t>
            </w:r>
          </w:p>
          <w:p w14:paraId="3A05F70F" w14:textId="77777777" w:rsidR="005A44AD" w:rsidRPr="00086D59" w:rsidRDefault="005A44AD" w:rsidP="005A44AD">
            <w:pPr>
              <w:ind w:right="-15"/>
              <w:jc w:val="both"/>
              <w:rPr>
                <w:rFonts w:ascii="Verdana" w:hAnsi="Verdana"/>
                <w:spacing w:val="-2"/>
                <w:sz w:val="20"/>
                <w:szCs w:val="20"/>
              </w:rPr>
            </w:pPr>
            <w:r w:rsidRPr="00086D59">
              <w:rPr>
                <w:rFonts w:ascii="Verdana" w:hAnsi="Verdana"/>
                <w:spacing w:val="-2"/>
                <w:sz w:val="20"/>
                <w:szCs w:val="20"/>
              </w:rPr>
              <w:t xml:space="preserve">След направен обстоен анализ, включително на остатъците по </w:t>
            </w:r>
            <w:proofErr w:type="spellStart"/>
            <w:r w:rsidRPr="00086D59">
              <w:rPr>
                <w:rFonts w:ascii="Verdana" w:hAnsi="Verdana"/>
                <w:spacing w:val="-2"/>
                <w:sz w:val="20"/>
                <w:szCs w:val="20"/>
              </w:rPr>
              <w:t>подмярката</w:t>
            </w:r>
            <w:proofErr w:type="spellEnd"/>
            <w:r w:rsidRPr="00086D59">
              <w:rPr>
                <w:rFonts w:ascii="Verdana" w:hAnsi="Verdana"/>
                <w:spacing w:val="-2"/>
                <w:sz w:val="20"/>
                <w:szCs w:val="20"/>
              </w:rPr>
              <w:t>, освободени от приемите преди 2021 г., които са в размер на около 25 млн. евро, с цел одобрение на по-голям брой заявления с равен брой точки, е направен изводът, че бюджетът на прием 2021 г. може да бъде увеличен, преразпределяйки между фокус области голяма част от остатъчните средства, и договаряйки до 243,38 млн. евро публични средства, вместо до 221 млн. евро - ползвайки и остатъците.</w:t>
            </w:r>
          </w:p>
          <w:p w14:paraId="11E3CF32" w14:textId="77777777" w:rsidR="005A44AD" w:rsidRPr="00086D59" w:rsidRDefault="005A44AD" w:rsidP="005A44AD">
            <w:pPr>
              <w:ind w:right="-15"/>
              <w:jc w:val="both"/>
              <w:rPr>
                <w:rFonts w:ascii="Verdana" w:hAnsi="Verdana"/>
                <w:spacing w:val="-2"/>
                <w:sz w:val="20"/>
                <w:szCs w:val="20"/>
              </w:rPr>
            </w:pPr>
            <w:r w:rsidRPr="00086D59">
              <w:rPr>
                <w:rFonts w:ascii="Verdana" w:hAnsi="Verdana"/>
                <w:spacing w:val="-2"/>
                <w:sz w:val="20"/>
                <w:szCs w:val="20"/>
              </w:rPr>
              <w:t>ПРЕДЛОЖЕНИЕ:</w:t>
            </w:r>
          </w:p>
          <w:p w14:paraId="6B907559" w14:textId="77777777" w:rsidR="005A44AD" w:rsidRPr="00086D59" w:rsidRDefault="005A44AD" w:rsidP="005A44AD">
            <w:pPr>
              <w:ind w:right="-15"/>
              <w:jc w:val="both"/>
              <w:rPr>
                <w:rFonts w:ascii="Verdana" w:hAnsi="Verdana"/>
                <w:spacing w:val="-2"/>
                <w:sz w:val="20"/>
                <w:szCs w:val="20"/>
              </w:rPr>
            </w:pPr>
            <w:r w:rsidRPr="00086D59">
              <w:rPr>
                <w:rFonts w:ascii="Verdana" w:hAnsi="Verdana"/>
                <w:spacing w:val="-2"/>
                <w:sz w:val="20"/>
                <w:szCs w:val="20"/>
              </w:rPr>
              <w:t>В резултатите от общественото обсъждане да се приложи „обстоен анализ“ с всички свързани с него документи и таблици, който е послужим, като основание за прехвърляне само на 22.38млн. евро. към бюджета на процедурата.</w:t>
            </w:r>
          </w:p>
          <w:p w14:paraId="1FF2BC6A" w14:textId="77777777" w:rsidR="005A44AD" w:rsidRPr="00973444" w:rsidRDefault="005A44AD" w:rsidP="005A44AD">
            <w:pPr>
              <w:ind w:right="-15"/>
              <w:jc w:val="both"/>
              <w:rPr>
                <w:rFonts w:ascii="Verdana" w:hAnsi="Verdana"/>
                <w:spacing w:val="-2"/>
                <w:sz w:val="20"/>
                <w:szCs w:val="20"/>
              </w:rPr>
            </w:pPr>
            <w:r w:rsidRPr="00973444">
              <w:rPr>
                <w:rFonts w:ascii="Verdana" w:hAnsi="Verdana"/>
                <w:spacing w:val="-2"/>
                <w:sz w:val="20"/>
                <w:szCs w:val="20"/>
              </w:rPr>
              <w:t>ОСНОВАНИЕ:</w:t>
            </w:r>
          </w:p>
          <w:p w14:paraId="3E32E355" w14:textId="77777777" w:rsidR="005A44AD" w:rsidRPr="00086D59" w:rsidRDefault="005A44AD" w:rsidP="005A44AD">
            <w:pPr>
              <w:ind w:right="-15"/>
              <w:jc w:val="both"/>
              <w:rPr>
                <w:rFonts w:ascii="Verdana" w:hAnsi="Verdana"/>
                <w:spacing w:val="-2"/>
                <w:sz w:val="20"/>
                <w:szCs w:val="20"/>
              </w:rPr>
            </w:pPr>
            <w:r w:rsidRPr="00973444">
              <w:rPr>
                <w:rFonts w:ascii="Verdana" w:hAnsi="Verdana"/>
                <w:spacing w:val="-2"/>
                <w:sz w:val="20"/>
                <w:szCs w:val="20"/>
              </w:rPr>
              <w:t xml:space="preserve">В </w:t>
            </w:r>
            <w:r w:rsidRPr="003570D1">
              <w:rPr>
                <w:rFonts w:ascii="Verdana" w:hAnsi="Verdana"/>
                <w:spacing w:val="-2"/>
                <w:sz w:val="20"/>
                <w:szCs w:val="20"/>
              </w:rPr>
              <w:t xml:space="preserve">докладът липсва анализа, който доказва, че само посочената сума е възможно да се прехвърли за целите на процедурата, между фокус областите по </w:t>
            </w:r>
            <w:proofErr w:type="spellStart"/>
            <w:r w:rsidRPr="003570D1">
              <w:rPr>
                <w:rFonts w:ascii="Verdana" w:hAnsi="Verdana"/>
                <w:spacing w:val="-2"/>
                <w:sz w:val="20"/>
                <w:szCs w:val="20"/>
              </w:rPr>
              <w:t>подмярката</w:t>
            </w:r>
            <w:proofErr w:type="spellEnd"/>
            <w:r w:rsidRPr="003570D1">
              <w:rPr>
                <w:rFonts w:ascii="Verdana" w:hAnsi="Verdana"/>
                <w:spacing w:val="-2"/>
                <w:sz w:val="20"/>
                <w:szCs w:val="20"/>
              </w:rPr>
              <w:t xml:space="preserve"> и не съответства на предложенията за 20 заседание на КН на процедурата, където от </w:t>
            </w:r>
            <w:proofErr w:type="spellStart"/>
            <w:r w:rsidRPr="003570D1">
              <w:rPr>
                <w:rFonts w:ascii="Verdana" w:hAnsi="Verdana"/>
                <w:spacing w:val="-2"/>
                <w:sz w:val="20"/>
                <w:szCs w:val="20"/>
              </w:rPr>
              <w:t>подмярката</w:t>
            </w:r>
            <w:proofErr w:type="spellEnd"/>
            <w:r w:rsidRPr="003570D1">
              <w:rPr>
                <w:rFonts w:ascii="Verdana" w:hAnsi="Verdana"/>
                <w:spacing w:val="-2"/>
                <w:sz w:val="20"/>
                <w:szCs w:val="20"/>
              </w:rPr>
              <w:t xml:space="preserve"> са изведени суми и е намален нейния бюджет за сметка на други </w:t>
            </w:r>
            <w:proofErr w:type="spellStart"/>
            <w:r w:rsidRPr="003570D1">
              <w:rPr>
                <w:rFonts w:ascii="Verdana" w:hAnsi="Verdana"/>
                <w:spacing w:val="-2"/>
                <w:sz w:val="20"/>
                <w:szCs w:val="20"/>
              </w:rPr>
              <w:t>подмерки</w:t>
            </w:r>
            <w:proofErr w:type="spellEnd"/>
            <w:r w:rsidRPr="003570D1">
              <w:rPr>
                <w:rFonts w:ascii="Verdana" w:hAnsi="Verdana"/>
                <w:spacing w:val="-2"/>
                <w:sz w:val="20"/>
                <w:szCs w:val="20"/>
              </w:rPr>
              <w:t xml:space="preserve"> от програмата.</w:t>
            </w:r>
          </w:p>
        </w:tc>
        <w:tc>
          <w:tcPr>
            <w:tcW w:w="3330" w:type="dxa"/>
          </w:tcPr>
          <w:p w14:paraId="41480FE4" w14:textId="77777777" w:rsidR="00474C0C" w:rsidRPr="00404A37" w:rsidRDefault="00474C0C" w:rsidP="00404A37">
            <w:pPr>
              <w:spacing w:line="276" w:lineRule="auto"/>
              <w:ind w:right="1"/>
              <w:jc w:val="both"/>
              <w:rPr>
                <w:rFonts w:ascii="Verdana" w:hAnsi="Verdana"/>
                <w:spacing w:val="-2"/>
                <w:sz w:val="20"/>
                <w:szCs w:val="20"/>
              </w:rPr>
            </w:pPr>
            <w:r w:rsidRPr="00404A37">
              <w:rPr>
                <w:rFonts w:ascii="Verdana" w:hAnsi="Verdana"/>
                <w:spacing w:val="-2"/>
                <w:sz w:val="20"/>
                <w:szCs w:val="20"/>
              </w:rPr>
              <w:t xml:space="preserve">Проектът на заповед за изменение на Заповед № РД09-399 от 19.04.2021 г. за промяна в насоките за кандидатстване по </w:t>
            </w:r>
            <w:r w:rsidR="00414A8E">
              <w:rPr>
                <w:rFonts w:ascii="Verdana" w:hAnsi="Verdana"/>
                <w:spacing w:val="-2"/>
                <w:sz w:val="20"/>
                <w:szCs w:val="20"/>
              </w:rPr>
              <w:t>п</w:t>
            </w:r>
            <w:r w:rsidRPr="00404A37">
              <w:rPr>
                <w:rFonts w:ascii="Verdana" w:hAnsi="Verdana"/>
                <w:spacing w:val="-2"/>
                <w:sz w:val="20"/>
                <w:szCs w:val="20"/>
              </w:rPr>
              <w:t>роцедура чрез подбор на проектни предложения № BG06RDNP001-4.012 е изготвен във връзка с Шестнадесето изменение на ПРСР 2014-2020. Анализ и обосновка за извършените промени е публикуван на интернет страницата на Министерство на земеделието в рубрика</w:t>
            </w:r>
            <w:r w:rsidR="003A3E26">
              <w:rPr>
                <w:rFonts w:ascii="Verdana" w:hAnsi="Verdana"/>
                <w:spacing w:val="-2"/>
                <w:sz w:val="20"/>
                <w:szCs w:val="20"/>
              </w:rPr>
              <w:t xml:space="preserve"> „</w:t>
            </w:r>
            <w:r w:rsidRPr="00404A37">
              <w:rPr>
                <w:rFonts w:ascii="Verdana" w:hAnsi="Verdana"/>
                <w:spacing w:val="-2"/>
                <w:sz w:val="20"/>
                <w:szCs w:val="20"/>
              </w:rPr>
              <w:t>Програма за развитие на селските райони“, подраздел „Комитет по наблюдение на ПРСР 2014-2020“</w:t>
            </w:r>
            <w:r w:rsidR="00404A37">
              <w:rPr>
                <w:rFonts w:ascii="Verdana" w:hAnsi="Verdana"/>
                <w:spacing w:val="-2"/>
                <w:sz w:val="20"/>
                <w:szCs w:val="20"/>
              </w:rPr>
              <w:t>:</w:t>
            </w:r>
          </w:p>
          <w:p w14:paraId="049679C5" w14:textId="77777777" w:rsidR="00474C0C" w:rsidRPr="00404A37" w:rsidRDefault="003A0370" w:rsidP="00404A37">
            <w:pPr>
              <w:spacing w:line="276" w:lineRule="auto"/>
              <w:jc w:val="both"/>
              <w:rPr>
                <w:rFonts w:ascii="Verdana" w:hAnsi="Verdana"/>
                <w:spacing w:val="-2"/>
                <w:sz w:val="20"/>
                <w:szCs w:val="20"/>
              </w:rPr>
            </w:pPr>
            <w:hyperlink r:id="rId8" w:history="1">
              <w:r w:rsidR="00474C0C" w:rsidRPr="00404A37">
                <w:rPr>
                  <w:rStyle w:val="Hyperlink"/>
                  <w:rFonts w:ascii="Verdana" w:hAnsi="Verdana"/>
                  <w:spacing w:val="-2"/>
                  <w:sz w:val="20"/>
                  <w:szCs w:val="20"/>
                </w:rPr>
                <w:t>https://www.mzh.government.bg/bg/politiki-i-programi/programi-za-finansirane/programa-za-razvitie-na-selskite-</w:t>
              </w:r>
              <w:r w:rsidR="00474C0C" w:rsidRPr="00404A37">
                <w:rPr>
                  <w:rStyle w:val="Hyperlink"/>
                  <w:rFonts w:ascii="Verdana" w:hAnsi="Verdana"/>
                  <w:spacing w:val="-2"/>
                  <w:sz w:val="20"/>
                  <w:szCs w:val="20"/>
                </w:rPr>
                <w:lastRenderedPageBreak/>
                <w:t>rayoni/komitet-po-nablyudenie-prsr-2014-2020/materiali-i-stenografski-protokoli/</w:t>
              </w:r>
            </w:hyperlink>
            <w:r w:rsidR="00474C0C" w:rsidRPr="00404A37">
              <w:rPr>
                <w:rFonts w:ascii="Verdana" w:hAnsi="Verdana"/>
                <w:spacing w:val="-2"/>
                <w:sz w:val="20"/>
                <w:szCs w:val="20"/>
              </w:rPr>
              <w:t xml:space="preserve">. </w:t>
            </w:r>
          </w:p>
          <w:p w14:paraId="1BCA292D" w14:textId="77777777" w:rsidR="00474C0C" w:rsidRPr="00404A37" w:rsidRDefault="00474C0C" w:rsidP="003570D1">
            <w:pPr>
              <w:spacing w:line="276" w:lineRule="auto"/>
              <w:ind w:right="1"/>
              <w:jc w:val="both"/>
              <w:rPr>
                <w:rFonts w:ascii="Verdana" w:hAnsi="Verdana"/>
                <w:spacing w:val="-2"/>
                <w:sz w:val="20"/>
                <w:szCs w:val="20"/>
              </w:rPr>
            </w:pPr>
            <w:r w:rsidRPr="00404A37">
              <w:rPr>
                <w:rFonts w:ascii="Verdana" w:hAnsi="Verdana"/>
                <w:spacing w:val="-2"/>
                <w:sz w:val="20"/>
                <w:szCs w:val="20"/>
              </w:rPr>
              <w:t xml:space="preserve">Общият бюджет на </w:t>
            </w:r>
            <w:proofErr w:type="spellStart"/>
            <w:r w:rsidRPr="00404A37">
              <w:rPr>
                <w:rFonts w:ascii="Verdana" w:hAnsi="Verdana"/>
                <w:spacing w:val="-2"/>
                <w:sz w:val="20"/>
                <w:szCs w:val="20"/>
              </w:rPr>
              <w:t>подмярка</w:t>
            </w:r>
            <w:proofErr w:type="spellEnd"/>
            <w:r w:rsidRPr="00404A37">
              <w:rPr>
                <w:rFonts w:ascii="Verdana" w:hAnsi="Verdana"/>
                <w:spacing w:val="-2"/>
                <w:sz w:val="20"/>
                <w:szCs w:val="20"/>
              </w:rPr>
              <w:t xml:space="preserve"> 4.1 не е променян и от нея не са изваждани средства, извършено е прехвърляне на средства между фокус области в самата </w:t>
            </w:r>
            <w:proofErr w:type="spellStart"/>
            <w:r w:rsidRPr="00404A37">
              <w:rPr>
                <w:rFonts w:ascii="Verdana" w:hAnsi="Verdana"/>
                <w:spacing w:val="-2"/>
                <w:sz w:val="20"/>
                <w:szCs w:val="20"/>
              </w:rPr>
              <w:t>подмярка</w:t>
            </w:r>
            <w:proofErr w:type="spellEnd"/>
            <w:r w:rsidRPr="00404A37">
              <w:rPr>
                <w:rFonts w:ascii="Verdana" w:hAnsi="Verdana"/>
                <w:spacing w:val="-2"/>
                <w:sz w:val="20"/>
                <w:szCs w:val="20"/>
              </w:rPr>
              <w:t xml:space="preserve">. </w:t>
            </w:r>
          </w:p>
        </w:tc>
      </w:tr>
      <w:tr w:rsidR="00404A37" w:rsidRPr="00086D59" w14:paraId="09FAED55" w14:textId="77777777" w:rsidTr="004B7063">
        <w:tc>
          <w:tcPr>
            <w:tcW w:w="792" w:type="dxa"/>
          </w:tcPr>
          <w:p w14:paraId="7CE4EF9D" w14:textId="77777777" w:rsidR="00404A37" w:rsidRPr="00086D59" w:rsidRDefault="00404A37" w:rsidP="00404A37">
            <w:pPr>
              <w:spacing w:line="360" w:lineRule="auto"/>
              <w:ind w:right="283"/>
              <w:jc w:val="center"/>
              <w:rPr>
                <w:rFonts w:ascii="Verdana" w:hAnsi="Verdana"/>
                <w:b/>
                <w:spacing w:val="-2"/>
                <w:sz w:val="20"/>
                <w:szCs w:val="20"/>
              </w:rPr>
            </w:pPr>
            <w:r>
              <w:rPr>
                <w:rFonts w:ascii="Verdana" w:hAnsi="Verdana"/>
                <w:b/>
                <w:spacing w:val="-2"/>
                <w:sz w:val="20"/>
                <w:szCs w:val="20"/>
              </w:rPr>
              <w:lastRenderedPageBreak/>
              <w:t>2</w:t>
            </w:r>
          </w:p>
        </w:tc>
        <w:tc>
          <w:tcPr>
            <w:tcW w:w="1809" w:type="dxa"/>
          </w:tcPr>
          <w:p w14:paraId="75C95CA2" w14:textId="77777777" w:rsidR="00404A37" w:rsidRDefault="003A0370" w:rsidP="00404A37">
            <w:pPr>
              <w:spacing w:before="80" w:after="40"/>
            </w:pPr>
            <w:r>
              <w:fldChar w:fldCharType="begin"/>
            </w:r>
            <w:r>
              <w:instrText xml:space="preserve"> HYPERLINK "mailto:emil.tzviatkov@gmail.com" </w:instrText>
            </w:r>
            <w:r>
              <w:fldChar w:fldCharType="separate"/>
            </w:r>
            <w:r w:rsidR="00404A37" w:rsidRPr="00086D59">
              <w:rPr>
                <w:rFonts w:ascii="Verdana" w:hAnsi="Verdana" w:cs="Tahoma"/>
                <w:color w:val="000000"/>
                <w:sz w:val="20"/>
                <w:szCs w:val="20"/>
              </w:rPr>
              <w:t>emil.tzviatkov@gmail.com</w:t>
            </w:r>
            <w:r>
              <w:rPr>
                <w:rFonts w:ascii="Verdana" w:hAnsi="Verdana" w:cs="Tahoma"/>
                <w:color w:val="000000"/>
                <w:sz w:val="20"/>
                <w:szCs w:val="20"/>
              </w:rPr>
              <w:fldChar w:fldCharType="end"/>
            </w:r>
          </w:p>
        </w:tc>
        <w:tc>
          <w:tcPr>
            <w:tcW w:w="1695" w:type="dxa"/>
          </w:tcPr>
          <w:p w14:paraId="48F3A3C5" w14:textId="77777777" w:rsidR="00404A37" w:rsidRPr="00086D59" w:rsidRDefault="00404A37" w:rsidP="00404A37">
            <w:pPr>
              <w:spacing w:before="80" w:after="40"/>
              <w:rPr>
                <w:rFonts w:ascii="Verdana" w:hAnsi="Verdana" w:cs="Tahoma"/>
                <w:color w:val="000000"/>
                <w:sz w:val="20"/>
                <w:szCs w:val="20"/>
              </w:rPr>
            </w:pPr>
            <w:r w:rsidRPr="00086D59">
              <w:rPr>
                <w:rFonts w:ascii="Verdana" w:hAnsi="Verdana" w:cs="Tahoma"/>
                <w:color w:val="000000"/>
                <w:sz w:val="20"/>
                <w:szCs w:val="20"/>
              </w:rPr>
              <w:t>17.05.2023</w:t>
            </w:r>
            <w:r>
              <w:rPr>
                <w:rFonts w:ascii="Verdana" w:hAnsi="Verdana" w:cs="Tahoma"/>
                <w:color w:val="000000"/>
                <w:sz w:val="20"/>
                <w:szCs w:val="20"/>
              </w:rPr>
              <w:t xml:space="preserve"> г.</w:t>
            </w:r>
          </w:p>
        </w:tc>
        <w:tc>
          <w:tcPr>
            <w:tcW w:w="7311" w:type="dxa"/>
          </w:tcPr>
          <w:p w14:paraId="45DE8C37" w14:textId="77777777" w:rsidR="00404A37" w:rsidRPr="00086D59" w:rsidRDefault="00404A37" w:rsidP="00404A37">
            <w:pPr>
              <w:ind w:right="-15"/>
              <w:jc w:val="both"/>
              <w:rPr>
                <w:rFonts w:ascii="Verdana" w:hAnsi="Verdana"/>
                <w:spacing w:val="-2"/>
                <w:sz w:val="20"/>
                <w:szCs w:val="20"/>
              </w:rPr>
            </w:pPr>
            <w:r w:rsidRPr="00F2123C">
              <w:rPr>
                <w:rFonts w:ascii="Verdana" w:hAnsi="Verdana"/>
                <w:spacing w:val="-2"/>
                <w:sz w:val="20"/>
                <w:szCs w:val="20"/>
              </w:rPr>
              <w:t>По отношение доклада:</w:t>
            </w:r>
          </w:p>
          <w:p w14:paraId="05B5F70C"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 xml:space="preserve">Целта на предложените по-горе прехвърляния между фокус области в </w:t>
            </w:r>
            <w:proofErr w:type="spellStart"/>
            <w:r w:rsidRPr="00086D59">
              <w:rPr>
                <w:rFonts w:ascii="Verdana" w:hAnsi="Verdana"/>
                <w:spacing w:val="-2"/>
                <w:sz w:val="20"/>
                <w:szCs w:val="20"/>
              </w:rPr>
              <w:t>подмярка</w:t>
            </w:r>
            <w:proofErr w:type="spellEnd"/>
            <w:r w:rsidRPr="00086D59">
              <w:rPr>
                <w:rFonts w:ascii="Verdana" w:hAnsi="Verdana"/>
                <w:spacing w:val="-2"/>
                <w:sz w:val="20"/>
                <w:szCs w:val="20"/>
              </w:rPr>
              <w:t xml:space="preserve"> 4.1 „Инвестиции в земеделски стопанства“ е чрез увеличение на бюджета на прием 2021 г. да бъдат одобрени по-голям брой проектни предложения, които, получавайки равен брой точки при извършеното класиране, са еднакво качествени и всички те допринасят за постигане целите на </w:t>
            </w:r>
            <w:proofErr w:type="spellStart"/>
            <w:r w:rsidRPr="00086D59">
              <w:rPr>
                <w:rFonts w:ascii="Verdana" w:hAnsi="Verdana"/>
                <w:spacing w:val="-2"/>
                <w:sz w:val="20"/>
                <w:szCs w:val="20"/>
              </w:rPr>
              <w:t>подмярката</w:t>
            </w:r>
            <w:proofErr w:type="spellEnd"/>
            <w:r w:rsidRPr="00086D59">
              <w:rPr>
                <w:rFonts w:ascii="Verdana" w:hAnsi="Verdana"/>
                <w:spacing w:val="-2"/>
                <w:sz w:val="20"/>
                <w:szCs w:val="20"/>
              </w:rPr>
              <w:t>.</w:t>
            </w:r>
          </w:p>
          <w:p w14:paraId="30D32B67"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ПРЕДЛОЖЕНИЕ:</w:t>
            </w:r>
          </w:p>
          <w:p w14:paraId="3034D00E" w14:textId="77777777" w:rsidR="00D07F4A" w:rsidRPr="00D07F4A" w:rsidRDefault="00D07F4A" w:rsidP="00D07F4A">
            <w:pPr>
              <w:ind w:right="-15"/>
              <w:jc w:val="both"/>
              <w:rPr>
                <w:rFonts w:ascii="Verdana" w:hAnsi="Verdana"/>
                <w:spacing w:val="-2"/>
                <w:sz w:val="20"/>
                <w:szCs w:val="20"/>
              </w:rPr>
            </w:pPr>
            <w:r w:rsidRPr="00D07F4A">
              <w:rPr>
                <w:rFonts w:ascii="Verdana" w:hAnsi="Verdana"/>
                <w:spacing w:val="-2"/>
                <w:sz w:val="20"/>
                <w:szCs w:val="20"/>
              </w:rPr>
              <w:t>1. В резултатите от общественото обсъждане да се приложи справка или данни за очаквания брой и размер на БФП на проектни предложения, и с какъв равен брой точки са те, които ще могат да бъдат финансиране с прехвърлените средства, между фокус групите.</w:t>
            </w:r>
          </w:p>
          <w:p w14:paraId="751E876B" w14:textId="77777777" w:rsidR="00D07F4A" w:rsidRPr="00D07F4A" w:rsidRDefault="00D07F4A" w:rsidP="00D07F4A">
            <w:pPr>
              <w:ind w:right="-15"/>
              <w:jc w:val="both"/>
              <w:rPr>
                <w:rFonts w:ascii="Verdana" w:hAnsi="Verdana"/>
                <w:spacing w:val="-2"/>
                <w:sz w:val="20"/>
                <w:szCs w:val="20"/>
              </w:rPr>
            </w:pPr>
            <w:r w:rsidRPr="00D07F4A">
              <w:rPr>
                <w:rFonts w:ascii="Verdana" w:hAnsi="Verdana"/>
                <w:spacing w:val="-2"/>
                <w:sz w:val="20"/>
                <w:szCs w:val="20"/>
              </w:rPr>
              <w:t>2. В резултатите от общественото обсъждане да се приложи справка или данни за броя и стойността на БФП за останалия брой проектни предложения, спрямо получените точки, които няма да могат да бъдат финансиране поради недостатъчни средства по процедурата.</w:t>
            </w:r>
          </w:p>
          <w:p w14:paraId="2F3E0803" w14:textId="77777777" w:rsidR="00D07F4A" w:rsidRPr="00D07F4A" w:rsidRDefault="00D07F4A" w:rsidP="00D07F4A">
            <w:pPr>
              <w:ind w:right="-15"/>
              <w:jc w:val="both"/>
              <w:rPr>
                <w:rFonts w:ascii="Verdana" w:hAnsi="Verdana"/>
                <w:spacing w:val="-2"/>
                <w:sz w:val="20"/>
                <w:szCs w:val="20"/>
              </w:rPr>
            </w:pPr>
            <w:r w:rsidRPr="00D07F4A">
              <w:rPr>
                <w:rFonts w:ascii="Verdana" w:hAnsi="Verdana"/>
                <w:spacing w:val="-2"/>
                <w:sz w:val="20"/>
                <w:szCs w:val="20"/>
              </w:rPr>
              <w:t>ОСНОВАНИЕ:</w:t>
            </w:r>
          </w:p>
          <w:p w14:paraId="79C6238B" w14:textId="77777777" w:rsidR="00D07F4A" w:rsidRPr="00D07F4A" w:rsidRDefault="00D07F4A" w:rsidP="00D07F4A">
            <w:pPr>
              <w:ind w:right="-15"/>
              <w:jc w:val="both"/>
              <w:rPr>
                <w:rFonts w:ascii="Verdana" w:hAnsi="Verdana"/>
                <w:spacing w:val="-2"/>
                <w:sz w:val="20"/>
                <w:szCs w:val="20"/>
              </w:rPr>
            </w:pPr>
            <w:r w:rsidRPr="00D07F4A">
              <w:rPr>
                <w:rFonts w:ascii="Verdana" w:hAnsi="Verdana"/>
                <w:spacing w:val="-2"/>
                <w:sz w:val="20"/>
                <w:szCs w:val="20"/>
              </w:rPr>
              <w:t>1. Чрез предоставената информация в доклада не става ясно колко е „по-голям брой проектни предложения, които, получавайки равен брой точки при извършеното класиране“, които ще бъдат финансиране за да прецени дали предприетите от УО действия са достатъчни за целите на процедурата;</w:t>
            </w:r>
          </w:p>
          <w:p w14:paraId="414E7E23" w14:textId="77777777" w:rsidR="00404A37" w:rsidRDefault="00D07F4A" w:rsidP="00D07F4A">
            <w:pPr>
              <w:ind w:right="-15"/>
              <w:jc w:val="both"/>
              <w:rPr>
                <w:rFonts w:ascii="Verdana" w:hAnsi="Verdana"/>
                <w:spacing w:val="-2"/>
                <w:sz w:val="20"/>
                <w:szCs w:val="20"/>
              </w:rPr>
            </w:pPr>
            <w:r w:rsidRPr="00D07F4A">
              <w:rPr>
                <w:rFonts w:ascii="Verdana" w:hAnsi="Verdana"/>
                <w:spacing w:val="-2"/>
                <w:sz w:val="20"/>
                <w:szCs w:val="20"/>
              </w:rPr>
              <w:t>2. Чрез предоставената информация в доклада не става ясно броя и сумата на БФП спрямо точките на проектите, които остават без финансиране и как това отговаря на „обстойния анализ“.</w:t>
            </w:r>
          </w:p>
        </w:tc>
        <w:tc>
          <w:tcPr>
            <w:tcW w:w="3330" w:type="dxa"/>
          </w:tcPr>
          <w:p w14:paraId="7B49DB41" w14:textId="77777777" w:rsidR="00973444" w:rsidRDefault="00973444" w:rsidP="003570D1">
            <w:pPr>
              <w:spacing w:line="276" w:lineRule="auto"/>
              <w:ind w:right="-89"/>
              <w:jc w:val="both"/>
              <w:rPr>
                <w:rFonts w:ascii="Verdana" w:hAnsi="Verdana"/>
                <w:spacing w:val="-2"/>
                <w:sz w:val="20"/>
                <w:szCs w:val="20"/>
              </w:rPr>
            </w:pPr>
            <w:r w:rsidRPr="00404A37">
              <w:rPr>
                <w:rFonts w:ascii="Verdana" w:hAnsi="Verdana"/>
                <w:spacing w:val="-2"/>
                <w:sz w:val="20"/>
                <w:szCs w:val="20"/>
              </w:rPr>
              <w:t xml:space="preserve">Проектът на заповед за изменение на Заповед № РД09-399 от 19.04.2021 г. за промяна в насоките за кандидатстване по </w:t>
            </w:r>
            <w:r>
              <w:rPr>
                <w:rFonts w:ascii="Verdana" w:hAnsi="Verdana"/>
                <w:spacing w:val="-2"/>
                <w:sz w:val="20"/>
                <w:szCs w:val="20"/>
              </w:rPr>
              <w:t>п</w:t>
            </w:r>
            <w:r w:rsidRPr="00404A37">
              <w:rPr>
                <w:rFonts w:ascii="Verdana" w:hAnsi="Verdana"/>
                <w:spacing w:val="-2"/>
                <w:sz w:val="20"/>
                <w:szCs w:val="20"/>
              </w:rPr>
              <w:t xml:space="preserve">роцедура чрез подбор на проектни предложения № BG06RDNP001-4.012 е изготвен във връзка с Шестнадесето изменение на ПРСР 2014-2020. </w:t>
            </w:r>
          </w:p>
          <w:p w14:paraId="5B6D44F2" w14:textId="77777777" w:rsidR="00404A37" w:rsidRPr="00404A37" w:rsidRDefault="00973444" w:rsidP="003570D1">
            <w:pPr>
              <w:spacing w:line="276" w:lineRule="auto"/>
              <w:ind w:right="-89"/>
              <w:jc w:val="both"/>
              <w:rPr>
                <w:rFonts w:ascii="Verdana" w:hAnsi="Verdana"/>
                <w:spacing w:val="-2"/>
                <w:sz w:val="20"/>
                <w:szCs w:val="20"/>
                <w:highlight w:val="cyan"/>
              </w:rPr>
            </w:pPr>
            <w:r>
              <w:rPr>
                <w:rFonts w:ascii="Verdana" w:hAnsi="Verdana"/>
                <w:spacing w:val="-2"/>
                <w:sz w:val="20"/>
                <w:szCs w:val="20"/>
              </w:rPr>
              <w:t xml:space="preserve">Информация и анализ е представен на заседанието на Комитета за </w:t>
            </w:r>
            <w:r w:rsidR="003570D1">
              <w:rPr>
                <w:rFonts w:ascii="Verdana" w:hAnsi="Verdana"/>
                <w:spacing w:val="-2"/>
                <w:sz w:val="20"/>
                <w:szCs w:val="20"/>
              </w:rPr>
              <w:t>наблюдение на ПРСР 2014-2020 г., на което е одобрено изменението.</w:t>
            </w:r>
            <w:r w:rsidR="003570D1" w:rsidRPr="00404A37">
              <w:rPr>
                <w:rFonts w:ascii="Verdana" w:hAnsi="Verdana"/>
                <w:spacing w:val="-2"/>
                <w:sz w:val="20"/>
                <w:szCs w:val="20"/>
                <w:highlight w:val="cyan"/>
              </w:rPr>
              <w:t xml:space="preserve"> </w:t>
            </w:r>
          </w:p>
        </w:tc>
      </w:tr>
      <w:tr w:rsidR="00404A37" w:rsidRPr="00086D59" w14:paraId="0FCC33FD" w14:textId="77777777" w:rsidTr="00085339">
        <w:trPr>
          <w:trHeight w:val="2798"/>
        </w:trPr>
        <w:tc>
          <w:tcPr>
            <w:tcW w:w="792" w:type="dxa"/>
          </w:tcPr>
          <w:p w14:paraId="7A6F7B31" w14:textId="77777777" w:rsidR="00404A37" w:rsidRPr="00086D59" w:rsidRDefault="00404A37" w:rsidP="00404A37">
            <w:pPr>
              <w:spacing w:line="360" w:lineRule="auto"/>
              <w:ind w:right="283"/>
              <w:jc w:val="center"/>
              <w:rPr>
                <w:rFonts w:ascii="Verdana" w:hAnsi="Verdana"/>
                <w:b/>
                <w:spacing w:val="-2"/>
                <w:sz w:val="20"/>
                <w:szCs w:val="20"/>
              </w:rPr>
            </w:pPr>
            <w:r>
              <w:rPr>
                <w:rFonts w:ascii="Verdana" w:hAnsi="Verdana"/>
                <w:b/>
                <w:spacing w:val="-2"/>
                <w:sz w:val="20"/>
                <w:szCs w:val="20"/>
              </w:rPr>
              <w:lastRenderedPageBreak/>
              <w:t>3</w:t>
            </w:r>
          </w:p>
        </w:tc>
        <w:tc>
          <w:tcPr>
            <w:tcW w:w="1809" w:type="dxa"/>
          </w:tcPr>
          <w:p w14:paraId="21D5F22D" w14:textId="77777777" w:rsidR="00404A37" w:rsidRPr="00086D59" w:rsidRDefault="003A0370" w:rsidP="00404A37">
            <w:pPr>
              <w:spacing w:before="80" w:after="40"/>
              <w:rPr>
                <w:rFonts w:ascii="Verdana" w:hAnsi="Verdana" w:cs="Tahoma"/>
                <w:color w:val="000000"/>
                <w:sz w:val="20"/>
                <w:szCs w:val="20"/>
              </w:rPr>
            </w:pPr>
            <w:r>
              <w:fldChar w:fldCharType="begin"/>
            </w:r>
            <w:r>
              <w:instrText xml:space="preserve"> HYPERLINK "mailto:emil.tzviatkov@gmail.com" </w:instrText>
            </w:r>
            <w:r>
              <w:fldChar w:fldCharType="separate"/>
            </w:r>
            <w:r w:rsidR="00404A37" w:rsidRPr="00086D59">
              <w:rPr>
                <w:rFonts w:ascii="Verdana" w:hAnsi="Verdana" w:cs="Tahoma"/>
                <w:color w:val="000000"/>
                <w:sz w:val="20"/>
                <w:szCs w:val="20"/>
              </w:rPr>
              <w:t>emil.tzviatkov@gmail.com</w:t>
            </w:r>
            <w:r>
              <w:rPr>
                <w:rFonts w:ascii="Verdana" w:hAnsi="Verdana" w:cs="Tahoma"/>
                <w:color w:val="000000"/>
                <w:sz w:val="20"/>
                <w:szCs w:val="20"/>
              </w:rPr>
              <w:fldChar w:fldCharType="end"/>
            </w:r>
          </w:p>
        </w:tc>
        <w:tc>
          <w:tcPr>
            <w:tcW w:w="1695" w:type="dxa"/>
          </w:tcPr>
          <w:p w14:paraId="27B86710" w14:textId="77777777" w:rsidR="00404A37" w:rsidRPr="00086D59" w:rsidRDefault="00404A37" w:rsidP="00404A37">
            <w:pPr>
              <w:spacing w:before="80" w:after="40"/>
              <w:rPr>
                <w:rFonts w:ascii="Verdana" w:hAnsi="Verdana" w:cs="Tahoma"/>
                <w:color w:val="000000"/>
                <w:sz w:val="20"/>
                <w:szCs w:val="20"/>
              </w:rPr>
            </w:pPr>
            <w:r w:rsidRPr="00086D59">
              <w:rPr>
                <w:rFonts w:ascii="Verdana" w:hAnsi="Verdana" w:cs="Tahoma"/>
                <w:color w:val="000000"/>
                <w:sz w:val="20"/>
                <w:szCs w:val="20"/>
              </w:rPr>
              <w:t>17.05.2023</w:t>
            </w:r>
            <w:r>
              <w:rPr>
                <w:rFonts w:ascii="Verdana" w:hAnsi="Verdana" w:cs="Tahoma"/>
                <w:color w:val="000000"/>
                <w:sz w:val="20"/>
                <w:szCs w:val="20"/>
              </w:rPr>
              <w:t xml:space="preserve"> г.</w:t>
            </w:r>
          </w:p>
        </w:tc>
        <w:tc>
          <w:tcPr>
            <w:tcW w:w="7311" w:type="dxa"/>
          </w:tcPr>
          <w:p w14:paraId="6856ABEC" w14:textId="77777777" w:rsidR="00404A37" w:rsidRPr="00086D59" w:rsidRDefault="00404A37" w:rsidP="00404A37">
            <w:pPr>
              <w:ind w:right="-15"/>
              <w:jc w:val="both"/>
              <w:rPr>
                <w:rFonts w:ascii="Verdana" w:hAnsi="Verdana"/>
                <w:spacing w:val="-2"/>
                <w:sz w:val="20"/>
                <w:szCs w:val="20"/>
              </w:rPr>
            </w:pPr>
            <w:r w:rsidRPr="00F2123C">
              <w:rPr>
                <w:rFonts w:ascii="Verdana" w:hAnsi="Verdana"/>
                <w:spacing w:val="-2"/>
                <w:sz w:val="20"/>
                <w:szCs w:val="20"/>
              </w:rPr>
              <w:t>По отношение доклада:</w:t>
            </w:r>
          </w:p>
          <w:p w14:paraId="600E7824"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Тези преразпределения са заложени като част от предложението за шестнадесето изменение на ПРСР 2014-2020, изпратено за разглеждане от службите на Европейската Комисия на 10.05.2023 г. чрез системата SFC2014, като след изпращането му, до одобрението на предложенията в него, държавата-членка може да ги прилага на собствен риск. На база предложените промени и след съгласуване с Комитета за наблюдение по ПРСР 2014-2020 на заседанието, проведено на 04.04.2022 г., с настоящия доклад се предлага бюджетът по процедура чрез подбор на проектни предложения № BG06RDNP001-4.012 да бъде увеличен на 243,38 млн. евро публични средства.</w:t>
            </w:r>
          </w:p>
          <w:p w14:paraId="2623DD23"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ПРЕДЛОЖЕНИЕ:</w:t>
            </w:r>
          </w:p>
          <w:p w14:paraId="48E75C4F" w14:textId="77777777" w:rsidR="00404A37" w:rsidRPr="002E13AE" w:rsidRDefault="00404A37" w:rsidP="00404A37">
            <w:pPr>
              <w:ind w:right="-15"/>
              <w:jc w:val="both"/>
              <w:rPr>
                <w:rFonts w:ascii="Verdana" w:hAnsi="Verdana"/>
                <w:spacing w:val="-2"/>
                <w:sz w:val="20"/>
                <w:szCs w:val="20"/>
              </w:rPr>
            </w:pPr>
            <w:r w:rsidRPr="00086D59">
              <w:rPr>
                <w:rFonts w:ascii="Verdana" w:hAnsi="Verdana"/>
                <w:spacing w:val="-2"/>
                <w:sz w:val="20"/>
                <w:szCs w:val="20"/>
              </w:rPr>
              <w:t xml:space="preserve">1. </w:t>
            </w:r>
            <w:r w:rsidRPr="00541FA1">
              <w:rPr>
                <w:rFonts w:ascii="Verdana" w:hAnsi="Verdana"/>
                <w:spacing w:val="-2"/>
                <w:sz w:val="20"/>
                <w:szCs w:val="20"/>
              </w:rPr>
              <w:t xml:space="preserve">В резултатите от общественото обсъждане да се приложат документите за шестнадесето изменение на ПРСР 2014-2020, изпратено за разглеждане от службите на Европейската Комисия на 10.05.2023 г. чрез системата SFC2014 и по точно таблицата за прехвърляне на средства между </w:t>
            </w:r>
            <w:proofErr w:type="spellStart"/>
            <w:r w:rsidRPr="00541FA1">
              <w:rPr>
                <w:rFonts w:ascii="Verdana" w:hAnsi="Verdana"/>
                <w:spacing w:val="-2"/>
                <w:sz w:val="20"/>
                <w:szCs w:val="20"/>
              </w:rPr>
              <w:t>мeрки</w:t>
            </w:r>
            <w:proofErr w:type="spellEnd"/>
            <w:r w:rsidRPr="00541FA1">
              <w:rPr>
                <w:rFonts w:ascii="Verdana" w:hAnsi="Verdana"/>
                <w:spacing w:val="-2"/>
                <w:sz w:val="20"/>
                <w:szCs w:val="20"/>
              </w:rPr>
              <w:t xml:space="preserve"> </w:t>
            </w:r>
            <w:proofErr w:type="spellStart"/>
            <w:r w:rsidRPr="00541FA1">
              <w:rPr>
                <w:rFonts w:ascii="Verdana" w:hAnsi="Verdana"/>
                <w:spacing w:val="-2"/>
                <w:sz w:val="20"/>
                <w:szCs w:val="20"/>
              </w:rPr>
              <w:t>подмерки</w:t>
            </w:r>
            <w:proofErr w:type="spellEnd"/>
            <w:r w:rsidRPr="00541FA1">
              <w:rPr>
                <w:rFonts w:ascii="Verdana" w:hAnsi="Verdana"/>
                <w:spacing w:val="-2"/>
                <w:sz w:val="20"/>
                <w:szCs w:val="20"/>
              </w:rPr>
              <w:t xml:space="preserve"> и фокус-области от ПРСР (</w:t>
            </w:r>
            <w:r w:rsidRPr="002E13AE">
              <w:rPr>
                <w:rFonts w:ascii="Verdana" w:hAnsi="Verdana"/>
                <w:spacing w:val="-2"/>
                <w:sz w:val="20"/>
                <w:szCs w:val="20"/>
              </w:rPr>
              <w:t>2014-2020), заедно с протокола от КН на програмата, с който тези изменения са одобрени.</w:t>
            </w:r>
          </w:p>
          <w:p w14:paraId="6ECD1F4F" w14:textId="77777777" w:rsidR="00404A37" w:rsidRPr="002E13AE" w:rsidRDefault="00404A37" w:rsidP="00404A37">
            <w:pPr>
              <w:ind w:right="-15"/>
              <w:jc w:val="both"/>
              <w:rPr>
                <w:rFonts w:ascii="Verdana" w:hAnsi="Verdana"/>
                <w:spacing w:val="-2"/>
                <w:sz w:val="20"/>
                <w:szCs w:val="20"/>
              </w:rPr>
            </w:pPr>
            <w:r w:rsidRPr="002E13AE">
              <w:rPr>
                <w:rFonts w:ascii="Verdana" w:hAnsi="Verdana"/>
                <w:spacing w:val="-2"/>
                <w:sz w:val="20"/>
                <w:szCs w:val="20"/>
              </w:rPr>
              <w:t xml:space="preserve">2. В резултатите от общественото обсъждане да се приложи обяснение от УО защо от </w:t>
            </w:r>
            <w:proofErr w:type="spellStart"/>
            <w:r w:rsidRPr="002E13AE">
              <w:rPr>
                <w:rFonts w:ascii="Verdana" w:hAnsi="Verdana"/>
                <w:spacing w:val="-2"/>
                <w:sz w:val="20"/>
                <w:szCs w:val="20"/>
              </w:rPr>
              <w:t>подмярка</w:t>
            </w:r>
            <w:proofErr w:type="spellEnd"/>
            <w:r w:rsidRPr="002E13AE">
              <w:rPr>
                <w:rFonts w:ascii="Verdana" w:hAnsi="Verdana"/>
                <w:spacing w:val="-2"/>
                <w:sz w:val="20"/>
                <w:szCs w:val="20"/>
              </w:rPr>
              <w:t xml:space="preserve"> 4.1 са извадени 4 274 967EUR публични средства, които не са ползвани за увеличаване на бюджета на процедурата по настоящия доклад.</w:t>
            </w:r>
          </w:p>
          <w:p w14:paraId="4E370705" w14:textId="77777777" w:rsidR="00404A37" w:rsidRPr="002E13AE" w:rsidRDefault="00404A37" w:rsidP="00404A37">
            <w:pPr>
              <w:ind w:right="-15"/>
              <w:jc w:val="both"/>
              <w:rPr>
                <w:rFonts w:ascii="Verdana" w:hAnsi="Verdana"/>
                <w:spacing w:val="-2"/>
                <w:sz w:val="20"/>
                <w:szCs w:val="20"/>
              </w:rPr>
            </w:pPr>
            <w:r w:rsidRPr="002E13AE">
              <w:rPr>
                <w:rFonts w:ascii="Verdana" w:hAnsi="Verdana"/>
                <w:spacing w:val="-2"/>
                <w:sz w:val="20"/>
                <w:szCs w:val="20"/>
              </w:rPr>
              <w:t>ОСНОВАНИЕ:</w:t>
            </w:r>
          </w:p>
          <w:p w14:paraId="30152542" w14:textId="77777777" w:rsidR="00404A37" w:rsidRPr="002E13AE" w:rsidRDefault="00404A37" w:rsidP="00404A37">
            <w:pPr>
              <w:ind w:right="-15"/>
              <w:jc w:val="both"/>
              <w:rPr>
                <w:rFonts w:ascii="Verdana" w:hAnsi="Verdana"/>
                <w:spacing w:val="-2"/>
                <w:sz w:val="20"/>
                <w:szCs w:val="20"/>
              </w:rPr>
            </w:pPr>
            <w:r w:rsidRPr="002E13AE">
              <w:rPr>
                <w:rFonts w:ascii="Verdana" w:hAnsi="Verdana"/>
                <w:spacing w:val="-2"/>
                <w:sz w:val="20"/>
                <w:szCs w:val="20"/>
              </w:rPr>
              <w:t xml:space="preserve">В документите за 20 заседание на КН на ПРСР ( http://www.mzh.government.bg/media/filer_public/2023/05/12/materiali_za_20_zasedanie_na_kn_na_prsr.zip ) е приложена таблица „т. 3.10 Прехвърляне на средства между </w:t>
            </w:r>
            <w:proofErr w:type="spellStart"/>
            <w:r w:rsidRPr="002E13AE">
              <w:rPr>
                <w:rFonts w:ascii="Verdana" w:hAnsi="Verdana"/>
                <w:spacing w:val="-2"/>
                <w:sz w:val="20"/>
                <w:szCs w:val="20"/>
              </w:rPr>
              <w:t>мeрки</w:t>
            </w:r>
            <w:proofErr w:type="spellEnd"/>
            <w:r w:rsidRPr="002E13AE">
              <w:rPr>
                <w:rFonts w:ascii="Verdana" w:hAnsi="Verdana"/>
                <w:spacing w:val="-2"/>
                <w:sz w:val="20"/>
                <w:szCs w:val="20"/>
              </w:rPr>
              <w:t xml:space="preserve"> </w:t>
            </w:r>
            <w:proofErr w:type="spellStart"/>
            <w:r w:rsidRPr="002E13AE">
              <w:rPr>
                <w:rFonts w:ascii="Verdana" w:hAnsi="Verdana"/>
                <w:spacing w:val="-2"/>
                <w:sz w:val="20"/>
                <w:szCs w:val="20"/>
              </w:rPr>
              <w:t>подмерки</w:t>
            </w:r>
            <w:proofErr w:type="spellEnd"/>
            <w:r w:rsidRPr="002E13AE">
              <w:rPr>
                <w:rFonts w:ascii="Verdana" w:hAnsi="Verdana"/>
                <w:spacing w:val="-2"/>
                <w:sz w:val="20"/>
                <w:szCs w:val="20"/>
              </w:rPr>
              <w:t xml:space="preserve"> и фокус-области от ПРСР (2014-2020).</w:t>
            </w:r>
            <w:proofErr w:type="spellStart"/>
            <w:r w:rsidRPr="002E13AE">
              <w:rPr>
                <w:rFonts w:ascii="Verdana" w:hAnsi="Verdana"/>
                <w:spacing w:val="-2"/>
                <w:sz w:val="20"/>
                <w:szCs w:val="20"/>
              </w:rPr>
              <w:t>xlsx</w:t>
            </w:r>
            <w:proofErr w:type="spellEnd"/>
            <w:r w:rsidRPr="002E13AE">
              <w:rPr>
                <w:rFonts w:ascii="Verdana" w:hAnsi="Verdana"/>
                <w:spacing w:val="-2"/>
                <w:sz w:val="20"/>
                <w:szCs w:val="20"/>
              </w:rPr>
              <w:t xml:space="preserve">“, в раздел „III.  Преразпределяне вътре в </w:t>
            </w:r>
            <w:proofErr w:type="spellStart"/>
            <w:r w:rsidRPr="002E13AE">
              <w:rPr>
                <w:rFonts w:ascii="Verdana" w:hAnsi="Verdana"/>
                <w:spacing w:val="-2"/>
                <w:sz w:val="20"/>
                <w:szCs w:val="20"/>
              </w:rPr>
              <w:t>подмерки</w:t>
            </w:r>
            <w:proofErr w:type="spellEnd"/>
            <w:r w:rsidRPr="002E13AE">
              <w:rPr>
                <w:rFonts w:ascii="Verdana" w:hAnsi="Verdana"/>
                <w:spacing w:val="-2"/>
                <w:sz w:val="20"/>
                <w:szCs w:val="20"/>
              </w:rPr>
              <w:t xml:space="preserve">, между фокус области“ за </w:t>
            </w:r>
            <w:proofErr w:type="spellStart"/>
            <w:r w:rsidRPr="002E13AE">
              <w:rPr>
                <w:rFonts w:ascii="Verdana" w:hAnsi="Verdana"/>
                <w:spacing w:val="-2"/>
                <w:sz w:val="20"/>
                <w:szCs w:val="20"/>
              </w:rPr>
              <w:t>подмярка</w:t>
            </w:r>
            <w:proofErr w:type="spellEnd"/>
            <w:r w:rsidRPr="002E13AE">
              <w:rPr>
                <w:rFonts w:ascii="Verdana" w:hAnsi="Verdana"/>
                <w:spacing w:val="-2"/>
                <w:sz w:val="20"/>
                <w:szCs w:val="20"/>
              </w:rPr>
              <w:t xml:space="preserve"> 4.1 е записано:</w:t>
            </w:r>
          </w:p>
          <w:p w14:paraId="364311AB" w14:textId="77777777" w:rsidR="00404A37" w:rsidRPr="002E13AE" w:rsidRDefault="00404A37" w:rsidP="00404A37">
            <w:pPr>
              <w:ind w:right="-15"/>
              <w:jc w:val="both"/>
              <w:rPr>
                <w:rFonts w:ascii="Verdana" w:hAnsi="Verdana"/>
                <w:spacing w:val="-2"/>
                <w:sz w:val="20"/>
                <w:szCs w:val="20"/>
              </w:rPr>
            </w:pPr>
            <w:r w:rsidRPr="002E13AE">
              <w:rPr>
                <w:rFonts w:ascii="Verdana" w:hAnsi="Verdana"/>
                <w:spacing w:val="-2"/>
                <w:sz w:val="20"/>
                <w:szCs w:val="20"/>
              </w:rPr>
              <w:t xml:space="preserve">Извеждане в рамките на </w:t>
            </w:r>
            <w:proofErr w:type="spellStart"/>
            <w:r w:rsidRPr="002E13AE">
              <w:rPr>
                <w:rFonts w:ascii="Verdana" w:hAnsi="Verdana"/>
                <w:spacing w:val="-2"/>
                <w:sz w:val="20"/>
                <w:szCs w:val="20"/>
              </w:rPr>
              <w:t>подмярка</w:t>
            </w:r>
            <w:proofErr w:type="spellEnd"/>
            <w:r w:rsidRPr="002E13AE">
              <w:rPr>
                <w:rFonts w:ascii="Verdana" w:hAnsi="Verdana"/>
                <w:spacing w:val="-2"/>
                <w:sz w:val="20"/>
                <w:szCs w:val="20"/>
              </w:rPr>
              <w:t xml:space="preserve"> 4.1 от ФО 2Б,5Б:</w:t>
            </w:r>
          </w:p>
          <w:p w14:paraId="4609ABE8" w14:textId="77777777" w:rsidR="00404A37" w:rsidRPr="002E13AE" w:rsidRDefault="00404A37" w:rsidP="00404A37">
            <w:pPr>
              <w:ind w:right="-15"/>
              <w:jc w:val="both"/>
              <w:rPr>
                <w:rFonts w:ascii="Verdana" w:hAnsi="Verdana"/>
                <w:spacing w:val="-2"/>
                <w:sz w:val="20"/>
                <w:szCs w:val="20"/>
              </w:rPr>
            </w:pPr>
            <w:r w:rsidRPr="002E13AE">
              <w:rPr>
                <w:rFonts w:ascii="Verdana" w:hAnsi="Verdana"/>
                <w:spacing w:val="-2"/>
                <w:sz w:val="20"/>
                <w:szCs w:val="20"/>
              </w:rPr>
              <w:t xml:space="preserve">- Преразпределяне вътре в </w:t>
            </w:r>
            <w:proofErr w:type="spellStart"/>
            <w:r w:rsidRPr="002E13AE">
              <w:rPr>
                <w:rFonts w:ascii="Verdana" w:hAnsi="Verdana"/>
                <w:spacing w:val="-2"/>
                <w:sz w:val="20"/>
                <w:szCs w:val="20"/>
              </w:rPr>
              <w:t>подмерки</w:t>
            </w:r>
            <w:proofErr w:type="spellEnd"/>
            <w:r w:rsidRPr="002E13AE">
              <w:rPr>
                <w:rFonts w:ascii="Verdana" w:hAnsi="Verdana"/>
                <w:spacing w:val="-2"/>
                <w:sz w:val="20"/>
                <w:szCs w:val="20"/>
              </w:rPr>
              <w:t>, евро публични средства-74 177 997EUR</w:t>
            </w:r>
          </w:p>
          <w:p w14:paraId="7C14B480" w14:textId="77777777" w:rsidR="00404A37" w:rsidRPr="002E13AE" w:rsidRDefault="00404A37" w:rsidP="00404A37">
            <w:pPr>
              <w:ind w:right="-15"/>
              <w:jc w:val="both"/>
              <w:rPr>
                <w:rFonts w:ascii="Verdana" w:hAnsi="Verdana"/>
                <w:spacing w:val="-2"/>
                <w:sz w:val="20"/>
                <w:szCs w:val="20"/>
              </w:rPr>
            </w:pPr>
            <w:r w:rsidRPr="002E13AE">
              <w:rPr>
                <w:rFonts w:ascii="Verdana" w:hAnsi="Verdana"/>
                <w:spacing w:val="-2"/>
                <w:sz w:val="20"/>
                <w:szCs w:val="20"/>
              </w:rPr>
              <w:t xml:space="preserve">Добавяне в рамките на </w:t>
            </w:r>
            <w:proofErr w:type="spellStart"/>
            <w:r w:rsidRPr="002E13AE">
              <w:rPr>
                <w:rFonts w:ascii="Verdana" w:hAnsi="Verdana"/>
                <w:spacing w:val="-2"/>
                <w:sz w:val="20"/>
                <w:szCs w:val="20"/>
              </w:rPr>
              <w:t>подмярка</w:t>
            </w:r>
            <w:proofErr w:type="spellEnd"/>
            <w:r w:rsidRPr="002E13AE">
              <w:rPr>
                <w:rFonts w:ascii="Verdana" w:hAnsi="Verdana"/>
                <w:spacing w:val="-2"/>
                <w:sz w:val="20"/>
                <w:szCs w:val="20"/>
              </w:rPr>
              <w:t xml:space="preserve"> 4.1 във ФО 2А, П4, 5А</w:t>
            </w:r>
          </w:p>
          <w:p w14:paraId="415D8ECE" w14:textId="77777777" w:rsidR="00404A37" w:rsidRPr="002E13AE" w:rsidRDefault="00404A37" w:rsidP="00404A37">
            <w:pPr>
              <w:ind w:right="-15"/>
              <w:jc w:val="both"/>
              <w:rPr>
                <w:rFonts w:ascii="Verdana" w:hAnsi="Verdana"/>
                <w:spacing w:val="-2"/>
                <w:sz w:val="20"/>
                <w:szCs w:val="20"/>
              </w:rPr>
            </w:pPr>
            <w:r w:rsidRPr="002E13AE">
              <w:rPr>
                <w:rFonts w:ascii="Verdana" w:hAnsi="Verdana"/>
                <w:spacing w:val="-2"/>
                <w:sz w:val="20"/>
                <w:szCs w:val="20"/>
              </w:rPr>
              <w:t xml:space="preserve">- Преразпределяне вътре в </w:t>
            </w:r>
            <w:proofErr w:type="spellStart"/>
            <w:r w:rsidRPr="002E13AE">
              <w:rPr>
                <w:rFonts w:ascii="Verdana" w:hAnsi="Verdana"/>
                <w:spacing w:val="-2"/>
                <w:sz w:val="20"/>
                <w:szCs w:val="20"/>
              </w:rPr>
              <w:t>подмерки</w:t>
            </w:r>
            <w:proofErr w:type="spellEnd"/>
            <w:r w:rsidRPr="002E13AE">
              <w:rPr>
                <w:rFonts w:ascii="Verdana" w:hAnsi="Verdana"/>
                <w:spacing w:val="-2"/>
                <w:sz w:val="20"/>
                <w:szCs w:val="20"/>
              </w:rPr>
              <w:t>, евро публични средства: 69 903 031EUR</w:t>
            </w:r>
          </w:p>
          <w:p w14:paraId="3D3C5BDD" w14:textId="77777777" w:rsidR="00404A37" w:rsidRPr="00086D59" w:rsidRDefault="00404A37" w:rsidP="00404A37">
            <w:pPr>
              <w:ind w:right="-15"/>
              <w:jc w:val="both"/>
              <w:rPr>
                <w:rFonts w:ascii="Verdana" w:hAnsi="Verdana"/>
                <w:spacing w:val="-2"/>
                <w:sz w:val="20"/>
                <w:szCs w:val="20"/>
              </w:rPr>
            </w:pPr>
            <w:proofErr w:type="spellStart"/>
            <w:r w:rsidRPr="002E13AE">
              <w:rPr>
                <w:rFonts w:ascii="Verdana" w:hAnsi="Verdana"/>
                <w:spacing w:val="-2"/>
                <w:sz w:val="20"/>
                <w:szCs w:val="20"/>
              </w:rPr>
              <w:t>Подмярка</w:t>
            </w:r>
            <w:proofErr w:type="spellEnd"/>
            <w:r w:rsidRPr="002E13AE">
              <w:rPr>
                <w:rFonts w:ascii="Verdana" w:hAnsi="Verdana"/>
                <w:spacing w:val="-2"/>
                <w:sz w:val="20"/>
                <w:szCs w:val="20"/>
              </w:rPr>
              <w:t xml:space="preserve"> 4.1 Инвестиции в земеделски</w:t>
            </w:r>
            <w:r w:rsidRPr="00086D59">
              <w:rPr>
                <w:rFonts w:ascii="Verdana" w:hAnsi="Verdana"/>
                <w:spacing w:val="-2"/>
                <w:sz w:val="20"/>
                <w:szCs w:val="20"/>
              </w:rPr>
              <w:t xml:space="preserve"> стопанства:</w:t>
            </w:r>
          </w:p>
          <w:p w14:paraId="4F9CFDC2"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Текущ индикативен бюджет, евро публични средства (15то изменение): 632 757 453EUR</w:t>
            </w:r>
          </w:p>
          <w:p w14:paraId="54BFD876"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 xml:space="preserve">Преразпределяне вътре в </w:t>
            </w:r>
            <w:proofErr w:type="spellStart"/>
            <w:r w:rsidRPr="00086D59">
              <w:rPr>
                <w:rFonts w:ascii="Verdana" w:hAnsi="Verdana"/>
                <w:spacing w:val="-2"/>
                <w:sz w:val="20"/>
                <w:szCs w:val="20"/>
              </w:rPr>
              <w:t>подмерки</w:t>
            </w:r>
            <w:proofErr w:type="spellEnd"/>
            <w:r w:rsidRPr="00086D59">
              <w:rPr>
                <w:rFonts w:ascii="Verdana" w:hAnsi="Verdana"/>
                <w:spacing w:val="-2"/>
                <w:sz w:val="20"/>
                <w:szCs w:val="20"/>
              </w:rPr>
              <w:t>, евро публични средства: -4 274 967EUR</w:t>
            </w:r>
          </w:p>
          <w:p w14:paraId="5EE010AA" w14:textId="77777777" w:rsidR="00404A37" w:rsidRPr="00086D59" w:rsidRDefault="00404A37" w:rsidP="00404A37">
            <w:pPr>
              <w:ind w:right="-15"/>
              <w:jc w:val="both"/>
              <w:rPr>
                <w:rFonts w:ascii="Verdana" w:hAnsi="Verdana"/>
                <w:spacing w:val="-2"/>
                <w:sz w:val="20"/>
                <w:szCs w:val="20"/>
              </w:rPr>
            </w:pPr>
            <w:proofErr w:type="spellStart"/>
            <w:r w:rsidRPr="00086D59">
              <w:rPr>
                <w:rFonts w:ascii="Verdana" w:hAnsi="Verdana"/>
                <w:spacing w:val="-2"/>
                <w:sz w:val="20"/>
                <w:szCs w:val="20"/>
              </w:rPr>
              <w:lastRenderedPageBreak/>
              <w:t>Oбщо</w:t>
            </w:r>
            <w:proofErr w:type="spellEnd"/>
            <w:r w:rsidRPr="00086D59">
              <w:rPr>
                <w:rFonts w:ascii="Verdana" w:hAnsi="Verdana"/>
                <w:spacing w:val="-2"/>
                <w:sz w:val="20"/>
                <w:szCs w:val="20"/>
              </w:rPr>
              <w:t xml:space="preserve"> индикативен бюджет на </w:t>
            </w:r>
            <w:proofErr w:type="spellStart"/>
            <w:r w:rsidRPr="00086D59">
              <w:rPr>
                <w:rFonts w:ascii="Verdana" w:hAnsi="Verdana"/>
                <w:spacing w:val="-2"/>
                <w:sz w:val="20"/>
                <w:szCs w:val="20"/>
              </w:rPr>
              <w:t>подмерките</w:t>
            </w:r>
            <w:proofErr w:type="spellEnd"/>
            <w:r w:rsidRPr="00086D59">
              <w:rPr>
                <w:rFonts w:ascii="Verdana" w:hAnsi="Verdana"/>
                <w:spacing w:val="-2"/>
                <w:sz w:val="20"/>
                <w:szCs w:val="20"/>
              </w:rPr>
              <w:t xml:space="preserve"> с допълнително разпределени публични средства  - след добавяне на предложените: 628 482 486EUR</w:t>
            </w:r>
          </w:p>
          <w:p w14:paraId="54EC35E1"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 xml:space="preserve">От таблицата е видно, че бюджета на </w:t>
            </w:r>
            <w:proofErr w:type="spellStart"/>
            <w:r w:rsidRPr="00086D59">
              <w:rPr>
                <w:rFonts w:ascii="Verdana" w:hAnsi="Verdana"/>
                <w:spacing w:val="-2"/>
                <w:sz w:val="20"/>
                <w:szCs w:val="20"/>
              </w:rPr>
              <w:t>подмярката</w:t>
            </w:r>
            <w:proofErr w:type="spellEnd"/>
            <w:r w:rsidRPr="00086D59">
              <w:rPr>
                <w:rFonts w:ascii="Verdana" w:hAnsi="Verdana"/>
                <w:spacing w:val="-2"/>
                <w:sz w:val="20"/>
                <w:szCs w:val="20"/>
              </w:rPr>
              <w:t xml:space="preserve"> е намален с 4 274 967EUR, и може да се предположи, че тази сума не е включена в решение да се ползват за целите на настоящата процедурата, включително и като увеличение на предложената за това сума в доклада.</w:t>
            </w:r>
          </w:p>
        </w:tc>
        <w:tc>
          <w:tcPr>
            <w:tcW w:w="3330" w:type="dxa"/>
          </w:tcPr>
          <w:p w14:paraId="04DBD6B4" w14:textId="77777777" w:rsidR="00404A37" w:rsidRPr="00404A37" w:rsidRDefault="00404A37" w:rsidP="00404A37">
            <w:pPr>
              <w:pStyle w:val="ListParagraph"/>
              <w:numPr>
                <w:ilvl w:val="0"/>
                <w:numId w:val="34"/>
              </w:numPr>
              <w:ind w:left="-14" w:right="1" w:firstLine="14"/>
              <w:jc w:val="both"/>
              <w:rPr>
                <w:rFonts w:ascii="Verdana" w:hAnsi="Verdana"/>
                <w:spacing w:val="-2"/>
                <w:lang w:val="bg-BG"/>
              </w:rPr>
            </w:pPr>
            <w:r w:rsidRPr="00404A37">
              <w:rPr>
                <w:rFonts w:ascii="Verdana" w:hAnsi="Verdana"/>
                <w:spacing w:val="-2"/>
                <w:lang w:val="bg-BG"/>
              </w:rPr>
              <w:lastRenderedPageBreak/>
              <w:t>Документите са публикувани на интернет страницата на Министерство на земеделието в рубрика</w:t>
            </w:r>
            <w:r w:rsidR="003A3E26">
              <w:rPr>
                <w:rFonts w:ascii="Verdana" w:hAnsi="Verdana"/>
                <w:spacing w:val="-2"/>
                <w:lang w:val="bg-BG"/>
              </w:rPr>
              <w:t xml:space="preserve"> „</w:t>
            </w:r>
            <w:r w:rsidRPr="00404A37">
              <w:rPr>
                <w:rFonts w:ascii="Verdana" w:hAnsi="Verdana"/>
                <w:spacing w:val="-2"/>
                <w:lang w:val="bg-BG"/>
              </w:rPr>
              <w:t>Програма за развитие на селските райони“, подраздел „Комитет по наблюдение на ПРСР 2014-2020“</w:t>
            </w:r>
            <w:r>
              <w:rPr>
                <w:rFonts w:ascii="Verdana" w:hAnsi="Verdana"/>
                <w:spacing w:val="-2"/>
                <w:lang w:val="bg-BG"/>
              </w:rPr>
              <w:t>:</w:t>
            </w:r>
          </w:p>
          <w:p w14:paraId="00C86254" w14:textId="77777777" w:rsidR="00404A37" w:rsidRPr="00404A37" w:rsidRDefault="003A0370" w:rsidP="00404A37">
            <w:pPr>
              <w:ind w:right="1"/>
              <w:jc w:val="both"/>
              <w:rPr>
                <w:rFonts w:ascii="Verdana" w:hAnsi="Verdana"/>
                <w:spacing w:val="-2"/>
                <w:sz w:val="22"/>
                <w:szCs w:val="22"/>
              </w:rPr>
            </w:pPr>
            <w:hyperlink r:id="rId9" w:history="1">
              <w:r w:rsidR="00404A37" w:rsidRPr="00404A37">
                <w:rPr>
                  <w:rStyle w:val="Hyperlink"/>
                  <w:rFonts w:ascii="Verdana" w:hAnsi="Verdana"/>
                  <w:spacing w:val="-2"/>
                  <w:sz w:val="22"/>
                  <w:szCs w:val="22"/>
                </w:rPr>
                <w:t>https://www.mzh.government.bg/bg/politiki-i-programi/programi-za-finansirane/programa-za-razvitie-na-selskite-rayoni/komitet-po-nablyudenie-prsr-2014-2020/materiali-i-stenografski-protokoli/</w:t>
              </w:r>
            </w:hyperlink>
          </w:p>
          <w:p w14:paraId="2270E711" w14:textId="77777777" w:rsidR="00404A37" w:rsidRPr="00404A37" w:rsidRDefault="00404A37" w:rsidP="00404A37">
            <w:pPr>
              <w:ind w:right="1"/>
              <w:jc w:val="both"/>
              <w:rPr>
                <w:rFonts w:ascii="Verdana" w:hAnsi="Verdana"/>
                <w:spacing w:val="-2"/>
                <w:sz w:val="22"/>
                <w:szCs w:val="22"/>
              </w:rPr>
            </w:pPr>
          </w:p>
          <w:p w14:paraId="605D33A4" w14:textId="77777777" w:rsidR="00404A37" w:rsidRPr="00973444" w:rsidRDefault="00D11FE7" w:rsidP="00D11FE7">
            <w:pPr>
              <w:jc w:val="both"/>
              <w:rPr>
                <w:rFonts w:ascii="Verdana" w:hAnsi="Verdana"/>
                <w:spacing w:val="-2"/>
                <w:sz w:val="22"/>
                <w:szCs w:val="22"/>
              </w:rPr>
            </w:pPr>
            <w:r w:rsidRPr="003570D1">
              <w:rPr>
                <w:rFonts w:ascii="Verdana" w:hAnsi="Verdana"/>
                <w:spacing w:val="-2"/>
                <w:sz w:val="20"/>
                <w:szCs w:val="20"/>
              </w:rPr>
              <w:t>Всички протоколи от заседания и писмени процедури на Комитета за наблюдение на ПРСР се публикуват на интернет страница на Министерството на земеделието след тяхното съгласуване с членовете на Комитета и одобрение от ръководителя на Управляващия орган.</w:t>
            </w:r>
          </w:p>
          <w:p w14:paraId="72931652" w14:textId="77777777" w:rsidR="00404A37" w:rsidRPr="003A1511" w:rsidRDefault="00404A37" w:rsidP="003570D1">
            <w:pPr>
              <w:pStyle w:val="ListParagraph"/>
              <w:numPr>
                <w:ilvl w:val="0"/>
                <w:numId w:val="34"/>
              </w:numPr>
              <w:ind w:left="-14" w:right="-89" w:firstLine="14"/>
              <w:jc w:val="both"/>
              <w:rPr>
                <w:rFonts w:ascii="Verdana" w:hAnsi="Verdana"/>
                <w:spacing w:val="-2"/>
              </w:rPr>
            </w:pPr>
            <w:r w:rsidRPr="00973444">
              <w:rPr>
                <w:rFonts w:ascii="Verdana" w:hAnsi="Verdana"/>
                <w:spacing w:val="-2"/>
                <w:lang w:val="bg-BG"/>
              </w:rPr>
              <w:t>Посоченото намаление е в резултат на прехвърляне на средства между фокус области, поради което размерът на европейските средства остава  непроменен, но националното съфинансиране от 25% се променя на 15%</w:t>
            </w:r>
            <w:r w:rsidR="00D11FE7" w:rsidRPr="00973444">
              <w:rPr>
                <w:rFonts w:ascii="Verdana" w:hAnsi="Verdana"/>
                <w:spacing w:val="-2"/>
                <w:lang w:val="bg-BG"/>
              </w:rPr>
              <w:t xml:space="preserve"> в съответствие с условието на </w:t>
            </w:r>
            <w:r w:rsidRPr="00973444">
              <w:rPr>
                <w:rFonts w:ascii="Verdana" w:hAnsi="Verdana"/>
                <w:spacing w:val="-2"/>
                <w:lang w:val="bg-BG"/>
              </w:rPr>
              <w:t>чл. 59 от Регламент 1305 от 2013 г.</w:t>
            </w:r>
            <w:r w:rsidR="00D11FE7" w:rsidRPr="00973444">
              <w:rPr>
                <w:rFonts w:ascii="Verdana" w:hAnsi="Verdana"/>
                <w:spacing w:val="-2"/>
                <w:lang w:val="bg-BG"/>
              </w:rPr>
              <w:t xml:space="preserve"> </w:t>
            </w:r>
            <w:r w:rsidRPr="003570D1">
              <w:rPr>
                <w:rFonts w:ascii="Verdana" w:hAnsi="Verdana"/>
                <w:spacing w:val="-2"/>
                <w:lang w:val="bg-BG"/>
              </w:rPr>
              <w:t xml:space="preserve">Общо публичните средства намаляват, като тази сума е в резултат на </w:t>
            </w:r>
            <w:r w:rsidRPr="003570D1">
              <w:rPr>
                <w:rFonts w:ascii="Verdana" w:hAnsi="Verdana"/>
                <w:spacing w:val="-2"/>
                <w:lang w:val="bg-BG"/>
              </w:rPr>
              <w:lastRenderedPageBreak/>
              <w:t>намалението на процента съфинансиране.</w:t>
            </w:r>
            <w:r>
              <w:rPr>
                <w:rFonts w:ascii="Verdana" w:hAnsi="Verdana"/>
                <w:spacing w:val="-2"/>
                <w:lang w:val="bg-BG"/>
              </w:rPr>
              <w:t xml:space="preserve"> </w:t>
            </w:r>
          </w:p>
        </w:tc>
      </w:tr>
      <w:tr w:rsidR="00404A37" w:rsidRPr="00086D59" w14:paraId="0625F759" w14:textId="77777777" w:rsidTr="004B7063">
        <w:tc>
          <w:tcPr>
            <w:tcW w:w="792" w:type="dxa"/>
          </w:tcPr>
          <w:p w14:paraId="27F32F7A" w14:textId="77777777" w:rsidR="00404A37" w:rsidRDefault="00404A37" w:rsidP="00404A37">
            <w:pPr>
              <w:spacing w:line="360" w:lineRule="auto"/>
              <w:ind w:right="283"/>
              <w:jc w:val="center"/>
              <w:rPr>
                <w:rFonts w:ascii="Verdana" w:hAnsi="Verdana"/>
                <w:b/>
                <w:spacing w:val="-2"/>
                <w:sz w:val="20"/>
                <w:szCs w:val="20"/>
              </w:rPr>
            </w:pPr>
            <w:r>
              <w:rPr>
                <w:rFonts w:ascii="Verdana" w:hAnsi="Verdana"/>
                <w:b/>
                <w:spacing w:val="-2"/>
                <w:sz w:val="20"/>
                <w:szCs w:val="20"/>
              </w:rPr>
              <w:lastRenderedPageBreak/>
              <w:t>4</w:t>
            </w:r>
          </w:p>
        </w:tc>
        <w:tc>
          <w:tcPr>
            <w:tcW w:w="1809" w:type="dxa"/>
          </w:tcPr>
          <w:p w14:paraId="3771287F" w14:textId="77777777" w:rsidR="00404A37" w:rsidRDefault="00404A37" w:rsidP="00404A37">
            <w:pPr>
              <w:spacing w:before="80" w:after="40"/>
            </w:pPr>
            <w:r w:rsidRPr="00F2123C">
              <w:t>emil.tzviatkov@gmail.com</w:t>
            </w:r>
          </w:p>
        </w:tc>
        <w:tc>
          <w:tcPr>
            <w:tcW w:w="1695" w:type="dxa"/>
          </w:tcPr>
          <w:p w14:paraId="0B2B6D6D" w14:textId="77777777" w:rsidR="00404A37" w:rsidRPr="00086D59" w:rsidRDefault="00404A37" w:rsidP="00404A37">
            <w:pPr>
              <w:spacing w:before="80" w:after="40"/>
              <w:rPr>
                <w:rFonts w:ascii="Verdana" w:hAnsi="Verdana" w:cs="Tahoma"/>
                <w:color w:val="000000"/>
                <w:sz w:val="20"/>
                <w:szCs w:val="20"/>
              </w:rPr>
            </w:pPr>
            <w:r w:rsidRPr="00F2123C">
              <w:rPr>
                <w:rFonts w:ascii="Verdana" w:hAnsi="Verdana" w:cs="Tahoma"/>
                <w:color w:val="000000"/>
                <w:sz w:val="20"/>
                <w:szCs w:val="20"/>
              </w:rPr>
              <w:t>17.05.2023</w:t>
            </w:r>
          </w:p>
        </w:tc>
        <w:tc>
          <w:tcPr>
            <w:tcW w:w="7311" w:type="dxa"/>
          </w:tcPr>
          <w:p w14:paraId="1C11A78C" w14:textId="77777777" w:rsidR="00404A37" w:rsidRPr="00BE7CE5" w:rsidRDefault="00404A37" w:rsidP="00404A37">
            <w:pPr>
              <w:ind w:right="-15"/>
              <w:jc w:val="both"/>
              <w:rPr>
                <w:rFonts w:ascii="Verdana" w:hAnsi="Verdana"/>
                <w:spacing w:val="-2"/>
                <w:sz w:val="20"/>
                <w:szCs w:val="20"/>
              </w:rPr>
            </w:pPr>
            <w:r w:rsidRPr="00BE7CE5">
              <w:rPr>
                <w:rFonts w:ascii="Verdana" w:hAnsi="Verdana"/>
                <w:spacing w:val="-2"/>
                <w:sz w:val="20"/>
                <w:szCs w:val="20"/>
              </w:rPr>
              <w:t>По отношение доклада:</w:t>
            </w:r>
          </w:p>
          <w:p w14:paraId="6C555B22" w14:textId="77777777" w:rsidR="00404A37" w:rsidRPr="00BE7CE5" w:rsidRDefault="00404A37" w:rsidP="00404A37">
            <w:pPr>
              <w:ind w:right="-15"/>
              <w:jc w:val="both"/>
              <w:rPr>
                <w:rFonts w:ascii="Verdana" w:hAnsi="Verdana"/>
                <w:spacing w:val="-2"/>
                <w:sz w:val="20"/>
                <w:szCs w:val="20"/>
              </w:rPr>
            </w:pPr>
          </w:p>
          <w:p w14:paraId="219606D0" w14:textId="77777777" w:rsidR="00404A37" w:rsidRPr="00BE7CE5" w:rsidRDefault="00404A37" w:rsidP="00404A37">
            <w:pPr>
              <w:ind w:right="-15"/>
              <w:jc w:val="both"/>
              <w:rPr>
                <w:rFonts w:ascii="Verdana" w:hAnsi="Verdana"/>
                <w:spacing w:val="-2"/>
                <w:sz w:val="20"/>
                <w:szCs w:val="20"/>
              </w:rPr>
            </w:pPr>
            <w:r w:rsidRPr="00BE7CE5">
              <w:rPr>
                <w:rFonts w:ascii="Verdana" w:hAnsi="Verdana"/>
                <w:spacing w:val="-2"/>
                <w:sz w:val="20"/>
                <w:szCs w:val="20"/>
              </w:rPr>
              <w:t xml:space="preserve">В шестнадесето изменение на програмата, по предложение на членове на Комитета за наблюдение, на 20-то заседание, е включена и промяна в мярка 4  „Инвестиции в материални активи“, съгласно която процедури за избор на изпълнители по реда на Постановление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се провежда от кандидати/бенефициенти, които не са възложители по смисъла на Закона обществените поръчки, в случаите, когато размерът на предоставената (одобрената) безвъзмездна финансова помощ е по-голям от 50 на сто от общата сума на одобрения проект, както и за специфични разходи, описани в националните правила за прилагане на </w:t>
            </w:r>
            <w:proofErr w:type="spellStart"/>
            <w:r w:rsidRPr="00BE7CE5">
              <w:rPr>
                <w:rFonts w:ascii="Verdana" w:hAnsi="Verdana"/>
                <w:spacing w:val="-2"/>
                <w:sz w:val="20"/>
                <w:szCs w:val="20"/>
              </w:rPr>
              <w:t>подмерките</w:t>
            </w:r>
            <w:proofErr w:type="spellEnd"/>
            <w:r w:rsidRPr="00BE7CE5">
              <w:rPr>
                <w:rFonts w:ascii="Verdana" w:hAnsi="Verdana"/>
                <w:spacing w:val="-2"/>
                <w:sz w:val="20"/>
                <w:szCs w:val="20"/>
              </w:rPr>
              <w:t>.</w:t>
            </w:r>
          </w:p>
          <w:p w14:paraId="13901CED" w14:textId="77777777" w:rsidR="00404A37" w:rsidRPr="00BE7CE5" w:rsidRDefault="00404A37" w:rsidP="00404A37">
            <w:pPr>
              <w:ind w:right="-15"/>
              <w:jc w:val="both"/>
              <w:rPr>
                <w:rFonts w:ascii="Verdana" w:hAnsi="Verdana"/>
                <w:spacing w:val="-2"/>
                <w:sz w:val="20"/>
                <w:szCs w:val="20"/>
              </w:rPr>
            </w:pPr>
            <w:r w:rsidRPr="00BE7CE5">
              <w:rPr>
                <w:rFonts w:ascii="Verdana" w:hAnsi="Verdana"/>
                <w:spacing w:val="-2"/>
                <w:sz w:val="20"/>
                <w:szCs w:val="20"/>
              </w:rPr>
              <w:t>ПРЕДЛОЖЕНИЕ:</w:t>
            </w:r>
          </w:p>
          <w:p w14:paraId="1AB26EE4" w14:textId="77777777" w:rsidR="00404A37" w:rsidRPr="00BE7CE5" w:rsidRDefault="00404A37" w:rsidP="00404A37">
            <w:pPr>
              <w:ind w:right="-15"/>
              <w:jc w:val="both"/>
              <w:rPr>
                <w:rFonts w:ascii="Verdana" w:hAnsi="Verdana"/>
                <w:spacing w:val="-2"/>
                <w:sz w:val="20"/>
                <w:szCs w:val="20"/>
              </w:rPr>
            </w:pPr>
            <w:r w:rsidRPr="00BE7CE5">
              <w:rPr>
                <w:rFonts w:ascii="Verdana" w:hAnsi="Verdana"/>
                <w:spacing w:val="-2"/>
                <w:sz w:val="20"/>
                <w:szCs w:val="20"/>
              </w:rPr>
              <w:t>В резултатите от общественото обсъждане да се приложи протокола на 20 заседание на КН на програмата от 04.04.2023г., от който да е видно точно какво е решението на КН във връзка с посочения в доклада в текст и дали следва да се прилага след одобрението на 16-то изменение на програмата, което се разбира, че е подадено, но не е одобрено.</w:t>
            </w:r>
          </w:p>
          <w:p w14:paraId="4A54DC8C" w14:textId="77777777" w:rsidR="00404A37" w:rsidRPr="00BE7CE5" w:rsidRDefault="00404A37" w:rsidP="00404A37">
            <w:pPr>
              <w:ind w:right="-15"/>
              <w:jc w:val="both"/>
              <w:rPr>
                <w:rFonts w:ascii="Verdana" w:hAnsi="Verdana"/>
                <w:spacing w:val="-2"/>
                <w:sz w:val="20"/>
                <w:szCs w:val="20"/>
              </w:rPr>
            </w:pPr>
            <w:r w:rsidRPr="00BE7CE5">
              <w:rPr>
                <w:rFonts w:ascii="Verdana" w:hAnsi="Verdana"/>
                <w:spacing w:val="-2"/>
                <w:sz w:val="20"/>
                <w:szCs w:val="20"/>
              </w:rPr>
              <w:t>ОСНОВАНИЕ:</w:t>
            </w:r>
          </w:p>
          <w:p w14:paraId="349DB7C8" w14:textId="77777777" w:rsidR="00404A37" w:rsidRPr="00BE7CE5" w:rsidRDefault="00404A37" w:rsidP="00404A37">
            <w:pPr>
              <w:ind w:right="-15"/>
              <w:jc w:val="both"/>
              <w:rPr>
                <w:rFonts w:ascii="Verdana" w:hAnsi="Verdana"/>
                <w:spacing w:val="-2"/>
                <w:sz w:val="20"/>
                <w:szCs w:val="20"/>
              </w:rPr>
            </w:pPr>
            <w:r w:rsidRPr="00BE7CE5">
              <w:rPr>
                <w:rFonts w:ascii="Verdana" w:hAnsi="Verdana"/>
                <w:spacing w:val="-2"/>
                <w:sz w:val="20"/>
                <w:szCs w:val="20"/>
              </w:rPr>
              <w:t xml:space="preserve">В документите за 20 заседание на КН на ПРСР ( http://www.mzh.government.bg/media/filer_public/2023/05/12/materiali_za_20_zasedanie_na_kn_na_prsr.zip ) липсва публикуван протокол от заседанието на КН на програмата, а в наличните документи за заседанието липсва документ за изменение на </w:t>
            </w:r>
            <w:proofErr w:type="spellStart"/>
            <w:r w:rsidRPr="00BE7CE5">
              <w:rPr>
                <w:rFonts w:ascii="Verdana" w:hAnsi="Verdana"/>
                <w:spacing w:val="-2"/>
                <w:sz w:val="20"/>
                <w:szCs w:val="20"/>
              </w:rPr>
              <w:t>подмярка</w:t>
            </w:r>
            <w:proofErr w:type="spellEnd"/>
            <w:r w:rsidRPr="00BE7CE5">
              <w:rPr>
                <w:rFonts w:ascii="Verdana" w:hAnsi="Verdana"/>
                <w:spacing w:val="-2"/>
                <w:sz w:val="20"/>
                <w:szCs w:val="20"/>
              </w:rPr>
              <w:t xml:space="preserve"> 4.1, от който да е видно предложението за изменението </w:t>
            </w:r>
            <w:r w:rsidRPr="00BE7CE5">
              <w:rPr>
                <w:rFonts w:ascii="Verdana" w:hAnsi="Verdana"/>
                <w:spacing w:val="-2"/>
                <w:sz w:val="20"/>
                <w:szCs w:val="20"/>
              </w:rPr>
              <w:lastRenderedPageBreak/>
              <w:t>във връзка с Постановление № 160 от 1 юли 2016г., по което да е взето такова решение.</w:t>
            </w:r>
          </w:p>
          <w:p w14:paraId="21A05417" w14:textId="77777777" w:rsidR="00404A37" w:rsidRPr="00BE7CE5" w:rsidRDefault="00404A37" w:rsidP="00404A37">
            <w:pPr>
              <w:ind w:right="-15"/>
              <w:jc w:val="both"/>
              <w:rPr>
                <w:rFonts w:ascii="Verdana" w:hAnsi="Verdana"/>
                <w:spacing w:val="-2"/>
                <w:sz w:val="20"/>
                <w:szCs w:val="20"/>
              </w:rPr>
            </w:pPr>
            <w:r w:rsidRPr="00BE7CE5">
              <w:rPr>
                <w:rFonts w:ascii="Verdana" w:hAnsi="Verdana"/>
                <w:spacing w:val="-2"/>
                <w:sz w:val="20"/>
                <w:szCs w:val="20"/>
              </w:rPr>
              <w:t>Допълнително предложенията са в нарушение на чл. 26, ал. 7, т. 1 от Закона за управление на средствата от Европейските фондове при споделено управление (Загл. изм. - ДВ, бр. 51 от 2022 г., в сила от 01.07.2022 г.) (ЗУСЕФСУ), където се изисква променена програмата, а не такава, която е предложена за промяна.</w:t>
            </w:r>
          </w:p>
        </w:tc>
        <w:tc>
          <w:tcPr>
            <w:tcW w:w="3330" w:type="dxa"/>
          </w:tcPr>
          <w:p w14:paraId="1EC6C76E" w14:textId="77777777" w:rsidR="00D11FE7" w:rsidRDefault="00D11FE7" w:rsidP="00404A37">
            <w:pPr>
              <w:pStyle w:val="ListParagraph"/>
              <w:ind w:left="0"/>
              <w:jc w:val="both"/>
              <w:rPr>
                <w:rFonts w:ascii="Verdana" w:hAnsi="Verdana"/>
                <w:spacing w:val="-2"/>
                <w:lang w:val="bg-BG"/>
              </w:rPr>
            </w:pPr>
            <w:r>
              <w:rPr>
                <w:rFonts w:ascii="Verdana" w:hAnsi="Verdana"/>
                <w:spacing w:val="-2"/>
                <w:lang w:val="bg-BG"/>
              </w:rPr>
              <w:lastRenderedPageBreak/>
              <w:t>Не се приема.</w:t>
            </w:r>
          </w:p>
          <w:p w14:paraId="4ADD8EF7" w14:textId="77777777" w:rsidR="00404A37" w:rsidRDefault="00404A37" w:rsidP="00404A37">
            <w:pPr>
              <w:pStyle w:val="ListParagraph"/>
              <w:ind w:left="0"/>
              <w:jc w:val="both"/>
              <w:rPr>
                <w:rFonts w:ascii="Verdana" w:hAnsi="Verdana"/>
                <w:spacing w:val="-2"/>
                <w:lang w:val="bg-BG"/>
              </w:rPr>
            </w:pPr>
            <w:r>
              <w:rPr>
                <w:rFonts w:ascii="Verdana" w:hAnsi="Verdana"/>
                <w:spacing w:val="-2"/>
                <w:lang w:val="bg-BG"/>
              </w:rPr>
              <w:t xml:space="preserve">Всички протоколи от </w:t>
            </w:r>
            <w:r w:rsidRPr="00085339">
              <w:rPr>
                <w:rFonts w:ascii="Verdana" w:hAnsi="Verdana"/>
                <w:spacing w:val="-2"/>
                <w:lang w:val="bg-BG"/>
              </w:rPr>
              <w:t>заседани</w:t>
            </w:r>
            <w:r>
              <w:rPr>
                <w:rFonts w:ascii="Verdana" w:hAnsi="Verdana"/>
                <w:spacing w:val="-2"/>
                <w:lang w:val="bg-BG"/>
              </w:rPr>
              <w:t>я</w:t>
            </w:r>
            <w:r w:rsidRPr="00085339">
              <w:rPr>
                <w:rFonts w:ascii="Verdana" w:hAnsi="Verdana"/>
                <w:spacing w:val="-2"/>
                <w:lang w:val="bg-BG"/>
              </w:rPr>
              <w:t xml:space="preserve"> </w:t>
            </w:r>
            <w:r>
              <w:rPr>
                <w:rFonts w:ascii="Verdana" w:hAnsi="Verdana"/>
                <w:spacing w:val="-2"/>
                <w:lang w:val="bg-BG"/>
              </w:rPr>
              <w:t>и писмени процедури</w:t>
            </w:r>
            <w:r w:rsidRPr="00085339">
              <w:rPr>
                <w:rFonts w:ascii="Verdana" w:hAnsi="Verdana"/>
                <w:spacing w:val="-2"/>
                <w:lang w:val="bg-BG"/>
              </w:rPr>
              <w:t xml:space="preserve"> </w:t>
            </w:r>
            <w:r>
              <w:rPr>
                <w:rFonts w:ascii="Verdana" w:hAnsi="Verdana"/>
                <w:spacing w:val="-2"/>
                <w:lang w:val="bg-BG"/>
              </w:rPr>
              <w:t xml:space="preserve">на </w:t>
            </w:r>
            <w:r w:rsidRPr="00085339">
              <w:rPr>
                <w:rFonts w:ascii="Verdana" w:hAnsi="Verdana"/>
                <w:spacing w:val="-2"/>
                <w:lang w:val="bg-BG"/>
              </w:rPr>
              <w:t>К</w:t>
            </w:r>
            <w:r>
              <w:rPr>
                <w:rFonts w:ascii="Verdana" w:hAnsi="Verdana"/>
                <w:spacing w:val="-2"/>
                <w:lang w:val="bg-BG"/>
              </w:rPr>
              <w:t>омитета за наблюдение</w:t>
            </w:r>
            <w:r w:rsidRPr="00085339">
              <w:rPr>
                <w:rFonts w:ascii="Verdana" w:hAnsi="Verdana"/>
                <w:spacing w:val="-2"/>
                <w:lang w:val="bg-BG"/>
              </w:rPr>
              <w:t xml:space="preserve"> на ПРСР</w:t>
            </w:r>
            <w:r>
              <w:rPr>
                <w:rFonts w:ascii="Verdana" w:hAnsi="Verdana"/>
                <w:spacing w:val="-2"/>
                <w:lang w:val="bg-BG"/>
              </w:rPr>
              <w:t xml:space="preserve"> се публикуват на интернет страница на Министерството на земеделието след тяхното съгласуване с членовете на Комитета и одобрение от ръководителя на Управляващия орган.</w:t>
            </w:r>
          </w:p>
          <w:p w14:paraId="30C288ED" w14:textId="77777777" w:rsidR="00404A37" w:rsidRDefault="00404A37" w:rsidP="00404A37">
            <w:pPr>
              <w:pStyle w:val="ListParagraph"/>
              <w:ind w:left="0"/>
              <w:jc w:val="both"/>
              <w:rPr>
                <w:rFonts w:ascii="Verdana" w:hAnsi="Verdana"/>
                <w:spacing w:val="-2"/>
                <w:lang w:val="bg-BG"/>
              </w:rPr>
            </w:pPr>
            <w:r>
              <w:rPr>
                <w:rFonts w:ascii="Verdana" w:hAnsi="Verdana"/>
                <w:spacing w:val="-2"/>
                <w:lang w:val="bg-BG"/>
              </w:rPr>
              <w:t>Както е посочено в доклада н</w:t>
            </w:r>
            <w:r w:rsidRPr="00E51623">
              <w:rPr>
                <w:rFonts w:ascii="Verdana" w:hAnsi="Verdana"/>
                <w:spacing w:val="-2"/>
                <w:lang w:val="bg-BG"/>
              </w:rPr>
              <w:t xml:space="preserve">а основание чл. 65, § 9 от Регламент (ЕС) № 1303/2013 на Европейския парламент и на Съвета от 17 декември 2013 година за определяне на </w:t>
            </w:r>
            <w:proofErr w:type="spellStart"/>
            <w:r w:rsidRPr="00E51623">
              <w:rPr>
                <w:rFonts w:ascii="Verdana" w:hAnsi="Verdana"/>
                <w:spacing w:val="-2"/>
                <w:lang w:val="bg-BG"/>
              </w:rPr>
              <w:t>общоприложими</w:t>
            </w:r>
            <w:proofErr w:type="spellEnd"/>
            <w:r w:rsidRPr="00E51623">
              <w:rPr>
                <w:rFonts w:ascii="Verdana" w:hAnsi="Verdana"/>
                <w:spacing w:val="-2"/>
                <w:lang w:val="bg-BG"/>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r w:rsidRPr="00E51623">
              <w:rPr>
                <w:rFonts w:ascii="Verdana" w:hAnsi="Verdana"/>
                <w:spacing w:val="-2"/>
                <w:lang w:val="bg-BG"/>
              </w:rPr>
              <w:lastRenderedPageBreak/>
              <w:t>Кохезионния фонд и Европейския фонд за морско дело и рибарство, и за отмяна на Регламент (ЕО) № 1083/2006 на Съвета, разходи, станали допустими в резултат на изменение в програма, са допустими след датата на подаване на искането за изменение до Комисията</w:t>
            </w:r>
            <w:r>
              <w:rPr>
                <w:rFonts w:ascii="Verdana" w:hAnsi="Verdana"/>
                <w:spacing w:val="-2"/>
                <w:lang w:val="bg-BG"/>
              </w:rPr>
              <w:t>. Ш</w:t>
            </w:r>
            <w:r w:rsidRPr="00E51623">
              <w:rPr>
                <w:rFonts w:ascii="Verdana" w:hAnsi="Verdana"/>
                <w:spacing w:val="-2"/>
                <w:lang w:val="bg-BG"/>
              </w:rPr>
              <w:t>естнадесето изменение на ПРСР 2014-2020, изпратено за разглеждане от службите на Европейската Комисия на 10.05.2023 г. чрез системата SFC2014, като след изпращането му, до одобрението на предложенията в него, държавата-членка може да ги прилага на собствен риск</w:t>
            </w:r>
            <w:r>
              <w:rPr>
                <w:rFonts w:ascii="Verdana" w:hAnsi="Verdana"/>
                <w:spacing w:val="-2"/>
                <w:lang w:val="bg-BG"/>
              </w:rPr>
              <w:t>.</w:t>
            </w:r>
          </w:p>
          <w:p w14:paraId="320BB4DB" w14:textId="77777777" w:rsidR="00404A37" w:rsidRPr="00085339" w:rsidRDefault="00404A37" w:rsidP="00404A37">
            <w:pPr>
              <w:pStyle w:val="ListParagraph"/>
              <w:ind w:left="0"/>
              <w:jc w:val="both"/>
              <w:rPr>
                <w:rFonts w:ascii="Verdana" w:hAnsi="Verdana"/>
                <w:spacing w:val="-2"/>
                <w:lang w:val="bg-BG"/>
              </w:rPr>
            </w:pPr>
          </w:p>
        </w:tc>
      </w:tr>
      <w:tr w:rsidR="00404A37" w:rsidRPr="00086D59" w14:paraId="4936C8A2" w14:textId="77777777" w:rsidTr="004B7063">
        <w:tc>
          <w:tcPr>
            <w:tcW w:w="792" w:type="dxa"/>
          </w:tcPr>
          <w:p w14:paraId="798ED73D" w14:textId="77777777" w:rsidR="00404A37" w:rsidRPr="00086D59" w:rsidRDefault="00D11FE7" w:rsidP="00404A37">
            <w:pPr>
              <w:spacing w:line="360" w:lineRule="auto"/>
              <w:ind w:right="283"/>
              <w:jc w:val="center"/>
              <w:rPr>
                <w:rFonts w:ascii="Verdana" w:hAnsi="Verdana"/>
                <w:b/>
                <w:spacing w:val="-2"/>
                <w:sz w:val="20"/>
                <w:szCs w:val="20"/>
              </w:rPr>
            </w:pPr>
            <w:r>
              <w:rPr>
                <w:rFonts w:ascii="Verdana" w:hAnsi="Verdana"/>
                <w:b/>
                <w:spacing w:val="-2"/>
                <w:sz w:val="20"/>
                <w:szCs w:val="20"/>
              </w:rPr>
              <w:lastRenderedPageBreak/>
              <w:t>5</w:t>
            </w:r>
          </w:p>
        </w:tc>
        <w:tc>
          <w:tcPr>
            <w:tcW w:w="1809" w:type="dxa"/>
          </w:tcPr>
          <w:p w14:paraId="77E42B0E" w14:textId="77777777" w:rsidR="00404A37" w:rsidRPr="00086D59" w:rsidRDefault="003A0370" w:rsidP="00404A37">
            <w:pPr>
              <w:spacing w:before="80" w:after="40"/>
              <w:rPr>
                <w:rFonts w:ascii="Verdana" w:hAnsi="Verdana" w:cs="Tahoma"/>
                <w:color w:val="000000"/>
                <w:sz w:val="20"/>
                <w:szCs w:val="20"/>
              </w:rPr>
            </w:pPr>
            <w:r>
              <w:fldChar w:fldCharType="begin"/>
            </w:r>
            <w:r>
              <w:instrText xml:space="preserve"> HYPERLINK "mailto:emil.tzviatkov@gmail.com" </w:instrText>
            </w:r>
            <w:r>
              <w:fldChar w:fldCharType="separate"/>
            </w:r>
            <w:r w:rsidR="00404A37" w:rsidRPr="00086D59">
              <w:rPr>
                <w:rFonts w:ascii="Verdana" w:hAnsi="Verdana" w:cs="Tahoma"/>
                <w:color w:val="000000"/>
                <w:sz w:val="20"/>
                <w:szCs w:val="20"/>
              </w:rPr>
              <w:t>emil.tzviatkov@gmail.com</w:t>
            </w:r>
            <w:r>
              <w:rPr>
                <w:rFonts w:ascii="Verdana" w:hAnsi="Verdana" w:cs="Tahoma"/>
                <w:color w:val="000000"/>
                <w:sz w:val="20"/>
                <w:szCs w:val="20"/>
              </w:rPr>
              <w:fldChar w:fldCharType="end"/>
            </w:r>
          </w:p>
        </w:tc>
        <w:tc>
          <w:tcPr>
            <w:tcW w:w="1695" w:type="dxa"/>
          </w:tcPr>
          <w:p w14:paraId="0754A782" w14:textId="77777777" w:rsidR="00404A37" w:rsidRPr="00086D59" w:rsidRDefault="00404A37" w:rsidP="00404A37">
            <w:pPr>
              <w:spacing w:before="80" w:after="40"/>
              <w:rPr>
                <w:rFonts w:ascii="Verdana" w:hAnsi="Verdana" w:cs="Tahoma"/>
                <w:color w:val="000000"/>
                <w:sz w:val="20"/>
                <w:szCs w:val="20"/>
              </w:rPr>
            </w:pPr>
            <w:r w:rsidRPr="00086D59">
              <w:rPr>
                <w:rFonts w:ascii="Verdana" w:hAnsi="Verdana" w:cs="Tahoma"/>
                <w:color w:val="000000"/>
                <w:sz w:val="20"/>
                <w:szCs w:val="20"/>
              </w:rPr>
              <w:t>17.05.2023</w:t>
            </w:r>
          </w:p>
        </w:tc>
        <w:tc>
          <w:tcPr>
            <w:tcW w:w="7311" w:type="dxa"/>
          </w:tcPr>
          <w:p w14:paraId="55AADD99" w14:textId="77777777" w:rsidR="00404A37" w:rsidRPr="00086D59" w:rsidRDefault="00404A37" w:rsidP="00404A37">
            <w:pPr>
              <w:ind w:right="-15"/>
              <w:jc w:val="both"/>
              <w:rPr>
                <w:rFonts w:ascii="Verdana" w:hAnsi="Verdana"/>
                <w:spacing w:val="-2"/>
                <w:sz w:val="20"/>
                <w:szCs w:val="20"/>
              </w:rPr>
            </w:pPr>
            <w:r w:rsidRPr="00F2123C">
              <w:rPr>
                <w:rFonts w:ascii="Verdana" w:hAnsi="Verdana"/>
                <w:spacing w:val="-2"/>
                <w:sz w:val="20"/>
                <w:szCs w:val="20"/>
              </w:rPr>
              <w:t>По отношение доклада:</w:t>
            </w:r>
          </w:p>
          <w:p w14:paraId="17041957"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Това условие е отменено в Условията за кандидатстване в резултат на бележки от общественото обсъждане на насоките за кандидатстване. Като в разясненията, предоставени на основание чл. 26, ал. 8 от Закона за управление на средствата от Европейските фондове при споделено управление, е записано, че заложеното изискване за събиране на данни в електронен дневник на стопанството, който да бъде цифрово достъпен за ДФ „Земеделие“ (т. 10.7 от Раздел „Ангажименти и други задължения на бенефициентите“ от Условията за изпълнение), не е задължително изискване на условията за изпълнение на дейностите по проекта и няма да подлежи на проверка. Поради постъпили запитвания от бенефициенти Държавен фонд „Земеделие“ предложи да бъдат изменени условията за изпълнение за по-голяма яснота.</w:t>
            </w:r>
          </w:p>
          <w:p w14:paraId="134CE185"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ПРЕДЛОЖЕНИЕ:</w:t>
            </w:r>
          </w:p>
          <w:p w14:paraId="077466AA"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 xml:space="preserve">1. </w:t>
            </w:r>
            <w:r w:rsidRPr="00BE7CE5">
              <w:rPr>
                <w:rFonts w:ascii="Verdana" w:hAnsi="Verdana"/>
                <w:spacing w:val="-2"/>
                <w:sz w:val="20"/>
                <w:szCs w:val="20"/>
              </w:rPr>
              <w:t xml:space="preserve">Предлагам в резултатите от общественото обсъждане да се включат нови текстове в заповедта, с които да се задължи ДФЗ да анексира всички договори по процедурата, по които за проекта да одобрени точки за критерия за оценка № 4.4. „Проектни предложения с инвестиции в иновативни за стопанството </w:t>
            </w:r>
            <w:r w:rsidRPr="00BE7CE5">
              <w:rPr>
                <w:rFonts w:ascii="Verdana" w:hAnsi="Verdana"/>
                <w:spacing w:val="-2"/>
                <w:sz w:val="20"/>
                <w:szCs w:val="20"/>
              </w:rPr>
              <w:lastRenderedPageBreak/>
              <w:t>технологии“ от  Раздел 22 „Критерии и методика за оценка” към Условията за кандидатстване.</w:t>
            </w:r>
          </w:p>
          <w:p w14:paraId="179335D7"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2. ДФЗ за ревизира всички подписани договор с Бенефициенти по процедурата и да остани несъответствията на договорите с образеца на същия от УИ с анекси.</w:t>
            </w:r>
          </w:p>
          <w:p w14:paraId="058547C9"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ОСНОВАНИЕ:</w:t>
            </w:r>
          </w:p>
          <w:p w14:paraId="651F92DB"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1. Несъответствие на образеца на договор по процедурата спрямо този, който е подписан между ДФЗ и Бенефициентите.</w:t>
            </w:r>
          </w:p>
          <w:p w14:paraId="0751B52D"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2. ДФЗ подписват договори, в които са премахнати текстове от „Чл. 26. Следните документи представляват приложения към този договор и са неразделна част от него:“:</w:t>
            </w:r>
          </w:p>
          <w:p w14:paraId="64A03C1D"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2.1 Например е премахнато „Приложение № 2а Таблица за инвестиционните разходи, за които не се кандидатства;“, а в чл. 5, ал. 3, т. 3 от същия, която Бенефициентът е длъжен да спазва, но при липсата на такова приложение не може да докаже, че него липсват такива активи, спрямо които да го изпълнява.</w:t>
            </w:r>
          </w:p>
          <w:p w14:paraId="722F0A49"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2.2. ДФЗ не прилага, като неразделна част от договора, „Приложение № 5 - Условията за изпълнение към финансираните по процедурата административни договори за предоставяне на БФП (на електронен носител);“, а го предава на Бенефициента, като отделен файл, който не е подписан от страните по договора.</w:t>
            </w:r>
          </w:p>
        </w:tc>
        <w:tc>
          <w:tcPr>
            <w:tcW w:w="3330" w:type="dxa"/>
          </w:tcPr>
          <w:p w14:paraId="11AA85FD" w14:textId="77777777" w:rsidR="00404A37" w:rsidRPr="00BE7CE5" w:rsidRDefault="00404A37" w:rsidP="003570D1">
            <w:pPr>
              <w:spacing w:line="276" w:lineRule="auto"/>
              <w:ind w:right="1"/>
              <w:jc w:val="both"/>
              <w:rPr>
                <w:rFonts w:ascii="Verdana" w:hAnsi="Verdana"/>
                <w:spacing w:val="-2"/>
                <w:sz w:val="20"/>
                <w:szCs w:val="20"/>
              </w:rPr>
            </w:pPr>
            <w:r w:rsidRPr="00BE7CE5">
              <w:rPr>
                <w:rFonts w:ascii="Verdana" w:hAnsi="Verdana"/>
                <w:spacing w:val="-2"/>
                <w:sz w:val="20"/>
                <w:szCs w:val="20"/>
              </w:rPr>
              <w:lastRenderedPageBreak/>
              <w:t>1. Приема се</w:t>
            </w:r>
            <w:r w:rsidR="00973444" w:rsidRPr="00BE7CE5">
              <w:rPr>
                <w:rFonts w:ascii="Verdana" w:hAnsi="Verdana"/>
                <w:spacing w:val="-2"/>
                <w:sz w:val="20"/>
                <w:szCs w:val="20"/>
              </w:rPr>
              <w:t xml:space="preserve"> частично</w:t>
            </w:r>
            <w:r w:rsidRPr="00BE7CE5">
              <w:rPr>
                <w:rFonts w:ascii="Verdana" w:hAnsi="Verdana"/>
                <w:spacing w:val="-2"/>
                <w:sz w:val="20"/>
                <w:szCs w:val="20"/>
              </w:rPr>
              <w:t>.</w:t>
            </w:r>
            <w:r w:rsidR="00973444" w:rsidRPr="00BE7CE5">
              <w:rPr>
                <w:rFonts w:ascii="Verdana" w:hAnsi="Verdana"/>
                <w:spacing w:val="-2"/>
                <w:sz w:val="20"/>
                <w:szCs w:val="20"/>
              </w:rPr>
              <w:t xml:space="preserve"> Промяната не е свързана с основанията за предоставяне на точки по критерия за оценка.</w:t>
            </w:r>
          </w:p>
          <w:p w14:paraId="55E2EAF0" w14:textId="77777777" w:rsidR="00404A37" w:rsidRPr="00BE7CE5" w:rsidRDefault="00404A37" w:rsidP="00D11FE7">
            <w:pPr>
              <w:pStyle w:val="ListParagraph"/>
              <w:numPr>
                <w:ilvl w:val="0"/>
                <w:numId w:val="36"/>
              </w:numPr>
              <w:spacing w:line="276" w:lineRule="auto"/>
              <w:ind w:left="0" w:right="1" w:firstLine="61"/>
              <w:jc w:val="both"/>
              <w:rPr>
                <w:rFonts w:ascii="Verdana" w:hAnsi="Verdana"/>
                <w:spacing w:val="-2"/>
              </w:rPr>
            </w:pPr>
            <w:proofErr w:type="spellStart"/>
            <w:r w:rsidRPr="00BE7CE5">
              <w:rPr>
                <w:rFonts w:ascii="Verdana" w:hAnsi="Verdana"/>
                <w:spacing w:val="-2"/>
              </w:rPr>
              <w:t>Не</w:t>
            </w:r>
            <w:proofErr w:type="spellEnd"/>
            <w:r w:rsidRPr="00BE7CE5">
              <w:rPr>
                <w:rFonts w:ascii="Verdana" w:hAnsi="Verdana"/>
                <w:spacing w:val="-2"/>
              </w:rPr>
              <w:t xml:space="preserve"> </w:t>
            </w:r>
            <w:proofErr w:type="spellStart"/>
            <w:r w:rsidRPr="00BE7CE5">
              <w:rPr>
                <w:rFonts w:ascii="Verdana" w:hAnsi="Verdana"/>
                <w:spacing w:val="-2"/>
              </w:rPr>
              <w:t>се</w:t>
            </w:r>
            <w:proofErr w:type="spellEnd"/>
            <w:r w:rsidRPr="00BE7CE5">
              <w:rPr>
                <w:rFonts w:ascii="Verdana" w:hAnsi="Verdana"/>
                <w:spacing w:val="-2"/>
              </w:rPr>
              <w:t xml:space="preserve"> </w:t>
            </w:r>
            <w:proofErr w:type="spellStart"/>
            <w:r w:rsidRPr="00BE7CE5">
              <w:rPr>
                <w:rFonts w:ascii="Verdana" w:hAnsi="Verdana"/>
                <w:spacing w:val="-2"/>
              </w:rPr>
              <w:t>приема</w:t>
            </w:r>
            <w:proofErr w:type="spellEnd"/>
            <w:r w:rsidRPr="00BE7CE5">
              <w:rPr>
                <w:rFonts w:ascii="Verdana" w:hAnsi="Verdana"/>
                <w:spacing w:val="-2"/>
              </w:rPr>
              <w:t>.</w:t>
            </w:r>
            <w:r w:rsidRPr="00BE7CE5">
              <w:t xml:space="preserve"> </w:t>
            </w:r>
            <w:proofErr w:type="spellStart"/>
            <w:r w:rsidRPr="00BE7CE5">
              <w:rPr>
                <w:rFonts w:ascii="Verdana" w:hAnsi="Verdana"/>
                <w:spacing w:val="-2"/>
              </w:rPr>
              <w:t>Приложение</w:t>
            </w:r>
            <w:proofErr w:type="spellEnd"/>
            <w:r w:rsidRPr="00BE7CE5">
              <w:rPr>
                <w:rFonts w:ascii="Verdana" w:hAnsi="Verdana"/>
                <w:spacing w:val="-2"/>
              </w:rPr>
              <w:t xml:space="preserve"> № 2а </w:t>
            </w:r>
            <w:proofErr w:type="spellStart"/>
            <w:r w:rsidRPr="00BE7CE5">
              <w:rPr>
                <w:rFonts w:ascii="Verdana" w:hAnsi="Verdana"/>
                <w:spacing w:val="-2"/>
              </w:rPr>
              <w:t>Таблица</w:t>
            </w:r>
            <w:proofErr w:type="spellEnd"/>
            <w:r w:rsidRPr="00BE7CE5">
              <w:rPr>
                <w:rFonts w:ascii="Verdana" w:hAnsi="Verdana"/>
                <w:spacing w:val="-2"/>
              </w:rPr>
              <w:t xml:space="preserve"> </w:t>
            </w:r>
            <w:proofErr w:type="spellStart"/>
            <w:r w:rsidRPr="00BE7CE5">
              <w:rPr>
                <w:rFonts w:ascii="Verdana" w:hAnsi="Verdana"/>
                <w:spacing w:val="-2"/>
              </w:rPr>
              <w:t>за</w:t>
            </w:r>
            <w:proofErr w:type="spellEnd"/>
            <w:r w:rsidRPr="00BE7CE5">
              <w:rPr>
                <w:rFonts w:ascii="Verdana" w:hAnsi="Verdana"/>
                <w:spacing w:val="-2"/>
              </w:rPr>
              <w:t xml:space="preserve"> </w:t>
            </w:r>
            <w:proofErr w:type="spellStart"/>
            <w:r w:rsidRPr="00BE7CE5">
              <w:rPr>
                <w:rFonts w:ascii="Verdana" w:hAnsi="Verdana"/>
                <w:spacing w:val="-2"/>
              </w:rPr>
              <w:t>инвестиционните</w:t>
            </w:r>
            <w:proofErr w:type="spellEnd"/>
            <w:r w:rsidRPr="00BE7CE5">
              <w:rPr>
                <w:rFonts w:ascii="Verdana" w:hAnsi="Verdana"/>
                <w:spacing w:val="-2"/>
              </w:rPr>
              <w:t xml:space="preserve"> </w:t>
            </w:r>
            <w:proofErr w:type="spellStart"/>
            <w:r w:rsidRPr="00BE7CE5">
              <w:rPr>
                <w:rFonts w:ascii="Verdana" w:hAnsi="Verdana"/>
                <w:spacing w:val="-2"/>
              </w:rPr>
              <w:t>разходи</w:t>
            </w:r>
            <w:proofErr w:type="spellEnd"/>
            <w:r w:rsidRPr="00BE7CE5">
              <w:rPr>
                <w:rFonts w:ascii="Verdana" w:hAnsi="Verdana"/>
                <w:spacing w:val="-2"/>
              </w:rPr>
              <w:t xml:space="preserve">, </w:t>
            </w:r>
            <w:proofErr w:type="spellStart"/>
            <w:r w:rsidRPr="00BE7CE5">
              <w:rPr>
                <w:rFonts w:ascii="Verdana" w:hAnsi="Verdana"/>
                <w:spacing w:val="-2"/>
              </w:rPr>
              <w:t>за</w:t>
            </w:r>
            <w:proofErr w:type="spellEnd"/>
            <w:r w:rsidRPr="00BE7CE5">
              <w:rPr>
                <w:rFonts w:ascii="Verdana" w:hAnsi="Verdana"/>
                <w:spacing w:val="-2"/>
              </w:rPr>
              <w:t xml:space="preserve"> </w:t>
            </w:r>
            <w:proofErr w:type="spellStart"/>
            <w:r w:rsidRPr="00BE7CE5">
              <w:rPr>
                <w:rFonts w:ascii="Verdana" w:hAnsi="Verdana"/>
                <w:spacing w:val="-2"/>
              </w:rPr>
              <w:t>които</w:t>
            </w:r>
            <w:proofErr w:type="spellEnd"/>
            <w:r w:rsidRPr="00BE7CE5">
              <w:rPr>
                <w:rFonts w:ascii="Verdana" w:hAnsi="Verdana"/>
                <w:spacing w:val="-2"/>
              </w:rPr>
              <w:t xml:space="preserve"> </w:t>
            </w:r>
            <w:proofErr w:type="spellStart"/>
            <w:r w:rsidRPr="00BE7CE5">
              <w:rPr>
                <w:rFonts w:ascii="Verdana" w:hAnsi="Verdana"/>
                <w:spacing w:val="-2"/>
              </w:rPr>
              <w:t>не</w:t>
            </w:r>
            <w:proofErr w:type="spellEnd"/>
            <w:r w:rsidRPr="00BE7CE5">
              <w:rPr>
                <w:rFonts w:ascii="Verdana" w:hAnsi="Verdana"/>
                <w:spacing w:val="-2"/>
              </w:rPr>
              <w:t xml:space="preserve"> </w:t>
            </w:r>
            <w:proofErr w:type="spellStart"/>
            <w:r w:rsidRPr="00BE7CE5">
              <w:rPr>
                <w:rFonts w:ascii="Verdana" w:hAnsi="Verdana"/>
                <w:spacing w:val="-2"/>
              </w:rPr>
              <w:t>се</w:t>
            </w:r>
            <w:proofErr w:type="spellEnd"/>
            <w:r w:rsidRPr="00BE7CE5">
              <w:rPr>
                <w:rFonts w:ascii="Verdana" w:hAnsi="Verdana"/>
                <w:spacing w:val="-2"/>
              </w:rPr>
              <w:t xml:space="preserve"> </w:t>
            </w:r>
            <w:proofErr w:type="spellStart"/>
            <w:r w:rsidRPr="00BE7CE5">
              <w:rPr>
                <w:rFonts w:ascii="Verdana" w:hAnsi="Verdana"/>
                <w:spacing w:val="-2"/>
              </w:rPr>
              <w:t>кандидатства</w:t>
            </w:r>
            <w:proofErr w:type="spellEnd"/>
            <w:r w:rsidRPr="00BE7CE5">
              <w:rPr>
                <w:rFonts w:ascii="Verdana" w:hAnsi="Verdana"/>
                <w:spacing w:val="-2"/>
              </w:rPr>
              <w:t xml:space="preserve"> </w:t>
            </w:r>
            <w:proofErr w:type="spellStart"/>
            <w:r w:rsidRPr="00BE7CE5">
              <w:rPr>
                <w:rFonts w:ascii="Verdana" w:hAnsi="Verdana"/>
                <w:spacing w:val="-2"/>
              </w:rPr>
              <w:t>се</w:t>
            </w:r>
            <w:proofErr w:type="spellEnd"/>
            <w:r w:rsidRPr="00BE7CE5">
              <w:rPr>
                <w:rFonts w:ascii="Verdana" w:hAnsi="Verdana"/>
                <w:spacing w:val="-2"/>
              </w:rPr>
              <w:t xml:space="preserve"> </w:t>
            </w:r>
            <w:proofErr w:type="spellStart"/>
            <w:r w:rsidRPr="00BE7CE5">
              <w:rPr>
                <w:rFonts w:ascii="Verdana" w:hAnsi="Verdana"/>
                <w:spacing w:val="-2"/>
              </w:rPr>
              <w:t>прилага</w:t>
            </w:r>
            <w:proofErr w:type="spellEnd"/>
            <w:r w:rsidRPr="00BE7CE5">
              <w:rPr>
                <w:rFonts w:ascii="Verdana" w:hAnsi="Verdana"/>
                <w:spacing w:val="-2"/>
              </w:rPr>
              <w:t xml:space="preserve"> </w:t>
            </w:r>
            <w:proofErr w:type="spellStart"/>
            <w:r w:rsidRPr="00BE7CE5">
              <w:rPr>
                <w:rFonts w:ascii="Verdana" w:hAnsi="Verdana"/>
                <w:spacing w:val="-2"/>
              </w:rPr>
              <w:t>само</w:t>
            </w:r>
            <w:proofErr w:type="spellEnd"/>
            <w:r w:rsidRPr="00BE7CE5">
              <w:rPr>
                <w:rFonts w:ascii="Verdana" w:hAnsi="Verdana"/>
                <w:spacing w:val="-2"/>
              </w:rPr>
              <w:t xml:space="preserve"> </w:t>
            </w:r>
            <w:proofErr w:type="spellStart"/>
            <w:r w:rsidRPr="00BE7CE5">
              <w:rPr>
                <w:rFonts w:ascii="Verdana" w:hAnsi="Verdana"/>
                <w:spacing w:val="-2"/>
              </w:rPr>
              <w:t>за</w:t>
            </w:r>
            <w:proofErr w:type="spellEnd"/>
            <w:r w:rsidRPr="00BE7CE5">
              <w:rPr>
                <w:rFonts w:ascii="Verdana" w:hAnsi="Verdana"/>
                <w:spacing w:val="-2"/>
              </w:rPr>
              <w:t xml:space="preserve"> </w:t>
            </w:r>
            <w:proofErr w:type="spellStart"/>
            <w:r w:rsidRPr="00BE7CE5">
              <w:rPr>
                <w:rFonts w:ascii="Verdana" w:hAnsi="Verdana"/>
                <w:spacing w:val="-2"/>
              </w:rPr>
              <w:t>договори</w:t>
            </w:r>
            <w:proofErr w:type="spellEnd"/>
            <w:r w:rsidRPr="00BE7CE5">
              <w:rPr>
                <w:rFonts w:ascii="Verdana" w:hAnsi="Verdana"/>
                <w:spacing w:val="-2"/>
              </w:rPr>
              <w:t xml:space="preserve">, в </w:t>
            </w:r>
            <w:proofErr w:type="spellStart"/>
            <w:r w:rsidRPr="00BE7CE5">
              <w:rPr>
                <w:rFonts w:ascii="Verdana" w:hAnsi="Verdana"/>
                <w:spacing w:val="-2"/>
              </w:rPr>
              <w:t>които</w:t>
            </w:r>
            <w:proofErr w:type="spellEnd"/>
            <w:r w:rsidRPr="00BE7CE5">
              <w:rPr>
                <w:rFonts w:ascii="Verdana" w:hAnsi="Verdana"/>
                <w:spacing w:val="-2"/>
              </w:rPr>
              <w:t xml:space="preserve"> </w:t>
            </w:r>
            <w:proofErr w:type="spellStart"/>
            <w:r w:rsidRPr="00BE7CE5">
              <w:rPr>
                <w:rFonts w:ascii="Verdana" w:hAnsi="Verdana"/>
                <w:spacing w:val="-2"/>
              </w:rPr>
              <w:t>има</w:t>
            </w:r>
            <w:proofErr w:type="spellEnd"/>
            <w:r w:rsidRPr="00BE7CE5">
              <w:rPr>
                <w:rFonts w:ascii="Verdana" w:hAnsi="Verdana"/>
                <w:spacing w:val="-2"/>
              </w:rPr>
              <w:t xml:space="preserve"> </w:t>
            </w:r>
            <w:proofErr w:type="spellStart"/>
            <w:r w:rsidRPr="00BE7CE5">
              <w:rPr>
                <w:rFonts w:ascii="Verdana" w:hAnsi="Verdana"/>
                <w:spacing w:val="-2"/>
              </w:rPr>
              <w:t>такива</w:t>
            </w:r>
            <w:proofErr w:type="spellEnd"/>
            <w:r w:rsidRPr="00BE7CE5">
              <w:rPr>
                <w:rFonts w:ascii="Verdana" w:hAnsi="Verdana"/>
                <w:spacing w:val="-2"/>
              </w:rPr>
              <w:t xml:space="preserve"> </w:t>
            </w:r>
            <w:proofErr w:type="spellStart"/>
            <w:r w:rsidRPr="00BE7CE5">
              <w:rPr>
                <w:rFonts w:ascii="Verdana" w:hAnsi="Verdana"/>
                <w:spacing w:val="-2"/>
              </w:rPr>
              <w:t>разходи</w:t>
            </w:r>
            <w:proofErr w:type="spellEnd"/>
            <w:r w:rsidRPr="00BE7CE5">
              <w:rPr>
                <w:rFonts w:ascii="Verdana" w:hAnsi="Verdana"/>
                <w:spacing w:val="-2"/>
                <w:lang w:val="bg-BG"/>
              </w:rPr>
              <w:t>.</w:t>
            </w:r>
          </w:p>
          <w:p w14:paraId="7D5BE395" w14:textId="77777777" w:rsidR="00404A37" w:rsidRPr="00BE7CE5" w:rsidRDefault="00404A37" w:rsidP="00D11FE7">
            <w:pPr>
              <w:spacing w:line="276" w:lineRule="auto"/>
              <w:ind w:right="1"/>
              <w:jc w:val="both"/>
              <w:rPr>
                <w:rFonts w:ascii="Verdana" w:hAnsi="Verdana"/>
                <w:spacing w:val="-2"/>
                <w:sz w:val="20"/>
                <w:szCs w:val="20"/>
              </w:rPr>
            </w:pPr>
            <w:r w:rsidRPr="00BE7CE5">
              <w:rPr>
                <w:rFonts w:ascii="Verdana" w:hAnsi="Verdana"/>
                <w:spacing w:val="-2"/>
                <w:sz w:val="20"/>
                <w:szCs w:val="20"/>
              </w:rPr>
              <w:t xml:space="preserve"> Приложението е част от одобрената процедура и както е указано е под формата на ел. носител.</w:t>
            </w:r>
          </w:p>
        </w:tc>
      </w:tr>
      <w:tr w:rsidR="00404A37" w:rsidRPr="00086D59" w14:paraId="2E092A60" w14:textId="77777777" w:rsidTr="004B7063">
        <w:tc>
          <w:tcPr>
            <w:tcW w:w="792" w:type="dxa"/>
          </w:tcPr>
          <w:p w14:paraId="55BBD248" w14:textId="77777777" w:rsidR="00404A37" w:rsidRPr="00086D59" w:rsidRDefault="00D11FE7" w:rsidP="00404A37">
            <w:pPr>
              <w:spacing w:line="360" w:lineRule="auto"/>
              <w:ind w:right="283"/>
              <w:jc w:val="center"/>
              <w:rPr>
                <w:rFonts w:ascii="Verdana" w:hAnsi="Verdana"/>
                <w:b/>
                <w:spacing w:val="-2"/>
                <w:sz w:val="20"/>
                <w:szCs w:val="20"/>
              </w:rPr>
            </w:pPr>
            <w:r>
              <w:rPr>
                <w:rFonts w:ascii="Verdana" w:hAnsi="Verdana"/>
                <w:b/>
                <w:spacing w:val="-2"/>
                <w:sz w:val="20"/>
                <w:szCs w:val="20"/>
              </w:rPr>
              <w:t>6</w:t>
            </w:r>
          </w:p>
        </w:tc>
        <w:tc>
          <w:tcPr>
            <w:tcW w:w="1809" w:type="dxa"/>
          </w:tcPr>
          <w:p w14:paraId="217EEF6C" w14:textId="77777777" w:rsidR="00404A37" w:rsidRPr="00086D59" w:rsidRDefault="003A0370" w:rsidP="00404A37">
            <w:pPr>
              <w:spacing w:before="80" w:after="40"/>
              <w:rPr>
                <w:rFonts w:ascii="Verdana" w:hAnsi="Verdana" w:cs="Tahoma"/>
                <w:color w:val="000000"/>
                <w:sz w:val="20"/>
                <w:szCs w:val="20"/>
              </w:rPr>
            </w:pPr>
            <w:r>
              <w:fldChar w:fldCharType="begin"/>
            </w:r>
            <w:r>
              <w:instrText xml:space="preserve"> HYPERLINK "mailto:emil.tzviatkov@gmail.com" </w:instrText>
            </w:r>
            <w:r>
              <w:fldChar w:fldCharType="separate"/>
            </w:r>
            <w:r w:rsidR="00404A37" w:rsidRPr="00086D59">
              <w:rPr>
                <w:rFonts w:ascii="Verdana" w:hAnsi="Verdana" w:cs="Tahoma"/>
                <w:color w:val="000000"/>
                <w:sz w:val="20"/>
                <w:szCs w:val="20"/>
              </w:rPr>
              <w:t>emil.tzviatkov@gmail.com</w:t>
            </w:r>
            <w:r>
              <w:rPr>
                <w:rFonts w:ascii="Verdana" w:hAnsi="Verdana" w:cs="Tahoma"/>
                <w:color w:val="000000"/>
                <w:sz w:val="20"/>
                <w:szCs w:val="20"/>
              </w:rPr>
              <w:fldChar w:fldCharType="end"/>
            </w:r>
          </w:p>
        </w:tc>
        <w:tc>
          <w:tcPr>
            <w:tcW w:w="1695" w:type="dxa"/>
          </w:tcPr>
          <w:p w14:paraId="1DB3BEDB" w14:textId="77777777" w:rsidR="00404A37" w:rsidRPr="00086D59" w:rsidRDefault="00404A37" w:rsidP="00404A37">
            <w:pPr>
              <w:spacing w:before="80" w:after="40"/>
              <w:rPr>
                <w:rFonts w:ascii="Verdana" w:hAnsi="Verdana" w:cs="Tahoma"/>
                <w:color w:val="000000"/>
                <w:sz w:val="20"/>
                <w:szCs w:val="20"/>
              </w:rPr>
            </w:pPr>
            <w:r w:rsidRPr="00086D59">
              <w:rPr>
                <w:rFonts w:ascii="Verdana" w:hAnsi="Verdana" w:cs="Tahoma"/>
                <w:color w:val="000000"/>
                <w:sz w:val="20"/>
                <w:szCs w:val="20"/>
              </w:rPr>
              <w:t>17.05.2023</w:t>
            </w:r>
          </w:p>
        </w:tc>
        <w:tc>
          <w:tcPr>
            <w:tcW w:w="7311" w:type="dxa"/>
          </w:tcPr>
          <w:p w14:paraId="13AD8904"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ЗАПОВЕД</w:t>
            </w:r>
          </w:p>
          <w:p w14:paraId="036E0D70" w14:textId="77777777" w:rsidR="00404A37" w:rsidRPr="00086D59" w:rsidRDefault="00404A37" w:rsidP="00404A37">
            <w:pPr>
              <w:ind w:right="-15"/>
              <w:jc w:val="both"/>
              <w:rPr>
                <w:rFonts w:ascii="Verdana" w:hAnsi="Verdana"/>
                <w:spacing w:val="-2"/>
                <w:sz w:val="20"/>
                <w:szCs w:val="20"/>
              </w:rPr>
            </w:pPr>
          </w:p>
          <w:p w14:paraId="300630E5"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 xml:space="preserve">1. В Приложение № 1 – Условия за кандидатстване по процедура чрез подбор на проектни предложения № BG06RDNP001-4.012 по </w:t>
            </w:r>
            <w:proofErr w:type="spellStart"/>
            <w:r w:rsidRPr="00086D59">
              <w:rPr>
                <w:rFonts w:ascii="Verdana" w:hAnsi="Verdana"/>
                <w:spacing w:val="-2"/>
                <w:sz w:val="20"/>
                <w:szCs w:val="20"/>
              </w:rPr>
              <w:t>подмярка</w:t>
            </w:r>
            <w:proofErr w:type="spellEnd"/>
            <w:r w:rsidRPr="00086D59">
              <w:rPr>
                <w:rFonts w:ascii="Verdana" w:hAnsi="Verdana"/>
                <w:spacing w:val="-2"/>
                <w:sz w:val="20"/>
                <w:szCs w:val="20"/>
              </w:rPr>
              <w:t xml:space="preserve"> 4.1 „Инвестиции в земеделски стопанства“ от мярка 4 „Инвестиции в материални активи“ от ПРСР 2014 – 2020 г. се правят следните изменения:</w:t>
            </w:r>
          </w:p>
          <w:p w14:paraId="788E854C"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„17.6. В случаите по т. 17.1, когато след одобрение на проектното предложение размерът на одобрената БФП е по-малка или равна на 50 на сто от одобрената обща стойност на проектното предложение, за допустими се признават и разходите, за които е избран изпълнител чрез три оферти и е сключен договор с него преди сключване на административния договор. Това условие не се отнася за случаите по т. 17.4. и т. 17.5.“</w:t>
            </w:r>
          </w:p>
          <w:p w14:paraId="0E9CB916"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ПРЕДЛОЖЕНИЕ:</w:t>
            </w:r>
          </w:p>
          <w:p w14:paraId="2D7539DD"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Предлагам новата точка 17.6 да отпадне.</w:t>
            </w:r>
          </w:p>
          <w:p w14:paraId="0539A7F5"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УО да прилага предложението в УК за следващи процедури по програмата</w:t>
            </w:r>
          </w:p>
          <w:p w14:paraId="0FED1F39"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ОСНОВАНИЕ:</w:t>
            </w:r>
          </w:p>
          <w:p w14:paraId="16D3908C"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 xml:space="preserve">В уводната част на заповедта е записано, че се издава на основание „…и чл. 26, ал. 7, т. 1 и 2 от Закона за управление на средствата от Европейските фондове при споделено управление (Загл. изм. - ДВ, </w:t>
            </w:r>
            <w:r w:rsidRPr="00086D59">
              <w:rPr>
                <w:rFonts w:ascii="Verdana" w:hAnsi="Verdana"/>
                <w:spacing w:val="-2"/>
                <w:sz w:val="20"/>
                <w:szCs w:val="20"/>
              </w:rPr>
              <w:lastRenderedPageBreak/>
              <w:t>бр. 51 от 2022 г., в сила от 01.07.2022 г.) (ЗУСЕФСУ)“. В посочените точки 1 и 2 е записано:</w:t>
            </w:r>
          </w:p>
          <w:p w14:paraId="4D5CFF3C"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1. при промени в правото на Европейския съюз и/или българското законодателство, в политиката на европейско и/или национално ниво, основана на стратегически документ или в съответната програма, които налагат привеждане на документите в съответствие с тях;</w:t>
            </w:r>
          </w:p>
          <w:p w14:paraId="03B8795E"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2. за увеличаване на финансовия ресурс по процедурата;</w:t>
            </w:r>
          </w:p>
          <w:p w14:paraId="5714B316"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Предложението не е на основание на точка 1, защото липсва промяна в акт или документ на ЕС или българското законодателство.</w:t>
            </w:r>
          </w:p>
          <w:p w14:paraId="502725B6"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По отношение на текста „…или в съответната програма“ от точка 1 липсва одобрено 16-то изменение на програмата, както е записано в доклада, в който е посочено „…В шестнадесето изменение на програмата, по предложение на членове на Комитета за наблюдение, на 20-то заседание, е включена и промяна в мярка 4  „Инвестиции в материални активи“, съгласно която процедури за избор на изпълнители по реда на Постановление № 160 от 1 юли 2016 г.“.</w:t>
            </w:r>
          </w:p>
          <w:p w14:paraId="08DEA557"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Предложението трябва да се внесе след одобрение на промяната в програмата и същата да е публикувана с посоченото изменение за да може да се прецени дали предложената промяна съответства на нея.</w:t>
            </w:r>
          </w:p>
          <w:p w14:paraId="6079B57F" w14:textId="77777777" w:rsidR="00404A37" w:rsidRPr="00086D59" w:rsidRDefault="00404A37" w:rsidP="00404A37">
            <w:pPr>
              <w:ind w:right="-15"/>
              <w:jc w:val="both"/>
              <w:rPr>
                <w:rFonts w:ascii="Verdana" w:hAnsi="Verdana"/>
                <w:spacing w:val="-2"/>
                <w:sz w:val="20"/>
                <w:szCs w:val="20"/>
              </w:rPr>
            </w:pPr>
            <w:r w:rsidRPr="00BE7CE5">
              <w:rPr>
                <w:rFonts w:ascii="Verdana" w:hAnsi="Verdana"/>
                <w:spacing w:val="-2"/>
                <w:sz w:val="20"/>
                <w:szCs w:val="20"/>
              </w:rPr>
              <w:t>Допълнително не следва да се променя реда за избор на изпълнители по реда Постановление № 160 от 1 юли 2016 г. с това предложение. Предложеният текст не е равнопоставен за всички участници по процедурата спрямо този ред, като се променя реда само за тези от тях, които са заявили по- голяма от 50% БФП, като са били наясно за всички последици за това по отношение на реда на избор на изпълнител. Допълнително постфактум останалите кандидати се оказва, че са поставени в по- неблагоприятно положение, като не са заявили по- висока БФП от 50%, защото са били наясно за всичко, което следва за това, НО НЕ СА БИЛИ НАЯСНО, ЧЕ В ПЕРИОДА НА ИЗПЪЛНЕНИЕ НА</w:t>
            </w:r>
            <w:r w:rsidRPr="00086D59">
              <w:rPr>
                <w:rFonts w:ascii="Verdana" w:hAnsi="Verdana"/>
                <w:spacing w:val="-2"/>
                <w:sz w:val="20"/>
                <w:szCs w:val="20"/>
              </w:rPr>
              <w:t xml:space="preserve"> ПРОЕКТИТЕ УО, ЩЕ „ПРОМЕНЯ ПРАВИЛАТА НА ИГРАТА“.</w:t>
            </w:r>
          </w:p>
        </w:tc>
        <w:tc>
          <w:tcPr>
            <w:tcW w:w="3330" w:type="dxa"/>
          </w:tcPr>
          <w:p w14:paraId="3834C080" w14:textId="77777777" w:rsidR="00404A37" w:rsidRDefault="00404A37" w:rsidP="00404A37">
            <w:pPr>
              <w:spacing w:line="276" w:lineRule="auto"/>
              <w:ind w:right="-104"/>
              <w:jc w:val="both"/>
              <w:rPr>
                <w:rFonts w:ascii="Verdana" w:hAnsi="Verdana"/>
                <w:spacing w:val="-2"/>
                <w:sz w:val="20"/>
                <w:szCs w:val="20"/>
              </w:rPr>
            </w:pPr>
            <w:r w:rsidRPr="00E469CC">
              <w:rPr>
                <w:rFonts w:ascii="Verdana" w:hAnsi="Verdana"/>
                <w:spacing w:val="-2"/>
                <w:sz w:val="20"/>
                <w:szCs w:val="20"/>
              </w:rPr>
              <w:lastRenderedPageBreak/>
              <w:t xml:space="preserve">Не се приема. </w:t>
            </w:r>
          </w:p>
          <w:p w14:paraId="5AC9AF89" w14:textId="77777777" w:rsidR="00404A37" w:rsidRDefault="00404A37" w:rsidP="00404A37">
            <w:pPr>
              <w:spacing w:line="276" w:lineRule="auto"/>
              <w:ind w:right="-104"/>
              <w:jc w:val="both"/>
              <w:rPr>
                <w:rFonts w:ascii="Verdana" w:hAnsi="Verdana"/>
                <w:spacing w:val="-2"/>
                <w:sz w:val="20"/>
                <w:szCs w:val="20"/>
              </w:rPr>
            </w:pPr>
            <w:r w:rsidRPr="00E469CC">
              <w:rPr>
                <w:rFonts w:ascii="Verdana" w:hAnsi="Verdana"/>
                <w:spacing w:val="-2"/>
                <w:sz w:val="20"/>
                <w:szCs w:val="20"/>
              </w:rPr>
              <w:t xml:space="preserve">Предложението е въз основа на промяна </w:t>
            </w:r>
            <w:r>
              <w:rPr>
                <w:rFonts w:ascii="Verdana" w:hAnsi="Verdana"/>
                <w:spacing w:val="-2"/>
                <w:sz w:val="20"/>
                <w:szCs w:val="20"/>
              </w:rPr>
              <w:t>н</w:t>
            </w:r>
            <w:r w:rsidRPr="00E469CC">
              <w:rPr>
                <w:rFonts w:ascii="Verdana" w:hAnsi="Verdana"/>
                <w:spacing w:val="-2"/>
                <w:sz w:val="20"/>
                <w:szCs w:val="20"/>
              </w:rPr>
              <w:t>а Програма за развитие на селските райони</w:t>
            </w:r>
            <w:r>
              <w:rPr>
                <w:rFonts w:ascii="Verdana" w:hAnsi="Verdana"/>
                <w:spacing w:val="-2"/>
                <w:sz w:val="20"/>
                <w:szCs w:val="20"/>
              </w:rPr>
              <w:t xml:space="preserve"> за периода 2014-2020 г. В доклада са посочени основанията, които дават възможност промените да се прилагат преди одобрение на изменението.</w:t>
            </w:r>
          </w:p>
          <w:p w14:paraId="06600E17" w14:textId="77777777" w:rsidR="00404A37" w:rsidRPr="00E469CC" w:rsidRDefault="00404A37" w:rsidP="00404A37">
            <w:pPr>
              <w:spacing w:line="276" w:lineRule="auto"/>
              <w:ind w:right="-104"/>
              <w:jc w:val="both"/>
              <w:rPr>
                <w:rFonts w:ascii="Verdana" w:hAnsi="Verdana"/>
                <w:spacing w:val="-2"/>
                <w:sz w:val="20"/>
                <w:szCs w:val="20"/>
              </w:rPr>
            </w:pPr>
            <w:r>
              <w:rPr>
                <w:rFonts w:ascii="Verdana" w:hAnsi="Verdana"/>
                <w:spacing w:val="-2"/>
                <w:sz w:val="20"/>
                <w:szCs w:val="20"/>
              </w:rPr>
              <w:t xml:space="preserve">С изменението </w:t>
            </w:r>
            <w:r w:rsidRPr="00E469CC">
              <w:rPr>
                <w:rFonts w:ascii="Verdana" w:hAnsi="Verdana"/>
                <w:spacing w:val="-2"/>
                <w:sz w:val="20"/>
                <w:szCs w:val="20"/>
              </w:rPr>
              <w:t>се предоставя възможност на бенефициенти</w:t>
            </w:r>
            <w:r>
              <w:rPr>
                <w:rFonts w:ascii="Verdana" w:hAnsi="Verdana"/>
                <w:spacing w:val="-2"/>
                <w:sz w:val="20"/>
                <w:szCs w:val="20"/>
              </w:rPr>
              <w:t>т</w:t>
            </w:r>
            <w:r w:rsidRPr="00E469CC">
              <w:rPr>
                <w:rFonts w:ascii="Verdana" w:hAnsi="Verdana"/>
                <w:spacing w:val="-2"/>
                <w:sz w:val="20"/>
                <w:szCs w:val="20"/>
              </w:rPr>
              <w:t xml:space="preserve">е, които </w:t>
            </w:r>
            <w:r>
              <w:rPr>
                <w:rFonts w:ascii="Verdana" w:hAnsi="Verdana"/>
                <w:spacing w:val="-2"/>
                <w:sz w:val="20"/>
                <w:szCs w:val="20"/>
              </w:rPr>
              <w:t xml:space="preserve">след намаляване размера на помощта от страна на оценителната Комисия </w:t>
            </w:r>
            <w:r w:rsidRPr="00E469CC">
              <w:rPr>
                <w:rFonts w:ascii="Verdana" w:hAnsi="Verdana"/>
                <w:spacing w:val="-2"/>
                <w:sz w:val="20"/>
                <w:szCs w:val="20"/>
              </w:rPr>
              <w:t xml:space="preserve">са  одобрени за подпомагане с 50% </w:t>
            </w:r>
            <w:r>
              <w:rPr>
                <w:rFonts w:ascii="Verdana" w:hAnsi="Verdana"/>
                <w:spacing w:val="-2"/>
                <w:sz w:val="20"/>
                <w:szCs w:val="20"/>
              </w:rPr>
              <w:t>БФП,</w:t>
            </w:r>
            <w:r w:rsidRPr="00E469CC">
              <w:rPr>
                <w:rFonts w:ascii="Verdana" w:hAnsi="Verdana"/>
                <w:spacing w:val="-2"/>
                <w:sz w:val="20"/>
                <w:szCs w:val="20"/>
              </w:rPr>
              <w:t xml:space="preserve"> да не извършват процедура за избор на </w:t>
            </w:r>
            <w:r w:rsidRPr="00E469CC">
              <w:rPr>
                <w:rFonts w:ascii="Verdana" w:hAnsi="Verdana"/>
                <w:spacing w:val="-2"/>
                <w:sz w:val="20"/>
                <w:szCs w:val="20"/>
              </w:rPr>
              <w:lastRenderedPageBreak/>
              <w:t>изпълнител по реда на ПМС № 160 от 2016 г.</w:t>
            </w:r>
            <w:r>
              <w:rPr>
                <w:rFonts w:ascii="Verdana" w:hAnsi="Verdana"/>
                <w:spacing w:val="-2"/>
                <w:sz w:val="20"/>
                <w:szCs w:val="20"/>
              </w:rPr>
              <w:t xml:space="preserve"> На практика тази промяна поставя всички кандидати с одобрен размер на подпомагането в размер на 50% и по-малко проценти от допустимите разходи при равни условия за избор на изпълнител/и.</w:t>
            </w:r>
          </w:p>
        </w:tc>
      </w:tr>
      <w:tr w:rsidR="00404A37" w:rsidRPr="00086D59" w14:paraId="0188C3DF" w14:textId="77777777" w:rsidTr="004B7063">
        <w:tc>
          <w:tcPr>
            <w:tcW w:w="792" w:type="dxa"/>
          </w:tcPr>
          <w:p w14:paraId="30AB6A2F" w14:textId="77777777" w:rsidR="00404A37" w:rsidRPr="00086D59" w:rsidRDefault="00D11FE7" w:rsidP="00404A37">
            <w:pPr>
              <w:spacing w:line="360" w:lineRule="auto"/>
              <w:ind w:right="283"/>
              <w:jc w:val="center"/>
              <w:rPr>
                <w:rFonts w:ascii="Verdana" w:hAnsi="Verdana"/>
                <w:b/>
                <w:spacing w:val="-2"/>
                <w:sz w:val="20"/>
                <w:szCs w:val="20"/>
              </w:rPr>
            </w:pPr>
            <w:r>
              <w:rPr>
                <w:rFonts w:ascii="Verdana" w:hAnsi="Verdana"/>
                <w:b/>
                <w:spacing w:val="-2"/>
                <w:sz w:val="20"/>
                <w:szCs w:val="20"/>
              </w:rPr>
              <w:lastRenderedPageBreak/>
              <w:t>7</w:t>
            </w:r>
          </w:p>
        </w:tc>
        <w:tc>
          <w:tcPr>
            <w:tcW w:w="1809" w:type="dxa"/>
          </w:tcPr>
          <w:p w14:paraId="3B156797" w14:textId="77777777" w:rsidR="00404A37" w:rsidRPr="00086D59" w:rsidRDefault="003A0370" w:rsidP="00404A37">
            <w:pPr>
              <w:spacing w:before="80" w:after="40"/>
              <w:rPr>
                <w:rFonts w:ascii="Verdana" w:hAnsi="Verdana" w:cs="Tahoma"/>
                <w:color w:val="000000"/>
                <w:sz w:val="20"/>
                <w:szCs w:val="20"/>
              </w:rPr>
            </w:pPr>
            <w:r>
              <w:fldChar w:fldCharType="begin"/>
            </w:r>
            <w:r>
              <w:instrText xml:space="preserve"> HYPERLINK "mailto:emil.tzviatkov@gmail.com" </w:instrText>
            </w:r>
            <w:r>
              <w:fldChar w:fldCharType="separate"/>
            </w:r>
            <w:r w:rsidR="00404A37" w:rsidRPr="00086D59">
              <w:rPr>
                <w:rFonts w:ascii="Verdana" w:hAnsi="Verdana" w:cs="Tahoma"/>
                <w:color w:val="000000"/>
                <w:sz w:val="20"/>
                <w:szCs w:val="20"/>
              </w:rPr>
              <w:t>emil.tzviatkov@gmail.com</w:t>
            </w:r>
            <w:r>
              <w:rPr>
                <w:rFonts w:ascii="Verdana" w:hAnsi="Verdana" w:cs="Tahoma"/>
                <w:color w:val="000000"/>
                <w:sz w:val="20"/>
                <w:szCs w:val="20"/>
              </w:rPr>
              <w:fldChar w:fldCharType="end"/>
            </w:r>
          </w:p>
        </w:tc>
        <w:tc>
          <w:tcPr>
            <w:tcW w:w="1695" w:type="dxa"/>
          </w:tcPr>
          <w:p w14:paraId="3F33CF84" w14:textId="77777777" w:rsidR="00404A37" w:rsidRPr="00086D59" w:rsidRDefault="00404A37" w:rsidP="00404A37">
            <w:pPr>
              <w:spacing w:before="80" w:after="40"/>
              <w:rPr>
                <w:rFonts w:ascii="Verdana" w:hAnsi="Verdana" w:cs="Tahoma"/>
                <w:color w:val="000000"/>
                <w:sz w:val="20"/>
                <w:szCs w:val="20"/>
              </w:rPr>
            </w:pPr>
            <w:r w:rsidRPr="00086D59">
              <w:rPr>
                <w:rFonts w:ascii="Verdana" w:hAnsi="Verdana" w:cs="Tahoma"/>
                <w:color w:val="000000"/>
                <w:sz w:val="20"/>
                <w:szCs w:val="20"/>
              </w:rPr>
              <w:t>17.05.2023</w:t>
            </w:r>
          </w:p>
        </w:tc>
        <w:tc>
          <w:tcPr>
            <w:tcW w:w="7311" w:type="dxa"/>
          </w:tcPr>
          <w:p w14:paraId="41ACD59E"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ЗАПОВЕД</w:t>
            </w:r>
          </w:p>
          <w:p w14:paraId="1E8BDFFF" w14:textId="77777777" w:rsidR="00404A37" w:rsidRPr="00086D59" w:rsidRDefault="00404A37" w:rsidP="00404A37">
            <w:pPr>
              <w:ind w:right="-15"/>
              <w:jc w:val="both"/>
              <w:rPr>
                <w:rFonts w:ascii="Verdana" w:hAnsi="Verdana"/>
                <w:spacing w:val="-2"/>
                <w:sz w:val="20"/>
                <w:szCs w:val="20"/>
              </w:rPr>
            </w:pPr>
          </w:p>
          <w:p w14:paraId="771D0C0E"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 xml:space="preserve">2. В Приложение № 2 – Условия за изпълнение на одобрени проекти по процедура чрез подбор на проектни предложения № BG06RDNP001-4.012 по </w:t>
            </w:r>
            <w:proofErr w:type="spellStart"/>
            <w:r w:rsidRPr="00086D59">
              <w:rPr>
                <w:rFonts w:ascii="Verdana" w:hAnsi="Verdana"/>
                <w:spacing w:val="-2"/>
                <w:sz w:val="20"/>
                <w:szCs w:val="20"/>
              </w:rPr>
              <w:t>подмярка</w:t>
            </w:r>
            <w:proofErr w:type="spellEnd"/>
            <w:r w:rsidRPr="00086D59">
              <w:rPr>
                <w:rFonts w:ascii="Verdana" w:hAnsi="Verdana"/>
                <w:spacing w:val="-2"/>
                <w:sz w:val="20"/>
                <w:szCs w:val="20"/>
              </w:rPr>
              <w:t xml:space="preserve"> 4.1 „Инвестиции в земеделски стопанства“ от мярка 4 „Инвестиции в материални активи“ от ПРСР 2014 – 2020 г. се правят следните изменения:</w:t>
            </w:r>
          </w:p>
          <w:p w14:paraId="30646DCC"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 xml:space="preserve">2.1. в част А. „Техническо изпълнение на проектите“, Раздел II „Критерии за допустимост, критерии за оценка ангажименти и други </w:t>
            </w:r>
            <w:r w:rsidRPr="00086D59">
              <w:rPr>
                <w:rFonts w:ascii="Verdana" w:hAnsi="Verdana"/>
                <w:spacing w:val="-2"/>
                <w:sz w:val="20"/>
                <w:szCs w:val="20"/>
              </w:rPr>
              <w:lastRenderedPageBreak/>
              <w:t>задължения на бенефициентите“, подраздел „Ангажименти и други задължения на бенефициентите“:</w:t>
            </w:r>
          </w:p>
          <w:p w14:paraId="17D4F691"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2.1.1. точка 2 се изменя така:</w:t>
            </w:r>
          </w:p>
          <w:p w14:paraId="6003C8C7" w14:textId="77777777" w:rsidR="00404A37" w:rsidRPr="00086D59" w:rsidRDefault="00404A37" w:rsidP="00404A37">
            <w:pPr>
              <w:ind w:right="-15"/>
              <w:jc w:val="both"/>
              <w:rPr>
                <w:rFonts w:ascii="Verdana" w:hAnsi="Verdana"/>
                <w:spacing w:val="-2"/>
                <w:sz w:val="20"/>
                <w:szCs w:val="20"/>
              </w:rPr>
            </w:pPr>
          </w:p>
          <w:p w14:paraId="0C3A6BAA"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ПРЕДЛОЖЕНИЕ:</w:t>
            </w:r>
          </w:p>
          <w:p w14:paraId="3841056A"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Предлагам новата точка 2.1.1 да отпадне.</w:t>
            </w:r>
          </w:p>
          <w:p w14:paraId="3179973D"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УО да прилага предложението в УК за следващи процедури по програмата</w:t>
            </w:r>
          </w:p>
          <w:p w14:paraId="20ABCFEF"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ОСНОВАНИЕ:</w:t>
            </w:r>
          </w:p>
          <w:p w14:paraId="7A54D651"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В уводната част на заповедта е записано, че се издава на основание „…и чл. 26, ал. 7, т. 1 и 2 от Закона за управление на средствата от Европейските фондове при споделено управление (Загл. изм. - ДВ, бр. 51 от 2022 г., в сила от 01.07.2022 г.) (ЗУСЕФСУ)“. В посочените точки 1 и 2 е записано:</w:t>
            </w:r>
          </w:p>
          <w:p w14:paraId="23AEE11B"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1. при промени в правото на Европейския съюз и/или българското законодателство, в политиката на европейско и/или национално ниво, основана на стратегически документ или в съответната програма, които налагат привеждане на документите в съответствие с тях;</w:t>
            </w:r>
          </w:p>
          <w:p w14:paraId="06FE9012"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2. за увеличаване на финансовия ресурс по процедурата;</w:t>
            </w:r>
          </w:p>
          <w:p w14:paraId="6EE9AC0C"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Предложението не е на основание на точка 1, защото липсва промяна в акт или документ на ЕС или българското законодателство.</w:t>
            </w:r>
          </w:p>
          <w:p w14:paraId="157A3A54"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По отношение на текста „…или в съответната програма“ от точка 1 липсва одобрено 16-то изменение на програмата, както е записано в доклада, в който е посочено „…В шестнадесето изменение на програмата, по предложение на членове на Комитета за наблюдение, на 20-то заседание, е включена и промяна в мярка 4  „Инвестиции в материални активи“, съгласно която процедури за избор на изпълнители по реда на Постановление № 160 от 1 юли 2016 г.“.</w:t>
            </w:r>
          </w:p>
          <w:p w14:paraId="0D1C66A2"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Предложението трябва да се внесе след одобрение на промяната в програмата и същата да е публикувана с посоченото изменение за да може да се прецени дали предложената промяна съответства на нея.</w:t>
            </w:r>
          </w:p>
          <w:p w14:paraId="159A1E95"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 xml:space="preserve">Допълнително не следва да се променя реда за избор на изпълнители по реда Постановление № 160 от 1 юли 2016 г. с това предложение. Предложеният текст не е равнопоставен за всички участници по процедурата спрямо този ред, като се променя реда само за тези от тях, които са заявили по- голяма от 50% БФП, като са били наясно за всички последици за това по отношение на реда на избор на изпълнител. Допълнително постфактум останалите кандидати се оказва, че са поставени в по- неблагоприятно положение, като не са заявили по- висока БФП от 50%, защото са били наясно за всичко, което следва за това, НО НЕ СА БИЛИ НАЯСНО, ЧЕ В ПЕРИОДА НА </w:t>
            </w:r>
            <w:r w:rsidRPr="00086D59">
              <w:rPr>
                <w:rFonts w:ascii="Verdana" w:hAnsi="Verdana"/>
                <w:spacing w:val="-2"/>
                <w:sz w:val="20"/>
                <w:szCs w:val="20"/>
              </w:rPr>
              <w:lastRenderedPageBreak/>
              <w:t>ИЗПЪЛНЕНИЕ НА ПРОЕКТИТЕ УО, ЩЕ „ПРОМЕНЯ ПРАВИЛАТА НА ИГРАТА“.</w:t>
            </w:r>
          </w:p>
        </w:tc>
        <w:tc>
          <w:tcPr>
            <w:tcW w:w="3330" w:type="dxa"/>
          </w:tcPr>
          <w:p w14:paraId="549409C7" w14:textId="77777777" w:rsidR="00404A37" w:rsidRDefault="00404A37" w:rsidP="00404A37">
            <w:pPr>
              <w:spacing w:line="276" w:lineRule="auto"/>
              <w:ind w:right="-104"/>
              <w:jc w:val="both"/>
              <w:rPr>
                <w:rFonts w:ascii="Verdana" w:hAnsi="Verdana"/>
                <w:spacing w:val="-2"/>
                <w:sz w:val="20"/>
                <w:szCs w:val="20"/>
              </w:rPr>
            </w:pPr>
            <w:r w:rsidRPr="00E469CC">
              <w:rPr>
                <w:rFonts w:ascii="Verdana" w:hAnsi="Verdana"/>
                <w:spacing w:val="-2"/>
                <w:sz w:val="20"/>
                <w:szCs w:val="20"/>
              </w:rPr>
              <w:lastRenderedPageBreak/>
              <w:t xml:space="preserve">Не се приема. </w:t>
            </w:r>
          </w:p>
          <w:p w14:paraId="4E47F45A" w14:textId="77777777" w:rsidR="00404A37" w:rsidRDefault="00404A37" w:rsidP="00404A37">
            <w:pPr>
              <w:spacing w:line="276" w:lineRule="auto"/>
              <w:ind w:right="-104"/>
              <w:jc w:val="both"/>
              <w:rPr>
                <w:rFonts w:ascii="Verdana" w:hAnsi="Verdana"/>
                <w:spacing w:val="-2"/>
                <w:sz w:val="20"/>
                <w:szCs w:val="20"/>
              </w:rPr>
            </w:pPr>
            <w:r w:rsidRPr="00E469CC">
              <w:rPr>
                <w:rFonts w:ascii="Verdana" w:hAnsi="Verdana"/>
                <w:spacing w:val="-2"/>
                <w:sz w:val="20"/>
                <w:szCs w:val="20"/>
              </w:rPr>
              <w:t>Предложението е въз основа на промяна ва Програма за развитие на селските райони</w:t>
            </w:r>
            <w:r>
              <w:rPr>
                <w:rFonts w:ascii="Verdana" w:hAnsi="Verdana"/>
                <w:spacing w:val="-2"/>
                <w:sz w:val="20"/>
                <w:szCs w:val="20"/>
              </w:rPr>
              <w:t xml:space="preserve"> за периода 2014-2020 г. В доклада са посочени основанията, които дават възможност промените да се </w:t>
            </w:r>
            <w:r>
              <w:rPr>
                <w:rFonts w:ascii="Verdana" w:hAnsi="Verdana"/>
                <w:spacing w:val="-2"/>
                <w:sz w:val="20"/>
                <w:szCs w:val="20"/>
              </w:rPr>
              <w:lastRenderedPageBreak/>
              <w:t>прилагат преди одобрение на изменението.</w:t>
            </w:r>
          </w:p>
          <w:p w14:paraId="39761177" w14:textId="77777777" w:rsidR="00404A37" w:rsidRPr="00086D59" w:rsidRDefault="00404A37" w:rsidP="00D11FE7">
            <w:pPr>
              <w:spacing w:line="276" w:lineRule="auto"/>
              <w:jc w:val="both"/>
              <w:rPr>
                <w:rFonts w:ascii="Verdana" w:hAnsi="Verdana"/>
                <w:b/>
                <w:spacing w:val="-2"/>
                <w:sz w:val="20"/>
                <w:szCs w:val="20"/>
              </w:rPr>
            </w:pPr>
            <w:r>
              <w:rPr>
                <w:rFonts w:ascii="Verdana" w:hAnsi="Verdana"/>
                <w:spacing w:val="-2"/>
                <w:sz w:val="20"/>
                <w:szCs w:val="20"/>
              </w:rPr>
              <w:t xml:space="preserve">С изменението </w:t>
            </w:r>
            <w:r w:rsidRPr="00E469CC">
              <w:rPr>
                <w:rFonts w:ascii="Verdana" w:hAnsi="Verdana"/>
                <w:spacing w:val="-2"/>
                <w:sz w:val="20"/>
                <w:szCs w:val="20"/>
              </w:rPr>
              <w:t>се предоставя възможност на бенефициенти</w:t>
            </w:r>
            <w:r>
              <w:rPr>
                <w:rFonts w:ascii="Verdana" w:hAnsi="Verdana"/>
                <w:spacing w:val="-2"/>
                <w:sz w:val="20"/>
                <w:szCs w:val="20"/>
              </w:rPr>
              <w:t>т</w:t>
            </w:r>
            <w:r w:rsidRPr="00E469CC">
              <w:rPr>
                <w:rFonts w:ascii="Verdana" w:hAnsi="Verdana"/>
                <w:spacing w:val="-2"/>
                <w:sz w:val="20"/>
                <w:szCs w:val="20"/>
              </w:rPr>
              <w:t xml:space="preserve">е, които </w:t>
            </w:r>
            <w:r w:rsidRPr="00802ECB">
              <w:rPr>
                <w:rFonts w:ascii="Verdana" w:hAnsi="Verdana"/>
                <w:spacing w:val="-2"/>
                <w:sz w:val="20"/>
                <w:szCs w:val="20"/>
              </w:rPr>
              <w:t xml:space="preserve">след намаляване размера на помощта от страна на оценителната Комисия </w:t>
            </w:r>
            <w:r w:rsidRPr="00E469CC">
              <w:rPr>
                <w:rFonts w:ascii="Verdana" w:hAnsi="Verdana"/>
                <w:spacing w:val="-2"/>
                <w:sz w:val="20"/>
                <w:szCs w:val="20"/>
              </w:rPr>
              <w:t xml:space="preserve">са одобрени за подпомагане с 50% </w:t>
            </w:r>
            <w:r w:rsidRPr="00802ECB">
              <w:rPr>
                <w:rFonts w:ascii="Verdana" w:hAnsi="Verdana"/>
                <w:spacing w:val="-2"/>
                <w:sz w:val="20"/>
                <w:szCs w:val="20"/>
              </w:rPr>
              <w:t xml:space="preserve">БФП, </w:t>
            </w:r>
            <w:r w:rsidRPr="00E469CC">
              <w:rPr>
                <w:rFonts w:ascii="Verdana" w:hAnsi="Verdana"/>
                <w:spacing w:val="-2"/>
                <w:sz w:val="20"/>
                <w:szCs w:val="20"/>
              </w:rPr>
              <w:t xml:space="preserve"> да не извършват процедура за избор на изпълнител по реда на ПМС № 160 от 2016 г. </w:t>
            </w:r>
            <w:r>
              <w:rPr>
                <w:rFonts w:ascii="Verdana" w:hAnsi="Verdana"/>
                <w:spacing w:val="-2"/>
                <w:sz w:val="20"/>
                <w:szCs w:val="20"/>
              </w:rPr>
              <w:t xml:space="preserve">На практика тази промяна поставя всички кандидати с одобрен размер на подпомагането в размер на 50% и по-малко </w:t>
            </w:r>
            <w:r w:rsidRPr="00802ECB">
              <w:rPr>
                <w:rFonts w:ascii="Verdana" w:hAnsi="Verdana"/>
                <w:spacing w:val="-2"/>
                <w:sz w:val="20"/>
                <w:szCs w:val="20"/>
              </w:rPr>
              <w:t xml:space="preserve">проценти от допустимите разходи </w:t>
            </w:r>
            <w:r>
              <w:rPr>
                <w:rFonts w:ascii="Verdana" w:hAnsi="Verdana"/>
                <w:spacing w:val="-2"/>
                <w:sz w:val="20"/>
                <w:szCs w:val="20"/>
              </w:rPr>
              <w:t>при равни условия</w:t>
            </w:r>
            <w:r w:rsidRPr="00802ECB">
              <w:rPr>
                <w:rFonts w:ascii="Verdana" w:hAnsi="Verdana"/>
                <w:spacing w:val="-2"/>
                <w:sz w:val="20"/>
                <w:szCs w:val="20"/>
              </w:rPr>
              <w:t xml:space="preserve"> за избор на изпълнител/и</w:t>
            </w:r>
            <w:r>
              <w:rPr>
                <w:rFonts w:ascii="Verdana" w:hAnsi="Verdana"/>
                <w:spacing w:val="-2"/>
                <w:sz w:val="20"/>
                <w:szCs w:val="20"/>
              </w:rPr>
              <w:t>.</w:t>
            </w:r>
          </w:p>
        </w:tc>
      </w:tr>
      <w:tr w:rsidR="00404A37" w:rsidRPr="00086D59" w14:paraId="5CA467B0" w14:textId="77777777" w:rsidTr="004B7063">
        <w:tc>
          <w:tcPr>
            <w:tcW w:w="792" w:type="dxa"/>
          </w:tcPr>
          <w:p w14:paraId="76CEF9FB" w14:textId="77777777" w:rsidR="00404A37" w:rsidRPr="00086D59" w:rsidRDefault="00D11FE7" w:rsidP="00404A37">
            <w:pPr>
              <w:spacing w:line="360" w:lineRule="auto"/>
              <w:ind w:right="283"/>
              <w:jc w:val="center"/>
              <w:rPr>
                <w:rFonts w:ascii="Verdana" w:hAnsi="Verdana"/>
                <w:b/>
                <w:spacing w:val="-2"/>
                <w:sz w:val="20"/>
                <w:szCs w:val="20"/>
              </w:rPr>
            </w:pPr>
            <w:r>
              <w:rPr>
                <w:rFonts w:ascii="Verdana" w:hAnsi="Verdana"/>
                <w:b/>
                <w:spacing w:val="-2"/>
                <w:sz w:val="20"/>
                <w:szCs w:val="20"/>
              </w:rPr>
              <w:lastRenderedPageBreak/>
              <w:t>8</w:t>
            </w:r>
          </w:p>
        </w:tc>
        <w:tc>
          <w:tcPr>
            <w:tcW w:w="1809" w:type="dxa"/>
          </w:tcPr>
          <w:p w14:paraId="7D590652" w14:textId="77777777" w:rsidR="00404A37" w:rsidRPr="00086D59" w:rsidRDefault="003A0370" w:rsidP="00404A37">
            <w:pPr>
              <w:spacing w:before="80" w:after="40"/>
              <w:rPr>
                <w:rFonts w:ascii="Verdana" w:hAnsi="Verdana" w:cs="Tahoma"/>
                <w:color w:val="000000"/>
                <w:sz w:val="20"/>
                <w:szCs w:val="20"/>
              </w:rPr>
            </w:pPr>
            <w:r>
              <w:fldChar w:fldCharType="begin"/>
            </w:r>
            <w:r>
              <w:instrText xml:space="preserve"> HYPERLINK "mailto:emil.tzviatkov@gmail.com" </w:instrText>
            </w:r>
            <w:r>
              <w:fldChar w:fldCharType="separate"/>
            </w:r>
            <w:r w:rsidR="00404A37" w:rsidRPr="00086D59">
              <w:rPr>
                <w:rFonts w:ascii="Verdana" w:hAnsi="Verdana" w:cs="Tahoma"/>
                <w:color w:val="000000"/>
                <w:sz w:val="20"/>
                <w:szCs w:val="20"/>
              </w:rPr>
              <w:t>emil.tzviatkov@gmail.com</w:t>
            </w:r>
            <w:r>
              <w:rPr>
                <w:rFonts w:ascii="Verdana" w:hAnsi="Verdana" w:cs="Tahoma"/>
                <w:color w:val="000000"/>
                <w:sz w:val="20"/>
                <w:szCs w:val="20"/>
              </w:rPr>
              <w:fldChar w:fldCharType="end"/>
            </w:r>
          </w:p>
        </w:tc>
        <w:tc>
          <w:tcPr>
            <w:tcW w:w="1695" w:type="dxa"/>
          </w:tcPr>
          <w:p w14:paraId="5B5471FF" w14:textId="77777777" w:rsidR="00404A37" w:rsidRPr="00086D59" w:rsidRDefault="00404A37" w:rsidP="00404A37">
            <w:pPr>
              <w:spacing w:before="80" w:after="40"/>
              <w:rPr>
                <w:rFonts w:ascii="Verdana" w:hAnsi="Verdana" w:cs="Tahoma"/>
                <w:color w:val="000000"/>
                <w:sz w:val="20"/>
                <w:szCs w:val="20"/>
              </w:rPr>
            </w:pPr>
            <w:r w:rsidRPr="00086D59">
              <w:rPr>
                <w:rFonts w:ascii="Verdana" w:hAnsi="Verdana" w:cs="Tahoma"/>
                <w:color w:val="000000"/>
                <w:sz w:val="20"/>
                <w:szCs w:val="20"/>
              </w:rPr>
              <w:t>17.05.2023</w:t>
            </w:r>
          </w:p>
        </w:tc>
        <w:tc>
          <w:tcPr>
            <w:tcW w:w="7311" w:type="dxa"/>
          </w:tcPr>
          <w:p w14:paraId="51A6275E"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ЗАПОВЕД</w:t>
            </w:r>
          </w:p>
          <w:p w14:paraId="6E4111EB" w14:textId="77777777" w:rsidR="00404A37" w:rsidRPr="00086D59" w:rsidRDefault="00404A37" w:rsidP="00404A37">
            <w:pPr>
              <w:ind w:right="-15"/>
              <w:jc w:val="both"/>
              <w:rPr>
                <w:rFonts w:ascii="Verdana" w:hAnsi="Verdana"/>
                <w:spacing w:val="-2"/>
                <w:sz w:val="20"/>
                <w:szCs w:val="20"/>
              </w:rPr>
            </w:pPr>
          </w:p>
          <w:p w14:paraId="51595D3B"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 xml:space="preserve">2. В Приложение № 2 – Условия за изпълнение на одобрени проекти по процедура чрез подбор на проектни предложения № BG06RDNP001-4.012 по </w:t>
            </w:r>
            <w:proofErr w:type="spellStart"/>
            <w:r w:rsidRPr="00086D59">
              <w:rPr>
                <w:rFonts w:ascii="Verdana" w:hAnsi="Verdana"/>
                <w:spacing w:val="-2"/>
                <w:sz w:val="20"/>
                <w:szCs w:val="20"/>
              </w:rPr>
              <w:t>подмярка</w:t>
            </w:r>
            <w:proofErr w:type="spellEnd"/>
            <w:r w:rsidRPr="00086D59">
              <w:rPr>
                <w:rFonts w:ascii="Verdana" w:hAnsi="Verdana"/>
                <w:spacing w:val="-2"/>
                <w:sz w:val="20"/>
                <w:szCs w:val="20"/>
              </w:rPr>
              <w:t xml:space="preserve"> 4.1 „Инвестиции в земеделски стопанства“ от мярка 4 „Инвестиции в материални активи“ от ПРСР 2014 – 2020 г. се правят следните изменения:</w:t>
            </w:r>
          </w:p>
          <w:p w14:paraId="6C5A79D2"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2.2. В приложение 9 „Образец на административен договор възложители ЗОП и ПМС 160“:</w:t>
            </w:r>
          </w:p>
          <w:p w14:paraId="660061E0"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 xml:space="preserve">2.2.1 в чл. 2, ал. 3, т. 3 накрая се добавя „с изключение на случаите по т. 17.6 от раздел 14.2. „Условия за допустимост на разходите“ от Условията за кандидатстване“. </w:t>
            </w:r>
          </w:p>
          <w:p w14:paraId="37B7C07E"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ПРЕДЛОЖЕНИЕ:</w:t>
            </w:r>
          </w:p>
          <w:p w14:paraId="1F606DC1"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Предлагам новата точка 2.1.1 да отпадне.</w:t>
            </w:r>
          </w:p>
          <w:p w14:paraId="515F3FA2"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УО да прилага предложението в УК за следващи процедури по програмата</w:t>
            </w:r>
          </w:p>
          <w:p w14:paraId="4E18FE5F"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ОСНОВАНИЕ:</w:t>
            </w:r>
          </w:p>
          <w:p w14:paraId="2FE35828"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В уводната част на заповедта е записано, че се издава на основание „…и чл. 26, ал. 7, т. 1 и 2 от Закона за управление на средствата от Европейските фондове при споделено управление (Загл. изм. - ДВ, бр. 51 от 2022 г., в сила от 01.07.2022 г.) (ЗУСЕФСУ)“. В посочените точки 1 и 2 е записано:</w:t>
            </w:r>
          </w:p>
          <w:p w14:paraId="3FB9C19C"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1. при промени в правото на Европейския съюз и/или българското законодателство, в политиката на европейско и/или национално ниво, основана на стратегически документ или в съответната програма, които налагат привеждане на документите в съответствие с тях;</w:t>
            </w:r>
          </w:p>
          <w:p w14:paraId="544557A9"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2. за увеличаване на финансовия ресурс по процедурата;</w:t>
            </w:r>
          </w:p>
          <w:p w14:paraId="0340CE02"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Предложението не е на основание на точка 1, защото липсва промяна в акт или документ на ЕС или българското законодателство.</w:t>
            </w:r>
          </w:p>
          <w:p w14:paraId="682BCD82"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По отношение на текста „…или в съответната програма“ от точка 1 липсва одобрено 16-то изменение на програмата, както е записано в доклада, в който е посочено „…В шестнадесето изменение на програмата, по предложение на членове на Комитета за наблюдение, на 20-то заседание, е включена и промяна в мярка 4  „Инвестиции в материални активи“, съгласно която процедури за избор на изпълнители по реда на Постановление № 160 от 1 юли 2016 г.“.</w:t>
            </w:r>
          </w:p>
          <w:p w14:paraId="7377E990"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Предложението трябва да се внесе след одобрение на промяната в програмата и същата да е публикувана с посоченото изменение за да може да се прецени дали предложената промяна съответства на нея.</w:t>
            </w:r>
          </w:p>
          <w:p w14:paraId="5A483B63"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lastRenderedPageBreak/>
              <w:t>Допълнително не следва да се променя реда за избор на изпълнители по реда Постановление № 160 от 1 юли 2016 г. с това предложение. Предложеният текст не е равнопоставен за всички участници по процедурата спрямо този ред, като се променя реда само за тези от тях, които са заявили по- голяма от 50% БФП, като са били наясно за всички последици за това по отношение на реда на избор на изпълнител. Допълнително постфактум останалите кандидати се оказва, че са поставени в по- неблагоприятно положение, като не са заявили по- висока БФП от 50%, защото са били наясно за всичко, което следва за това, НО НЕ СА БИЛИ НАЯСНО, ЧЕ В ПЕРИОДА НА ИЗПЪЛНЕНИЕ НА ПРОЕКТИТЕ УО, ЩЕ „ПРОМЕНЯ ПРАВИЛАТА НА ИГРАТА“.</w:t>
            </w:r>
          </w:p>
        </w:tc>
        <w:tc>
          <w:tcPr>
            <w:tcW w:w="3330" w:type="dxa"/>
          </w:tcPr>
          <w:p w14:paraId="201B2B65" w14:textId="77777777" w:rsidR="00404A37" w:rsidRDefault="00404A37" w:rsidP="00404A37">
            <w:pPr>
              <w:spacing w:line="276" w:lineRule="auto"/>
              <w:ind w:right="-104"/>
              <w:jc w:val="both"/>
              <w:rPr>
                <w:rFonts w:ascii="Verdana" w:hAnsi="Verdana"/>
                <w:spacing w:val="-2"/>
                <w:sz w:val="20"/>
                <w:szCs w:val="20"/>
              </w:rPr>
            </w:pPr>
            <w:r w:rsidRPr="00E469CC">
              <w:rPr>
                <w:rFonts w:ascii="Verdana" w:hAnsi="Verdana"/>
                <w:spacing w:val="-2"/>
                <w:sz w:val="20"/>
                <w:szCs w:val="20"/>
              </w:rPr>
              <w:lastRenderedPageBreak/>
              <w:t xml:space="preserve">Не се приема. </w:t>
            </w:r>
          </w:p>
          <w:p w14:paraId="4D5C80C8" w14:textId="77777777" w:rsidR="00404A37" w:rsidRDefault="00404A37" w:rsidP="00D11FE7">
            <w:pPr>
              <w:tabs>
                <w:tab w:val="left" w:pos="2851"/>
              </w:tabs>
              <w:spacing w:line="276" w:lineRule="auto"/>
              <w:ind w:right="-104"/>
              <w:jc w:val="both"/>
              <w:rPr>
                <w:rFonts w:ascii="Verdana" w:hAnsi="Verdana"/>
                <w:spacing w:val="-2"/>
                <w:sz w:val="20"/>
                <w:szCs w:val="20"/>
              </w:rPr>
            </w:pPr>
            <w:r w:rsidRPr="00E469CC">
              <w:rPr>
                <w:rFonts w:ascii="Verdana" w:hAnsi="Verdana"/>
                <w:spacing w:val="-2"/>
                <w:sz w:val="20"/>
                <w:szCs w:val="20"/>
              </w:rPr>
              <w:t>Предложението е въз основа на промяна ва Програма за развитие на селските райони</w:t>
            </w:r>
            <w:r>
              <w:rPr>
                <w:rFonts w:ascii="Verdana" w:hAnsi="Verdana"/>
                <w:spacing w:val="-2"/>
                <w:sz w:val="20"/>
                <w:szCs w:val="20"/>
              </w:rPr>
              <w:t xml:space="preserve"> за периода 2014-2020 г. В доклада са посочени основанията, които дават възможност промените да се прилагат преди одобрение на изменението.</w:t>
            </w:r>
          </w:p>
          <w:p w14:paraId="70C5503F" w14:textId="77777777" w:rsidR="00404A37" w:rsidRPr="00086D59" w:rsidRDefault="00404A37" w:rsidP="00D11FE7">
            <w:pPr>
              <w:spacing w:line="276" w:lineRule="auto"/>
              <w:ind w:right="1"/>
              <w:jc w:val="both"/>
              <w:rPr>
                <w:rFonts w:ascii="Verdana" w:hAnsi="Verdana"/>
                <w:b/>
                <w:spacing w:val="-2"/>
                <w:sz w:val="20"/>
                <w:szCs w:val="20"/>
              </w:rPr>
            </w:pPr>
            <w:r>
              <w:rPr>
                <w:rFonts w:ascii="Verdana" w:hAnsi="Verdana"/>
                <w:spacing w:val="-2"/>
                <w:sz w:val="20"/>
                <w:szCs w:val="20"/>
              </w:rPr>
              <w:t xml:space="preserve">С изменението </w:t>
            </w:r>
            <w:r w:rsidRPr="00E469CC">
              <w:rPr>
                <w:rFonts w:ascii="Verdana" w:hAnsi="Verdana"/>
                <w:spacing w:val="-2"/>
                <w:sz w:val="20"/>
                <w:szCs w:val="20"/>
              </w:rPr>
              <w:t>се предоставя възможност на бенефициенти</w:t>
            </w:r>
            <w:r>
              <w:rPr>
                <w:rFonts w:ascii="Verdana" w:hAnsi="Verdana"/>
                <w:spacing w:val="-2"/>
                <w:sz w:val="20"/>
                <w:szCs w:val="20"/>
              </w:rPr>
              <w:t>т</w:t>
            </w:r>
            <w:r w:rsidRPr="00E469CC">
              <w:rPr>
                <w:rFonts w:ascii="Verdana" w:hAnsi="Verdana"/>
                <w:spacing w:val="-2"/>
                <w:sz w:val="20"/>
                <w:szCs w:val="20"/>
              </w:rPr>
              <w:t xml:space="preserve">е, които </w:t>
            </w:r>
            <w:r w:rsidRPr="00802ECB">
              <w:rPr>
                <w:rFonts w:ascii="Verdana" w:hAnsi="Verdana"/>
                <w:spacing w:val="-2"/>
                <w:sz w:val="20"/>
                <w:szCs w:val="20"/>
              </w:rPr>
              <w:t xml:space="preserve">след намаляване размера на помощта от страна на оценителната Комисия </w:t>
            </w:r>
            <w:r w:rsidRPr="00E469CC">
              <w:rPr>
                <w:rFonts w:ascii="Verdana" w:hAnsi="Verdana"/>
                <w:spacing w:val="-2"/>
                <w:sz w:val="20"/>
                <w:szCs w:val="20"/>
              </w:rPr>
              <w:t xml:space="preserve">са одобрени за подпомагане с 50% </w:t>
            </w:r>
            <w:r w:rsidRPr="00802ECB">
              <w:rPr>
                <w:rFonts w:ascii="Verdana" w:hAnsi="Verdana"/>
                <w:spacing w:val="-2"/>
                <w:sz w:val="20"/>
                <w:szCs w:val="20"/>
              </w:rPr>
              <w:t xml:space="preserve">БФП, </w:t>
            </w:r>
            <w:r w:rsidRPr="00E469CC">
              <w:rPr>
                <w:rFonts w:ascii="Verdana" w:hAnsi="Verdana"/>
                <w:spacing w:val="-2"/>
                <w:sz w:val="20"/>
                <w:szCs w:val="20"/>
              </w:rPr>
              <w:t xml:space="preserve"> да не извършват процедура за избор на изпълнител по реда на ПМС № 160 от 2016 г. </w:t>
            </w:r>
            <w:r>
              <w:rPr>
                <w:rFonts w:ascii="Verdana" w:hAnsi="Verdana"/>
                <w:spacing w:val="-2"/>
                <w:sz w:val="20"/>
                <w:szCs w:val="20"/>
              </w:rPr>
              <w:t xml:space="preserve">На практика тази промяна поставя всички кандидати с одобрен размер на подпомагането в размер на 50% и по-малко </w:t>
            </w:r>
            <w:r w:rsidRPr="00802ECB">
              <w:rPr>
                <w:rFonts w:ascii="Verdana" w:hAnsi="Verdana"/>
                <w:spacing w:val="-2"/>
                <w:sz w:val="20"/>
                <w:szCs w:val="20"/>
              </w:rPr>
              <w:t xml:space="preserve">проценти от допустимите разходи </w:t>
            </w:r>
            <w:r>
              <w:rPr>
                <w:rFonts w:ascii="Verdana" w:hAnsi="Verdana"/>
                <w:spacing w:val="-2"/>
                <w:sz w:val="20"/>
                <w:szCs w:val="20"/>
              </w:rPr>
              <w:t>при равни условия</w:t>
            </w:r>
            <w:r w:rsidRPr="00802ECB">
              <w:rPr>
                <w:rFonts w:ascii="Verdana" w:hAnsi="Verdana"/>
                <w:spacing w:val="-2"/>
                <w:sz w:val="20"/>
                <w:szCs w:val="20"/>
              </w:rPr>
              <w:t xml:space="preserve"> за избор на изпълнител/и</w:t>
            </w:r>
            <w:r>
              <w:rPr>
                <w:rFonts w:ascii="Verdana" w:hAnsi="Verdana"/>
                <w:spacing w:val="-2"/>
                <w:sz w:val="20"/>
                <w:szCs w:val="20"/>
              </w:rPr>
              <w:t>.</w:t>
            </w:r>
          </w:p>
        </w:tc>
      </w:tr>
      <w:tr w:rsidR="00404A37" w:rsidRPr="00086D59" w14:paraId="0C02F75E" w14:textId="77777777" w:rsidTr="004B7063">
        <w:tc>
          <w:tcPr>
            <w:tcW w:w="792" w:type="dxa"/>
          </w:tcPr>
          <w:p w14:paraId="2A2AACDF" w14:textId="77777777" w:rsidR="00404A37" w:rsidRPr="00086D59" w:rsidRDefault="00D11FE7" w:rsidP="00404A37">
            <w:pPr>
              <w:spacing w:line="360" w:lineRule="auto"/>
              <w:ind w:right="283"/>
              <w:jc w:val="center"/>
              <w:rPr>
                <w:rFonts w:ascii="Verdana" w:hAnsi="Verdana"/>
                <w:b/>
                <w:spacing w:val="-2"/>
                <w:sz w:val="20"/>
                <w:szCs w:val="20"/>
              </w:rPr>
            </w:pPr>
            <w:r>
              <w:rPr>
                <w:rFonts w:ascii="Verdana" w:hAnsi="Verdana"/>
                <w:b/>
                <w:spacing w:val="-2"/>
                <w:sz w:val="20"/>
                <w:szCs w:val="20"/>
              </w:rPr>
              <w:t>9</w:t>
            </w:r>
          </w:p>
        </w:tc>
        <w:tc>
          <w:tcPr>
            <w:tcW w:w="1809" w:type="dxa"/>
          </w:tcPr>
          <w:p w14:paraId="4236A9FF" w14:textId="77777777" w:rsidR="00404A37" w:rsidRPr="00086D59" w:rsidRDefault="00404A37" w:rsidP="00404A37">
            <w:pPr>
              <w:spacing w:before="80" w:after="40"/>
              <w:rPr>
                <w:rFonts w:ascii="Verdana" w:hAnsi="Verdana" w:cs="Tahoma"/>
                <w:color w:val="000000"/>
                <w:sz w:val="20"/>
                <w:szCs w:val="20"/>
              </w:rPr>
            </w:pPr>
            <w:r w:rsidRPr="00086D59">
              <w:rPr>
                <w:rFonts w:ascii="Verdana" w:hAnsi="Verdana" w:cs="Tahoma"/>
                <w:color w:val="000000"/>
                <w:sz w:val="20"/>
                <w:szCs w:val="20"/>
              </w:rPr>
              <w:t>radostina_19@abv.bg</w:t>
            </w:r>
          </w:p>
        </w:tc>
        <w:tc>
          <w:tcPr>
            <w:tcW w:w="1695" w:type="dxa"/>
          </w:tcPr>
          <w:p w14:paraId="46248450" w14:textId="77777777" w:rsidR="00404A37" w:rsidRPr="00086D59" w:rsidRDefault="00404A37" w:rsidP="00404A37">
            <w:pPr>
              <w:spacing w:before="80" w:after="40"/>
              <w:rPr>
                <w:rFonts w:ascii="Verdana" w:hAnsi="Verdana" w:cs="Tahoma"/>
                <w:color w:val="000000"/>
                <w:sz w:val="20"/>
                <w:szCs w:val="20"/>
              </w:rPr>
            </w:pPr>
            <w:r w:rsidRPr="00086D59">
              <w:rPr>
                <w:rFonts w:ascii="Verdana" w:hAnsi="Verdana" w:cs="Tahoma"/>
                <w:color w:val="000000"/>
                <w:sz w:val="20"/>
                <w:szCs w:val="20"/>
              </w:rPr>
              <w:t>17.05.2023</w:t>
            </w:r>
          </w:p>
        </w:tc>
        <w:tc>
          <w:tcPr>
            <w:tcW w:w="7311" w:type="dxa"/>
          </w:tcPr>
          <w:p w14:paraId="01F4C164"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Здравейте!</w:t>
            </w:r>
          </w:p>
          <w:p w14:paraId="25ABC204" w14:textId="77777777" w:rsidR="00404A37" w:rsidRPr="00086D59" w:rsidRDefault="00404A37" w:rsidP="00D11FE7">
            <w:pPr>
              <w:ind w:right="-15"/>
              <w:jc w:val="both"/>
              <w:rPr>
                <w:rFonts w:ascii="Verdana" w:hAnsi="Verdana"/>
                <w:spacing w:val="-2"/>
                <w:sz w:val="20"/>
                <w:szCs w:val="20"/>
              </w:rPr>
            </w:pPr>
            <w:r w:rsidRPr="00086D59">
              <w:rPr>
                <w:rFonts w:ascii="Verdana" w:hAnsi="Verdana"/>
                <w:spacing w:val="-2"/>
                <w:sz w:val="20"/>
                <w:szCs w:val="20"/>
              </w:rPr>
              <w:t>Регистриран земеделски производител съм с дата на първа регистрация 04.02.2022 г. Допустим кандидат ли съм по тази процедура?</w:t>
            </w:r>
          </w:p>
        </w:tc>
        <w:tc>
          <w:tcPr>
            <w:tcW w:w="3330" w:type="dxa"/>
          </w:tcPr>
          <w:p w14:paraId="493EDF22" w14:textId="77777777" w:rsidR="00404A37" w:rsidRPr="00F33607" w:rsidRDefault="00404A37" w:rsidP="00D11FE7">
            <w:pPr>
              <w:spacing w:line="276" w:lineRule="auto"/>
              <w:jc w:val="both"/>
              <w:rPr>
                <w:rFonts w:ascii="Verdana" w:hAnsi="Verdana"/>
                <w:spacing w:val="-2"/>
                <w:sz w:val="20"/>
                <w:szCs w:val="20"/>
              </w:rPr>
            </w:pPr>
            <w:r w:rsidRPr="003A1511">
              <w:rPr>
                <w:rFonts w:ascii="Verdana" w:hAnsi="Verdana"/>
                <w:spacing w:val="-2"/>
                <w:sz w:val="20"/>
                <w:szCs w:val="20"/>
              </w:rPr>
              <w:t>Прием</w:t>
            </w:r>
            <w:r w:rsidR="00D07F4A">
              <w:rPr>
                <w:rFonts w:ascii="Verdana" w:hAnsi="Verdana"/>
                <w:spacing w:val="-2"/>
                <w:sz w:val="20"/>
                <w:szCs w:val="20"/>
              </w:rPr>
              <w:t>ът</w:t>
            </w:r>
            <w:r w:rsidRPr="003A1511">
              <w:rPr>
                <w:rFonts w:ascii="Verdana" w:hAnsi="Verdana"/>
                <w:spacing w:val="-2"/>
                <w:sz w:val="20"/>
                <w:szCs w:val="20"/>
              </w:rPr>
              <w:t xml:space="preserve"> на проектни </w:t>
            </w:r>
            <w:r w:rsidR="009A4CFA">
              <w:rPr>
                <w:rFonts w:ascii="Verdana" w:hAnsi="Verdana"/>
                <w:spacing w:val="-2"/>
                <w:sz w:val="20"/>
                <w:szCs w:val="20"/>
              </w:rPr>
              <w:t xml:space="preserve">предложения </w:t>
            </w:r>
            <w:r w:rsidRPr="003A1511">
              <w:rPr>
                <w:rFonts w:ascii="Verdana" w:hAnsi="Verdana"/>
                <w:spacing w:val="-2"/>
                <w:sz w:val="20"/>
                <w:szCs w:val="20"/>
              </w:rPr>
              <w:t xml:space="preserve">по процедурата </w:t>
            </w:r>
            <w:r w:rsidR="009A4CFA">
              <w:rPr>
                <w:rFonts w:ascii="Verdana" w:hAnsi="Verdana"/>
                <w:spacing w:val="-2"/>
                <w:sz w:val="20"/>
                <w:szCs w:val="20"/>
              </w:rPr>
              <w:t xml:space="preserve">е </w:t>
            </w:r>
            <w:r w:rsidRPr="003A1511">
              <w:rPr>
                <w:rFonts w:ascii="Verdana" w:hAnsi="Verdana"/>
                <w:spacing w:val="-2"/>
                <w:sz w:val="20"/>
                <w:szCs w:val="20"/>
              </w:rPr>
              <w:t>приключи</w:t>
            </w:r>
            <w:r w:rsidR="009A4CFA">
              <w:rPr>
                <w:rFonts w:ascii="Verdana" w:hAnsi="Verdana"/>
                <w:spacing w:val="-2"/>
                <w:sz w:val="20"/>
                <w:szCs w:val="20"/>
              </w:rPr>
              <w:t>л на</w:t>
            </w:r>
            <w:r w:rsidRPr="003A1511">
              <w:rPr>
                <w:rFonts w:ascii="Verdana" w:hAnsi="Verdana"/>
                <w:spacing w:val="-2"/>
                <w:sz w:val="20"/>
                <w:szCs w:val="20"/>
              </w:rPr>
              <w:t xml:space="preserve"> 30.09.2021 г.</w:t>
            </w:r>
            <w:r>
              <w:rPr>
                <w:rFonts w:ascii="Verdana" w:hAnsi="Verdana"/>
                <w:spacing w:val="-2"/>
                <w:sz w:val="20"/>
                <w:szCs w:val="20"/>
              </w:rPr>
              <w:t xml:space="preserve"> С предложения за обществено обсъждане проект на заповед за изменение на Заповед № РД09-399 от 19.04.2021 г., се изменят насоките по проведен прием в периода </w:t>
            </w:r>
            <w:r>
              <w:rPr>
                <w:rFonts w:ascii="Verdana" w:hAnsi="Verdana"/>
                <w:spacing w:val="-2"/>
                <w:sz w:val="20"/>
                <w:szCs w:val="20"/>
                <w:lang w:val="en-US"/>
              </w:rPr>
              <w:t xml:space="preserve">19.04. – 30.09.2021 </w:t>
            </w:r>
            <w:proofErr w:type="gramStart"/>
            <w:r>
              <w:rPr>
                <w:rFonts w:ascii="Verdana" w:hAnsi="Verdana"/>
                <w:spacing w:val="-2"/>
                <w:sz w:val="20"/>
                <w:szCs w:val="20"/>
              </w:rPr>
              <w:t>г.,</w:t>
            </w:r>
            <w:proofErr w:type="gramEnd"/>
            <w:r>
              <w:rPr>
                <w:rFonts w:ascii="Verdana" w:hAnsi="Verdana"/>
                <w:spacing w:val="-2"/>
                <w:sz w:val="20"/>
                <w:szCs w:val="20"/>
              </w:rPr>
              <w:t xml:space="preserve"> с нея не се отваря нов прием на проектни предложения.</w:t>
            </w:r>
          </w:p>
        </w:tc>
      </w:tr>
      <w:tr w:rsidR="00404A37" w:rsidRPr="00086D59" w14:paraId="7A81958D" w14:textId="77777777" w:rsidTr="00D11FE7">
        <w:trPr>
          <w:trHeight w:val="1706"/>
        </w:trPr>
        <w:tc>
          <w:tcPr>
            <w:tcW w:w="792" w:type="dxa"/>
          </w:tcPr>
          <w:p w14:paraId="68D886B8" w14:textId="77777777" w:rsidR="00404A37" w:rsidRPr="00086D59" w:rsidRDefault="00D11FE7" w:rsidP="00404A37">
            <w:pPr>
              <w:spacing w:line="360" w:lineRule="auto"/>
              <w:ind w:right="283"/>
              <w:jc w:val="center"/>
              <w:rPr>
                <w:rFonts w:ascii="Verdana" w:hAnsi="Verdana"/>
                <w:b/>
                <w:spacing w:val="-2"/>
                <w:sz w:val="20"/>
                <w:szCs w:val="20"/>
              </w:rPr>
            </w:pPr>
            <w:r>
              <w:rPr>
                <w:rFonts w:ascii="Verdana" w:hAnsi="Verdana"/>
                <w:b/>
                <w:spacing w:val="-2"/>
                <w:sz w:val="20"/>
                <w:szCs w:val="20"/>
              </w:rPr>
              <w:t>10</w:t>
            </w:r>
          </w:p>
        </w:tc>
        <w:tc>
          <w:tcPr>
            <w:tcW w:w="1809" w:type="dxa"/>
          </w:tcPr>
          <w:p w14:paraId="55B53C2D" w14:textId="77777777" w:rsidR="00404A37" w:rsidRPr="00086D59" w:rsidRDefault="00404A37" w:rsidP="00404A37">
            <w:pPr>
              <w:spacing w:before="80" w:after="40"/>
              <w:rPr>
                <w:rFonts w:ascii="Verdana" w:hAnsi="Verdana" w:cs="Tahoma"/>
                <w:color w:val="000000"/>
                <w:sz w:val="20"/>
                <w:szCs w:val="20"/>
              </w:rPr>
            </w:pPr>
            <w:r w:rsidRPr="00086D59">
              <w:rPr>
                <w:rFonts w:ascii="Verdana" w:hAnsi="Verdana" w:cs="Tahoma"/>
                <w:color w:val="000000"/>
                <w:sz w:val="20"/>
                <w:szCs w:val="20"/>
              </w:rPr>
              <w:t>Петя Георгиева</w:t>
            </w:r>
          </w:p>
        </w:tc>
        <w:tc>
          <w:tcPr>
            <w:tcW w:w="1695" w:type="dxa"/>
          </w:tcPr>
          <w:p w14:paraId="24D26370" w14:textId="77777777" w:rsidR="00404A37" w:rsidRPr="00086D59" w:rsidRDefault="00404A37" w:rsidP="00404A37">
            <w:pPr>
              <w:spacing w:line="360" w:lineRule="auto"/>
              <w:jc w:val="center"/>
              <w:rPr>
                <w:rFonts w:ascii="Verdana" w:hAnsi="Verdana"/>
                <w:b/>
                <w:spacing w:val="-2"/>
                <w:sz w:val="20"/>
                <w:szCs w:val="20"/>
              </w:rPr>
            </w:pPr>
            <w:r w:rsidRPr="00086D59">
              <w:rPr>
                <w:rFonts w:ascii="Verdana" w:hAnsi="Verdana" w:cs="Tahoma"/>
                <w:color w:val="000000"/>
                <w:sz w:val="20"/>
                <w:szCs w:val="20"/>
              </w:rPr>
              <w:t>19.05.2023 г.</w:t>
            </w:r>
          </w:p>
        </w:tc>
        <w:tc>
          <w:tcPr>
            <w:tcW w:w="7311" w:type="dxa"/>
          </w:tcPr>
          <w:p w14:paraId="363D9867"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Като консултант разработих проектни предложения на две свързани фирми и към момента на кандидатстване приложихме  по 3 оферти за всеки актив със сключени договори за доставка на земеделската техника, едната с 50 точки при оценка по ТФО, другата с 45 точки. Проектите и на двете фирми към момента на кандидатстване бяха с искана БФП  50,03%,  и 50,6%, но при сключване на договор за БФП  на фирмата получила 50 точки, в уведомителното писмо от ДФЗ имаше следния текст:</w:t>
            </w:r>
          </w:p>
          <w:p w14:paraId="740C83A7"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 xml:space="preserve">Цитат: „На основание т. 4.2, изречение първо и т. 7, изречение второ от Раздел 10. Процент на съфинансиране от УК, след извършената техническа и финансова оценка, оценителната комисия е класирала проектните предложения в низходящ ред, съгласно Раздел 22.1 Критерии за оценка на проектни предложения. В резултат е установено, че за проектните предложения, получили по-малко от 55 броя точки включително не е наличен финансов ресурс по Инструмента на Европейския съюз за възстановяване. В тази връзка, за проектните предложения с по-малко от 55 броя точки </w:t>
            </w:r>
            <w:r w:rsidRPr="00086D59">
              <w:rPr>
                <w:rFonts w:ascii="Verdana" w:hAnsi="Verdana"/>
                <w:spacing w:val="-2"/>
                <w:sz w:val="20"/>
                <w:szCs w:val="20"/>
              </w:rPr>
              <w:lastRenderedPageBreak/>
              <w:t xml:space="preserve">включително, оценителната комисия е намалила размера на одобрената на етап Оценка на административно съответствие и допустимост финансова помощ, като за инвестиционни разходи в обхвата на Приложение № 1 не е допуснато увеличава с до 25 на сто на финансовата помощ. При това положение, тези разходи се финансират от Европейския земеделски фонд за развитие на селските райони (ЕЗФРСР) до размера на финансовата помощ по т. 1.1. или т. 1.2. от Раздел 10 от УК, в рамките на общия размер на безвъзмездната финансова помощ по процедурата, тъй като финансовите средства от Инструмента на Европейския съюз за възстановяване са изчерпани. В този случай, за разходите за навигационна </w:t>
            </w:r>
            <w:proofErr w:type="spellStart"/>
            <w:r w:rsidRPr="00086D59">
              <w:rPr>
                <w:rFonts w:ascii="Verdana" w:hAnsi="Verdana"/>
                <w:spacing w:val="-2"/>
                <w:sz w:val="20"/>
                <w:szCs w:val="20"/>
              </w:rPr>
              <w:t>системема</w:t>
            </w:r>
            <w:proofErr w:type="spellEnd"/>
            <w:r w:rsidRPr="00086D59">
              <w:rPr>
                <w:rFonts w:ascii="Verdana" w:hAnsi="Verdana"/>
                <w:spacing w:val="-2"/>
                <w:sz w:val="20"/>
                <w:szCs w:val="20"/>
              </w:rPr>
              <w:t xml:space="preserve"> е определена безвъзмездна финансова помощ в размер на 50% от стойността на одобрените разходи. Съгласно т. 5 от Раздел 10. Процент на съфинансиране, разликата между пълния размер на допустимите за финансово подпомагане разходи и размера на безвъзмездната финансова помощ се осигурява от кандидата.“</w:t>
            </w:r>
          </w:p>
          <w:p w14:paraId="1F238E83"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 xml:space="preserve">От цитирания текст следва, че всички проекти с по-малък брой точки от 55 ще бъдат с редуцирана БФП и проектите им ще се финансират с 50% подпомагане., при които промени м оценяването на проектните предложения вече е извършено оценяването и класирането на проектите получили под 55 точки на етап ТФО. </w:t>
            </w:r>
          </w:p>
          <w:p w14:paraId="321F0059" w14:textId="77777777" w:rsidR="00404A37" w:rsidRPr="00086D59" w:rsidRDefault="00404A37" w:rsidP="00404A37">
            <w:pPr>
              <w:ind w:right="-105"/>
              <w:jc w:val="both"/>
              <w:rPr>
                <w:rFonts w:ascii="Verdana" w:hAnsi="Verdana"/>
                <w:spacing w:val="-2"/>
                <w:sz w:val="20"/>
                <w:szCs w:val="20"/>
              </w:rPr>
            </w:pPr>
            <w:r w:rsidRPr="00086D59">
              <w:rPr>
                <w:rFonts w:ascii="Verdana" w:hAnsi="Verdana"/>
                <w:spacing w:val="-2"/>
                <w:sz w:val="20"/>
                <w:szCs w:val="20"/>
              </w:rPr>
              <w:t>Доколкото разбирам в настоящата Заповед, отново се разглежда финансиране на проектните предложения с одобрена БФП, с каквато са кандидатствали, което автоматично нарушава процедурата за оценка по ТФО  и правата на проектите с подписани договори за БФП с редуцирано финансиране, съгласно цитираните основания за това.</w:t>
            </w:r>
          </w:p>
          <w:p w14:paraId="6A5D181E" w14:textId="77777777" w:rsidR="00404A37" w:rsidRPr="00086D59" w:rsidRDefault="00404A37" w:rsidP="00404A37">
            <w:pPr>
              <w:ind w:right="-15"/>
              <w:jc w:val="both"/>
              <w:rPr>
                <w:rFonts w:ascii="Verdana" w:hAnsi="Verdana"/>
                <w:spacing w:val="-2"/>
                <w:sz w:val="20"/>
                <w:szCs w:val="20"/>
              </w:rPr>
            </w:pPr>
            <w:r w:rsidRPr="00086D59">
              <w:rPr>
                <w:rFonts w:ascii="Verdana" w:hAnsi="Verdana"/>
                <w:spacing w:val="-2"/>
                <w:sz w:val="20"/>
                <w:szCs w:val="20"/>
              </w:rPr>
              <w:t>Моля, дайте разяснения какво ще се случи с проектните предложение, кандидатствали с малко над 50% искана БФП, с които следва да се подписват договори при увеличение на финансовия ресурс на процедурата, както се очаква. Моля да се има предвид, че цената на земеделската техника вече е значително по-висока от цената на техниката, одобрена по проектите, с които индикативни цени се е кандидатствало преди 2 години, поради което при провеждане на процедура за избор на изпълнител по ПМС 160 изпадаме в невъзможност да изберем доставчик, защото няма подадени оферти.</w:t>
            </w:r>
          </w:p>
          <w:p w14:paraId="1073232C" w14:textId="77777777" w:rsidR="00404A37" w:rsidRPr="00086D59" w:rsidRDefault="00404A37" w:rsidP="00404A37">
            <w:pPr>
              <w:ind w:right="-105"/>
              <w:jc w:val="both"/>
              <w:rPr>
                <w:rFonts w:ascii="Verdana" w:hAnsi="Verdana"/>
                <w:spacing w:val="-2"/>
                <w:sz w:val="20"/>
                <w:szCs w:val="20"/>
              </w:rPr>
            </w:pPr>
            <w:r w:rsidRPr="00BE7CE5">
              <w:rPr>
                <w:rFonts w:ascii="Verdana" w:hAnsi="Verdana"/>
                <w:spacing w:val="-2"/>
                <w:sz w:val="20"/>
                <w:szCs w:val="20"/>
              </w:rPr>
              <w:t>Предлагам да се даде избор на фирмите, които към момента на кандидатстване имат подписани договори с доставчици, да заявят подпомагане в размер на 50% от стойността на проекта, особено ако разликата в заявеното подпомагане към момента на кандидатстване е малко над 50%.</w:t>
            </w:r>
          </w:p>
        </w:tc>
        <w:tc>
          <w:tcPr>
            <w:tcW w:w="3330" w:type="dxa"/>
          </w:tcPr>
          <w:p w14:paraId="2C191485" w14:textId="77777777" w:rsidR="00404A37" w:rsidRPr="00086D59" w:rsidRDefault="00404A37" w:rsidP="00404A37">
            <w:pPr>
              <w:spacing w:line="360" w:lineRule="auto"/>
              <w:ind w:right="283"/>
              <w:rPr>
                <w:rFonts w:ascii="Verdana" w:hAnsi="Verdana"/>
                <w:spacing w:val="-2"/>
                <w:sz w:val="20"/>
                <w:szCs w:val="20"/>
              </w:rPr>
            </w:pPr>
            <w:r w:rsidRPr="00086D59">
              <w:rPr>
                <w:rFonts w:ascii="Verdana" w:hAnsi="Verdana"/>
                <w:spacing w:val="-2"/>
                <w:sz w:val="20"/>
                <w:szCs w:val="20"/>
              </w:rPr>
              <w:lastRenderedPageBreak/>
              <w:t>Не се приема.</w:t>
            </w:r>
          </w:p>
          <w:p w14:paraId="5934FB5F" w14:textId="77777777" w:rsidR="00404A37" w:rsidRDefault="00404A37" w:rsidP="00404A37">
            <w:pPr>
              <w:spacing w:line="276" w:lineRule="auto"/>
              <w:ind w:right="-89" w:firstLine="328"/>
              <w:jc w:val="both"/>
              <w:rPr>
                <w:rFonts w:ascii="Verdana" w:hAnsi="Verdana"/>
                <w:spacing w:val="-2"/>
                <w:sz w:val="20"/>
                <w:szCs w:val="20"/>
              </w:rPr>
            </w:pPr>
            <w:r w:rsidRPr="00086D59">
              <w:rPr>
                <w:rFonts w:ascii="Verdana" w:hAnsi="Verdana"/>
                <w:spacing w:val="-2"/>
                <w:sz w:val="20"/>
                <w:szCs w:val="20"/>
              </w:rPr>
              <w:t xml:space="preserve">Бюджетът по процедура чрез подбор на проектни предложения № BG06RDNP001-4.012 по </w:t>
            </w:r>
            <w:proofErr w:type="spellStart"/>
            <w:r w:rsidRPr="00086D59">
              <w:rPr>
                <w:rFonts w:ascii="Verdana" w:hAnsi="Verdana"/>
                <w:spacing w:val="-2"/>
                <w:sz w:val="20"/>
                <w:szCs w:val="20"/>
              </w:rPr>
              <w:t>подмярка</w:t>
            </w:r>
            <w:proofErr w:type="spellEnd"/>
            <w:r w:rsidRPr="00086D59">
              <w:rPr>
                <w:rFonts w:ascii="Verdana" w:hAnsi="Verdana"/>
                <w:spacing w:val="-2"/>
                <w:sz w:val="20"/>
                <w:szCs w:val="20"/>
              </w:rPr>
              <w:t xml:space="preserve"> 4.1 „Инвестиции в земеделски стопанства“ от мярка 4 „Инвестиции в материални активи“ на Програмата за развитие на селските райони за периода 2014-2020 г. се финансира от два източника: </w:t>
            </w:r>
          </w:p>
          <w:p w14:paraId="609C492C" w14:textId="77777777" w:rsidR="00404A37" w:rsidRDefault="00404A37" w:rsidP="00404A37">
            <w:pPr>
              <w:spacing w:line="276" w:lineRule="auto"/>
              <w:ind w:right="-89"/>
              <w:jc w:val="both"/>
              <w:rPr>
                <w:rFonts w:ascii="Verdana" w:hAnsi="Verdana"/>
                <w:spacing w:val="-2"/>
                <w:sz w:val="20"/>
                <w:szCs w:val="20"/>
              </w:rPr>
            </w:pPr>
            <w:r w:rsidRPr="00086D59">
              <w:rPr>
                <w:rFonts w:ascii="Verdana" w:hAnsi="Verdana"/>
                <w:spacing w:val="-2"/>
                <w:sz w:val="20"/>
                <w:szCs w:val="20"/>
              </w:rPr>
              <w:lastRenderedPageBreak/>
              <w:t>Инструмент на Европейския съюз за възстановяване и</w:t>
            </w:r>
            <w:r w:rsidRPr="00086D59">
              <w:t xml:space="preserve"> </w:t>
            </w:r>
            <w:r w:rsidRPr="00086D59">
              <w:rPr>
                <w:rFonts w:ascii="Verdana" w:hAnsi="Verdana"/>
                <w:spacing w:val="-2"/>
                <w:sz w:val="20"/>
                <w:szCs w:val="20"/>
              </w:rPr>
              <w:t xml:space="preserve">от Европейския земеделски фонд за развитие на селските райони (ЕЗФРСР). </w:t>
            </w:r>
          </w:p>
          <w:p w14:paraId="66AFF8C5" w14:textId="77777777" w:rsidR="00404A37" w:rsidRPr="00086D59" w:rsidRDefault="00404A37" w:rsidP="00404A37">
            <w:pPr>
              <w:spacing w:line="276" w:lineRule="auto"/>
              <w:ind w:right="-89" w:firstLine="328"/>
              <w:jc w:val="both"/>
              <w:rPr>
                <w:rFonts w:ascii="Verdana" w:hAnsi="Verdana"/>
                <w:spacing w:val="-2"/>
                <w:sz w:val="20"/>
                <w:szCs w:val="20"/>
              </w:rPr>
            </w:pPr>
            <w:r w:rsidRPr="00086D59">
              <w:rPr>
                <w:rFonts w:ascii="Verdana" w:hAnsi="Verdana"/>
                <w:spacing w:val="-2"/>
                <w:sz w:val="20"/>
                <w:szCs w:val="20"/>
              </w:rPr>
              <w:t>С представения проект на заповед се предлага увеличение на финансовите средства от ЕЗФРСР, след промяна в Програма за развитие на селските райони. Допълнителните финансови средства по Инструмент</w:t>
            </w:r>
            <w:r>
              <w:rPr>
                <w:rFonts w:ascii="Verdana" w:hAnsi="Verdana"/>
                <w:spacing w:val="-2"/>
                <w:sz w:val="20"/>
                <w:szCs w:val="20"/>
              </w:rPr>
              <w:t>а</w:t>
            </w:r>
            <w:r w:rsidRPr="00086D59">
              <w:rPr>
                <w:rFonts w:ascii="Verdana" w:hAnsi="Verdana"/>
                <w:spacing w:val="-2"/>
                <w:sz w:val="20"/>
                <w:szCs w:val="20"/>
              </w:rPr>
              <w:t xml:space="preserve"> на Европейския съюз за възстановяване са определени в Регламент (ЕС) 2020/2094 на Съвета от 14 декември 2020 г. за създаване на Инструмент на Европейския съюз за възстановяване с цел подкрепа на възстановяването след кризата с COVID-19 не са променяни от ЕК.</w:t>
            </w:r>
          </w:p>
          <w:p w14:paraId="07E78AF7" w14:textId="77777777" w:rsidR="00404A37" w:rsidRPr="00086D59" w:rsidRDefault="00404A37" w:rsidP="00404A37">
            <w:pPr>
              <w:spacing w:line="276" w:lineRule="auto"/>
              <w:ind w:right="-89"/>
              <w:jc w:val="both"/>
              <w:rPr>
                <w:rFonts w:ascii="Verdana" w:hAnsi="Verdana"/>
                <w:spacing w:val="-2"/>
                <w:sz w:val="20"/>
                <w:szCs w:val="20"/>
              </w:rPr>
            </w:pPr>
            <w:r w:rsidRPr="00086D59">
              <w:rPr>
                <w:rFonts w:ascii="Verdana" w:hAnsi="Verdana"/>
                <w:spacing w:val="-2"/>
                <w:sz w:val="20"/>
                <w:szCs w:val="20"/>
              </w:rPr>
              <w:t>По-високия</w:t>
            </w:r>
            <w:r>
              <w:rPr>
                <w:rFonts w:ascii="Verdana" w:hAnsi="Verdana"/>
                <w:spacing w:val="-2"/>
                <w:sz w:val="20"/>
                <w:szCs w:val="20"/>
              </w:rPr>
              <w:t>т</w:t>
            </w:r>
            <w:r w:rsidRPr="00086D59">
              <w:rPr>
                <w:rFonts w:ascii="Verdana" w:hAnsi="Verdana"/>
                <w:spacing w:val="-2"/>
                <w:sz w:val="20"/>
                <w:szCs w:val="20"/>
              </w:rPr>
              <w:t xml:space="preserve"> процент на подпомагане в т. 1, подточка 1.1, буква „а“ и т. 1.2, буква „а“ от раздел</w:t>
            </w:r>
            <w:r w:rsidRPr="00086D59">
              <w:t xml:space="preserve"> </w:t>
            </w:r>
            <w:r w:rsidRPr="00086D59">
              <w:rPr>
                <w:rFonts w:ascii="Verdana" w:hAnsi="Verdana"/>
                <w:spacing w:val="-2"/>
                <w:sz w:val="20"/>
                <w:szCs w:val="20"/>
              </w:rPr>
              <w:t>10 „Процент на съфинансиране“ от Условията за кандидатстване се фин</w:t>
            </w:r>
            <w:r>
              <w:rPr>
                <w:rFonts w:ascii="Verdana" w:hAnsi="Verdana"/>
                <w:spacing w:val="-2"/>
                <w:sz w:val="20"/>
                <w:szCs w:val="20"/>
              </w:rPr>
              <w:t>а</w:t>
            </w:r>
            <w:r w:rsidRPr="00086D59">
              <w:rPr>
                <w:rFonts w:ascii="Verdana" w:hAnsi="Verdana"/>
                <w:spacing w:val="-2"/>
                <w:sz w:val="20"/>
                <w:szCs w:val="20"/>
              </w:rPr>
              <w:t>нсира от Инструмент</w:t>
            </w:r>
            <w:r>
              <w:rPr>
                <w:rFonts w:ascii="Verdana" w:hAnsi="Verdana"/>
                <w:spacing w:val="-2"/>
                <w:sz w:val="20"/>
                <w:szCs w:val="20"/>
              </w:rPr>
              <w:t>а</w:t>
            </w:r>
            <w:r w:rsidRPr="00086D59">
              <w:rPr>
                <w:rFonts w:ascii="Verdana" w:hAnsi="Verdana"/>
                <w:spacing w:val="-2"/>
                <w:sz w:val="20"/>
                <w:szCs w:val="20"/>
              </w:rPr>
              <w:t xml:space="preserve"> на Европейския съюз за възстановяване.</w:t>
            </w:r>
          </w:p>
          <w:p w14:paraId="58CAE0B3" w14:textId="77777777" w:rsidR="00404A37" w:rsidRDefault="00404A37" w:rsidP="00404A37">
            <w:pPr>
              <w:spacing w:line="276" w:lineRule="auto"/>
              <w:ind w:right="-89"/>
              <w:jc w:val="both"/>
              <w:rPr>
                <w:rFonts w:ascii="Verdana" w:hAnsi="Verdana"/>
                <w:spacing w:val="-2"/>
                <w:sz w:val="20"/>
                <w:szCs w:val="20"/>
              </w:rPr>
            </w:pPr>
            <w:r w:rsidRPr="00086D59">
              <w:rPr>
                <w:rFonts w:ascii="Verdana" w:hAnsi="Verdana"/>
                <w:spacing w:val="-2"/>
                <w:sz w:val="20"/>
                <w:szCs w:val="20"/>
              </w:rPr>
              <w:t xml:space="preserve">В тази връзка промяната на насоките с представения проект на заповед не влияе върху процента на финансиране на одобрените </w:t>
            </w:r>
            <w:r w:rsidRPr="00086D59">
              <w:rPr>
                <w:rFonts w:ascii="Verdana" w:hAnsi="Verdana"/>
                <w:spacing w:val="-2"/>
                <w:sz w:val="20"/>
                <w:szCs w:val="20"/>
              </w:rPr>
              <w:lastRenderedPageBreak/>
              <w:t>вече проектни предложения, на които субсидията е била намалена. Проектните предложения, с които ще бъдат сключени договори, след промяна на бюджета, ще бъдат с процент на финансиране 50%</w:t>
            </w:r>
            <w:r>
              <w:rPr>
                <w:rFonts w:ascii="Verdana" w:hAnsi="Verdana"/>
                <w:spacing w:val="-2"/>
                <w:sz w:val="20"/>
                <w:szCs w:val="20"/>
              </w:rPr>
              <w:t>, като същите вече са преминали етап техническа и финансова оценка</w:t>
            </w:r>
            <w:r w:rsidRPr="00086D59">
              <w:rPr>
                <w:rFonts w:ascii="Verdana" w:hAnsi="Verdana"/>
                <w:spacing w:val="-2"/>
                <w:sz w:val="20"/>
                <w:szCs w:val="20"/>
              </w:rPr>
              <w:t>.</w:t>
            </w:r>
            <w:r>
              <w:rPr>
                <w:rFonts w:ascii="Verdana" w:hAnsi="Verdana"/>
                <w:spacing w:val="-2"/>
                <w:sz w:val="20"/>
                <w:szCs w:val="20"/>
              </w:rPr>
              <w:t xml:space="preserve"> С изменението </w:t>
            </w:r>
            <w:r w:rsidRPr="00E469CC">
              <w:rPr>
                <w:rFonts w:ascii="Verdana" w:hAnsi="Verdana"/>
                <w:spacing w:val="-2"/>
                <w:sz w:val="20"/>
                <w:szCs w:val="20"/>
              </w:rPr>
              <w:t>се предоставя възможност на бенефициенти</w:t>
            </w:r>
            <w:r>
              <w:rPr>
                <w:rFonts w:ascii="Verdana" w:hAnsi="Verdana"/>
                <w:spacing w:val="-2"/>
                <w:sz w:val="20"/>
                <w:szCs w:val="20"/>
              </w:rPr>
              <w:t>т</w:t>
            </w:r>
            <w:r w:rsidRPr="00E469CC">
              <w:rPr>
                <w:rFonts w:ascii="Verdana" w:hAnsi="Verdana"/>
                <w:spacing w:val="-2"/>
                <w:sz w:val="20"/>
                <w:szCs w:val="20"/>
              </w:rPr>
              <w:t xml:space="preserve">е, които </w:t>
            </w:r>
            <w:r w:rsidRPr="00802ECB">
              <w:rPr>
                <w:rFonts w:ascii="Verdana" w:hAnsi="Verdana"/>
                <w:spacing w:val="-2"/>
                <w:sz w:val="20"/>
                <w:szCs w:val="20"/>
              </w:rPr>
              <w:t xml:space="preserve">след намаляване размера на помощта от страна на оценителната Комисия </w:t>
            </w:r>
            <w:r w:rsidRPr="00E469CC">
              <w:rPr>
                <w:rFonts w:ascii="Verdana" w:hAnsi="Verdana"/>
                <w:spacing w:val="-2"/>
                <w:sz w:val="20"/>
                <w:szCs w:val="20"/>
              </w:rPr>
              <w:t xml:space="preserve">са одобрени за подпомагане с 50% </w:t>
            </w:r>
            <w:r w:rsidRPr="00802ECB">
              <w:rPr>
                <w:rFonts w:ascii="Verdana" w:hAnsi="Verdana"/>
                <w:spacing w:val="-2"/>
                <w:sz w:val="20"/>
                <w:szCs w:val="20"/>
              </w:rPr>
              <w:t xml:space="preserve">БФП, </w:t>
            </w:r>
            <w:r w:rsidRPr="00E469CC">
              <w:rPr>
                <w:rFonts w:ascii="Verdana" w:hAnsi="Verdana"/>
                <w:spacing w:val="-2"/>
                <w:sz w:val="20"/>
                <w:szCs w:val="20"/>
              </w:rPr>
              <w:t xml:space="preserve"> да не извършват процедура за избор на изпълнител по реда на ПМС № 160 от 2016 г. </w:t>
            </w:r>
            <w:r>
              <w:rPr>
                <w:rFonts w:ascii="Verdana" w:hAnsi="Verdana"/>
                <w:spacing w:val="-2"/>
                <w:sz w:val="20"/>
                <w:szCs w:val="20"/>
              </w:rPr>
              <w:t xml:space="preserve">На практика тази промяна поставя всички кандидати с одобрен размер на подпомагането в размер на 50% и по-малко </w:t>
            </w:r>
            <w:r w:rsidRPr="00802ECB">
              <w:rPr>
                <w:rFonts w:ascii="Verdana" w:hAnsi="Verdana"/>
                <w:spacing w:val="-2"/>
                <w:sz w:val="20"/>
                <w:szCs w:val="20"/>
              </w:rPr>
              <w:t xml:space="preserve">проценти от допустимите разходи </w:t>
            </w:r>
            <w:r>
              <w:rPr>
                <w:rFonts w:ascii="Verdana" w:hAnsi="Verdana"/>
                <w:spacing w:val="-2"/>
                <w:sz w:val="20"/>
                <w:szCs w:val="20"/>
              </w:rPr>
              <w:t>при равни условия</w:t>
            </w:r>
            <w:r w:rsidRPr="00802ECB">
              <w:rPr>
                <w:rFonts w:ascii="Verdana" w:hAnsi="Verdana"/>
                <w:spacing w:val="-2"/>
                <w:sz w:val="20"/>
                <w:szCs w:val="20"/>
              </w:rPr>
              <w:t xml:space="preserve"> за избор на изпълнител/и</w:t>
            </w:r>
            <w:r>
              <w:rPr>
                <w:rFonts w:ascii="Verdana" w:hAnsi="Verdana"/>
                <w:spacing w:val="-2"/>
                <w:sz w:val="20"/>
                <w:szCs w:val="20"/>
              </w:rPr>
              <w:t>.</w:t>
            </w:r>
          </w:p>
          <w:p w14:paraId="7A1B0AFD" w14:textId="77777777" w:rsidR="00404A37" w:rsidRPr="00086D59" w:rsidRDefault="00404A37" w:rsidP="00404A37">
            <w:pPr>
              <w:spacing w:line="276" w:lineRule="auto"/>
              <w:ind w:right="-89"/>
              <w:jc w:val="both"/>
              <w:rPr>
                <w:rFonts w:ascii="Verdana" w:hAnsi="Verdana"/>
                <w:spacing w:val="-2"/>
                <w:sz w:val="20"/>
                <w:szCs w:val="20"/>
              </w:rPr>
            </w:pPr>
          </w:p>
        </w:tc>
      </w:tr>
      <w:tr w:rsidR="00404A37" w:rsidRPr="00086D59" w14:paraId="6D46C145" w14:textId="77777777" w:rsidTr="004B7063">
        <w:tc>
          <w:tcPr>
            <w:tcW w:w="792" w:type="dxa"/>
          </w:tcPr>
          <w:p w14:paraId="585335FC" w14:textId="77777777" w:rsidR="00404A37" w:rsidRPr="00086D59" w:rsidRDefault="00404A37" w:rsidP="00D11FE7">
            <w:pPr>
              <w:spacing w:line="360" w:lineRule="auto"/>
              <w:ind w:right="283"/>
              <w:jc w:val="both"/>
              <w:rPr>
                <w:rFonts w:ascii="Verdana" w:hAnsi="Verdana"/>
                <w:b/>
                <w:spacing w:val="-2"/>
                <w:sz w:val="20"/>
                <w:szCs w:val="20"/>
              </w:rPr>
            </w:pPr>
            <w:r>
              <w:rPr>
                <w:rFonts w:ascii="Verdana" w:hAnsi="Verdana"/>
                <w:b/>
                <w:spacing w:val="-2"/>
                <w:sz w:val="20"/>
                <w:szCs w:val="20"/>
              </w:rPr>
              <w:lastRenderedPageBreak/>
              <w:t>1</w:t>
            </w:r>
            <w:r w:rsidR="00D11FE7">
              <w:rPr>
                <w:rFonts w:ascii="Verdana" w:hAnsi="Verdana"/>
                <w:b/>
                <w:spacing w:val="-2"/>
                <w:sz w:val="20"/>
                <w:szCs w:val="20"/>
              </w:rPr>
              <w:t>1</w:t>
            </w:r>
          </w:p>
        </w:tc>
        <w:tc>
          <w:tcPr>
            <w:tcW w:w="1809" w:type="dxa"/>
          </w:tcPr>
          <w:p w14:paraId="0B4AF6D1" w14:textId="77777777" w:rsidR="00404A37" w:rsidRPr="00086D59" w:rsidRDefault="00404A37" w:rsidP="00404A37">
            <w:pPr>
              <w:spacing w:line="360" w:lineRule="auto"/>
              <w:ind w:right="283"/>
              <w:jc w:val="both"/>
              <w:rPr>
                <w:rFonts w:ascii="Verdana" w:hAnsi="Verdana"/>
                <w:b/>
                <w:spacing w:val="-2"/>
                <w:sz w:val="20"/>
                <w:szCs w:val="20"/>
              </w:rPr>
            </w:pPr>
            <w:r w:rsidRPr="00086D59">
              <w:rPr>
                <w:rFonts w:ascii="Verdana" w:hAnsi="Verdana" w:cs="Tahoma"/>
                <w:color w:val="000000"/>
                <w:sz w:val="20"/>
                <w:szCs w:val="20"/>
              </w:rPr>
              <w:t>инж. Борислав Георгиев</w:t>
            </w:r>
          </w:p>
        </w:tc>
        <w:tc>
          <w:tcPr>
            <w:tcW w:w="1695" w:type="dxa"/>
          </w:tcPr>
          <w:p w14:paraId="55EB637A" w14:textId="77777777" w:rsidR="00404A37" w:rsidRPr="00086D59" w:rsidRDefault="00404A37" w:rsidP="00404A37">
            <w:pPr>
              <w:jc w:val="both"/>
              <w:rPr>
                <w:rFonts w:ascii="Verdana" w:hAnsi="Verdana"/>
                <w:spacing w:val="-2"/>
                <w:sz w:val="20"/>
                <w:szCs w:val="20"/>
              </w:rPr>
            </w:pPr>
            <w:r w:rsidRPr="00086D59">
              <w:rPr>
                <w:rFonts w:ascii="Verdana" w:hAnsi="Verdana"/>
                <w:spacing w:val="-2"/>
                <w:sz w:val="20"/>
                <w:szCs w:val="20"/>
              </w:rPr>
              <w:t>19.05.2023 г.</w:t>
            </w:r>
          </w:p>
        </w:tc>
        <w:tc>
          <w:tcPr>
            <w:tcW w:w="7311" w:type="dxa"/>
            <w:tcBorders>
              <w:top w:val="single" w:sz="4" w:space="0" w:color="auto"/>
              <w:bottom w:val="nil"/>
            </w:tcBorders>
          </w:tcPr>
          <w:p w14:paraId="425417F6" w14:textId="77777777" w:rsidR="00404A37" w:rsidRPr="00086D59" w:rsidRDefault="00404A37" w:rsidP="00D11FE7">
            <w:pPr>
              <w:spacing w:line="276" w:lineRule="auto"/>
              <w:jc w:val="both"/>
              <w:rPr>
                <w:rFonts w:ascii="Verdana" w:hAnsi="Verdana" w:cs="Tahoma"/>
                <w:sz w:val="20"/>
                <w:szCs w:val="20"/>
              </w:rPr>
            </w:pPr>
            <w:r w:rsidRPr="00086D59">
              <w:rPr>
                <w:rFonts w:ascii="Verdana" w:hAnsi="Verdana" w:cs="Tahoma"/>
                <w:sz w:val="20"/>
                <w:szCs w:val="20"/>
              </w:rPr>
              <w:t xml:space="preserve">Във връзка с разработени проектни предложения на  фирми по </w:t>
            </w:r>
            <w:proofErr w:type="spellStart"/>
            <w:r w:rsidRPr="00086D59">
              <w:rPr>
                <w:rFonts w:ascii="Verdana" w:hAnsi="Verdana" w:cs="Tahoma"/>
                <w:sz w:val="20"/>
                <w:szCs w:val="20"/>
              </w:rPr>
              <w:t>подмярка</w:t>
            </w:r>
            <w:proofErr w:type="spellEnd"/>
            <w:r w:rsidRPr="00086D59">
              <w:rPr>
                <w:rFonts w:ascii="Verdana" w:hAnsi="Verdana" w:cs="Tahoma"/>
                <w:sz w:val="20"/>
                <w:szCs w:val="20"/>
              </w:rPr>
              <w:t xml:space="preserve"> 4.1 "Инвестиции в земеделски стопанства" към момента на кандидатстване  към проектите са приложени процедури за избор на доставчици на земеделска техника и договори с изпълнители, избрани по 3 оферти за всеки актив. Поради недоглеждане част от проектите са с 52 и 53,2% заявена БФП и на етап ТФО получиха  по 45 точки. При сключване на договор за БФП  </w:t>
            </w:r>
            <w:r w:rsidRPr="00086D59">
              <w:rPr>
                <w:rFonts w:ascii="Verdana" w:hAnsi="Verdana" w:cs="Tahoma"/>
                <w:sz w:val="20"/>
                <w:szCs w:val="20"/>
              </w:rPr>
              <w:lastRenderedPageBreak/>
              <w:t>на фирмата получила 50 точки, със заявена БФП 52,7%,  в уведомителното писмо от ДФЗ имаше следния текст:</w:t>
            </w:r>
          </w:p>
          <w:p w14:paraId="2F280DA3" w14:textId="77777777" w:rsidR="00404A37" w:rsidRPr="00086D59" w:rsidRDefault="00404A37" w:rsidP="00D11FE7">
            <w:pPr>
              <w:spacing w:line="276" w:lineRule="auto"/>
              <w:jc w:val="both"/>
              <w:rPr>
                <w:rFonts w:ascii="Verdana" w:hAnsi="Verdana" w:cs="Tahoma"/>
                <w:sz w:val="20"/>
                <w:szCs w:val="20"/>
              </w:rPr>
            </w:pPr>
            <w:r w:rsidRPr="00086D59">
              <w:rPr>
                <w:rFonts w:ascii="Verdana" w:hAnsi="Verdana" w:cs="Tahoma"/>
                <w:sz w:val="20"/>
                <w:szCs w:val="20"/>
              </w:rPr>
              <w:t>„На основание т. 4.2, изречение първо и т. 7, изречение второ от Раздел 10. Процент на съфинансиране от УК, след извършената техническа и финансова оценка, оценителната комисия е класирала проектните предложения в низходящ ред, съгласно Раздел 22.1 Критерии за оценка на проектни предложения. В резултат е установено, че за проектните предложения, получили по-малко от 55 броя точки включително не е наличен финансов ресурс по Инструмента на Европейския съюз за възстановяване. В тази връзка, за проектните предложения с по-малко от 55 броя точки включително, оценителната комисия е намалила размера на одобрената на етап Оценка на административно съответствие и допустимост финансова помощ, като за инвестиционни разходи в обхвата на Приложение № 1 не е допуснато увеличава с до 25 на сто на финансовата помощ. При това положение, тези разходи се финансират от Европейския земеделски фонд за развитие на селските райони (ЕЗФРСР) до размера на финансовата помощ по т. 1.1. или т. 1.2. от Раздел 10 от УК, в рамките на общия размер на безвъзмездната финансова помощ по процедурата, тъй като финансовите средства от Инструмента на Европейския съюз за възстановяване са изчерпани. В този случай, за разходите за навигационна система е определена безвъзмездна финансова помощ в размер на 50% от стойността на одобрените разходи. Съгласно т. 5 от Раздел 10. Процент на съфинансиране, разликата между пълния размер на допустимите за финансово подпомагане разходи и размера на безвъзмездната финансова помощ се осигурява от кандидата.“</w:t>
            </w:r>
          </w:p>
          <w:p w14:paraId="2E9FF4D1" w14:textId="77777777" w:rsidR="00404A37" w:rsidRPr="00086D59" w:rsidRDefault="00404A37" w:rsidP="00D11FE7">
            <w:pPr>
              <w:spacing w:line="276" w:lineRule="auto"/>
              <w:jc w:val="both"/>
              <w:rPr>
                <w:rFonts w:ascii="Verdana" w:hAnsi="Verdana" w:cs="Tahoma"/>
                <w:sz w:val="20"/>
                <w:szCs w:val="20"/>
              </w:rPr>
            </w:pPr>
            <w:r w:rsidRPr="00086D59">
              <w:rPr>
                <w:rFonts w:ascii="Verdana" w:hAnsi="Verdana" w:cs="Tahoma"/>
                <w:sz w:val="20"/>
                <w:szCs w:val="20"/>
              </w:rPr>
              <w:t>От цитирания текст става ясно  че, всички проекти с по-малък брой точки от 55 ще бъдат с редуцирана БФП и проектите им ще се финансират с 50% БФП. Етапът на оценяване по ТФО вече е факт, класирането на проектите също, а в обсъжданата заповед отново се връщат условията за провеждане на процедура за избор на изпълнители по ПМС 160 за проекти със заявена БФП към момента на кандидатстване надвишаваща 50%.</w:t>
            </w:r>
          </w:p>
          <w:p w14:paraId="497FBE28" w14:textId="77777777" w:rsidR="00404A37" w:rsidRPr="00086D59" w:rsidRDefault="00404A37" w:rsidP="00D11FE7">
            <w:pPr>
              <w:spacing w:line="276" w:lineRule="auto"/>
              <w:jc w:val="both"/>
              <w:rPr>
                <w:rFonts w:ascii="Verdana" w:hAnsi="Verdana" w:cs="Tahoma"/>
                <w:sz w:val="20"/>
                <w:szCs w:val="20"/>
              </w:rPr>
            </w:pPr>
            <w:r w:rsidRPr="00086D59">
              <w:rPr>
                <w:rFonts w:ascii="Verdana" w:hAnsi="Verdana" w:cs="Tahoma"/>
                <w:sz w:val="20"/>
                <w:szCs w:val="20"/>
              </w:rPr>
              <w:t>Въпросите ми са:</w:t>
            </w:r>
          </w:p>
          <w:p w14:paraId="44AEE244" w14:textId="77777777" w:rsidR="00404A37" w:rsidRPr="00086D59" w:rsidRDefault="00404A37" w:rsidP="00D11FE7">
            <w:pPr>
              <w:spacing w:line="276" w:lineRule="auto"/>
              <w:jc w:val="both"/>
              <w:rPr>
                <w:rFonts w:ascii="Verdana" w:hAnsi="Verdana" w:cs="Tahoma"/>
                <w:sz w:val="20"/>
                <w:szCs w:val="20"/>
              </w:rPr>
            </w:pPr>
            <w:r w:rsidRPr="00086D59">
              <w:rPr>
                <w:rFonts w:ascii="Verdana" w:hAnsi="Verdana" w:cs="Tahoma"/>
                <w:sz w:val="20"/>
                <w:szCs w:val="20"/>
              </w:rPr>
              <w:lastRenderedPageBreak/>
              <w:t>1. Какво ще правят фирмите, които са имали информация за редукцията на БФП за проекти,  получили под 55 точки, нямат подписани договори с ДФЗ, а  вече са закупили активите си с проведени процедури за избор на изпълнители по 3 оферти и подписани договори за доставка? Ще има ли финансови корекции или ще им дадете право да подпишат договор за финансиране съгласно оценката на етап ТФО с направената редукция на БФП =50% от стойността на проекта?</w:t>
            </w:r>
          </w:p>
          <w:p w14:paraId="042B2D76" w14:textId="77777777" w:rsidR="00404A37" w:rsidRPr="00086D59" w:rsidRDefault="00404A37" w:rsidP="00D11FE7">
            <w:pPr>
              <w:spacing w:line="276" w:lineRule="auto"/>
              <w:jc w:val="both"/>
              <w:rPr>
                <w:rFonts w:ascii="Verdana" w:hAnsi="Verdana" w:cs="Tahoma"/>
                <w:sz w:val="20"/>
                <w:szCs w:val="20"/>
              </w:rPr>
            </w:pPr>
            <w:r w:rsidRPr="00086D59">
              <w:rPr>
                <w:rFonts w:ascii="Verdana" w:hAnsi="Verdana" w:cs="Tahoma"/>
                <w:sz w:val="20"/>
                <w:szCs w:val="20"/>
              </w:rPr>
              <w:t xml:space="preserve">2. Поради голяма инфлация  от момента на кандидатстване до сега, фирмите на които им предстои подписване на договори с ДФЗ и провеждане на процедури  за избор на изпълнители по ПМС 160 ще изпаднат в ситуация на невъзможност да направят избор, поради липса на  подадени оферти, при което се очаква неизпълнение на договорите за БФП и връщане на пари към Европа.  </w:t>
            </w:r>
          </w:p>
          <w:p w14:paraId="077BCAC8" w14:textId="77777777" w:rsidR="00404A37" w:rsidRPr="00086D59" w:rsidRDefault="00404A37" w:rsidP="00D11FE7">
            <w:pPr>
              <w:spacing w:line="276" w:lineRule="auto"/>
              <w:jc w:val="both"/>
              <w:rPr>
                <w:rFonts w:ascii="Verdana" w:hAnsi="Verdana" w:cs="Tahoma"/>
                <w:sz w:val="20"/>
                <w:szCs w:val="20"/>
              </w:rPr>
            </w:pPr>
            <w:r w:rsidRPr="00BE7CE5">
              <w:rPr>
                <w:rFonts w:ascii="Verdana" w:hAnsi="Verdana" w:cs="Tahoma"/>
                <w:sz w:val="20"/>
                <w:szCs w:val="20"/>
              </w:rPr>
              <w:t>Предлагам да се даде избор на фирмите, които към момента на кандидатстване имат подписани договори с доставчици, да заявят подпомагане в размер на 50% от стойността на проекта, особено ако разликата в заявеното подпомагане към момента на кандидатстване е малко над 50%.</w:t>
            </w:r>
          </w:p>
        </w:tc>
        <w:tc>
          <w:tcPr>
            <w:tcW w:w="3330" w:type="dxa"/>
          </w:tcPr>
          <w:p w14:paraId="331F1600" w14:textId="77777777" w:rsidR="00404A37" w:rsidRPr="00086D59" w:rsidRDefault="00404A37" w:rsidP="00D11FE7">
            <w:pPr>
              <w:spacing w:line="276" w:lineRule="auto"/>
              <w:ind w:right="-89"/>
              <w:jc w:val="both"/>
              <w:rPr>
                <w:rFonts w:ascii="Verdana" w:hAnsi="Verdana"/>
                <w:spacing w:val="-2"/>
                <w:sz w:val="20"/>
                <w:szCs w:val="20"/>
              </w:rPr>
            </w:pPr>
            <w:r w:rsidRPr="00086D59">
              <w:rPr>
                <w:rFonts w:ascii="Verdana" w:hAnsi="Verdana"/>
                <w:spacing w:val="-2"/>
                <w:sz w:val="20"/>
                <w:szCs w:val="20"/>
              </w:rPr>
              <w:lastRenderedPageBreak/>
              <w:t>Приема се частично.</w:t>
            </w:r>
          </w:p>
          <w:p w14:paraId="4A9BD272" w14:textId="77777777" w:rsidR="00404A37" w:rsidRDefault="00404A37" w:rsidP="00D11FE7">
            <w:pPr>
              <w:spacing w:line="276" w:lineRule="auto"/>
              <w:ind w:right="-89"/>
              <w:jc w:val="both"/>
              <w:rPr>
                <w:rFonts w:ascii="Verdana" w:hAnsi="Verdana"/>
                <w:spacing w:val="-2"/>
                <w:sz w:val="20"/>
                <w:szCs w:val="20"/>
              </w:rPr>
            </w:pPr>
            <w:r w:rsidRPr="00086D59">
              <w:rPr>
                <w:rFonts w:ascii="Verdana" w:hAnsi="Verdana"/>
                <w:spacing w:val="-2"/>
                <w:sz w:val="20"/>
                <w:szCs w:val="20"/>
              </w:rPr>
              <w:t xml:space="preserve">Бюджетът по процедура чрез подбор на проектни предложения № BG06RDNP001-4.012 по </w:t>
            </w:r>
            <w:proofErr w:type="spellStart"/>
            <w:r w:rsidRPr="00086D59">
              <w:rPr>
                <w:rFonts w:ascii="Verdana" w:hAnsi="Verdana"/>
                <w:spacing w:val="-2"/>
                <w:sz w:val="20"/>
                <w:szCs w:val="20"/>
              </w:rPr>
              <w:t>подмярка</w:t>
            </w:r>
            <w:proofErr w:type="spellEnd"/>
            <w:r w:rsidRPr="00086D59">
              <w:rPr>
                <w:rFonts w:ascii="Verdana" w:hAnsi="Verdana"/>
                <w:spacing w:val="-2"/>
                <w:sz w:val="20"/>
                <w:szCs w:val="20"/>
              </w:rPr>
              <w:t xml:space="preserve"> 4.1 „Инвестиции в земеделски стопанства“ от мярка 4 „Инвестиции в </w:t>
            </w:r>
            <w:r w:rsidRPr="00086D59">
              <w:rPr>
                <w:rFonts w:ascii="Verdana" w:hAnsi="Verdana"/>
                <w:spacing w:val="-2"/>
                <w:sz w:val="20"/>
                <w:szCs w:val="20"/>
              </w:rPr>
              <w:lastRenderedPageBreak/>
              <w:t xml:space="preserve">материални активи“ на Програмата за развитие на селските райони за периода 2014-2020 г. се финансира от два източника: </w:t>
            </w:r>
          </w:p>
          <w:p w14:paraId="56E52E16" w14:textId="77777777" w:rsidR="00404A37" w:rsidRDefault="00404A37" w:rsidP="00D11FE7">
            <w:pPr>
              <w:spacing w:line="276" w:lineRule="auto"/>
              <w:ind w:right="-89"/>
              <w:jc w:val="both"/>
              <w:rPr>
                <w:rFonts w:ascii="Verdana" w:hAnsi="Verdana"/>
                <w:spacing w:val="-2"/>
                <w:sz w:val="20"/>
                <w:szCs w:val="20"/>
              </w:rPr>
            </w:pPr>
            <w:r w:rsidRPr="00086D59">
              <w:rPr>
                <w:rFonts w:ascii="Verdana" w:hAnsi="Verdana"/>
                <w:spacing w:val="-2"/>
                <w:sz w:val="20"/>
                <w:szCs w:val="20"/>
              </w:rPr>
              <w:t>Инструмент на Европейския съюз за възстановяване и</w:t>
            </w:r>
            <w:r w:rsidRPr="00086D59">
              <w:t xml:space="preserve"> </w:t>
            </w:r>
            <w:r w:rsidRPr="00086D59">
              <w:rPr>
                <w:rFonts w:ascii="Verdana" w:hAnsi="Verdana"/>
                <w:spacing w:val="-2"/>
                <w:sz w:val="20"/>
                <w:szCs w:val="20"/>
              </w:rPr>
              <w:t xml:space="preserve">от Европейския земеделски фонд за развитие на селските райони (ЕЗФРСР). </w:t>
            </w:r>
          </w:p>
          <w:p w14:paraId="3125F78E" w14:textId="77777777" w:rsidR="00404A37" w:rsidRPr="00086D59" w:rsidRDefault="00404A37" w:rsidP="00D11FE7">
            <w:pPr>
              <w:spacing w:line="276" w:lineRule="auto"/>
              <w:ind w:right="-89"/>
              <w:jc w:val="both"/>
              <w:rPr>
                <w:rFonts w:ascii="Verdana" w:hAnsi="Verdana"/>
                <w:spacing w:val="-2"/>
                <w:sz w:val="20"/>
                <w:szCs w:val="20"/>
              </w:rPr>
            </w:pPr>
            <w:r w:rsidRPr="00086D59">
              <w:rPr>
                <w:rFonts w:ascii="Verdana" w:hAnsi="Verdana"/>
                <w:spacing w:val="-2"/>
                <w:sz w:val="20"/>
                <w:szCs w:val="20"/>
              </w:rPr>
              <w:t>С представения проект на заповед се предлага увеличение на финансовите средства от ЕЗФРСР, след промяна в Програма за развитие на селските райони. Допълнителните финансови средства по Инструмент</w:t>
            </w:r>
            <w:r>
              <w:rPr>
                <w:rFonts w:ascii="Verdana" w:hAnsi="Verdana"/>
                <w:spacing w:val="-2"/>
                <w:sz w:val="20"/>
                <w:szCs w:val="20"/>
              </w:rPr>
              <w:t>а</w:t>
            </w:r>
            <w:r w:rsidRPr="00086D59">
              <w:rPr>
                <w:rFonts w:ascii="Verdana" w:hAnsi="Verdana"/>
                <w:spacing w:val="-2"/>
                <w:sz w:val="20"/>
                <w:szCs w:val="20"/>
              </w:rPr>
              <w:t xml:space="preserve"> на Европейския съюз за възстановяване са определени в Регламент (ЕС) 2020/2094 на Съвета от 14 декември 2020 г. за създаване на Инструмент на Европейския съюз за възстановяване с цел подкрепа на възстановяването след кризата с COVID-19 не са променяни от ЕК.</w:t>
            </w:r>
          </w:p>
          <w:p w14:paraId="1896DC34" w14:textId="77777777" w:rsidR="00404A37" w:rsidRPr="00C80E7C" w:rsidRDefault="00404A37" w:rsidP="00D11FE7">
            <w:pPr>
              <w:spacing w:line="276" w:lineRule="auto"/>
              <w:ind w:right="-89"/>
              <w:jc w:val="both"/>
              <w:rPr>
                <w:rFonts w:ascii="Verdana" w:hAnsi="Verdana"/>
                <w:spacing w:val="-2"/>
                <w:sz w:val="20"/>
                <w:szCs w:val="20"/>
              </w:rPr>
            </w:pPr>
            <w:r w:rsidRPr="00C80E7C">
              <w:rPr>
                <w:rFonts w:ascii="Verdana" w:hAnsi="Verdana"/>
                <w:spacing w:val="-2"/>
                <w:sz w:val="20"/>
                <w:szCs w:val="20"/>
              </w:rPr>
              <w:t xml:space="preserve">В тази връзка промяната на насоките с представения проект на заповед не влияе върху процента на финансиране на одобрените вече проектни предложения, на които субсидията е била намалена. </w:t>
            </w:r>
          </w:p>
          <w:p w14:paraId="6E8A73A8" w14:textId="77777777" w:rsidR="00404A37" w:rsidRPr="00086D59" w:rsidRDefault="00404A37" w:rsidP="00D11FE7">
            <w:pPr>
              <w:spacing w:line="276" w:lineRule="auto"/>
              <w:ind w:right="-89"/>
              <w:jc w:val="both"/>
              <w:rPr>
                <w:rFonts w:ascii="Verdana" w:hAnsi="Verdana"/>
                <w:spacing w:val="-2"/>
                <w:sz w:val="20"/>
                <w:szCs w:val="20"/>
              </w:rPr>
            </w:pPr>
            <w:r w:rsidRPr="00C80E7C">
              <w:rPr>
                <w:rFonts w:ascii="Verdana" w:hAnsi="Verdana"/>
                <w:spacing w:val="-2"/>
                <w:sz w:val="20"/>
                <w:szCs w:val="20"/>
              </w:rPr>
              <w:lastRenderedPageBreak/>
              <w:t>Проектните предложения, с които ще бъдат сключени договори, след промяна на бюджета, ще бъдат с процент на финансиране 50%, като същите вече са преминали етап техническа и финансова оценка. С изменението се предоставя възможност на бенефициентите, които след намаляване размера на помощта от страна на оценителната Комисия са одобрени за подпомагане с 50% БФП,  да не извършват процедура за избор на изпълнител по реда на ПМС № 160 от 2016 г. На практика тази промяна поставя всички кандидати с одобрен размер на подпомагането в размер на 50% и по-малко проценти от допустимите разходи при равни условия за избор на изпълнител/и.</w:t>
            </w:r>
          </w:p>
          <w:p w14:paraId="5083D9C8" w14:textId="77777777" w:rsidR="00404A37" w:rsidRPr="00086D59" w:rsidRDefault="00404A37" w:rsidP="00D11FE7">
            <w:pPr>
              <w:pStyle w:val="ListParagraph"/>
              <w:spacing w:line="276" w:lineRule="auto"/>
              <w:ind w:left="0" w:right="-89"/>
              <w:jc w:val="both"/>
              <w:rPr>
                <w:rFonts w:ascii="Verdana" w:hAnsi="Verdana"/>
                <w:spacing w:val="-2"/>
                <w:lang w:val="bg-BG"/>
              </w:rPr>
            </w:pPr>
          </w:p>
        </w:tc>
      </w:tr>
      <w:tr w:rsidR="00404A37" w:rsidRPr="00086D59" w14:paraId="4FE670F1" w14:textId="77777777" w:rsidTr="004B7063">
        <w:tc>
          <w:tcPr>
            <w:tcW w:w="792" w:type="dxa"/>
          </w:tcPr>
          <w:p w14:paraId="4E715852" w14:textId="77777777" w:rsidR="00404A37" w:rsidRPr="00D11FE7" w:rsidRDefault="00D11FE7" w:rsidP="00404A37">
            <w:pPr>
              <w:spacing w:line="360" w:lineRule="auto"/>
              <w:ind w:right="283"/>
              <w:jc w:val="both"/>
              <w:rPr>
                <w:rFonts w:ascii="Verdana" w:hAnsi="Verdana"/>
                <w:b/>
                <w:spacing w:val="-2"/>
                <w:sz w:val="20"/>
                <w:szCs w:val="20"/>
              </w:rPr>
            </w:pPr>
            <w:r w:rsidRPr="00D11FE7">
              <w:rPr>
                <w:rFonts w:ascii="Verdana" w:hAnsi="Verdana"/>
                <w:b/>
                <w:spacing w:val="-2"/>
                <w:sz w:val="20"/>
                <w:szCs w:val="20"/>
              </w:rPr>
              <w:lastRenderedPageBreak/>
              <w:t>12</w:t>
            </w:r>
          </w:p>
        </w:tc>
        <w:tc>
          <w:tcPr>
            <w:tcW w:w="1809" w:type="dxa"/>
          </w:tcPr>
          <w:p w14:paraId="6D561D20" w14:textId="77777777" w:rsidR="00404A37" w:rsidRPr="00086D59" w:rsidRDefault="00404A37" w:rsidP="00404A37">
            <w:pPr>
              <w:spacing w:line="360" w:lineRule="auto"/>
              <w:ind w:right="283"/>
              <w:jc w:val="both"/>
              <w:rPr>
                <w:rFonts w:ascii="Verdana" w:hAnsi="Verdana"/>
                <w:spacing w:val="-2"/>
                <w:sz w:val="20"/>
                <w:szCs w:val="20"/>
              </w:rPr>
            </w:pPr>
            <w:r w:rsidRPr="00086D59">
              <w:rPr>
                <w:rFonts w:ascii="Verdana" w:hAnsi="Verdana"/>
                <w:spacing w:val="-2"/>
                <w:sz w:val="20"/>
                <w:szCs w:val="20"/>
              </w:rPr>
              <w:t>С. Тенев</w:t>
            </w:r>
          </w:p>
        </w:tc>
        <w:tc>
          <w:tcPr>
            <w:tcW w:w="1695" w:type="dxa"/>
          </w:tcPr>
          <w:p w14:paraId="1BA83E93" w14:textId="77777777" w:rsidR="00404A37" w:rsidRPr="00086D59" w:rsidRDefault="00404A37" w:rsidP="00404A37">
            <w:pPr>
              <w:spacing w:line="360" w:lineRule="auto"/>
              <w:ind w:right="-120"/>
              <w:jc w:val="both"/>
              <w:rPr>
                <w:rFonts w:ascii="Verdana" w:hAnsi="Verdana"/>
                <w:spacing w:val="-2"/>
                <w:sz w:val="20"/>
                <w:szCs w:val="20"/>
              </w:rPr>
            </w:pPr>
            <w:r w:rsidRPr="00086D59">
              <w:rPr>
                <w:rFonts w:ascii="Verdana" w:hAnsi="Verdana"/>
                <w:spacing w:val="-2"/>
                <w:sz w:val="20"/>
                <w:szCs w:val="20"/>
              </w:rPr>
              <w:t>19.05.2023 г.</w:t>
            </w:r>
          </w:p>
        </w:tc>
        <w:tc>
          <w:tcPr>
            <w:tcW w:w="7311" w:type="dxa"/>
          </w:tcPr>
          <w:p w14:paraId="20756140" w14:textId="77777777" w:rsidR="00404A37" w:rsidRPr="00086D59" w:rsidRDefault="00404A37" w:rsidP="00404A37">
            <w:pPr>
              <w:spacing w:before="80" w:after="40"/>
              <w:jc w:val="both"/>
              <w:rPr>
                <w:rFonts w:ascii="Verdana" w:hAnsi="Verdana" w:cs="Tahoma"/>
                <w:sz w:val="20"/>
                <w:szCs w:val="20"/>
              </w:rPr>
            </w:pPr>
            <w:r w:rsidRPr="00086D59">
              <w:rPr>
                <w:rFonts w:ascii="Verdana" w:hAnsi="Verdana" w:cs="Tahoma"/>
                <w:sz w:val="20"/>
                <w:szCs w:val="20"/>
              </w:rPr>
              <w:t xml:space="preserve">Във връзка с обсъждането на Проектът на заповед за изменение на Заповед № РД 09-399 от 19.04.2021 г. на заместник-министъра на земеделието и ръководител на Управляващия орган имам следните въпроси: </w:t>
            </w:r>
          </w:p>
          <w:p w14:paraId="5220918A" w14:textId="77777777" w:rsidR="00404A37" w:rsidRPr="00086D59" w:rsidRDefault="00404A37" w:rsidP="00404A37">
            <w:pPr>
              <w:spacing w:before="80" w:after="40"/>
              <w:jc w:val="both"/>
              <w:rPr>
                <w:rFonts w:ascii="Verdana" w:hAnsi="Verdana" w:cs="Tahoma"/>
                <w:sz w:val="20"/>
                <w:szCs w:val="20"/>
              </w:rPr>
            </w:pPr>
            <w:r w:rsidRPr="00086D59">
              <w:rPr>
                <w:rFonts w:ascii="Verdana" w:hAnsi="Verdana" w:cs="Tahoma"/>
                <w:sz w:val="20"/>
                <w:szCs w:val="20"/>
              </w:rPr>
              <w:t>Въпрос: В дадени указания със заповед на УО на ПРСР № РД-09-1027/12.09.2022г. се дава възможност за предварително изпълнение на проекти и стартиране на процедури съгласно ПМС 160/2016г. преди сключване на административен договор за БФП.</w:t>
            </w:r>
          </w:p>
          <w:p w14:paraId="467C4B4D" w14:textId="77777777" w:rsidR="00404A37" w:rsidRPr="00086D59" w:rsidRDefault="00404A37" w:rsidP="00404A37">
            <w:pPr>
              <w:spacing w:before="80" w:after="40"/>
              <w:jc w:val="both"/>
              <w:rPr>
                <w:rFonts w:ascii="Verdana" w:hAnsi="Verdana" w:cs="Tahoma"/>
                <w:sz w:val="20"/>
                <w:szCs w:val="20"/>
              </w:rPr>
            </w:pPr>
            <w:r w:rsidRPr="00086D59">
              <w:rPr>
                <w:rFonts w:ascii="Verdana" w:hAnsi="Verdana" w:cs="Tahoma"/>
                <w:sz w:val="20"/>
                <w:szCs w:val="20"/>
              </w:rPr>
              <w:t xml:space="preserve">В същото време със заповед № РД-09-387/30.03.2022г. се дава възможност за намаляване на размера на финансовата помощ при прилагане на определени критерий на етап ТФО. В случай на класирано проектно предложение, което е с под 55 т., което на етап </w:t>
            </w:r>
            <w:r w:rsidRPr="00086D59">
              <w:rPr>
                <w:rFonts w:ascii="Verdana" w:hAnsi="Verdana" w:cs="Tahoma"/>
                <w:sz w:val="20"/>
                <w:szCs w:val="20"/>
              </w:rPr>
              <w:lastRenderedPageBreak/>
              <w:t>кандидатстване е с 51,6 % БФП, но след прилагане на редукция на етап ТФО на размера на финансовата помощ е с 50% размер на БФП кандидатът е направил избор на изпълнител с 3 оферти, а не е провел процедура по ПМС 160/2016 ще бъде ли обект на санкция?</w:t>
            </w:r>
          </w:p>
          <w:p w14:paraId="29619F97" w14:textId="77777777" w:rsidR="00404A37" w:rsidRPr="00086D59" w:rsidRDefault="00404A37" w:rsidP="00404A37">
            <w:pPr>
              <w:spacing w:before="80" w:after="40"/>
              <w:jc w:val="both"/>
              <w:rPr>
                <w:rFonts w:ascii="Verdana" w:hAnsi="Verdana" w:cs="Tahoma"/>
                <w:sz w:val="20"/>
                <w:szCs w:val="20"/>
              </w:rPr>
            </w:pPr>
            <w:r w:rsidRPr="00086D59">
              <w:rPr>
                <w:rFonts w:ascii="Verdana" w:hAnsi="Verdana" w:cs="Tahoma"/>
                <w:sz w:val="20"/>
                <w:szCs w:val="20"/>
              </w:rPr>
              <w:t>Моля да дадете точен и ясен отговор за прилагане на възможността за предварително изпълнение, ако е използвана процедура с 3 оферти и в частност ако кандидатът не е провел процедура по ПМС 160/2016 подлежи ли на финансова корекция и съответно направените разходи ще останат ли за негова сметка, ако размерът на БФП след редукция е 50%, а на етап кандидатстване е 50,6%?</w:t>
            </w:r>
          </w:p>
          <w:p w14:paraId="21343CCC" w14:textId="77777777" w:rsidR="00404A37" w:rsidRPr="00086D59" w:rsidRDefault="00404A37" w:rsidP="00404A37">
            <w:pPr>
              <w:spacing w:before="80" w:after="40"/>
              <w:jc w:val="both"/>
              <w:rPr>
                <w:rFonts w:ascii="Verdana" w:hAnsi="Verdana" w:cs="Tahoma"/>
                <w:sz w:val="20"/>
                <w:szCs w:val="20"/>
              </w:rPr>
            </w:pPr>
          </w:p>
        </w:tc>
        <w:tc>
          <w:tcPr>
            <w:tcW w:w="3330" w:type="dxa"/>
          </w:tcPr>
          <w:p w14:paraId="6C0D28E3" w14:textId="77777777" w:rsidR="00404A37" w:rsidRPr="00086D59" w:rsidRDefault="00404A37" w:rsidP="00D11FE7">
            <w:pPr>
              <w:ind w:right="-89"/>
              <w:jc w:val="both"/>
              <w:rPr>
                <w:rFonts w:ascii="Verdana" w:hAnsi="Verdana"/>
                <w:spacing w:val="-2"/>
                <w:sz w:val="20"/>
                <w:szCs w:val="20"/>
              </w:rPr>
            </w:pPr>
            <w:r w:rsidRPr="00086D59">
              <w:rPr>
                <w:rFonts w:ascii="Verdana" w:hAnsi="Verdana"/>
                <w:b/>
                <w:spacing w:val="-2"/>
                <w:sz w:val="20"/>
                <w:szCs w:val="20"/>
              </w:rPr>
              <w:lastRenderedPageBreak/>
              <w:tab/>
            </w:r>
            <w:r w:rsidRPr="00086D59">
              <w:rPr>
                <w:rFonts w:ascii="Verdana" w:hAnsi="Verdana"/>
                <w:spacing w:val="-2"/>
                <w:sz w:val="20"/>
                <w:szCs w:val="20"/>
              </w:rPr>
              <w:t>С промяната в раздел 14.2. „Условия за допустимост на разходите“ и Приложение № 2 от Условия за изпълнение се предоставя възможност на бенефициенти</w:t>
            </w:r>
            <w:r>
              <w:rPr>
                <w:rFonts w:ascii="Verdana" w:hAnsi="Verdana"/>
                <w:spacing w:val="-2"/>
                <w:sz w:val="20"/>
                <w:szCs w:val="20"/>
              </w:rPr>
              <w:t>т</w:t>
            </w:r>
            <w:r w:rsidRPr="00086D59">
              <w:rPr>
                <w:rFonts w:ascii="Verdana" w:hAnsi="Verdana"/>
                <w:spacing w:val="-2"/>
                <w:sz w:val="20"/>
                <w:szCs w:val="20"/>
              </w:rPr>
              <w:t>е, които са заявили финансова подпомагане над 50 %, но са одобрени за подпомагане с 50% от допустимите разходи</w:t>
            </w:r>
            <w:r>
              <w:rPr>
                <w:rFonts w:ascii="Verdana" w:hAnsi="Verdana"/>
                <w:spacing w:val="-2"/>
                <w:sz w:val="20"/>
                <w:szCs w:val="20"/>
              </w:rPr>
              <w:t>,</w:t>
            </w:r>
            <w:r w:rsidRPr="00086D59">
              <w:rPr>
                <w:rFonts w:ascii="Verdana" w:hAnsi="Verdana"/>
                <w:spacing w:val="-2"/>
                <w:sz w:val="20"/>
                <w:szCs w:val="20"/>
              </w:rPr>
              <w:t xml:space="preserve"> да не извършват процедура за избор на изпълнител по реда на ПМС № 160 от 2016 г. и </w:t>
            </w:r>
            <w:r w:rsidRPr="00086D59">
              <w:rPr>
                <w:rFonts w:ascii="Verdana" w:hAnsi="Verdana"/>
                <w:spacing w:val="-2"/>
                <w:sz w:val="20"/>
                <w:szCs w:val="20"/>
              </w:rPr>
              <w:lastRenderedPageBreak/>
              <w:t>съответно разходите да бъдат допустими за подпомагане.</w:t>
            </w:r>
          </w:p>
        </w:tc>
      </w:tr>
    </w:tbl>
    <w:p w14:paraId="5687BDB8" w14:textId="77777777" w:rsidR="005B5F77" w:rsidRPr="00086D59" w:rsidRDefault="005B5F77" w:rsidP="00C81D01">
      <w:pPr>
        <w:spacing w:line="360" w:lineRule="auto"/>
        <w:ind w:left="283" w:right="283"/>
        <w:jc w:val="both"/>
        <w:rPr>
          <w:rFonts w:ascii="Verdana" w:hAnsi="Verdana"/>
          <w:b/>
          <w:spacing w:val="-2"/>
          <w:sz w:val="20"/>
          <w:szCs w:val="20"/>
        </w:rPr>
      </w:pPr>
    </w:p>
    <w:p w14:paraId="30861276" w14:textId="77777777" w:rsidR="005B5F77" w:rsidRPr="00086D59" w:rsidRDefault="005B5F77" w:rsidP="00C81D01">
      <w:pPr>
        <w:spacing w:line="360" w:lineRule="auto"/>
        <w:ind w:left="283" w:right="283"/>
        <w:jc w:val="both"/>
        <w:rPr>
          <w:rFonts w:ascii="Verdana" w:hAnsi="Verdana"/>
          <w:b/>
          <w:spacing w:val="-2"/>
          <w:sz w:val="20"/>
          <w:szCs w:val="20"/>
        </w:rPr>
      </w:pPr>
    </w:p>
    <w:p w14:paraId="227F11CF" w14:textId="77777777" w:rsidR="00875806" w:rsidRPr="00086D59" w:rsidRDefault="00875806" w:rsidP="00C81D01">
      <w:pPr>
        <w:spacing w:line="360" w:lineRule="auto"/>
        <w:ind w:left="283" w:right="283"/>
        <w:jc w:val="both"/>
        <w:rPr>
          <w:rFonts w:ascii="Verdana" w:hAnsi="Verdana"/>
          <w:sz w:val="20"/>
          <w:szCs w:val="20"/>
        </w:rPr>
      </w:pPr>
    </w:p>
    <w:p w14:paraId="7FDAFCF9" w14:textId="77777777" w:rsidR="00124211" w:rsidRPr="00086D59" w:rsidRDefault="00124211" w:rsidP="00C81D01">
      <w:pPr>
        <w:jc w:val="both"/>
        <w:rPr>
          <w:rFonts w:ascii="Verdana" w:hAnsi="Verdana"/>
          <w:b/>
          <w:bCs/>
          <w:caps/>
          <w:sz w:val="20"/>
          <w:szCs w:val="20"/>
        </w:rPr>
      </w:pPr>
    </w:p>
    <w:p w14:paraId="0F27E74D" w14:textId="77777777" w:rsidR="00124211" w:rsidRPr="00086D59" w:rsidRDefault="00124211" w:rsidP="00C81D01">
      <w:pPr>
        <w:jc w:val="both"/>
        <w:rPr>
          <w:rFonts w:ascii="Verdana" w:hAnsi="Verdana"/>
          <w:b/>
          <w:bCs/>
          <w:caps/>
          <w:sz w:val="20"/>
          <w:szCs w:val="20"/>
        </w:rPr>
      </w:pPr>
    </w:p>
    <w:p w14:paraId="08E13EC8" w14:textId="77777777" w:rsidR="007F476E" w:rsidRPr="00086D59" w:rsidRDefault="007F476E" w:rsidP="00C81D01">
      <w:pPr>
        <w:jc w:val="both"/>
        <w:rPr>
          <w:rFonts w:ascii="Verdana" w:hAnsi="Verdana"/>
          <w:b/>
          <w:bCs/>
          <w:caps/>
          <w:sz w:val="20"/>
          <w:szCs w:val="20"/>
        </w:rPr>
      </w:pPr>
    </w:p>
    <w:p w14:paraId="44322EE9" w14:textId="77777777" w:rsidR="007B7467" w:rsidRPr="00086D59" w:rsidRDefault="007B7467" w:rsidP="00C81D01">
      <w:pPr>
        <w:jc w:val="both"/>
        <w:rPr>
          <w:rFonts w:ascii="Verdana" w:hAnsi="Verdana"/>
          <w:b/>
          <w:bCs/>
          <w:caps/>
          <w:sz w:val="20"/>
          <w:szCs w:val="20"/>
        </w:rPr>
      </w:pPr>
    </w:p>
    <w:p w14:paraId="543E7995" w14:textId="77777777" w:rsidR="00FD6164" w:rsidRPr="00086D59" w:rsidRDefault="00FD6164" w:rsidP="00C81D01">
      <w:pPr>
        <w:jc w:val="both"/>
        <w:rPr>
          <w:rFonts w:ascii="Verdana" w:hAnsi="Verdana"/>
          <w:b/>
          <w:bCs/>
          <w:caps/>
          <w:sz w:val="20"/>
          <w:szCs w:val="20"/>
        </w:rPr>
      </w:pPr>
    </w:p>
    <w:p w14:paraId="7BCB3A44" w14:textId="77777777" w:rsidR="007B7467" w:rsidRPr="00086D59" w:rsidRDefault="007B7467" w:rsidP="00C81D01">
      <w:pPr>
        <w:jc w:val="both"/>
        <w:rPr>
          <w:rFonts w:ascii="Verdana" w:hAnsi="Verdana"/>
          <w:b/>
          <w:bCs/>
          <w:caps/>
          <w:sz w:val="20"/>
          <w:szCs w:val="20"/>
        </w:rPr>
      </w:pPr>
    </w:p>
    <w:sectPr w:rsidR="007B7467" w:rsidRPr="00086D59" w:rsidSect="00404A37">
      <w:footerReference w:type="even" r:id="rId10"/>
      <w:footerReference w:type="default" r:id="rId11"/>
      <w:pgSz w:w="16840" w:h="11907" w:orient="landscape" w:code="9"/>
      <w:pgMar w:top="426" w:right="1134" w:bottom="426" w:left="1134" w:header="709" w:footer="709"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D1245C" w14:textId="77777777" w:rsidR="003A0370" w:rsidRDefault="003A0370" w:rsidP="00F77FC0">
      <w:r>
        <w:separator/>
      </w:r>
    </w:p>
  </w:endnote>
  <w:endnote w:type="continuationSeparator" w:id="0">
    <w:p w14:paraId="43547944" w14:textId="77777777" w:rsidR="003A0370" w:rsidRDefault="003A0370" w:rsidP="00F77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C457E" w14:textId="77777777" w:rsidR="004246A7" w:rsidRDefault="004246A7" w:rsidP="007E5A1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D186B">
      <w:rPr>
        <w:rStyle w:val="PageNumber"/>
        <w:noProof/>
      </w:rPr>
      <w:t>6</w:t>
    </w:r>
    <w:r>
      <w:rPr>
        <w:rStyle w:val="PageNumber"/>
      </w:rPr>
      <w:fldChar w:fldCharType="end"/>
    </w:r>
  </w:p>
  <w:p w14:paraId="7F22D11B" w14:textId="77777777" w:rsidR="004246A7" w:rsidRDefault="004246A7" w:rsidP="00B10C5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AEEBB" w14:textId="7D9D6FBE" w:rsidR="004246A7" w:rsidRPr="0070323E" w:rsidRDefault="007D186B" w:rsidP="007D186B">
    <w:pPr>
      <w:pStyle w:val="Footer"/>
      <w:jc w:val="right"/>
      <w:rPr>
        <w:sz w:val="16"/>
        <w:szCs w:val="16"/>
        <w:lang w:val="en-US"/>
      </w:rPr>
    </w:pPr>
    <w:r w:rsidRPr="0070323E">
      <w:rPr>
        <w:rFonts w:ascii="Verdana" w:hAnsi="Verdana"/>
        <w:sz w:val="16"/>
        <w:szCs w:val="16"/>
      </w:rPr>
      <w:fldChar w:fldCharType="begin"/>
    </w:r>
    <w:r w:rsidRPr="0070323E">
      <w:rPr>
        <w:rFonts w:ascii="Verdana" w:hAnsi="Verdana"/>
        <w:sz w:val="16"/>
        <w:szCs w:val="16"/>
      </w:rPr>
      <w:instrText xml:space="preserve"> PAGE   \* MERGEFORMAT </w:instrText>
    </w:r>
    <w:r w:rsidRPr="0070323E">
      <w:rPr>
        <w:rFonts w:ascii="Verdana" w:hAnsi="Verdana"/>
        <w:sz w:val="16"/>
        <w:szCs w:val="16"/>
      </w:rPr>
      <w:fldChar w:fldCharType="separate"/>
    </w:r>
    <w:r w:rsidR="005E5111">
      <w:rPr>
        <w:rFonts w:ascii="Verdana" w:hAnsi="Verdana"/>
        <w:noProof/>
        <w:sz w:val="16"/>
        <w:szCs w:val="16"/>
      </w:rPr>
      <w:t>3</w:t>
    </w:r>
    <w:r w:rsidRPr="0070323E">
      <w:rPr>
        <w:rFonts w:ascii="Verdana" w:hAnsi="Verdana"/>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CC8EA9" w14:textId="77777777" w:rsidR="003A0370" w:rsidRDefault="003A0370" w:rsidP="00F77FC0">
      <w:r>
        <w:separator/>
      </w:r>
    </w:p>
  </w:footnote>
  <w:footnote w:type="continuationSeparator" w:id="0">
    <w:p w14:paraId="4259A86D" w14:textId="77777777" w:rsidR="003A0370" w:rsidRDefault="003A0370" w:rsidP="00F77F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2167C"/>
    <w:multiLevelType w:val="hybridMultilevel"/>
    <w:tmpl w:val="F33260A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3A527F"/>
    <w:multiLevelType w:val="hybridMultilevel"/>
    <w:tmpl w:val="14D6DDEE"/>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0B834ACF"/>
    <w:multiLevelType w:val="multilevel"/>
    <w:tmpl w:val="C01C8796"/>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08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3" w15:restartNumberingAfterBreak="0">
    <w:nsid w:val="136A0742"/>
    <w:multiLevelType w:val="singleLevel"/>
    <w:tmpl w:val="1BB428A4"/>
    <w:lvl w:ilvl="0">
      <w:start w:val="1"/>
      <w:numFmt w:val="decimal"/>
      <w:lvlText w:val="3.%1."/>
      <w:legacy w:legacy="1" w:legacySpace="0" w:legacyIndent="557"/>
      <w:lvlJc w:val="left"/>
      <w:rPr>
        <w:rFonts w:ascii="Times New Roman" w:hAnsi="Times New Roman" w:cs="Times New Roman" w:hint="default"/>
      </w:rPr>
    </w:lvl>
  </w:abstractNum>
  <w:abstractNum w:abstractNumId="4" w15:restartNumberingAfterBreak="0">
    <w:nsid w:val="16D87FDE"/>
    <w:multiLevelType w:val="hybridMultilevel"/>
    <w:tmpl w:val="8D46247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8F653E1"/>
    <w:multiLevelType w:val="hybridMultilevel"/>
    <w:tmpl w:val="275439D6"/>
    <w:lvl w:ilvl="0" w:tplc="EF1CAED2">
      <w:start w:val="1"/>
      <w:numFmt w:val="bullet"/>
      <w:lvlText w:val=""/>
      <w:lvlJc w:val="left"/>
      <w:pPr>
        <w:tabs>
          <w:tab w:val="num" w:pos="1385"/>
        </w:tabs>
        <w:ind w:left="705" w:firstLine="340"/>
      </w:pPr>
      <w:rPr>
        <w:rFonts w:ascii="Symbol" w:hAnsi="Symbol" w:hint="default"/>
      </w:rPr>
    </w:lvl>
    <w:lvl w:ilvl="1" w:tplc="04020003" w:tentative="1">
      <w:start w:val="1"/>
      <w:numFmt w:val="bullet"/>
      <w:lvlText w:val="o"/>
      <w:lvlJc w:val="left"/>
      <w:pPr>
        <w:tabs>
          <w:tab w:val="num" w:pos="2145"/>
        </w:tabs>
        <w:ind w:left="2145" w:hanging="360"/>
      </w:pPr>
      <w:rPr>
        <w:rFonts w:ascii="Courier New" w:hAnsi="Courier New" w:cs="Courier New" w:hint="default"/>
      </w:rPr>
    </w:lvl>
    <w:lvl w:ilvl="2" w:tplc="04020005" w:tentative="1">
      <w:start w:val="1"/>
      <w:numFmt w:val="bullet"/>
      <w:lvlText w:val=""/>
      <w:lvlJc w:val="left"/>
      <w:pPr>
        <w:tabs>
          <w:tab w:val="num" w:pos="2865"/>
        </w:tabs>
        <w:ind w:left="2865" w:hanging="360"/>
      </w:pPr>
      <w:rPr>
        <w:rFonts w:ascii="Wingdings" w:hAnsi="Wingdings" w:hint="default"/>
      </w:rPr>
    </w:lvl>
    <w:lvl w:ilvl="3" w:tplc="04020001" w:tentative="1">
      <w:start w:val="1"/>
      <w:numFmt w:val="bullet"/>
      <w:lvlText w:val=""/>
      <w:lvlJc w:val="left"/>
      <w:pPr>
        <w:tabs>
          <w:tab w:val="num" w:pos="3585"/>
        </w:tabs>
        <w:ind w:left="3585" w:hanging="360"/>
      </w:pPr>
      <w:rPr>
        <w:rFonts w:ascii="Symbol" w:hAnsi="Symbol" w:hint="default"/>
      </w:rPr>
    </w:lvl>
    <w:lvl w:ilvl="4" w:tplc="04020003" w:tentative="1">
      <w:start w:val="1"/>
      <w:numFmt w:val="bullet"/>
      <w:lvlText w:val="o"/>
      <w:lvlJc w:val="left"/>
      <w:pPr>
        <w:tabs>
          <w:tab w:val="num" w:pos="4305"/>
        </w:tabs>
        <w:ind w:left="4305" w:hanging="360"/>
      </w:pPr>
      <w:rPr>
        <w:rFonts w:ascii="Courier New" w:hAnsi="Courier New" w:cs="Courier New" w:hint="default"/>
      </w:rPr>
    </w:lvl>
    <w:lvl w:ilvl="5" w:tplc="04020005" w:tentative="1">
      <w:start w:val="1"/>
      <w:numFmt w:val="bullet"/>
      <w:lvlText w:val=""/>
      <w:lvlJc w:val="left"/>
      <w:pPr>
        <w:tabs>
          <w:tab w:val="num" w:pos="5025"/>
        </w:tabs>
        <w:ind w:left="5025" w:hanging="360"/>
      </w:pPr>
      <w:rPr>
        <w:rFonts w:ascii="Wingdings" w:hAnsi="Wingdings" w:hint="default"/>
      </w:rPr>
    </w:lvl>
    <w:lvl w:ilvl="6" w:tplc="04020001" w:tentative="1">
      <w:start w:val="1"/>
      <w:numFmt w:val="bullet"/>
      <w:lvlText w:val=""/>
      <w:lvlJc w:val="left"/>
      <w:pPr>
        <w:tabs>
          <w:tab w:val="num" w:pos="5745"/>
        </w:tabs>
        <w:ind w:left="5745" w:hanging="360"/>
      </w:pPr>
      <w:rPr>
        <w:rFonts w:ascii="Symbol" w:hAnsi="Symbol" w:hint="default"/>
      </w:rPr>
    </w:lvl>
    <w:lvl w:ilvl="7" w:tplc="04020003" w:tentative="1">
      <w:start w:val="1"/>
      <w:numFmt w:val="bullet"/>
      <w:lvlText w:val="o"/>
      <w:lvlJc w:val="left"/>
      <w:pPr>
        <w:tabs>
          <w:tab w:val="num" w:pos="6465"/>
        </w:tabs>
        <w:ind w:left="6465" w:hanging="360"/>
      </w:pPr>
      <w:rPr>
        <w:rFonts w:ascii="Courier New" w:hAnsi="Courier New" w:cs="Courier New" w:hint="default"/>
      </w:rPr>
    </w:lvl>
    <w:lvl w:ilvl="8" w:tplc="04020005" w:tentative="1">
      <w:start w:val="1"/>
      <w:numFmt w:val="bullet"/>
      <w:lvlText w:val=""/>
      <w:lvlJc w:val="left"/>
      <w:pPr>
        <w:tabs>
          <w:tab w:val="num" w:pos="7185"/>
        </w:tabs>
        <w:ind w:left="7185" w:hanging="360"/>
      </w:pPr>
      <w:rPr>
        <w:rFonts w:ascii="Wingdings" w:hAnsi="Wingdings" w:hint="default"/>
      </w:rPr>
    </w:lvl>
  </w:abstractNum>
  <w:abstractNum w:abstractNumId="6" w15:restartNumberingAfterBreak="0">
    <w:nsid w:val="1BD03EDA"/>
    <w:multiLevelType w:val="multilevel"/>
    <w:tmpl w:val="6E563520"/>
    <w:lvl w:ilvl="0">
      <w:start w:val="1"/>
      <w:numFmt w:val="decimal"/>
      <w:suff w:val="space"/>
      <w:lvlText w:val="%1."/>
      <w:lvlJc w:val="left"/>
      <w:pPr>
        <w:ind w:left="1364" w:hanging="360"/>
      </w:pPr>
      <w:rPr>
        <w:rFonts w:hint="default"/>
        <w:b w:val="0"/>
        <w:i w:val="0"/>
      </w:rPr>
    </w:lvl>
    <w:lvl w:ilvl="1">
      <w:start w:val="1"/>
      <w:numFmt w:val="lowerLetter"/>
      <w:lvlText w:val="%2."/>
      <w:lvlJc w:val="left"/>
      <w:pPr>
        <w:ind w:left="2084" w:hanging="360"/>
      </w:pPr>
      <w:rPr>
        <w:rFonts w:hint="default"/>
      </w:rPr>
    </w:lvl>
    <w:lvl w:ilvl="2">
      <w:start w:val="1"/>
      <w:numFmt w:val="lowerRoman"/>
      <w:lvlText w:val="%3."/>
      <w:lvlJc w:val="right"/>
      <w:pPr>
        <w:ind w:left="2804" w:hanging="180"/>
      </w:pPr>
      <w:rPr>
        <w:rFonts w:hint="default"/>
      </w:rPr>
    </w:lvl>
    <w:lvl w:ilvl="3">
      <w:start w:val="1"/>
      <w:numFmt w:val="decimal"/>
      <w:lvlText w:val="%4."/>
      <w:lvlJc w:val="left"/>
      <w:pPr>
        <w:ind w:left="3524" w:hanging="360"/>
      </w:pPr>
      <w:rPr>
        <w:rFonts w:hint="default"/>
      </w:rPr>
    </w:lvl>
    <w:lvl w:ilvl="4">
      <w:start w:val="1"/>
      <w:numFmt w:val="lowerLetter"/>
      <w:lvlText w:val="%5."/>
      <w:lvlJc w:val="left"/>
      <w:pPr>
        <w:ind w:left="4244" w:hanging="360"/>
      </w:pPr>
      <w:rPr>
        <w:rFonts w:hint="default"/>
      </w:rPr>
    </w:lvl>
    <w:lvl w:ilvl="5">
      <w:start w:val="1"/>
      <w:numFmt w:val="lowerRoman"/>
      <w:lvlText w:val="%6."/>
      <w:lvlJc w:val="right"/>
      <w:pPr>
        <w:ind w:left="4964" w:hanging="180"/>
      </w:pPr>
      <w:rPr>
        <w:rFonts w:hint="default"/>
      </w:rPr>
    </w:lvl>
    <w:lvl w:ilvl="6">
      <w:start w:val="1"/>
      <w:numFmt w:val="decimal"/>
      <w:lvlText w:val="%7."/>
      <w:lvlJc w:val="left"/>
      <w:pPr>
        <w:ind w:left="5684" w:hanging="360"/>
      </w:pPr>
      <w:rPr>
        <w:rFonts w:hint="default"/>
      </w:rPr>
    </w:lvl>
    <w:lvl w:ilvl="7">
      <w:start w:val="1"/>
      <w:numFmt w:val="lowerLetter"/>
      <w:lvlText w:val="%8."/>
      <w:lvlJc w:val="left"/>
      <w:pPr>
        <w:ind w:left="6404" w:hanging="360"/>
      </w:pPr>
      <w:rPr>
        <w:rFonts w:hint="default"/>
      </w:rPr>
    </w:lvl>
    <w:lvl w:ilvl="8">
      <w:start w:val="1"/>
      <w:numFmt w:val="lowerRoman"/>
      <w:lvlText w:val="%9."/>
      <w:lvlJc w:val="right"/>
      <w:pPr>
        <w:ind w:left="7124" w:hanging="180"/>
      </w:pPr>
      <w:rPr>
        <w:rFonts w:hint="default"/>
      </w:rPr>
    </w:lvl>
  </w:abstractNum>
  <w:abstractNum w:abstractNumId="7" w15:restartNumberingAfterBreak="0">
    <w:nsid w:val="26704EBB"/>
    <w:multiLevelType w:val="hybridMultilevel"/>
    <w:tmpl w:val="C28E7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290441"/>
    <w:multiLevelType w:val="hybridMultilevel"/>
    <w:tmpl w:val="BC7A32F0"/>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283B2989"/>
    <w:multiLevelType w:val="multilevel"/>
    <w:tmpl w:val="005C029A"/>
    <w:lvl w:ilvl="0">
      <w:numFmt w:val="bullet"/>
      <w:suff w:val="space"/>
      <w:lvlText w:val="-"/>
      <w:lvlJc w:val="left"/>
      <w:pPr>
        <w:ind w:left="720" w:hanging="360"/>
      </w:pPr>
      <w:rPr>
        <w:rFonts w:ascii="Verdana" w:hAnsi="Verdan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88660F2"/>
    <w:multiLevelType w:val="hybridMultilevel"/>
    <w:tmpl w:val="F2589AD0"/>
    <w:lvl w:ilvl="0" w:tplc="0402000F">
      <w:start w:val="2"/>
      <w:numFmt w:val="decimal"/>
      <w:lvlText w:val="%1."/>
      <w:lvlJc w:val="left"/>
      <w:pPr>
        <w:tabs>
          <w:tab w:val="num" w:pos="360"/>
        </w:tabs>
        <w:ind w:left="360" w:hanging="360"/>
      </w:pPr>
      <w:rPr>
        <w:rFonts w:hint="default"/>
      </w:r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11" w15:restartNumberingAfterBreak="0">
    <w:nsid w:val="29AA294F"/>
    <w:multiLevelType w:val="hybridMultilevel"/>
    <w:tmpl w:val="BE28AA78"/>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 w15:restartNumberingAfterBreak="0">
    <w:nsid w:val="2B3A7FD9"/>
    <w:multiLevelType w:val="multilevel"/>
    <w:tmpl w:val="0402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1AA719B"/>
    <w:multiLevelType w:val="hybridMultilevel"/>
    <w:tmpl w:val="3FE25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D43DAC"/>
    <w:multiLevelType w:val="hybridMultilevel"/>
    <w:tmpl w:val="D6B0A1E4"/>
    <w:lvl w:ilvl="0" w:tplc="A98844F4">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EF2934"/>
    <w:multiLevelType w:val="hybridMultilevel"/>
    <w:tmpl w:val="20A4981E"/>
    <w:lvl w:ilvl="0" w:tplc="1F50B50C">
      <w:numFmt w:val="bullet"/>
      <w:lvlText w:val="-"/>
      <w:lvlJc w:val="left"/>
      <w:pPr>
        <w:ind w:left="1004" w:hanging="360"/>
      </w:pPr>
      <w:rPr>
        <w:rFonts w:ascii="Times New Roman" w:eastAsia="Times New Roman" w:hAnsi="Times New Roman" w:cs="Times New Roman"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16" w15:restartNumberingAfterBreak="0">
    <w:nsid w:val="3F7D4D53"/>
    <w:multiLevelType w:val="hybridMultilevel"/>
    <w:tmpl w:val="38CC6D5C"/>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7" w15:restartNumberingAfterBreak="0">
    <w:nsid w:val="3F8524E0"/>
    <w:multiLevelType w:val="hybridMultilevel"/>
    <w:tmpl w:val="503ED9D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40EF62AD"/>
    <w:multiLevelType w:val="hybridMultilevel"/>
    <w:tmpl w:val="B6682F48"/>
    <w:lvl w:ilvl="0" w:tplc="BB3CA224">
      <w:start w:val="1"/>
      <w:numFmt w:val="decimal"/>
      <w:lvlText w:val="%1."/>
      <w:lvlJc w:val="left"/>
      <w:pPr>
        <w:tabs>
          <w:tab w:val="num" w:pos="915"/>
        </w:tabs>
        <w:ind w:left="915" w:hanging="5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758462B"/>
    <w:multiLevelType w:val="multilevel"/>
    <w:tmpl w:val="BC4C5C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4E8C25E0"/>
    <w:multiLevelType w:val="hybridMultilevel"/>
    <w:tmpl w:val="642086D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51963F5E"/>
    <w:multiLevelType w:val="hybridMultilevel"/>
    <w:tmpl w:val="13F6042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2" w15:restartNumberingAfterBreak="0">
    <w:nsid w:val="54BC7DDE"/>
    <w:multiLevelType w:val="multilevel"/>
    <w:tmpl w:val="E9FE340E"/>
    <w:lvl w:ilvl="0">
      <w:start w:val="12"/>
      <w:numFmt w:val="decimal"/>
      <w:lvlText w:val="%1"/>
      <w:lvlJc w:val="left"/>
      <w:pPr>
        <w:ind w:left="435" w:hanging="43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6722C1B"/>
    <w:multiLevelType w:val="hybridMultilevel"/>
    <w:tmpl w:val="44001E70"/>
    <w:lvl w:ilvl="0" w:tplc="EACC439C">
      <w:start w:val="1"/>
      <w:numFmt w:val="decimal"/>
      <w:lvlText w:val="%1."/>
      <w:lvlJc w:val="left"/>
      <w:pPr>
        <w:tabs>
          <w:tab w:val="num" w:pos="1068"/>
        </w:tabs>
        <w:ind w:left="1068" w:hanging="360"/>
      </w:pPr>
      <w:rPr>
        <w:rFonts w:hint="default"/>
      </w:rPr>
    </w:lvl>
    <w:lvl w:ilvl="1" w:tplc="04020019" w:tentative="1">
      <w:start w:val="1"/>
      <w:numFmt w:val="lowerLetter"/>
      <w:lvlText w:val="%2."/>
      <w:lvlJc w:val="left"/>
      <w:pPr>
        <w:tabs>
          <w:tab w:val="num" w:pos="1788"/>
        </w:tabs>
        <w:ind w:left="1788" w:hanging="360"/>
      </w:pPr>
    </w:lvl>
    <w:lvl w:ilvl="2" w:tplc="0402001B" w:tentative="1">
      <w:start w:val="1"/>
      <w:numFmt w:val="lowerRoman"/>
      <w:lvlText w:val="%3."/>
      <w:lvlJc w:val="right"/>
      <w:pPr>
        <w:tabs>
          <w:tab w:val="num" w:pos="2508"/>
        </w:tabs>
        <w:ind w:left="2508" w:hanging="180"/>
      </w:pPr>
    </w:lvl>
    <w:lvl w:ilvl="3" w:tplc="0402000F" w:tentative="1">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24" w15:restartNumberingAfterBreak="0">
    <w:nsid w:val="57396F41"/>
    <w:multiLevelType w:val="multilevel"/>
    <w:tmpl w:val="9C808652"/>
    <w:lvl w:ilvl="0">
      <w:start w:val="12"/>
      <w:numFmt w:val="decimal"/>
      <w:lvlText w:val="%1."/>
      <w:lvlJc w:val="left"/>
      <w:pPr>
        <w:tabs>
          <w:tab w:val="num" w:pos="600"/>
        </w:tabs>
        <w:ind w:left="600" w:hanging="600"/>
      </w:pPr>
      <w:rPr>
        <w:rFonts w:hint="default"/>
      </w:rPr>
    </w:lvl>
    <w:lvl w:ilvl="1">
      <w:start w:val="2"/>
      <w:numFmt w:val="decimal"/>
      <w:lvlText w:val="%1.%2."/>
      <w:lvlJc w:val="left"/>
      <w:pPr>
        <w:tabs>
          <w:tab w:val="num" w:pos="1305"/>
        </w:tabs>
        <w:ind w:left="1305" w:hanging="60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25" w15:restartNumberingAfterBreak="0">
    <w:nsid w:val="5F7A28A4"/>
    <w:multiLevelType w:val="hybridMultilevel"/>
    <w:tmpl w:val="5B009600"/>
    <w:lvl w:ilvl="0" w:tplc="9318A26A">
      <w:start w:val="2"/>
      <w:numFmt w:val="decimal"/>
      <w:lvlText w:val="%1."/>
      <w:lvlJc w:val="left"/>
      <w:pPr>
        <w:tabs>
          <w:tab w:val="num" w:pos="432"/>
        </w:tabs>
        <w:ind w:left="432" w:hanging="360"/>
      </w:pPr>
      <w:rPr>
        <w:rFonts w:hint="default"/>
      </w:rPr>
    </w:lvl>
    <w:lvl w:ilvl="1" w:tplc="04020019" w:tentative="1">
      <w:start w:val="1"/>
      <w:numFmt w:val="lowerLetter"/>
      <w:lvlText w:val="%2."/>
      <w:lvlJc w:val="left"/>
      <w:pPr>
        <w:tabs>
          <w:tab w:val="num" w:pos="1152"/>
        </w:tabs>
        <w:ind w:left="1152" w:hanging="360"/>
      </w:pPr>
    </w:lvl>
    <w:lvl w:ilvl="2" w:tplc="0402001B" w:tentative="1">
      <w:start w:val="1"/>
      <w:numFmt w:val="lowerRoman"/>
      <w:lvlText w:val="%3."/>
      <w:lvlJc w:val="right"/>
      <w:pPr>
        <w:tabs>
          <w:tab w:val="num" w:pos="1872"/>
        </w:tabs>
        <w:ind w:left="1872" w:hanging="180"/>
      </w:pPr>
    </w:lvl>
    <w:lvl w:ilvl="3" w:tplc="0402000F" w:tentative="1">
      <w:start w:val="1"/>
      <w:numFmt w:val="decimal"/>
      <w:lvlText w:val="%4."/>
      <w:lvlJc w:val="left"/>
      <w:pPr>
        <w:tabs>
          <w:tab w:val="num" w:pos="2592"/>
        </w:tabs>
        <w:ind w:left="2592" w:hanging="360"/>
      </w:pPr>
    </w:lvl>
    <w:lvl w:ilvl="4" w:tplc="04020019" w:tentative="1">
      <w:start w:val="1"/>
      <w:numFmt w:val="lowerLetter"/>
      <w:lvlText w:val="%5."/>
      <w:lvlJc w:val="left"/>
      <w:pPr>
        <w:tabs>
          <w:tab w:val="num" w:pos="3312"/>
        </w:tabs>
        <w:ind w:left="3312" w:hanging="360"/>
      </w:pPr>
    </w:lvl>
    <w:lvl w:ilvl="5" w:tplc="0402001B" w:tentative="1">
      <w:start w:val="1"/>
      <w:numFmt w:val="lowerRoman"/>
      <w:lvlText w:val="%6."/>
      <w:lvlJc w:val="right"/>
      <w:pPr>
        <w:tabs>
          <w:tab w:val="num" w:pos="4032"/>
        </w:tabs>
        <w:ind w:left="4032" w:hanging="180"/>
      </w:pPr>
    </w:lvl>
    <w:lvl w:ilvl="6" w:tplc="0402000F" w:tentative="1">
      <w:start w:val="1"/>
      <w:numFmt w:val="decimal"/>
      <w:lvlText w:val="%7."/>
      <w:lvlJc w:val="left"/>
      <w:pPr>
        <w:tabs>
          <w:tab w:val="num" w:pos="4752"/>
        </w:tabs>
        <w:ind w:left="4752" w:hanging="360"/>
      </w:pPr>
    </w:lvl>
    <w:lvl w:ilvl="7" w:tplc="04020019" w:tentative="1">
      <w:start w:val="1"/>
      <w:numFmt w:val="lowerLetter"/>
      <w:lvlText w:val="%8."/>
      <w:lvlJc w:val="left"/>
      <w:pPr>
        <w:tabs>
          <w:tab w:val="num" w:pos="5472"/>
        </w:tabs>
        <w:ind w:left="5472" w:hanging="360"/>
      </w:pPr>
    </w:lvl>
    <w:lvl w:ilvl="8" w:tplc="0402001B" w:tentative="1">
      <w:start w:val="1"/>
      <w:numFmt w:val="lowerRoman"/>
      <w:lvlText w:val="%9."/>
      <w:lvlJc w:val="right"/>
      <w:pPr>
        <w:tabs>
          <w:tab w:val="num" w:pos="6192"/>
        </w:tabs>
        <w:ind w:left="6192" w:hanging="180"/>
      </w:pPr>
    </w:lvl>
  </w:abstractNum>
  <w:abstractNum w:abstractNumId="26" w15:restartNumberingAfterBreak="0">
    <w:nsid w:val="639A4941"/>
    <w:multiLevelType w:val="hybridMultilevel"/>
    <w:tmpl w:val="321844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BC5EE4"/>
    <w:multiLevelType w:val="multilevel"/>
    <w:tmpl w:val="626EA2EA"/>
    <w:lvl w:ilvl="0">
      <w:start w:val="1"/>
      <w:numFmt w:val="bullet"/>
      <w:lvlText w:val=""/>
      <w:lvlJc w:val="left"/>
      <w:pPr>
        <w:ind w:left="227" w:hanging="227"/>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65C04F7E"/>
    <w:multiLevelType w:val="hybridMultilevel"/>
    <w:tmpl w:val="B7B415FA"/>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6DB235E"/>
    <w:multiLevelType w:val="hybridMultilevel"/>
    <w:tmpl w:val="462A4D6E"/>
    <w:lvl w:ilvl="0" w:tplc="CD3ADD92">
      <w:start w:val="1"/>
      <w:numFmt w:val="decimal"/>
      <w:lvlText w:val="%1."/>
      <w:lvlJc w:val="left"/>
      <w:pPr>
        <w:tabs>
          <w:tab w:val="num" w:pos="720"/>
        </w:tabs>
        <w:ind w:left="720" w:hanging="360"/>
      </w:pPr>
      <w:rPr>
        <w:rFonts w:ascii="Times New Roman" w:eastAsia="Times New Roman" w:hAnsi="Times New Roman" w:cs="Times New Roman"/>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0" w15:restartNumberingAfterBreak="0">
    <w:nsid w:val="69C171E7"/>
    <w:multiLevelType w:val="hybridMultilevel"/>
    <w:tmpl w:val="D4D6C11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9C92366"/>
    <w:multiLevelType w:val="hybridMultilevel"/>
    <w:tmpl w:val="6CD0DD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F941CC"/>
    <w:multiLevelType w:val="hybridMultilevel"/>
    <w:tmpl w:val="DB9A5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6D3468D"/>
    <w:multiLevelType w:val="hybridMultilevel"/>
    <w:tmpl w:val="1D0E2064"/>
    <w:lvl w:ilvl="0" w:tplc="075A6B06">
      <w:start w:val="1"/>
      <w:numFmt w:val="decimal"/>
      <w:lvlText w:val="%1."/>
      <w:lvlJc w:val="left"/>
      <w:pPr>
        <w:tabs>
          <w:tab w:val="num" w:pos="1110"/>
        </w:tabs>
        <w:ind w:left="1110" w:hanging="75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4" w15:restartNumberingAfterBreak="0">
    <w:nsid w:val="77710E68"/>
    <w:multiLevelType w:val="hybridMultilevel"/>
    <w:tmpl w:val="ACC698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CCE4763"/>
    <w:multiLevelType w:val="hybridMultilevel"/>
    <w:tmpl w:val="84005D6E"/>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num w:numId="1">
    <w:abstractNumId w:val="21"/>
  </w:num>
  <w:num w:numId="2">
    <w:abstractNumId w:val="29"/>
  </w:num>
  <w:num w:numId="3">
    <w:abstractNumId w:val="16"/>
  </w:num>
  <w:num w:numId="4">
    <w:abstractNumId w:val="33"/>
  </w:num>
  <w:num w:numId="5">
    <w:abstractNumId w:val="35"/>
  </w:num>
  <w:num w:numId="6">
    <w:abstractNumId w:val="10"/>
  </w:num>
  <w:num w:numId="7">
    <w:abstractNumId w:val="25"/>
  </w:num>
  <w:num w:numId="8">
    <w:abstractNumId w:val="11"/>
  </w:num>
  <w:num w:numId="9">
    <w:abstractNumId w:val="18"/>
  </w:num>
  <w:num w:numId="10">
    <w:abstractNumId w:val="23"/>
  </w:num>
  <w:num w:numId="11">
    <w:abstractNumId w:val="8"/>
  </w:num>
  <w:num w:numId="12">
    <w:abstractNumId w:val="1"/>
  </w:num>
  <w:num w:numId="13">
    <w:abstractNumId w:val="3"/>
  </w:num>
  <w:num w:numId="14">
    <w:abstractNumId w:val="20"/>
  </w:num>
  <w:num w:numId="15">
    <w:abstractNumId w:val="4"/>
  </w:num>
  <w:num w:numId="16">
    <w:abstractNumId w:val="27"/>
  </w:num>
  <w:num w:numId="17">
    <w:abstractNumId w:val="34"/>
  </w:num>
  <w:num w:numId="18">
    <w:abstractNumId w:val="13"/>
  </w:num>
  <w:num w:numId="19">
    <w:abstractNumId w:val="12"/>
  </w:num>
  <w:num w:numId="20">
    <w:abstractNumId w:val="26"/>
  </w:num>
  <w:num w:numId="21">
    <w:abstractNumId w:val="19"/>
  </w:num>
  <w:num w:numId="22">
    <w:abstractNumId w:val="2"/>
  </w:num>
  <w:num w:numId="23">
    <w:abstractNumId w:val="24"/>
  </w:num>
  <w:num w:numId="24">
    <w:abstractNumId w:val="5"/>
  </w:num>
  <w:num w:numId="25">
    <w:abstractNumId w:val="22"/>
  </w:num>
  <w:num w:numId="26">
    <w:abstractNumId w:val="31"/>
  </w:num>
  <w:num w:numId="27">
    <w:abstractNumId w:val="32"/>
  </w:num>
  <w:num w:numId="28">
    <w:abstractNumId w:val="17"/>
  </w:num>
  <w:num w:numId="29">
    <w:abstractNumId w:val="6"/>
  </w:num>
  <w:num w:numId="30">
    <w:abstractNumId w:val="15"/>
  </w:num>
  <w:num w:numId="31">
    <w:abstractNumId w:val="14"/>
  </w:num>
  <w:num w:numId="32">
    <w:abstractNumId w:val="9"/>
  </w:num>
  <w:num w:numId="33">
    <w:abstractNumId w:val="28"/>
  </w:num>
  <w:num w:numId="34">
    <w:abstractNumId w:val="7"/>
  </w:num>
  <w:num w:numId="35">
    <w:abstractNumId w:val="30"/>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7FD"/>
    <w:rsid w:val="00000160"/>
    <w:rsid w:val="000005E3"/>
    <w:rsid w:val="00003922"/>
    <w:rsid w:val="00004B05"/>
    <w:rsid w:val="00007431"/>
    <w:rsid w:val="00010840"/>
    <w:rsid w:val="00016134"/>
    <w:rsid w:val="0002154C"/>
    <w:rsid w:val="000223F4"/>
    <w:rsid w:val="00024499"/>
    <w:rsid w:val="0002680E"/>
    <w:rsid w:val="00027E59"/>
    <w:rsid w:val="0003584E"/>
    <w:rsid w:val="0003611F"/>
    <w:rsid w:val="00037030"/>
    <w:rsid w:val="000376BF"/>
    <w:rsid w:val="0004009B"/>
    <w:rsid w:val="000400E1"/>
    <w:rsid w:val="00043482"/>
    <w:rsid w:val="000466B0"/>
    <w:rsid w:val="00046B95"/>
    <w:rsid w:val="00046E3E"/>
    <w:rsid w:val="00051A6E"/>
    <w:rsid w:val="00053703"/>
    <w:rsid w:val="000553FF"/>
    <w:rsid w:val="000568C9"/>
    <w:rsid w:val="00057421"/>
    <w:rsid w:val="00057B11"/>
    <w:rsid w:val="0006099A"/>
    <w:rsid w:val="00061AC7"/>
    <w:rsid w:val="00062F90"/>
    <w:rsid w:val="00064644"/>
    <w:rsid w:val="00064CDC"/>
    <w:rsid w:val="0006513C"/>
    <w:rsid w:val="0006665C"/>
    <w:rsid w:val="000711E9"/>
    <w:rsid w:val="000712B6"/>
    <w:rsid w:val="000720CA"/>
    <w:rsid w:val="000740A9"/>
    <w:rsid w:val="00074F9E"/>
    <w:rsid w:val="00076642"/>
    <w:rsid w:val="000777D1"/>
    <w:rsid w:val="00083137"/>
    <w:rsid w:val="00083A2E"/>
    <w:rsid w:val="00084366"/>
    <w:rsid w:val="000852A7"/>
    <w:rsid w:val="00085339"/>
    <w:rsid w:val="00086A75"/>
    <w:rsid w:val="00086D59"/>
    <w:rsid w:val="00090164"/>
    <w:rsid w:val="00090597"/>
    <w:rsid w:val="00092779"/>
    <w:rsid w:val="00093716"/>
    <w:rsid w:val="0009576D"/>
    <w:rsid w:val="0009771C"/>
    <w:rsid w:val="00097ECB"/>
    <w:rsid w:val="000A0D64"/>
    <w:rsid w:val="000A0F80"/>
    <w:rsid w:val="000A1B8E"/>
    <w:rsid w:val="000A4CB3"/>
    <w:rsid w:val="000A68B6"/>
    <w:rsid w:val="000A71D9"/>
    <w:rsid w:val="000B1777"/>
    <w:rsid w:val="000B43CF"/>
    <w:rsid w:val="000B5DF0"/>
    <w:rsid w:val="000B69E4"/>
    <w:rsid w:val="000B75F2"/>
    <w:rsid w:val="000C1A69"/>
    <w:rsid w:val="000C2298"/>
    <w:rsid w:val="000C5544"/>
    <w:rsid w:val="000C64E5"/>
    <w:rsid w:val="000C6784"/>
    <w:rsid w:val="000C7BD8"/>
    <w:rsid w:val="000D20D8"/>
    <w:rsid w:val="000D2AD0"/>
    <w:rsid w:val="000D30F6"/>
    <w:rsid w:val="000E0F6E"/>
    <w:rsid w:val="000E24F8"/>
    <w:rsid w:val="000E5128"/>
    <w:rsid w:val="000E590D"/>
    <w:rsid w:val="000F4F95"/>
    <w:rsid w:val="000F5415"/>
    <w:rsid w:val="000F5A7D"/>
    <w:rsid w:val="000F5C62"/>
    <w:rsid w:val="000F6E0B"/>
    <w:rsid w:val="001025D1"/>
    <w:rsid w:val="00102B0A"/>
    <w:rsid w:val="00105E97"/>
    <w:rsid w:val="00107B13"/>
    <w:rsid w:val="00107E18"/>
    <w:rsid w:val="0011157D"/>
    <w:rsid w:val="001120E7"/>
    <w:rsid w:val="00115964"/>
    <w:rsid w:val="00115D33"/>
    <w:rsid w:val="0011767B"/>
    <w:rsid w:val="00117764"/>
    <w:rsid w:val="001179A4"/>
    <w:rsid w:val="00121719"/>
    <w:rsid w:val="00121F9B"/>
    <w:rsid w:val="00122D2C"/>
    <w:rsid w:val="00124211"/>
    <w:rsid w:val="00124BBC"/>
    <w:rsid w:val="00125103"/>
    <w:rsid w:val="00126E02"/>
    <w:rsid w:val="00126E08"/>
    <w:rsid w:val="00127EDA"/>
    <w:rsid w:val="00130276"/>
    <w:rsid w:val="00131F17"/>
    <w:rsid w:val="001333F4"/>
    <w:rsid w:val="00135804"/>
    <w:rsid w:val="001358E0"/>
    <w:rsid w:val="001372B4"/>
    <w:rsid w:val="0014003E"/>
    <w:rsid w:val="001409F3"/>
    <w:rsid w:val="0014368B"/>
    <w:rsid w:val="00144C0C"/>
    <w:rsid w:val="00144D75"/>
    <w:rsid w:val="00145260"/>
    <w:rsid w:val="00146868"/>
    <w:rsid w:val="00147654"/>
    <w:rsid w:val="00147947"/>
    <w:rsid w:val="001521DC"/>
    <w:rsid w:val="00153B3C"/>
    <w:rsid w:val="00154ACA"/>
    <w:rsid w:val="0015690B"/>
    <w:rsid w:val="00160427"/>
    <w:rsid w:val="001606CB"/>
    <w:rsid w:val="001647DB"/>
    <w:rsid w:val="00166516"/>
    <w:rsid w:val="001701B0"/>
    <w:rsid w:val="00170477"/>
    <w:rsid w:val="00170FB6"/>
    <w:rsid w:val="00171752"/>
    <w:rsid w:val="001717C8"/>
    <w:rsid w:val="0017188A"/>
    <w:rsid w:val="00171B7F"/>
    <w:rsid w:val="00176496"/>
    <w:rsid w:val="00176AC0"/>
    <w:rsid w:val="00177F10"/>
    <w:rsid w:val="00180EB2"/>
    <w:rsid w:val="00183184"/>
    <w:rsid w:val="00184C6E"/>
    <w:rsid w:val="001856C6"/>
    <w:rsid w:val="00186653"/>
    <w:rsid w:val="00187441"/>
    <w:rsid w:val="0019108E"/>
    <w:rsid w:val="001911A6"/>
    <w:rsid w:val="001956FF"/>
    <w:rsid w:val="00195B46"/>
    <w:rsid w:val="0019652A"/>
    <w:rsid w:val="001965B3"/>
    <w:rsid w:val="001A069A"/>
    <w:rsid w:val="001A154D"/>
    <w:rsid w:val="001A40E2"/>
    <w:rsid w:val="001A6407"/>
    <w:rsid w:val="001B1DF3"/>
    <w:rsid w:val="001B3568"/>
    <w:rsid w:val="001B4365"/>
    <w:rsid w:val="001B7EC2"/>
    <w:rsid w:val="001C25F4"/>
    <w:rsid w:val="001C2D2C"/>
    <w:rsid w:val="001C30C1"/>
    <w:rsid w:val="001C34F6"/>
    <w:rsid w:val="001C3DC4"/>
    <w:rsid w:val="001C4DC3"/>
    <w:rsid w:val="001C5303"/>
    <w:rsid w:val="001C53D4"/>
    <w:rsid w:val="001C6CEA"/>
    <w:rsid w:val="001C708B"/>
    <w:rsid w:val="001C75F1"/>
    <w:rsid w:val="001D038C"/>
    <w:rsid w:val="001D2906"/>
    <w:rsid w:val="001D3A57"/>
    <w:rsid w:val="001D4C0B"/>
    <w:rsid w:val="001D68D0"/>
    <w:rsid w:val="001D75E1"/>
    <w:rsid w:val="001D7994"/>
    <w:rsid w:val="001E02F2"/>
    <w:rsid w:val="001E18F0"/>
    <w:rsid w:val="001E5E55"/>
    <w:rsid w:val="001E630E"/>
    <w:rsid w:val="001E6EE0"/>
    <w:rsid w:val="001F201A"/>
    <w:rsid w:val="001F34B0"/>
    <w:rsid w:val="001F74A3"/>
    <w:rsid w:val="00200489"/>
    <w:rsid w:val="0020092D"/>
    <w:rsid w:val="00201944"/>
    <w:rsid w:val="00201A13"/>
    <w:rsid w:val="0020224E"/>
    <w:rsid w:val="002036A0"/>
    <w:rsid w:val="0020389B"/>
    <w:rsid w:val="00203B89"/>
    <w:rsid w:val="00206FC1"/>
    <w:rsid w:val="0020728B"/>
    <w:rsid w:val="00212653"/>
    <w:rsid w:val="002128C4"/>
    <w:rsid w:val="0021490C"/>
    <w:rsid w:val="00217177"/>
    <w:rsid w:val="00217923"/>
    <w:rsid w:val="002201FA"/>
    <w:rsid w:val="002223F1"/>
    <w:rsid w:val="002257C6"/>
    <w:rsid w:val="0023049F"/>
    <w:rsid w:val="00230B80"/>
    <w:rsid w:val="00230BEE"/>
    <w:rsid w:val="00230F5C"/>
    <w:rsid w:val="0023389F"/>
    <w:rsid w:val="002342F6"/>
    <w:rsid w:val="00234A44"/>
    <w:rsid w:val="002366DA"/>
    <w:rsid w:val="00236F60"/>
    <w:rsid w:val="00236F89"/>
    <w:rsid w:val="002371E8"/>
    <w:rsid w:val="002406B3"/>
    <w:rsid w:val="002421CC"/>
    <w:rsid w:val="002444AF"/>
    <w:rsid w:val="00245B34"/>
    <w:rsid w:val="00247870"/>
    <w:rsid w:val="00251B79"/>
    <w:rsid w:val="00254F58"/>
    <w:rsid w:val="00255352"/>
    <w:rsid w:val="002615F2"/>
    <w:rsid w:val="00261F78"/>
    <w:rsid w:val="00263127"/>
    <w:rsid w:val="00267879"/>
    <w:rsid w:val="00271B19"/>
    <w:rsid w:val="00271D1D"/>
    <w:rsid w:val="00271D30"/>
    <w:rsid w:val="002731E0"/>
    <w:rsid w:val="002738B5"/>
    <w:rsid w:val="00277DEF"/>
    <w:rsid w:val="00280C72"/>
    <w:rsid w:val="00284B74"/>
    <w:rsid w:val="002906FE"/>
    <w:rsid w:val="00293CCA"/>
    <w:rsid w:val="00293D22"/>
    <w:rsid w:val="00294089"/>
    <w:rsid w:val="002955A6"/>
    <w:rsid w:val="00296020"/>
    <w:rsid w:val="002977D0"/>
    <w:rsid w:val="00297ABF"/>
    <w:rsid w:val="00297B62"/>
    <w:rsid w:val="002A08BB"/>
    <w:rsid w:val="002A0BCA"/>
    <w:rsid w:val="002A1A23"/>
    <w:rsid w:val="002A4111"/>
    <w:rsid w:val="002B1A01"/>
    <w:rsid w:val="002B1C4F"/>
    <w:rsid w:val="002B2608"/>
    <w:rsid w:val="002B3B1A"/>
    <w:rsid w:val="002B3BAE"/>
    <w:rsid w:val="002B7A85"/>
    <w:rsid w:val="002B7FCD"/>
    <w:rsid w:val="002C06F3"/>
    <w:rsid w:val="002C132E"/>
    <w:rsid w:val="002C2772"/>
    <w:rsid w:val="002C27D4"/>
    <w:rsid w:val="002C4648"/>
    <w:rsid w:val="002D6376"/>
    <w:rsid w:val="002E13AE"/>
    <w:rsid w:val="002E450E"/>
    <w:rsid w:val="002E49AF"/>
    <w:rsid w:val="002E4F02"/>
    <w:rsid w:val="002E55AD"/>
    <w:rsid w:val="002E5FD5"/>
    <w:rsid w:val="002E7770"/>
    <w:rsid w:val="002F26AC"/>
    <w:rsid w:val="002F58A4"/>
    <w:rsid w:val="002F5F29"/>
    <w:rsid w:val="002F773F"/>
    <w:rsid w:val="002F7DF7"/>
    <w:rsid w:val="002F7FA8"/>
    <w:rsid w:val="00300BCC"/>
    <w:rsid w:val="00303913"/>
    <w:rsid w:val="003070F5"/>
    <w:rsid w:val="003073E1"/>
    <w:rsid w:val="003073FA"/>
    <w:rsid w:val="00307686"/>
    <w:rsid w:val="00307DBD"/>
    <w:rsid w:val="00307E45"/>
    <w:rsid w:val="003107C6"/>
    <w:rsid w:val="00314D56"/>
    <w:rsid w:val="00315A9C"/>
    <w:rsid w:val="00321ECF"/>
    <w:rsid w:val="003247A5"/>
    <w:rsid w:val="00324892"/>
    <w:rsid w:val="003255CF"/>
    <w:rsid w:val="0033005E"/>
    <w:rsid w:val="003308BD"/>
    <w:rsid w:val="003357DE"/>
    <w:rsid w:val="00335AD5"/>
    <w:rsid w:val="00336655"/>
    <w:rsid w:val="003368C5"/>
    <w:rsid w:val="003413F5"/>
    <w:rsid w:val="00342B06"/>
    <w:rsid w:val="00343367"/>
    <w:rsid w:val="003477F2"/>
    <w:rsid w:val="003501A5"/>
    <w:rsid w:val="00351268"/>
    <w:rsid w:val="003557BD"/>
    <w:rsid w:val="003570D1"/>
    <w:rsid w:val="0036071C"/>
    <w:rsid w:val="00363E3C"/>
    <w:rsid w:val="00366A42"/>
    <w:rsid w:val="003671B9"/>
    <w:rsid w:val="00370422"/>
    <w:rsid w:val="00370B70"/>
    <w:rsid w:val="003754D1"/>
    <w:rsid w:val="00377672"/>
    <w:rsid w:val="0038379B"/>
    <w:rsid w:val="00384CCB"/>
    <w:rsid w:val="00385A60"/>
    <w:rsid w:val="003867A9"/>
    <w:rsid w:val="00387133"/>
    <w:rsid w:val="0038725A"/>
    <w:rsid w:val="003874AF"/>
    <w:rsid w:val="0038757A"/>
    <w:rsid w:val="00391D29"/>
    <w:rsid w:val="00392E51"/>
    <w:rsid w:val="003937EE"/>
    <w:rsid w:val="00395B47"/>
    <w:rsid w:val="003A0370"/>
    <w:rsid w:val="003A1511"/>
    <w:rsid w:val="003A38D4"/>
    <w:rsid w:val="003A3E26"/>
    <w:rsid w:val="003A6F8B"/>
    <w:rsid w:val="003A7E5D"/>
    <w:rsid w:val="003A7F7E"/>
    <w:rsid w:val="003B285C"/>
    <w:rsid w:val="003B39FD"/>
    <w:rsid w:val="003B429C"/>
    <w:rsid w:val="003B47D3"/>
    <w:rsid w:val="003B571C"/>
    <w:rsid w:val="003B60A8"/>
    <w:rsid w:val="003B7A19"/>
    <w:rsid w:val="003C14B4"/>
    <w:rsid w:val="003C19EB"/>
    <w:rsid w:val="003C1A61"/>
    <w:rsid w:val="003C4AD9"/>
    <w:rsid w:val="003C50A1"/>
    <w:rsid w:val="003C6D68"/>
    <w:rsid w:val="003D0622"/>
    <w:rsid w:val="003D1870"/>
    <w:rsid w:val="003D5838"/>
    <w:rsid w:val="003E1A11"/>
    <w:rsid w:val="003E21F3"/>
    <w:rsid w:val="003E29EB"/>
    <w:rsid w:val="003E32D7"/>
    <w:rsid w:val="003E3A26"/>
    <w:rsid w:val="003F01F1"/>
    <w:rsid w:val="003F07E0"/>
    <w:rsid w:val="003F3856"/>
    <w:rsid w:val="003F3D5F"/>
    <w:rsid w:val="00400029"/>
    <w:rsid w:val="00400D72"/>
    <w:rsid w:val="004025EB"/>
    <w:rsid w:val="00403A73"/>
    <w:rsid w:val="00404A37"/>
    <w:rsid w:val="0040596C"/>
    <w:rsid w:val="00405D40"/>
    <w:rsid w:val="00407200"/>
    <w:rsid w:val="0040741D"/>
    <w:rsid w:val="0041295A"/>
    <w:rsid w:val="00412CB5"/>
    <w:rsid w:val="00414A8E"/>
    <w:rsid w:val="0041789E"/>
    <w:rsid w:val="00420325"/>
    <w:rsid w:val="004207FE"/>
    <w:rsid w:val="00421E5B"/>
    <w:rsid w:val="0042344B"/>
    <w:rsid w:val="004246A7"/>
    <w:rsid w:val="00427A1C"/>
    <w:rsid w:val="00427F10"/>
    <w:rsid w:val="00430A4A"/>
    <w:rsid w:val="00431010"/>
    <w:rsid w:val="00433B82"/>
    <w:rsid w:val="00434552"/>
    <w:rsid w:val="00434F52"/>
    <w:rsid w:val="004366A8"/>
    <w:rsid w:val="0043707D"/>
    <w:rsid w:val="004426BB"/>
    <w:rsid w:val="00444FD4"/>
    <w:rsid w:val="004450BA"/>
    <w:rsid w:val="0044550E"/>
    <w:rsid w:val="00446883"/>
    <w:rsid w:val="00446BD4"/>
    <w:rsid w:val="0045211D"/>
    <w:rsid w:val="0045304F"/>
    <w:rsid w:val="004553AD"/>
    <w:rsid w:val="0045594D"/>
    <w:rsid w:val="00457117"/>
    <w:rsid w:val="0046542F"/>
    <w:rsid w:val="004656D7"/>
    <w:rsid w:val="0046771B"/>
    <w:rsid w:val="00467ADB"/>
    <w:rsid w:val="00470480"/>
    <w:rsid w:val="00471965"/>
    <w:rsid w:val="0047263F"/>
    <w:rsid w:val="00472F26"/>
    <w:rsid w:val="00474C0C"/>
    <w:rsid w:val="00474C80"/>
    <w:rsid w:val="00474EA2"/>
    <w:rsid w:val="004805F0"/>
    <w:rsid w:val="0048138D"/>
    <w:rsid w:val="00482738"/>
    <w:rsid w:val="0048298D"/>
    <w:rsid w:val="00484254"/>
    <w:rsid w:val="00485A03"/>
    <w:rsid w:val="00486F1A"/>
    <w:rsid w:val="004908F9"/>
    <w:rsid w:val="004919B0"/>
    <w:rsid w:val="004926C8"/>
    <w:rsid w:val="00492EAD"/>
    <w:rsid w:val="00493863"/>
    <w:rsid w:val="00494D8B"/>
    <w:rsid w:val="00495D7C"/>
    <w:rsid w:val="004964B7"/>
    <w:rsid w:val="00496F53"/>
    <w:rsid w:val="004979BF"/>
    <w:rsid w:val="004A1474"/>
    <w:rsid w:val="004A332D"/>
    <w:rsid w:val="004A42C3"/>
    <w:rsid w:val="004A5769"/>
    <w:rsid w:val="004A6C83"/>
    <w:rsid w:val="004A7A70"/>
    <w:rsid w:val="004B027D"/>
    <w:rsid w:val="004B2F8A"/>
    <w:rsid w:val="004B368E"/>
    <w:rsid w:val="004B3A35"/>
    <w:rsid w:val="004B4340"/>
    <w:rsid w:val="004B7063"/>
    <w:rsid w:val="004C01CD"/>
    <w:rsid w:val="004C0D4A"/>
    <w:rsid w:val="004C1960"/>
    <w:rsid w:val="004C2051"/>
    <w:rsid w:val="004C25F3"/>
    <w:rsid w:val="004C26ED"/>
    <w:rsid w:val="004C3602"/>
    <w:rsid w:val="004C3F50"/>
    <w:rsid w:val="004C4975"/>
    <w:rsid w:val="004C6BA2"/>
    <w:rsid w:val="004C7742"/>
    <w:rsid w:val="004D03A9"/>
    <w:rsid w:val="004D0DF4"/>
    <w:rsid w:val="004D49A7"/>
    <w:rsid w:val="004D72B7"/>
    <w:rsid w:val="004D7B76"/>
    <w:rsid w:val="004E05A3"/>
    <w:rsid w:val="004E1529"/>
    <w:rsid w:val="004E1E75"/>
    <w:rsid w:val="004E42DF"/>
    <w:rsid w:val="004E4E21"/>
    <w:rsid w:val="004E7458"/>
    <w:rsid w:val="004E782A"/>
    <w:rsid w:val="004F0232"/>
    <w:rsid w:val="004F068F"/>
    <w:rsid w:val="004F1936"/>
    <w:rsid w:val="004F2076"/>
    <w:rsid w:val="004F487C"/>
    <w:rsid w:val="004F4C4A"/>
    <w:rsid w:val="004F617E"/>
    <w:rsid w:val="004F6D6E"/>
    <w:rsid w:val="004F7BA5"/>
    <w:rsid w:val="00500054"/>
    <w:rsid w:val="005001D2"/>
    <w:rsid w:val="00500EC4"/>
    <w:rsid w:val="005050FB"/>
    <w:rsid w:val="005079F4"/>
    <w:rsid w:val="00507C8E"/>
    <w:rsid w:val="00510281"/>
    <w:rsid w:val="00510EA7"/>
    <w:rsid w:val="00511402"/>
    <w:rsid w:val="0051496D"/>
    <w:rsid w:val="00514C33"/>
    <w:rsid w:val="00522B4A"/>
    <w:rsid w:val="0052465E"/>
    <w:rsid w:val="005250A8"/>
    <w:rsid w:val="005257CC"/>
    <w:rsid w:val="005318E3"/>
    <w:rsid w:val="00533BAE"/>
    <w:rsid w:val="0054005E"/>
    <w:rsid w:val="00541B30"/>
    <w:rsid w:val="00541FA1"/>
    <w:rsid w:val="00542ECC"/>
    <w:rsid w:val="00544452"/>
    <w:rsid w:val="00545679"/>
    <w:rsid w:val="00545E44"/>
    <w:rsid w:val="00546B0C"/>
    <w:rsid w:val="0054762B"/>
    <w:rsid w:val="005500B6"/>
    <w:rsid w:val="00552E47"/>
    <w:rsid w:val="00553246"/>
    <w:rsid w:val="00553F67"/>
    <w:rsid w:val="00554B0B"/>
    <w:rsid w:val="00554DA5"/>
    <w:rsid w:val="005551D9"/>
    <w:rsid w:val="0055545C"/>
    <w:rsid w:val="005556AB"/>
    <w:rsid w:val="00556631"/>
    <w:rsid w:val="005569B3"/>
    <w:rsid w:val="00561129"/>
    <w:rsid w:val="00561E5E"/>
    <w:rsid w:val="0056321C"/>
    <w:rsid w:val="00564957"/>
    <w:rsid w:val="0056726B"/>
    <w:rsid w:val="0057169A"/>
    <w:rsid w:val="0057184E"/>
    <w:rsid w:val="005749C2"/>
    <w:rsid w:val="00575887"/>
    <w:rsid w:val="0057692C"/>
    <w:rsid w:val="005858EF"/>
    <w:rsid w:val="00585E29"/>
    <w:rsid w:val="005860BA"/>
    <w:rsid w:val="00586F1A"/>
    <w:rsid w:val="0058734E"/>
    <w:rsid w:val="005906CA"/>
    <w:rsid w:val="00593468"/>
    <w:rsid w:val="00594EA8"/>
    <w:rsid w:val="0059688D"/>
    <w:rsid w:val="005A13B1"/>
    <w:rsid w:val="005A3813"/>
    <w:rsid w:val="005A44AD"/>
    <w:rsid w:val="005A4571"/>
    <w:rsid w:val="005A6AC0"/>
    <w:rsid w:val="005A7A1D"/>
    <w:rsid w:val="005B01DD"/>
    <w:rsid w:val="005B0D37"/>
    <w:rsid w:val="005B10C3"/>
    <w:rsid w:val="005B1A4F"/>
    <w:rsid w:val="005B1EB3"/>
    <w:rsid w:val="005B5F77"/>
    <w:rsid w:val="005B6B8E"/>
    <w:rsid w:val="005C30B7"/>
    <w:rsid w:val="005C38E8"/>
    <w:rsid w:val="005C42D6"/>
    <w:rsid w:val="005C46EE"/>
    <w:rsid w:val="005D0160"/>
    <w:rsid w:val="005D18F6"/>
    <w:rsid w:val="005D267D"/>
    <w:rsid w:val="005D3375"/>
    <w:rsid w:val="005D4E65"/>
    <w:rsid w:val="005D503F"/>
    <w:rsid w:val="005D563D"/>
    <w:rsid w:val="005D5680"/>
    <w:rsid w:val="005E12A3"/>
    <w:rsid w:val="005E30A1"/>
    <w:rsid w:val="005E35DC"/>
    <w:rsid w:val="005E5111"/>
    <w:rsid w:val="005E5CEE"/>
    <w:rsid w:val="005F0B38"/>
    <w:rsid w:val="005F12B0"/>
    <w:rsid w:val="005F1561"/>
    <w:rsid w:val="005F222B"/>
    <w:rsid w:val="005F2FFF"/>
    <w:rsid w:val="005F39A5"/>
    <w:rsid w:val="005F4DA6"/>
    <w:rsid w:val="005F5D82"/>
    <w:rsid w:val="005F71E5"/>
    <w:rsid w:val="005F7702"/>
    <w:rsid w:val="005F770D"/>
    <w:rsid w:val="00604AC8"/>
    <w:rsid w:val="00605B19"/>
    <w:rsid w:val="00607057"/>
    <w:rsid w:val="00611F78"/>
    <w:rsid w:val="00612406"/>
    <w:rsid w:val="006127F3"/>
    <w:rsid w:val="006146A9"/>
    <w:rsid w:val="00616E24"/>
    <w:rsid w:val="00621497"/>
    <w:rsid w:val="00622E4A"/>
    <w:rsid w:val="006233BB"/>
    <w:rsid w:val="006235CB"/>
    <w:rsid w:val="00623662"/>
    <w:rsid w:val="00623CF4"/>
    <w:rsid w:val="00624D96"/>
    <w:rsid w:val="00625806"/>
    <w:rsid w:val="006266A0"/>
    <w:rsid w:val="006306D9"/>
    <w:rsid w:val="00630918"/>
    <w:rsid w:val="006335C5"/>
    <w:rsid w:val="00636DF5"/>
    <w:rsid w:val="006377BC"/>
    <w:rsid w:val="00641952"/>
    <w:rsid w:val="00641AC0"/>
    <w:rsid w:val="00641BEA"/>
    <w:rsid w:val="006422C2"/>
    <w:rsid w:val="00642CD4"/>
    <w:rsid w:val="00645555"/>
    <w:rsid w:val="006516C9"/>
    <w:rsid w:val="006524C0"/>
    <w:rsid w:val="00652CC2"/>
    <w:rsid w:val="00655FBB"/>
    <w:rsid w:val="00663AED"/>
    <w:rsid w:val="006643B0"/>
    <w:rsid w:val="00664AE5"/>
    <w:rsid w:val="00672657"/>
    <w:rsid w:val="0067377C"/>
    <w:rsid w:val="00674CA1"/>
    <w:rsid w:val="00676B17"/>
    <w:rsid w:val="00680ADF"/>
    <w:rsid w:val="0068183D"/>
    <w:rsid w:val="006862FD"/>
    <w:rsid w:val="00686488"/>
    <w:rsid w:val="006868C5"/>
    <w:rsid w:val="00687E65"/>
    <w:rsid w:val="006913DC"/>
    <w:rsid w:val="00694039"/>
    <w:rsid w:val="006955AB"/>
    <w:rsid w:val="006958C9"/>
    <w:rsid w:val="0069759F"/>
    <w:rsid w:val="006A0086"/>
    <w:rsid w:val="006A2A8F"/>
    <w:rsid w:val="006A3A1C"/>
    <w:rsid w:val="006B2FA6"/>
    <w:rsid w:val="006B3C4C"/>
    <w:rsid w:val="006B6B4F"/>
    <w:rsid w:val="006B6E14"/>
    <w:rsid w:val="006C1D7D"/>
    <w:rsid w:val="006C201B"/>
    <w:rsid w:val="006C333E"/>
    <w:rsid w:val="006C4650"/>
    <w:rsid w:val="006C46D2"/>
    <w:rsid w:val="006C4981"/>
    <w:rsid w:val="006C52D2"/>
    <w:rsid w:val="006C5497"/>
    <w:rsid w:val="006C57CF"/>
    <w:rsid w:val="006C5F3B"/>
    <w:rsid w:val="006C68E4"/>
    <w:rsid w:val="006C6FDC"/>
    <w:rsid w:val="006D10A2"/>
    <w:rsid w:val="006D2FB1"/>
    <w:rsid w:val="006D4055"/>
    <w:rsid w:val="006D565F"/>
    <w:rsid w:val="006D583F"/>
    <w:rsid w:val="006D5C85"/>
    <w:rsid w:val="006D760F"/>
    <w:rsid w:val="006E07E8"/>
    <w:rsid w:val="006E2AED"/>
    <w:rsid w:val="006E2D9F"/>
    <w:rsid w:val="006E77FC"/>
    <w:rsid w:val="006F0172"/>
    <w:rsid w:val="006F1EE1"/>
    <w:rsid w:val="006F27D5"/>
    <w:rsid w:val="006F5ABF"/>
    <w:rsid w:val="006F7597"/>
    <w:rsid w:val="006F7877"/>
    <w:rsid w:val="0070323E"/>
    <w:rsid w:val="007051B0"/>
    <w:rsid w:val="00705EF1"/>
    <w:rsid w:val="00706038"/>
    <w:rsid w:val="007068C9"/>
    <w:rsid w:val="00706B80"/>
    <w:rsid w:val="007078B1"/>
    <w:rsid w:val="007123A5"/>
    <w:rsid w:val="00715914"/>
    <w:rsid w:val="00716E47"/>
    <w:rsid w:val="007171F2"/>
    <w:rsid w:val="00717B59"/>
    <w:rsid w:val="00717C1B"/>
    <w:rsid w:val="00721508"/>
    <w:rsid w:val="0072167F"/>
    <w:rsid w:val="00722520"/>
    <w:rsid w:val="00722FDE"/>
    <w:rsid w:val="00723823"/>
    <w:rsid w:val="00724CC0"/>
    <w:rsid w:val="00731108"/>
    <w:rsid w:val="00732931"/>
    <w:rsid w:val="00732A9C"/>
    <w:rsid w:val="007339B3"/>
    <w:rsid w:val="00734744"/>
    <w:rsid w:val="00734A27"/>
    <w:rsid w:val="00734D8D"/>
    <w:rsid w:val="0073507A"/>
    <w:rsid w:val="00737865"/>
    <w:rsid w:val="00740BBE"/>
    <w:rsid w:val="00741500"/>
    <w:rsid w:val="007417F4"/>
    <w:rsid w:val="007434BD"/>
    <w:rsid w:val="0074374E"/>
    <w:rsid w:val="00747E68"/>
    <w:rsid w:val="00753940"/>
    <w:rsid w:val="00757C0B"/>
    <w:rsid w:val="00757D67"/>
    <w:rsid w:val="00761BBD"/>
    <w:rsid w:val="007622B1"/>
    <w:rsid w:val="007626B3"/>
    <w:rsid w:val="00763928"/>
    <w:rsid w:val="00763F67"/>
    <w:rsid w:val="00765096"/>
    <w:rsid w:val="00765DA7"/>
    <w:rsid w:val="00766B4C"/>
    <w:rsid w:val="00766EE4"/>
    <w:rsid w:val="00767EDA"/>
    <w:rsid w:val="0077111A"/>
    <w:rsid w:val="00774664"/>
    <w:rsid w:val="00775002"/>
    <w:rsid w:val="0077527F"/>
    <w:rsid w:val="00775900"/>
    <w:rsid w:val="00776512"/>
    <w:rsid w:val="00776BD5"/>
    <w:rsid w:val="00781443"/>
    <w:rsid w:val="00781EDB"/>
    <w:rsid w:val="00782091"/>
    <w:rsid w:val="00782E41"/>
    <w:rsid w:val="00784BF0"/>
    <w:rsid w:val="00785B1F"/>
    <w:rsid w:val="00786107"/>
    <w:rsid w:val="00786AE3"/>
    <w:rsid w:val="007876CD"/>
    <w:rsid w:val="007903F8"/>
    <w:rsid w:val="00790540"/>
    <w:rsid w:val="0079427C"/>
    <w:rsid w:val="00794BFB"/>
    <w:rsid w:val="007A1192"/>
    <w:rsid w:val="007A516D"/>
    <w:rsid w:val="007A62E8"/>
    <w:rsid w:val="007A6971"/>
    <w:rsid w:val="007B141E"/>
    <w:rsid w:val="007B2027"/>
    <w:rsid w:val="007B3DF8"/>
    <w:rsid w:val="007B49AD"/>
    <w:rsid w:val="007B7467"/>
    <w:rsid w:val="007B77B0"/>
    <w:rsid w:val="007B7845"/>
    <w:rsid w:val="007C005A"/>
    <w:rsid w:val="007C0B14"/>
    <w:rsid w:val="007C1B2E"/>
    <w:rsid w:val="007C1D91"/>
    <w:rsid w:val="007C2A65"/>
    <w:rsid w:val="007C33EE"/>
    <w:rsid w:val="007C3EA9"/>
    <w:rsid w:val="007C45C2"/>
    <w:rsid w:val="007C548F"/>
    <w:rsid w:val="007C587B"/>
    <w:rsid w:val="007C616C"/>
    <w:rsid w:val="007D02D4"/>
    <w:rsid w:val="007D186B"/>
    <w:rsid w:val="007D1B2E"/>
    <w:rsid w:val="007D3753"/>
    <w:rsid w:val="007D607B"/>
    <w:rsid w:val="007D65D1"/>
    <w:rsid w:val="007D6F94"/>
    <w:rsid w:val="007D73E1"/>
    <w:rsid w:val="007E10C8"/>
    <w:rsid w:val="007E3645"/>
    <w:rsid w:val="007E446A"/>
    <w:rsid w:val="007E4DE1"/>
    <w:rsid w:val="007E5A1A"/>
    <w:rsid w:val="007E5F05"/>
    <w:rsid w:val="007F1C13"/>
    <w:rsid w:val="007F476E"/>
    <w:rsid w:val="007F5360"/>
    <w:rsid w:val="007F795D"/>
    <w:rsid w:val="008015B6"/>
    <w:rsid w:val="00801B31"/>
    <w:rsid w:val="0080203A"/>
    <w:rsid w:val="00802ECB"/>
    <w:rsid w:val="008064D3"/>
    <w:rsid w:val="00806F8E"/>
    <w:rsid w:val="00807073"/>
    <w:rsid w:val="00807861"/>
    <w:rsid w:val="00810226"/>
    <w:rsid w:val="008122D5"/>
    <w:rsid w:val="00814A76"/>
    <w:rsid w:val="00815084"/>
    <w:rsid w:val="00817B1A"/>
    <w:rsid w:val="00817BFA"/>
    <w:rsid w:val="00817C15"/>
    <w:rsid w:val="008201F2"/>
    <w:rsid w:val="008203FE"/>
    <w:rsid w:val="0082253B"/>
    <w:rsid w:val="00823525"/>
    <w:rsid w:val="0082604C"/>
    <w:rsid w:val="00826C1F"/>
    <w:rsid w:val="00827A6A"/>
    <w:rsid w:val="008301F4"/>
    <w:rsid w:val="00831015"/>
    <w:rsid w:val="008335A9"/>
    <w:rsid w:val="00834B95"/>
    <w:rsid w:val="00835C6C"/>
    <w:rsid w:val="00837B55"/>
    <w:rsid w:val="00837D61"/>
    <w:rsid w:val="00841C0A"/>
    <w:rsid w:val="00841D4C"/>
    <w:rsid w:val="0084223A"/>
    <w:rsid w:val="00842683"/>
    <w:rsid w:val="00842AC6"/>
    <w:rsid w:val="00844C26"/>
    <w:rsid w:val="00846E16"/>
    <w:rsid w:val="00847971"/>
    <w:rsid w:val="00847A24"/>
    <w:rsid w:val="00847E6B"/>
    <w:rsid w:val="008508B9"/>
    <w:rsid w:val="00851BDD"/>
    <w:rsid w:val="00854163"/>
    <w:rsid w:val="00854CA8"/>
    <w:rsid w:val="00854FCA"/>
    <w:rsid w:val="00855150"/>
    <w:rsid w:val="00860094"/>
    <w:rsid w:val="0086012E"/>
    <w:rsid w:val="00860920"/>
    <w:rsid w:val="00862004"/>
    <w:rsid w:val="00862346"/>
    <w:rsid w:val="00862DD3"/>
    <w:rsid w:val="00863A79"/>
    <w:rsid w:val="00863B6D"/>
    <w:rsid w:val="008642EB"/>
    <w:rsid w:val="008659C2"/>
    <w:rsid w:val="00865CF8"/>
    <w:rsid w:val="008717AA"/>
    <w:rsid w:val="008747B1"/>
    <w:rsid w:val="00874F57"/>
    <w:rsid w:val="00875806"/>
    <w:rsid w:val="00881694"/>
    <w:rsid w:val="00885192"/>
    <w:rsid w:val="00887425"/>
    <w:rsid w:val="008874AD"/>
    <w:rsid w:val="00887BE3"/>
    <w:rsid w:val="00887F9F"/>
    <w:rsid w:val="008903BA"/>
    <w:rsid w:val="0089099D"/>
    <w:rsid w:val="008910C1"/>
    <w:rsid w:val="008919D8"/>
    <w:rsid w:val="00893F1D"/>
    <w:rsid w:val="00894D2C"/>
    <w:rsid w:val="008A0FB1"/>
    <w:rsid w:val="008A1162"/>
    <w:rsid w:val="008A175E"/>
    <w:rsid w:val="008A24AC"/>
    <w:rsid w:val="008A3301"/>
    <w:rsid w:val="008A58C3"/>
    <w:rsid w:val="008A798C"/>
    <w:rsid w:val="008A7F66"/>
    <w:rsid w:val="008B4130"/>
    <w:rsid w:val="008B4E36"/>
    <w:rsid w:val="008B53A4"/>
    <w:rsid w:val="008B5765"/>
    <w:rsid w:val="008B6487"/>
    <w:rsid w:val="008B75AE"/>
    <w:rsid w:val="008C0916"/>
    <w:rsid w:val="008C236C"/>
    <w:rsid w:val="008C2DFA"/>
    <w:rsid w:val="008C3A6F"/>
    <w:rsid w:val="008C45F6"/>
    <w:rsid w:val="008C4D30"/>
    <w:rsid w:val="008C63FC"/>
    <w:rsid w:val="008C6C35"/>
    <w:rsid w:val="008D0616"/>
    <w:rsid w:val="008D2A63"/>
    <w:rsid w:val="008D6A39"/>
    <w:rsid w:val="008E06B4"/>
    <w:rsid w:val="008E0BB1"/>
    <w:rsid w:val="008E26E9"/>
    <w:rsid w:val="008E31BA"/>
    <w:rsid w:val="008E3244"/>
    <w:rsid w:val="008E5025"/>
    <w:rsid w:val="008F238B"/>
    <w:rsid w:val="008F2753"/>
    <w:rsid w:val="008F43A4"/>
    <w:rsid w:val="008F51EC"/>
    <w:rsid w:val="008F5FC3"/>
    <w:rsid w:val="009025E8"/>
    <w:rsid w:val="00904342"/>
    <w:rsid w:val="00904B52"/>
    <w:rsid w:val="00907096"/>
    <w:rsid w:val="00907A05"/>
    <w:rsid w:val="0091208F"/>
    <w:rsid w:val="0091329C"/>
    <w:rsid w:val="009149E1"/>
    <w:rsid w:val="009178F3"/>
    <w:rsid w:val="00922170"/>
    <w:rsid w:val="00922C20"/>
    <w:rsid w:val="0092382B"/>
    <w:rsid w:val="00924759"/>
    <w:rsid w:val="009278E6"/>
    <w:rsid w:val="00930064"/>
    <w:rsid w:val="009300CF"/>
    <w:rsid w:val="0093117F"/>
    <w:rsid w:val="009319D7"/>
    <w:rsid w:val="00932607"/>
    <w:rsid w:val="00933318"/>
    <w:rsid w:val="00934352"/>
    <w:rsid w:val="00934660"/>
    <w:rsid w:val="009347DD"/>
    <w:rsid w:val="009356EA"/>
    <w:rsid w:val="0094141D"/>
    <w:rsid w:val="009418A9"/>
    <w:rsid w:val="009445BC"/>
    <w:rsid w:val="00944D05"/>
    <w:rsid w:val="00945D2B"/>
    <w:rsid w:val="00946739"/>
    <w:rsid w:val="0094755B"/>
    <w:rsid w:val="00950B3E"/>
    <w:rsid w:val="00951711"/>
    <w:rsid w:val="009537A0"/>
    <w:rsid w:val="0095781D"/>
    <w:rsid w:val="00957F4D"/>
    <w:rsid w:val="00961B8E"/>
    <w:rsid w:val="00962A20"/>
    <w:rsid w:val="00963EA6"/>
    <w:rsid w:val="0096417C"/>
    <w:rsid w:val="00964252"/>
    <w:rsid w:val="0096508C"/>
    <w:rsid w:val="00966106"/>
    <w:rsid w:val="0097008F"/>
    <w:rsid w:val="009705AE"/>
    <w:rsid w:val="00970E50"/>
    <w:rsid w:val="00972800"/>
    <w:rsid w:val="00973444"/>
    <w:rsid w:val="00974EB5"/>
    <w:rsid w:val="00976372"/>
    <w:rsid w:val="0098019A"/>
    <w:rsid w:val="00981949"/>
    <w:rsid w:val="00985CCD"/>
    <w:rsid w:val="00987A25"/>
    <w:rsid w:val="00987A2E"/>
    <w:rsid w:val="00993AF2"/>
    <w:rsid w:val="00994CA0"/>
    <w:rsid w:val="009955B8"/>
    <w:rsid w:val="00997485"/>
    <w:rsid w:val="00997928"/>
    <w:rsid w:val="009A10C7"/>
    <w:rsid w:val="009A13C4"/>
    <w:rsid w:val="009A2D7D"/>
    <w:rsid w:val="009A3526"/>
    <w:rsid w:val="009A3BFF"/>
    <w:rsid w:val="009A4CFA"/>
    <w:rsid w:val="009A53CF"/>
    <w:rsid w:val="009A589C"/>
    <w:rsid w:val="009A5FF4"/>
    <w:rsid w:val="009A7CB0"/>
    <w:rsid w:val="009A7DD3"/>
    <w:rsid w:val="009B0DC0"/>
    <w:rsid w:val="009B1157"/>
    <w:rsid w:val="009B1657"/>
    <w:rsid w:val="009B2284"/>
    <w:rsid w:val="009B3704"/>
    <w:rsid w:val="009B67FD"/>
    <w:rsid w:val="009B6EF8"/>
    <w:rsid w:val="009B7282"/>
    <w:rsid w:val="009B7EDA"/>
    <w:rsid w:val="009C0ACD"/>
    <w:rsid w:val="009C11FE"/>
    <w:rsid w:val="009C1471"/>
    <w:rsid w:val="009C3372"/>
    <w:rsid w:val="009D0D93"/>
    <w:rsid w:val="009D295E"/>
    <w:rsid w:val="009D3485"/>
    <w:rsid w:val="009E1735"/>
    <w:rsid w:val="009E1DD7"/>
    <w:rsid w:val="009E40A8"/>
    <w:rsid w:val="009E4238"/>
    <w:rsid w:val="009E4D09"/>
    <w:rsid w:val="009E5A04"/>
    <w:rsid w:val="009E65C3"/>
    <w:rsid w:val="009E6768"/>
    <w:rsid w:val="009F1497"/>
    <w:rsid w:val="009F29EB"/>
    <w:rsid w:val="009F2CAF"/>
    <w:rsid w:val="009F753C"/>
    <w:rsid w:val="00A01267"/>
    <w:rsid w:val="00A025AA"/>
    <w:rsid w:val="00A02837"/>
    <w:rsid w:val="00A02D53"/>
    <w:rsid w:val="00A02FF2"/>
    <w:rsid w:val="00A04566"/>
    <w:rsid w:val="00A046F7"/>
    <w:rsid w:val="00A051FC"/>
    <w:rsid w:val="00A05A85"/>
    <w:rsid w:val="00A065A3"/>
    <w:rsid w:val="00A07060"/>
    <w:rsid w:val="00A07B4E"/>
    <w:rsid w:val="00A11CCB"/>
    <w:rsid w:val="00A11F02"/>
    <w:rsid w:val="00A1370F"/>
    <w:rsid w:val="00A13C2E"/>
    <w:rsid w:val="00A14CC6"/>
    <w:rsid w:val="00A15A65"/>
    <w:rsid w:val="00A2175B"/>
    <w:rsid w:val="00A221AA"/>
    <w:rsid w:val="00A22800"/>
    <w:rsid w:val="00A245EB"/>
    <w:rsid w:val="00A24B37"/>
    <w:rsid w:val="00A25D10"/>
    <w:rsid w:val="00A27734"/>
    <w:rsid w:val="00A30E8D"/>
    <w:rsid w:val="00A3163A"/>
    <w:rsid w:val="00A334AC"/>
    <w:rsid w:val="00A3596E"/>
    <w:rsid w:val="00A35C80"/>
    <w:rsid w:val="00A36467"/>
    <w:rsid w:val="00A4082F"/>
    <w:rsid w:val="00A40E8C"/>
    <w:rsid w:val="00A40FB1"/>
    <w:rsid w:val="00A42D11"/>
    <w:rsid w:val="00A43DF4"/>
    <w:rsid w:val="00A4416E"/>
    <w:rsid w:val="00A448B1"/>
    <w:rsid w:val="00A457C7"/>
    <w:rsid w:val="00A464E2"/>
    <w:rsid w:val="00A533F3"/>
    <w:rsid w:val="00A5347E"/>
    <w:rsid w:val="00A53ED7"/>
    <w:rsid w:val="00A54522"/>
    <w:rsid w:val="00A54CE5"/>
    <w:rsid w:val="00A57428"/>
    <w:rsid w:val="00A6105D"/>
    <w:rsid w:val="00A63FE3"/>
    <w:rsid w:val="00A65A4F"/>
    <w:rsid w:val="00A67FDD"/>
    <w:rsid w:val="00A709BB"/>
    <w:rsid w:val="00A70B2E"/>
    <w:rsid w:val="00A710C2"/>
    <w:rsid w:val="00A73181"/>
    <w:rsid w:val="00A746FF"/>
    <w:rsid w:val="00A74D66"/>
    <w:rsid w:val="00A756ED"/>
    <w:rsid w:val="00A75AF2"/>
    <w:rsid w:val="00A77A95"/>
    <w:rsid w:val="00A825C4"/>
    <w:rsid w:val="00A83DAA"/>
    <w:rsid w:val="00A83DE7"/>
    <w:rsid w:val="00A85628"/>
    <w:rsid w:val="00A90066"/>
    <w:rsid w:val="00A919E4"/>
    <w:rsid w:val="00A948FE"/>
    <w:rsid w:val="00A94BDC"/>
    <w:rsid w:val="00A94F7E"/>
    <w:rsid w:val="00A9571A"/>
    <w:rsid w:val="00A9580F"/>
    <w:rsid w:val="00A960AF"/>
    <w:rsid w:val="00AA2325"/>
    <w:rsid w:val="00AA2C74"/>
    <w:rsid w:val="00AA4B68"/>
    <w:rsid w:val="00AA54DC"/>
    <w:rsid w:val="00AB08BA"/>
    <w:rsid w:val="00AB0CD7"/>
    <w:rsid w:val="00AB33A7"/>
    <w:rsid w:val="00AB40FA"/>
    <w:rsid w:val="00AB49C5"/>
    <w:rsid w:val="00AB535B"/>
    <w:rsid w:val="00AB7D62"/>
    <w:rsid w:val="00AC42B4"/>
    <w:rsid w:val="00AC593D"/>
    <w:rsid w:val="00AD0A69"/>
    <w:rsid w:val="00AD1DE6"/>
    <w:rsid w:val="00AD3CCF"/>
    <w:rsid w:val="00AE2A00"/>
    <w:rsid w:val="00AE6737"/>
    <w:rsid w:val="00AE69B4"/>
    <w:rsid w:val="00AE7489"/>
    <w:rsid w:val="00AF1037"/>
    <w:rsid w:val="00AF4809"/>
    <w:rsid w:val="00AF5091"/>
    <w:rsid w:val="00AF5F12"/>
    <w:rsid w:val="00AF6457"/>
    <w:rsid w:val="00B006BC"/>
    <w:rsid w:val="00B006EB"/>
    <w:rsid w:val="00B02045"/>
    <w:rsid w:val="00B031AB"/>
    <w:rsid w:val="00B0570E"/>
    <w:rsid w:val="00B057E1"/>
    <w:rsid w:val="00B06451"/>
    <w:rsid w:val="00B07F0E"/>
    <w:rsid w:val="00B10C51"/>
    <w:rsid w:val="00B11EC5"/>
    <w:rsid w:val="00B1215B"/>
    <w:rsid w:val="00B167EF"/>
    <w:rsid w:val="00B209C8"/>
    <w:rsid w:val="00B24318"/>
    <w:rsid w:val="00B27248"/>
    <w:rsid w:val="00B31B03"/>
    <w:rsid w:val="00B327BC"/>
    <w:rsid w:val="00B32ADD"/>
    <w:rsid w:val="00B33024"/>
    <w:rsid w:val="00B331B6"/>
    <w:rsid w:val="00B33FA4"/>
    <w:rsid w:val="00B35F66"/>
    <w:rsid w:val="00B37E95"/>
    <w:rsid w:val="00B40DFF"/>
    <w:rsid w:val="00B41338"/>
    <w:rsid w:val="00B4263B"/>
    <w:rsid w:val="00B429D7"/>
    <w:rsid w:val="00B437EE"/>
    <w:rsid w:val="00B43EB9"/>
    <w:rsid w:val="00B451EE"/>
    <w:rsid w:val="00B46A77"/>
    <w:rsid w:val="00B50628"/>
    <w:rsid w:val="00B51BED"/>
    <w:rsid w:val="00B53221"/>
    <w:rsid w:val="00B53355"/>
    <w:rsid w:val="00B53383"/>
    <w:rsid w:val="00B54104"/>
    <w:rsid w:val="00B562BC"/>
    <w:rsid w:val="00B56D4A"/>
    <w:rsid w:val="00B57736"/>
    <w:rsid w:val="00B60DB2"/>
    <w:rsid w:val="00B6248D"/>
    <w:rsid w:val="00B6260E"/>
    <w:rsid w:val="00B62AA0"/>
    <w:rsid w:val="00B63E14"/>
    <w:rsid w:val="00B66665"/>
    <w:rsid w:val="00B66C7D"/>
    <w:rsid w:val="00B70231"/>
    <w:rsid w:val="00B70273"/>
    <w:rsid w:val="00B71304"/>
    <w:rsid w:val="00B71483"/>
    <w:rsid w:val="00B7151B"/>
    <w:rsid w:val="00B71BCA"/>
    <w:rsid w:val="00B71EC4"/>
    <w:rsid w:val="00B75A18"/>
    <w:rsid w:val="00B770F1"/>
    <w:rsid w:val="00B775EF"/>
    <w:rsid w:val="00B8268C"/>
    <w:rsid w:val="00B82D50"/>
    <w:rsid w:val="00B8397D"/>
    <w:rsid w:val="00B8560A"/>
    <w:rsid w:val="00B866F8"/>
    <w:rsid w:val="00B87C33"/>
    <w:rsid w:val="00B91CD7"/>
    <w:rsid w:val="00B928CE"/>
    <w:rsid w:val="00B92E75"/>
    <w:rsid w:val="00B93A83"/>
    <w:rsid w:val="00B93C81"/>
    <w:rsid w:val="00B93E6C"/>
    <w:rsid w:val="00B94AAE"/>
    <w:rsid w:val="00B94AE9"/>
    <w:rsid w:val="00B96B4F"/>
    <w:rsid w:val="00B973FE"/>
    <w:rsid w:val="00B97A3E"/>
    <w:rsid w:val="00BA00AD"/>
    <w:rsid w:val="00BA209B"/>
    <w:rsid w:val="00BA316E"/>
    <w:rsid w:val="00BA45AF"/>
    <w:rsid w:val="00BA4FFB"/>
    <w:rsid w:val="00BA59EF"/>
    <w:rsid w:val="00BA6039"/>
    <w:rsid w:val="00BA784A"/>
    <w:rsid w:val="00BB08B5"/>
    <w:rsid w:val="00BB19C5"/>
    <w:rsid w:val="00BB2B7E"/>
    <w:rsid w:val="00BB3345"/>
    <w:rsid w:val="00BB4835"/>
    <w:rsid w:val="00BB778C"/>
    <w:rsid w:val="00BC4406"/>
    <w:rsid w:val="00BC4B26"/>
    <w:rsid w:val="00BC617A"/>
    <w:rsid w:val="00BC7CAD"/>
    <w:rsid w:val="00BD0544"/>
    <w:rsid w:val="00BD0E61"/>
    <w:rsid w:val="00BD2E57"/>
    <w:rsid w:val="00BD3EF1"/>
    <w:rsid w:val="00BD50DD"/>
    <w:rsid w:val="00BD6863"/>
    <w:rsid w:val="00BD73C8"/>
    <w:rsid w:val="00BD77FD"/>
    <w:rsid w:val="00BD7927"/>
    <w:rsid w:val="00BE14E6"/>
    <w:rsid w:val="00BE3D25"/>
    <w:rsid w:val="00BE4D6F"/>
    <w:rsid w:val="00BE5D18"/>
    <w:rsid w:val="00BE7CE5"/>
    <w:rsid w:val="00BF13E2"/>
    <w:rsid w:val="00BF3E14"/>
    <w:rsid w:val="00BF4D2D"/>
    <w:rsid w:val="00BF5882"/>
    <w:rsid w:val="00BF6A73"/>
    <w:rsid w:val="00BF767B"/>
    <w:rsid w:val="00C007F2"/>
    <w:rsid w:val="00C0222A"/>
    <w:rsid w:val="00C0248D"/>
    <w:rsid w:val="00C03137"/>
    <w:rsid w:val="00C032E4"/>
    <w:rsid w:val="00C03CEA"/>
    <w:rsid w:val="00C0597F"/>
    <w:rsid w:val="00C11A6F"/>
    <w:rsid w:val="00C1247D"/>
    <w:rsid w:val="00C15611"/>
    <w:rsid w:val="00C17BE5"/>
    <w:rsid w:val="00C21576"/>
    <w:rsid w:val="00C22897"/>
    <w:rsid w:val="00C23BED"/>
    <w:rsid w:val="00C313C3"/>
    <w:rsid w:val="00C31DF2"/>
    <w:rsid w:val="00C32964"/>
    <w:rsid w:val="00C3412A"/>
    <w:rsid w:val="00C3426C"/>
    <w:rsid w:val="00C34772"/>
    <w:rsid w:val="00C347AD"/>
    <w:rsid w:val="00C34F5A"/>
    <w:rsid w:val="00C3613F"/>
    <w:rsid w:val="00C36D41"/>
    <w:rsid w:val="00C37712"/>
    <w:rsid w:val="00C40B29"/>
    <w:rsid w:val="00C40E58"/>
    <w:rsid w:val="00C4420C"/>
    <w:rsid w:val="00C449CF"/>
    <w:rsid w:val="00C46AAD"/>
    <w:rsid w:val="00C470B1"/>
    <w:rsid w:val="00C477E1"/>
    <w:rsid w:val="00C5765A"/>
    <w:rsid w:val="00C60500"/>
    <w:rsid w:val="00C63995"/>
    <w:rsid w:val="00C64ABA"/>
    <w:rsid w:val="00C66570"/>
    <w:rsid w:val="00C70546"/>
    <w:rsid w:val="00C70E5F"/>
    <w:rsid w:val="00C72FCE"/>
    <w:rsid w:val="00C74347"/>
    <w:rsid w:val="00C7717B"/>
    <w:rsid w:val="00C77C81"/>
    <w:rsid w:val="00C80E7C"/>
    <w:rsid w:val="00C81A3A"/>
    <w:rsid w:val="00C81D01"/>
    <w:rsid w:val="00C83177"/>
    <w:rsid w:val="00C8341E"/>
    <w:rsid w:val="00C8354F"/>
    <w:rsid w:val="00C87502"/>
    <w:rsid w:val="00C93062"/>
    <w:rsid w:val="00C93C20"/>
    <w:rsid w:val="00CA3D84"/>
    <w:rsid w:val="00CA3E48"/>
    <w:rsid w:val="00CA44CA"/>
    <w:rsid w:val="00CA599B"/>
    <w:rsid w:val="00CA5C9A"/>
    <w:rsid w:val="00CB03EC"/>
    <w:rsid w:val="00CB074C"/>
    <w:rsid w:val="00CB1A9D"/>
    <w:rsid w:val="00CB1CA9"/>
    <w:rsid w:val="00CB28A1"/>
    <w:rsid w:val="00CB5043"/>
    <w:rsid w:val="00CB5407"/>
    <w:rsid w:val="00CB58B2"/>
    <w:rsid w:val="00CC132A"/>
    <w:rsid w:val="00CC3080"/>
    <w:rsid w:val="00CC37BA"/>
    <w:rsid w:val="00CC6AF2"/>
    <w:rsid w:val="00CC6F0F"/>
    <w:rsid w:val="00CD4B3D"/>
    <w:rsid w:val="00CD7683"/>
    <w:rsid w:val="00CE1C82"/>
    <w:rsid w:val="00CE53C3"/>
    <w:rsid w:val="00CE6697"/>
    <w:rsid w:val="00CE76F6"/>
    <w:rsid w:val="00CF1C53"/>
    <w:rsid w:val="00CF3847"/>
    <w:rsid w:val="00CF555D"/>
    <w:rsid w:val="00CF5DF9"/>
    <w:rsid w:val="00CF75A2"/>
    <w:rsid w:val="00CF7869"/>
    <w:rsid w:val="00D015B4"/>
    <w:rsid w:val="00D033B5"/>
    <w:rsid w:val="00D04E0F"/>
    <w:rsid w:val="00D05857"/>
    <w:rsid w:val="00D05B54"/>
    <w:rsid w:val="00D06874"/>
    <w:rsid w:val="00D06B5B"/>
    <w:rsid w:val="00D07F4A"/>
    <w:rsid w:val="00D10D9A"/>
    <w:rsid w:val="00D11FE7"/>
    <w:rsid w:val="00D13491"/>
    <w:rsid w:val="00D14D4E"/>
    <w:rsid w:val="00D1666B"/>
    <w:rsid w:val="00D17A23"/>
    <w:rsid w:val="00D17E83"/>
    <w:rsid w:val="00D2494F"/>
    <w:rsid w:val="00D25737"/>
    <w:rsid w:val="00D260C2"/>
    <w:rsid w:val="00D272E1"/>
    <w:rsid w:val="00D311F3"/>
    <w:rsid w:val="00D333AD"/>
    <w:rsid w:val="00D37010"/>
    <w:rsid w:val="00D42570"/>
    <w:rsid w:val="00D434FD"/>
    <w:rsid w:val="00D43EB1"/>
    <w:rsid w:val="00D4439D"/>
    <w:rsid w:val="00D45CFF"/>
    <w:rsid w:val="00D47AF0"/>
    <w:rsid w:val="00D47B6A"/>
    <w:rsid w:val="00D53820"/>
    <w:rsid w:val="00D53CFA"/>
    <w:rsid w:val="00D56F9D"/>
    <w:rsid w:val="00D573F0"/>
    <w:rsid w:val="00D5760F"/>
    <w:rsid w:val="00D57616"/>
    <w:rsid w:val="00D57E04"/>
    <w:rsid w:val="00D61031"/>
    <w:rsid w:val="00D624BE"/>
    <w:rsid w:val="00D6299F"/>
    <w:rsid w:val="00D63150"/>
    <w:rsid w:val="00D63B57"/>
    <w:rsid w:val="00D7107C"/>
    <w:rsid w:val="00D71E93"/>
    <w:rsid w:val="00D72661"/>
    <w:rsid w:val="00D750E0"/>
    <w:rsid w:val="00D75683"/>
    <w:rsid w:val="00D769D4"/>
    <w:rsid w:val="00D80297"/>
    <w:rsid w:val="00D8159A"/>
    <w:rsid w:val="00D832D4"/>
    <w:rsid w:val="00D852C4"/>
    <w:rsid w:val="00D860C9"/>
    <w:rsid w:val="00D86793"/>
    <w:rsid w:val="00D8695B"/>
    <w:rsid w:val="00D87033"/>
    <w:rsid w:val="00D87E4A"/>
    <w:rsid w:val="00D926D3"/>
    <w:rsid w:val="00D94741"/>
    <w:rsid w:val="00D94A74"/>
    <w:rsid w:val="00D95443"/>
    <w:rsid w:val="00DA0C6D"/>
    <w:rsid w:val="00DA0CB6"/>
    <w:rsid w:val="00DA2836"/>
    <w:rsid w:val="00DA53E1"/>
    <w:rsid w:val="00DA5B2F"/>
    <w:rsid w:val="00DA79FF"/>
    <w:rsid w:val="00DA7CA9"/>
    <w:rsid w:val="00DB20E9"/>
    <w:rsid w:val="00DB291D"/>
    <w:rsid w:val="00DB2DCE"/>
    <w:rsid w:val="00DB34CC"/>
    <w:rsid w:val="00DB3940"/>
    <w:rsid w:val="00DB4702"/>
    <w:rsid w:val="00DB5F12"/>
    <w:rsid w:val="00DB6A05"/>
    <w:rsid w:val="00DB7BA8"/>
    <w:rsid w:val="00DC00DF"/>
    <w:rsid w:val="00DC09BE"/>
    <w:rsid w:val="00DC0D9C"/>
    <w:rsid w:val="00DC1992"/>
    <w:rsid w:val="00DC1FD0"/>
    <w:rsid w:val="00DC25F6"/>
    <w:rsid w:val="00DC7B8D"/>
    <w:rsid w:val="00DC7EB1"/>
    <w:rsid w:val="00DD0619"/>
    <w:rsid w:val="00DD22B8"/>
    <w:rsid w:val="00DD4CCC"/>
    <w:rsid w:val="00DD62E5"/>
    <w:rsid w:val="00DD69D0"/>
    <w:rsid w:val="00DD7C23"/>
    <w:rsid w:val="00DE01DA"/>
    <w:rsid w:val="00DE1306"/>
    <w:rsid w:val="00DE47F5"/>
    <w:rsid w:val="00DE7F46"/>
    <w:rsid w:val="00DF384A"/>
    <w:rsid w:val="00DF3C5A"/>
    <w:rsid w:val="00E00281"/>
    <w:rsid w:val="00E01A6B"/>
    <w:rsid w:val="00E02B2D"/>
    <w:rsid w:val="00E038B8"/>
    <w:rsid w:val="00E068BE"/>
    <w:rsid w:val="00E0716A"/>
    <w:rsid w:val="00E07244"/>
    <w:rsid w:val="00E07F38"/>
    <w:rsid w:val="00E13273"/>
    <w:rsid w:val="00E13FAD"/>
    <w:rsid w:val="00E14628"/>
    <w:rsid w:val="00E153FC"/>
    <w:rsid w:val="00E161FC"/>
    <w:rsid w:val="00E22EE3"/>
    <w:rsid w:val="00E246DB"/>
    <w:rsid w:val="00E2533C"/>
    <w:rsid w:val="00E26657"/>
    <w:rsid w:val="00E272D4"/>
    <w:rsid w:val="00E27C83"/>
    <w:rsid w:val="00E3023F"/>
    <w:rsid w:val="00E32FB3"/>
    <w:rsid w:val="00E33E35"/>
    <w:rsid w:val="00E34A26"/>
    <w:rsid w:val="00E3543E"/>
    <w:rsid w:val="00E369A5"/>
    <w:rsid w:val="00E37502"/>
    <w:rsid w:val="00E379CF"/>
    <w:rsid w:val="00E41D6D"/>
    <w:rsid w:val="00E4601B"/>
    <w:rsid w:val="00E4689D"/>
    <w:rsid w:val="00E469CC"/>
    <w:rsid w:val="00E50826"/>
    <w:rsid w:val="00E50918"/>
    <w:rsid w:val="00E51623"/>
    <w:rsid w:val="00E51835"/>
    <w:rsid w:val="00E5295F"/>
    <w:rsid w:val="00E5325E"/>
    <w:rsid w:val="00E54506"/>
    <w:rsid w:val="00E5545D"/>
    <w:rsid w:val="00E55EF4"/>
    <w:rsid w:val="00E56FC7"/>
    <w:rsid w:val="00E5797C"/>
    <w:rsid w:val="00E604C3"/>
    <w:rsid w:val="00E6159D"/>
    <w:rsid w:val="00E61A1D"/>
    <w:rsid w:val="00E64834"/>
    <w:rsid w:val="00E65276"/>
    <w:rsid w:val="00E66533"/>
    <w:rsid w:val="00E66883"/>
    <w:rsid w:val="00E72630"/>
    <w:rsid w:val="00E7292A"/>
    <w:rsid w:val="00E738FE"/>
    <w:rsid w:val="00E74330"/>
    <w:rsid w:val="00E743AD"/>
    <w:rsid w:val="00E754FB"/>
    <w:rsid w:val="00E81DC3"/>
    <w:rsid w:val="00E82234"/>
    <w:rsid w:val="00E83873"/>
    <w:rsid w:val="00E84A87"/>
    <w:rsid w:val="00E8591B"/>
    <w:rsid w:val="00E90EDF"/>
    <w:rsid w:val="00E92117"/>
    <w:rsid w:val="00E9264F"/>
    <w:rsid w:val="00E92CB0"/>
    <w:rsid w:val="00E93B7E"/>
    <w:rsid w:val="00E94323"/>
    <w:rsid w:val="00E95399"/>
    <w:rsid w:val="00E96753"/>
    <w:rsid w:val="00E97CD5"/>
    <w:rsid w:val="00E97E53"/>
    <w:rsid w:val="00EA154D"/>
    <w:rsid w:val="00EA2C29"/>
    <w:rsid w:val="00EA36B7"/>
    <w:rsid w:val="00EA3C5A"/>
    <w:rsid w:val="00EA52CE"/>
    <w:rsid w:val="00EA6820"/>
    <w:rsid w:val="00EA6CBC"/>
    <w:rsid w:val="00EB1535"/>
    <w:rsid w:val="00EB1D00"/>
    <w:rsid w:val="00EB2AB2"/>
    <w:rsid w:val="00EB2E05"/>
    <w:rsid w:val="00EB4BBB"/>
    <w:rsid w:val="00EB5BC8"/>
    <w:rsid w:val="00EB7E82"/>
    <w:rsid w:val="00EC28AB"/>
    <w:rsid w:val="00EC2DAD"/>
    <w:rsid w:val="00EC677E"/>
    <w:rsid w:val="00EC6E58"/>
    <w:rsid w:val="00ED3698"/>
    <w:rsid w:val="00ED3F7D"/>
    <w:rsid w:val="00ED4152"/>
    <w:rsid w:val="00ED4CA7"/>
    <w:rsid w:val="00ED617B"/>
    <w:rsid w:val="00ED698F"/>
    <w:rsid w:val="00ED7176"/>
    <w:rsid w:val="00ED7239"/>
    <w:rsid w:val="00ED7385"/>
    <w:rsid w:val="00EE074B"/>
    <w:rsid w:val="00EE1169"/>
    <w:rsid w:val="00EE349E"/>
    <w:rsid w:val="00EE45FA"/>
    <w:rsid w:val="00EE6438"/>
    <w:rsid w:val="00EE6D49"/>
    <w:rsid w:val="00EE725B"/>
    <w:rsid w:val="00EF0866"/>
    <w:rsid w:val="00EF1185"/>
    <w:rsid w:val="00EF234B"/>
    <w:rsid w:val="00EF2A80"/>
    <w:rsid w:val="00EF3165"/>
    <w:rsid w:val="00EF4EAA"/>
    <w:rsid w:val="00EF4EF4"/>
    <w:rsid w:val="00EF58FD"/>
    <w:rsid w:val="00EF743E"/>
    <w:rsid w:val="00EF78C7"/>
    <w:rsid w:val="00EF7C3F"/>
    <w:rsid w:val="00F01585"/>
    <w:rsid w:val="00F02162"/>
    <w:rsid w:val="00F028FE"/>
    <w:rsid w:val="00F03E36"/>
    <w:rsid w:val="00F11041"/>
    <w:rsid w:val="00F111BF"/>
    <w:rsid w:val="00F11407"/>
    <w:rsid w:val="00F14325"/>
    <w:rsid w:val="00F14E20"/>
    <w:rsid w:val="00F15B52"/>
    <w:rsid w:val="00F17D38"/>
    <w:rsid w:val="00F2123C"/>
    <w:rsid w:val="00F218EB"/>
    <w:rsid w:val="00F22465"/>
    <w:rsid w:val="00F22E64"/>
    <w:rsid w:val="00F25EFD"/>
    <w:rsid w:val="00F26FE8"/>
    <w:rsid w:val="00F300AA"/>
    <w:rsid w:val="00F33607"/>
    <w:rsid w:val="00F352B2"/>
    <w:rsid w:val="00F3765B"/>
    <w:rsid w:val="00F37EAD"/>
    <w:rsid w:val="00F43F91"/>
    <w:rsid w:val="00F44392"/>
    <w:rsid w:val="00F4476A"/>
    <w:rsid w:val="00F44F68"/>
    <w:rsid w:val="00F451DF"/>
    <w:rsid w:val="00F50FDA"/>
    <w:rsid w:val="00F52414"/>
    <w:rsid w:val="00F52C0E"/>
    <w:rsid w:val="00F52DD0"/>
    <w:rsid w:val="00F53099"/>
    <w:rsid w:val="00F53E8D"/>
    <w:rsid w:val="00F54302"/>
    <w:rsid w:val="00F55B97"/>
    <w:rsid w:val="00F665E7"/>
    <w:rsid w:val="00F66FE4"/>
    <w:rsid w:val="00F702CC"/>
    <w:rsid w:val="00F716C7"/>
    <w:rsid w:val="00F72179"/>
    <w:rsid w:val="00F75D92"/>
    <w:rsid w:val="00F77FC0"/>
    <w:rsid w:val="00F80186"/>
    <w:rsid w:val="00F81645"/>
    <w:rsid w:val="00F81930"/>
    <w:rsid w:val="00F82CB4"/>
    <w:rsid w:val="00F85345"/>
    <w:rsid w:val="00F865FA"/>
    <w:rsid w:val="00F86A9D"/>
    <w:rsid w:val="00F87623"/>
    <w:rsid w:val="00F9125C"/>
    <w:rsid w:val="00F93D1D"/>
    <w:rsid w:val="00F96777"/>
    <w:rsid w:val="00F970F6"/>
    <w:rsid w:val="00FA15BF"/>
    <w:rsid w:val="00FA5344"/>
    <w:rsid w:val="00FA6295"/>
    <w:rsid w:val="00FA6715"/>
    <w:rsid w:val="00FA7106"/>
    <w:rsid w:val="00FB012C"/>
    <w:rsid w:val="00FB1778"/>
    <w:rsid w:val="00FB273B"/>
    <w:rsid w:val="00FB30A6"/>
    <w:rsid w:val="00FB5B8C"/>
    <w:rsid w:val="00FB6E6C"/>
    <w:rsid w:val="00FB77F5"/>
    <w:rsid w:val="00FC0C59"/>
    <w:rsid w:val="00FC13EA"/>
    <w:rsid w:val="00FC161C"/>
    <w:rsid w:val="00FC2F8A"/>
    <w:rsid w:val="00FC506A"/>
    <w:rsid w:val="00FC513C"/>
    <w:rsid w:val="00FC51E0"/>
    <w:rsid w:val="00FC7D8E"/>
    <w:rsid w:val="00FD0B2B"/>
    <w:rsid w:val="00FD12DE"/>
    <w:rsid w:val="00FD2F6A"/>
    <w:rsid w:val="00FD4608"/>
    <w:rsid w:val="00FD6164"/>
    <w:rsid w:val="00FD62DE"/>
    <w:rsid w:val="00FE0706"/>
    <w:rsid w:val="00FE27E7"/>
    <w:rsid w:val="00FE3D44"/>
    <w:rsid w:val="00FE4912"/>
    <w:rsid w:val="00FE5FAB"/>
    <w:rsid w:val="00FF404B"/>
    <w:rsid w:val="00FF41DB"/>
    <w:rsid w:val="00FF46B1"/>
    <w:rsid w:val="00FF5255"/>
    <w:rsid w:val="00FF569C"/>
    <w:rsid w:val="00FF5AD0"/>
    <w:rsid w:val="00FF7250"/>
    <w:rsid w:val="00FF7420"/>
    <w:rsid w:val="00FF7A7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BB05D4"/>
  <w15:docId w15:val="{AE34B7B2-E81F-451E-871C-94ABF4F31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7063"/>
    <w:rPr>
      <w:sz w:val="28"/>
      <w:szCs w:val="24"/>
      <w:lang w:eastAsia="en-US"/>
    </w:rPr>
  </w:style>
  <w:style w:type="paragraph" w:styleId="Heading1">
    <w:name w:val="heading 1"/>
    <w:basedOn w:val="Normal"/>
    <w:next w:val="Normal"/>
    <w:qFormat/>
    <w:rsid w:val="00544452"/>
    <w:pPr>
      <w:keepNext/>
      <w:jc w:val="both"/>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32"/>
    </w:rPr>
  </w:style>
  <w:style w:type="paragraph" w:styleId="BodyText">
    <w:name w:val="Body Text"/>
    <w:basedOn w:val="Normal"/>
    <w:pPr>
      <w:jc w:val="center"/>
    </w:pPr>
    <w:rPr>
      <w:sz w:val="32"/>
    </w:rPr>
  </w:style>
  <w:style w:type="paragraph" w:styleId="BodyText2">
    <w:name w:val="Body Text 2"/>
    <w:basedOn w:val="Normal"/>
    <w:pPr>
      <w:jc w:val="center"/>
    </w:pPr>
    <w:rPr>
      <w:b/>
      <w:bCs/>
    </w:rPr>
  </w:style>
  <w:style w:type="paragraph" w:customStyle="1" w:styleId="CharCharCharCharChar">
    <w:name w:val="Char Char Char Char Char Знак Знак Знак"/>
    <w:basedOn w:val="Normal"/>
    <w:rsid w:val="00B94AE9"/>
    <w:pPr>
      <w:tabs>
        <w:tab w:val="left" w:pos="709"/>
      </w:tabs>
    </w:pPr>
    <w:rPr>
      <w:rFonts w:ascii="Tahoma" w:hAnsi="Tahoma"/>
      <w:sz w:val="24"/>
      <w:lang w:val="pl-PL" w:eastAsia="pl-PL"/>
    </w:rPr>
  </w:style>
  <w:style w:type="paragraph" w:styleId="Header">
    <w:name w:val="header"/>
    <w:basedOn w:val="Normal"/>
    <w:link w:val="HeaderChar"/>
    <w:rsid w:val="00616E24"/>
    <w:pPr>
      <w:tabs>
        <w:tab w:val="center" w:pos="4153"/>
        <w:tab w:val="right" w:pos="8306"/>
      </w:tabs>
    </w:pPr>
    <w:rPr>
      <w:sz w:val="20"/>
      <w:szCs w:val="20"/>
      <w:lang w:eastAsia="bg-BG"/>
    </w:rPr>
  </w:style>
  <w:style w:type="paragraph" w:styleId="BalloonText">
    <w:name w:val="Balloon Text"/>
    <w:basedOn w:val="Normal"/>
    <w:semiHidden/>
    <w:rsid w:val="00F702CC"/>
    <w:rPr>
      <w:rFonts w:ascii="Tahoma" w:hAnsi="Tahoma" w:cs="Tahoma"/>
      <w:sz w:val="16"/>
      <w:szCs w:val="16"/>
    </w:rPr>
  </w:style>
  <w:style w:type="paragraph" w:customStyle="1" w:styleId="a">
    <w:name w:val="Знак Знак Знак"/>
    <w:basedOn w:val="Normal"/>
    <w:rsid w:val="00230F5C"/>
    <w:pPr>
      <w:tabs>
        <w:tab w:val="left" w:pos="709"/>
      </w:tabs>
    </w:pPr>
    <w:rPr>
      <w:rFonts w:ascii="Tahoma" w:hAnsi="Tahoma"/>
      <w:sz w:val="24"/>
      <w:lang w:val="pl-PL" w:eastAsia="pl-PL"/>
    </w:rPr>
  </w:style>
  <w:style w:type="table" w:styleId="TableGrid">
    <w:name w:val="Table Grid"/>
    <w:basedOn w:val="TableNormal"/>
    <w:rsid w:val="005444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Нормален1"/>
    <w:rsid w:val="0089099D"/>
    <w:pPr>
      <w:widowControl w:val="0"/>
      <w:autoSpaceDE w:val="0"/>
      <w:autoSpaceDN w:val="0"/>
      <w:adjustRightInd w:val="0"/>
    </w:pPr>
    <w:rPr>
      <w:sz w:val="24"/>
      <w:szCs w:val="24"/>
      <w:lang w:eastAsia="en-US"/>
    </w:rPr>
  </w:style>
  <w:style w:type="paragraph" w:styleId="Footer">
    <w:name w:val="footer"/>
    <w:basedOn w:val="Normal"/>
    <w:link w:val="FooterChar"/>
    <w:uiPriority w:val="99"/>
    <w:rsid w:val="00B10C51"/>
    <w:pPr>
      <w:tabs>
        <w:tab w:val="center" w:pos="4536"/>
        <w:tab w:val="right" w:pos="9072"/>
      </w:tabs>
    </w:pPr>
  </w:style>
  <w:style w:type="character" w:styleId="PageNumber">
    <w:name w:val="page number"/>
    <w:basedOn w:val="DefaultParagraphFont"/>
    <w:rsid w:val="00B10C51"/>
  </w:style>
  <w:style w:type="paragraph" w:styleId="BodyTextIndent2">
    <w:name w:val="Body Text Indent 2"/>
    <w:basedOn w:val="Normal"/>
    <w:rsid w:val="003070F5"/>
    <w:pPr>
      <w:spacing w:after="120" w:line="480" w:lineRule="auto"/>
      <w:ind w:left="283"/>
    </w:pPr>
    <w:rPr>
      <w:sz w:val="20"/>
      <w:szCs w:val="20"/>
      <w:lang w:val="en-AU" w:eastAsia="bg-BG"/>
    </w:rPr>
  </w:style>
  <w:style w:type="paragraph" w:customStyle="1" w:styleId="a0">
    <w:name w:val="Знак Знак"/>
    <w:basedOn w:val="Normal"/>
    <w:rsid w:val="000C64E5"/>
    <w:rPr>
      <w:sz w:val="24"/>
      <w:lang w:val="pl-PL" w:eastAsia="pl-PL"/>
    </w:rPr>
  </w:style>
  <w:style w:type="paragraph" w:styleId="BodyTextIndent">
    <w:name w:val="Body Text Indent"/>
    <w:basedOn w:val="Normal"/>
    <w:rsid w:val="00217177"/>
    <w:pPr>
      <w:spacing w:after="120"/>
      <w:ind w:left="283"/>
    </w:pPr>
  </w:style>
  <w:style w:type="paragraph" w:styleId="BodyTextFirstIndent2">
    <w:name w:val="Body Text First Indent 2"/>
    <w:basedOn w:val="BodyTextIndent"/>
    <w:rsid w:val="00217177"/>
    <w:pPr>
      <w:ind w:firstLine="210"/>
    </w:pPr>
    <w:rPr>
      <w:sz w:val="20"/>
      <w:szCs w:val="20"/>
      <w:lang w:eastAsia="bg-BG"/>
    </w:rPr>
  </w:style>
  <w:style w:type="paragraph" w:customStyle="1" w:styleId="CharCharCharCharCharCharChar">
    <w:name w:val="Char Char Char Char Char Char Char"/>
    <w:basedOn w:val="Normal"/>
    <w:rsid w:val="00B06451"/>
    <w:pPr>
      <w:tabs>
        <w:tab w:val="left" w:pos="709"/>
      </w:tabs>
    </w:pPr>
    <w:rPr>
      <w:rFonts w:ascii="Tahoma" w:hAnsi="Tahoma" w:cs="Tahoma"/>
      <w:sz w:val="24"/>
      <w:lang w:val="pl-PL" w:eastAsia="pl-PL"/>
    </w:rPr>
  </w:style>
  <w:style w:type="paragraph" w:styleId="ListParagraph">
    <w:name w:val="List Paragraph"/>
    <w:basedOn w:val="Normal"/>
    <w:uiPriority w:val="34"/>
    <w:qFormat/>
    <w:rsid w:val="00AE7489"/>
    <w:pPr>
      <w:overflowPunct w:val="0"/>
      <w:autoSpaceDE w:val="0"/>
      <w:autoSpaceDN w:val="0"/>
      <w:adjustRightInd w:val="0"/>
      <w:ind w:left="720"/>
      <w:contextualSpacing/>
      <w:textAlignment w:val="baseline"/>
    </w:pPr>
    <w:rPr>
      <w:rFonts w:ascii="Arial" w:hAnsi="Arial"/>
      <w:sz w:val="20"/>
      <w:szCs w:val="20"/>
      <w:lang w:val="en-US"/>
    </w:rPr>
  </w:style>
  <w:style w:type="paragraph" w:customStyle="1" w:styleId="3">
    <w:name w:val="Знак Знак3"/>
    <w:basedOn w:val="Normal"/>
    <w:uiPriority w:val="99"/>
    <w:rsid w:val="002B3BAE"/>
    <w:rPr>
      <w:sz w:val="24"/>
      <w:lang w:val="pl-PL" w:eastAsia="pl-PL"/>
    </w:rPr>
  </w:style>
  <w:style w:type="character" w:customStyle="1" w:styleId="FooterChar">
    <w:name w:val="Footer Char"/>
    <w:link w:val="Footer"/>
    <w:uiPriority w:val="99"/>
    <w:rsid w:val="007D186B"/>
    <w:rPr>
      <w:sz w:val="28"/>
      <w:szCs w:val="24"/>
      <w:lang w:val="en-GB"/>
    </w:rPr>
  </w:style>
  <w:style w:type="paragraph" w:customStyle="1" w:styleId="Style19">
    <w:name w:val="Style19"/>
    <w:basedOn w:val="Normal"/>
    <w:uiPriority w:val="99"/>
    <w:rsid w:val="008B4130"/>
    <w:pPr>
      <w:widowControl w:val="0"/>
      <w:autoSpaceDE w:val="0"/>
      <w:autoSpaceDN w:val="0"/>
      <w:adjustRightInd w:val="0"/>
      <w:spacing w:line="365" w:lineRule="exact"/>
      <w:ind w:firstLine="715"/>
      <w:jc w:val="both"/>
    </w:pPr>
    <w:rPr>
      <w:rFonts w:ascii="Verdana" w:hAnsi="Verdana" w:cs="Verdana"/>
      <w:sz w:val="24"/>
      <w:lang w:eastAsia="bg-BG"/>
    </w:rPr>
  </w:style>
  <w:style w:type="character" w:customStyle="1" w:styleId="FontStyle52">
    <w:name w:val="Font Style52"/>
    <w:uiPriority w:val="99"/>
    <w:rsid w:val="008B4130"/>
    <w:rPr>
      <w:rFonts w:ascii="Verdana" w:hAnsi="Verdana" w:cs="Verdana"/>
      <w:sz w:val="18"/>
      <w:szCs w:val="18"/>
    </w:rPr>
  </w:style>
  <w:style w:type="character" w:customStyle="1" w:styleId="HeaderChar">
    <w:name w:val="Header Char"/>
    <w:link w:val="Header"/>
    <w:locked/>
    <w:rsid w:val="008B4130"/>
    <w:rPr>
      <w:lang w:val="en-GB"/>
    </w:rPr>
  </w:style>
  <w:style w:type="paragraph" w:customStyle="1" w:styleId="Style1">
    <w:name w:val="Style1"/>
    <w:basedOn w:val="Normal"/>
    <w:uiPriority w:val="99"/>
    <w:rsid w:val="00722520"/>
    <w:pPr>
      <w:widowControl w:val="0"/>
      <w:autoSpaceDE w:val="0"/>
      <w:autoSpaceDN w:val="0"/>
      <w:adjustRightInd w:val="0"/>
    </w:pPr>
    <w:rPr>
      <w:rFonts w:ascii="Sylfaen" w:eastAsiaTheme="minorEastAsia" w:hAnsi="Sylfaen" w:cstheme="minorBidi"/>
      <w:sz w:val="24"/>
      <w:lang w:eastAsia="bg-BG"/>
    </w:rPr>
  </w:style>
  <w:style w:type="paragraph" w:customStyle="1" w:styleId="Style2">
    <w:name w:val="Style2"/>
    <w:basedOn w:val="Normal"/>
    <w:uiPriority w:val="99"/>
    <w:rsid w:val="00722520"/>
    <w:pPr>
      <w:widowControl w:val="0"/>
      <w:autoSpaceDE w:val="0"/>
      <w:autoSpaceDN w:val="0"/>
      <w:adjustRightInd w:val="0"/>
    </w:pPr>
    <w:rPr>
      <w:rFonts w:ascii="Sylfaen" w:eastAsiaTheme="minorEastAsia" w:hAnsi="Sylfaen" w:cstheme="minorBidi"/>
      <w:sz w:val="24"/>
      <w:lang w:eastAsia="bg-BG"/>
    </w:rPr>
  </w:style>
  <w:style w:type="paragraph" w:customStyle="1" w:styleId="Style3">
    <w:name w:val="Style3"/>
    <w:basedOn w:val="Normal"/>
    <w:uiPriority w:val="99"/>
    <w:rsid w:val="00722520"/>
    <w:pPr>
      <w:widowControl w:val="0"/>
      <w:autoSpaceDE w:val="0"/>
      <w:autoSpaceDN w:val="0"/>
      <w:adjustRightInd w:val="0"/>
    </w:pPr>
    <w:rPr>
      <w:rFonts w:ascii="Sylfaen" w:eastAsiaTheme="minorEastAsia" w:hAnsi="Sylfaen" w:cstheme="minorBidi"/>
      <w:sz w:val="24"/>
      <w:lang w:eastAsia="bg-BG"/>
    </w:rPr>
  </w:style>
  <w:style w:type="paragraph" w:customStyle="1" w:styleId="Style4">
    <w:name w:val="Style4"/>
    <w:basedOn w:val="Normal"/>
    <w:uiPriority w:val="99"/>
    <w:rsid w:val="00722520"/>
    <w:pPr>
      <w:widowControl w:val="0"/>
      <w:autoSpaceDE w:val="0"/>
      <w:autoSpaceDN w:val="0"/>
      <w:adjustRightInd w:val="0"/>
      <w:spacing w:line="242" w:lineRule="exact"/>
      <w:jc w:val="center"/>
    </w:pPr>
    <w:rPr>
      <w:rFonts w:ascii="Sylfaen" w:eastAsiaTheme="minorEastAsia" w:hAnsi="Sylfaen" w:cstheme="minorBidi"/>
      <w:sz w:val="24"/>
      <w:lang w:eastAsia="bg-BG"/>
    </w:rPr>
  </w:style>
  <w:style w:type="paragraph" w:customStyle="1" w:styleId="Style5">
    <w:name w:val="Style5"/>
    <w:basedOn w:val="Normal"/>
    <w:uiPriority w:val="99"/>
    <w:rsid w:val="00722520"/>
    <w:pPr>
      <w:widowControl w:val="0"/>
      <w:autoSpaceDE w:val="0"/>
      <w:autoSpaceDN w:val="0"/>
      <w:adjustRightInd w:val="0"/>
    </w:pPr>
    <w:rPr>
      <w:rFonts w:ascii="Sylfaen" w:eastAsiaTheme="minorEastAsia" w:hAnsi="Sylfaen" w:cstheme="minorBidi"/>
      <w:sz w:val="24"/>
      <w:lang w:eastAsia="bg-BG"/>
    </w:rPr>
  </w:style>
  <w:style w:type="paragraph" w:customStyle="1" w:styleId="Style6">
    <w:name w:val="Style6"/>
    <w:basedOn w:val="Normal"/>
    <w:uiPriority w:val="99"/>
    <w:rsid w:val="00722520"/>
    <w:pPr>
      <w:widowControl w:val="0"/>
      <w:autoSpaceDE w:val="0"/>
      <w:autoSpaceDN w:val="0"/>
      <w:adjustRightInd w:val="0"/>
      <w:spacing w:line="221" w:lineRule="exact"/>
      <w:jc w:val="both"/>
    </w:pPr>
    <w:rPr>
      <w:rFonts w:ascii="Sylfaen" w:eastAsiaTheme="minorEastAsia" w:hAnsi="Sylfaen" w:cstheme="minorBidi"/>
      <w:sz w:val="24"/>
      <w:lang w:eastAsia="bg-BG"/>
    </w:rPr>
  </w:style>
  <w:style w:type="character" w:customStyle="1" w:styleId="FontStyle11">
    <w:name w:val="Font Style11"/>
    <w:basedOn w:val="DefaultParagraphFont"/>
    <w:uiPriority w:val="99"/>
    <w:rsid w:val="00722520"/>
    <w:rPr>
      <w:rFonts w:ascii="Sylfaen" w:hAnsi="Sylfaen" w:cs="Sylfaen"/>
      <w:b/>
      <w:bCs/>
      <w:sz w:val="18"/>
      <w:szCs w:val="18"/>
    </w:rPr>
  </w:style>
  <w:style w:type="character" w:customStyle="1" w:styleId="FontStyle12">
    <w:name w:val="Font Style12"/>
    <w:basedOn w:val="DefaultParagraphFont"/>
    <w:uiPriority w:val="99"/>
    <w:rsid w:val="00722520"/>
    <w:rPr>
      <w:rFonts w:ascii="Cambria" w:hAnsi="Cambria" w:cs="Cambria"/>
      <w:sz w:val="14"/>
      <w:szCs w:val="14"/>
    </w:rPr>
  </w:style>
  <w:style w:type="character" w:customStyle="1" w:styleId="FontStyle13">
    <w:name w:val="Font Style13"/>
    <w:basedOn w:val="DefaultParagraphFont"/>
    <w:uiPriority w:val="99"/>
    <w:rsid w:val="00722520"/>
    <w:rPr>
      <w:rFonts w:ascii="Cambria" w:hAnsi="Cambria" w:cs="Cambria"/>
      <w:sz w:val="16"/>
      <w:szCs w:val="16"/>
    </w:rPr>
  </w:style>
  <w:style w:type="character" w:customStyle="1" w:styleId="FontStyle14">
    <w:name w:val="Font Style14"/>
    <w:basedOn w:val="DefaultParagraphFont"/>
    <w:uiPriority w:val="99"/>
    <w:rsid w:val="00722520"/>
    <w:rPr>
      <w:rFonts w:ascii="Cambria" w:hAnsi="Cambria" w:cs="Cambria"/>
      <w:b/>
      <w:bCs/>
      <w:spacing w:val="-10"/>
      <w:sz w:val="14"/>
      <w:szCs w:val="14"/>
    </w:rPr>
  </w:style>
  <w:style w:type="character" w:styleId="Hyperlink">
    <w:name w:val="Hyperlink"/>
    <w:basedOn w:val="DefaultParagraphFont"/>
    <w:unhideWhenUsed/>
    <w:rsid w:val="005A44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364320">
      <w:bodyDiv w:val="1"/>
      <w:marLeft w:val="0"/>
      <w:marRight w:val="0"/>
      <w:marTop w:val="0"/>
      <w:marBottom w:val="0"/>
      <w:divBdr>
        <w:top w:val="none" w:sz="0" w:space="0" w:color="auto"/>
        <w:left w:val="none" w:sz="0" w:space="0" w:color="auto"/>
        <w:bottom w:val="none" w:sz="0" w:space="0" w:color="auto"/>
        <w:right w:val="none" w:sz="0" w:space="0" w:color="auto"/>
      </w:divBdr>
    </w:div>
    <w:div w:id="423307151">
      <w:bodyDiv w:val="1"/>
      <w:marLeft w:val="0"/>
      <w:marRight w:val="0"/>
      <w:marTop w:val="0"/>
      <w:marBottom w:val="0"/>
      <w:divBdr>
        <w:top w:val="none" w:sz="0" w:space="0" w:color="auto"/>
        <w:left w:val="none" w:sz="0" w:space="0" w:color="auto"/>
        <w:bottom w:val="none" w:sz="0" w:space="0" w:color="auto"/>
        <w:right w:val="none" w:sz="0" w:space="0" w:color="auto"/>
      </w:divBdr>
    </w:div>
    <w:div w:id="772626257">
      <w:bodyDiv w:val="1"/>
      <w:marLeft w:val="0"/>
      <w:marRight w:val="0"/>
      <w:marTop w:val="0"/>
      <w:marBottom w:val="0"/>
      <w:divBdr>
        <w:top w:val="none" w:sz="0" w:space="0" w:color="auto"/>
        <w:left w:val="none" w:sz="0" w:space="0" w:color="auto"/>
        <w:bottom w:val="none" w:sz="0" w:space="0" w:color="auto"/>
        <w:right w:val="none" w:sz="0" w:space="0" w:color="auto"/>
      </w:divBdr>
    </w:div>
    <w:div w:id="817840916">
      <w:bodyDiv w:val="1"/>
      <w:marLeft w:val="0"/>
      <w:marRight w:val="0"/>
      <w:marTop w:val="0"/>
      <w:marBottom w:val="0"/>
      <w:divBdr>
        <w:top w:val="none" w:sz="0" w:space="0" w:color="auto"/>
        <w:left w:val="none" w:sz="0" w:space="0" w:color="auto"/>
        <w:bottom w:val="none" w:sz="0" w:space="0" w:color="auto"/>
        <w:right w:val="none" w:sz="0" w:space="0" w:color="auto"/>
      </w:divBdr>
    </w:div>
    <w:div w:id="901602922">
      <w:bodyDiv w:val="1"/>
      <w:marLeft w:val="0"/>
      <w:marRight w:val="0"/>
      <w:marTop w:val="0"/>
      <w:marBottom w:val="0"/>
      <w:divBdr>
        <w:top w:val="none" w:sz="0" w:space="0" w:color="auto"/>
        <w:left w:val="none" w:sz="0" w:space="0" w:color="auto"/>
        <w:bottom w:val="none" w:sz="0" w:space="0" w:color="auto"/>
        <w:right w:val="none" w:sz="0" w:space="0" w:color="auto"/>
      </w:divBdr>
      <w:divsChild>
        <w:div w:id="862017704">
          <w:marLeft w:val="0"/>
          <w:marRight w:val="0"/>
          <w:marTop w:val="0"/>
          <w:marBottom w:val="0"/>
          <w:divBdr>
            <w:top w:val="none" w:sz="0" w:space="0" w:color="auto"/>
            <w:left w:val="none" w:sz="0" w:space="0" w:color="auto"/>
            <w:bottom w:val="single" w:sz="8" w:space="1" w:color="auto"/>
            <w:right w:val="none" w:sz="0" w:space="0" w:color="auto"/>
          </w:divBdr>
        </w:div>
      </w:divsChild>
    </w:div>
    <w:div w:id="163151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zh.government.bg/bg/politiki-i-programi/programi-za-finansirane/programa-za-razvitie-na-selskite-rayoni/komitet-po-nablyudenie-prsr-2014-2020/materiali-i-stenografski-protokol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mzh.government.bg/bg/politiki-i-programi/programi-za-finansirane/programa-za-razvitie-na-selskite-rayoni/komitet-po-nablyudenie-prsr-2014-2020/materiali-i-stenografski-protokol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36D6B-6468-4398-8A0D-343F18554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5673</Words>
  <Characters>32338</Characters>
  <Application>Microsoft Office Word</Application>
  <DocSecurity>0</DocSecurity>
  <Lines>269</Lines>
  <Paragraphs>75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С П Р А В К А</vt:lpstr>
      <vt:lpstr>С П Р А В К А</vt:lpstr>
    </vt:vector>
  </TitlesOfParts>
  <Company/>
  <LinksUpToDate>false</LinksUpToDate>
  <CharactersWithSpaces>37936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 П Р А В К А</dc:title>
  <dc:creator>пб</dc:creator>
  <cp:lastModifiedBy>Tanya Petrova</cp:lastModifiedBy>
  <cp:revision>3</cp:revision>
  <cp:lastPrinted>2022-01-21T15:07:00Z</cp:lastPrinted>
  <dcterms:created xsi:type="dcterms:W3CDTF">2023-05-30T06:21:00Z</dcterms:created>
  <dcterms:modified xsi:type="dcterms:W3CDTF">2023-05-30T06:23:00Z</dcterms:modified>
</cp:coreProperties>
</file>