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07" w:rsidRPr="00F773A5" w:rsidRDefault="00680607" w:rsidP="00680607">
      <w:pPr>
        <w:jc w:val="center"/>
        <w:rPr>
          <w:rFonts w:ascii="Verdana" w:hAnsi="Verdana"/>
          <w:sz w:val="20"/>
          <w:szCs w:val="20"/>
          <w:lang w:eastAsia="en-GB"/>
        </w:rPr>
      </w:pPr>
      <w:r w:rsidRPr="00F773A5">
        <w:rPr>
          <w:rFonts w:ascii="Verdana" w:hAnsi="Verdana"/>
          <w:noProof/>
          <w:sz w:val="20"/>
          <w:szCs w:val="20"/>
          <w:lang w:val="en-US" w:eastAsia="en-US"/>
        </w:rPr>
        <w:drawing>
          <wp:anchor distT="0" distB="0" distL="114300" distR="114300" simplePos="0" relativeHeight="251659264" behindDoc="1" locked="0" layoutInCell="1" allowOverlap="1" wp14:anchorId="5B92EC9D" wp14:editId="2E8C2292">
            <wp:simplePos x="0" y="0"/>
            <wp:positionH relativeFrom="column">
              <wp:posOffset>2286000</wp:posOffset>
            </wp:positionH>
            <wp:positionV relativeFrom="paragraph">
              <wp:posOffset>-176056</wp:posOffset>
            </wp:positionV>
            <wp:extent cx="1188000" cy="1188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607" w:rsidRPr="00F773A5" w:rsidRDefault="00680607" w:rsidP="00680607">
      <w:pPr>
        <w:tabs>
          <w:tab w:val="center" w:pos="4153"/>
          <w:tab w:val="right" w:pos="8306"/>
        </w:tabs>
        <w:spacing w:before="120"/>
        <w:jc w:val="center"/>
        <w:rPr>
          <w:rFonts w:ascii="Verdana" w:hAnsi="Verdana"/>
          <w:sz w:val="20"/>
          <w:szCs w:val="20"/>
          <w:lang w:eastAsia="en-US"/>
        </w:rPr>
      </w:pPr>
    </w:p>
    <w:p w:rsidR="00680607" w:rsidRPr="00F773A5" w:rsidRDefault="00680607" w:rsidP="00680607">
      <w:pPr>
        <w:tabs>
          <w:tab w:val="center" w:pos="4153"/>
          <w:tab w:val="right" w:pos="8306"/>
        </w:tabs>
        <w:spacing w:before="120"/>
        <w:jc w:val="center"/>
        <w:rPr>
          <w:rFonts w:ascii="Verdana" w:hAnsi="Verdana"/>
          <w:sz w:val="20"/>
          <w:szCs w:val="20"/>
          <w:lang w:eastAsia="en-US"/>
        </w:rPr>
      </w:pPr>
    </w:p>
    <w:p w:rsidR="00F773A5" w:rsidRPr="00F773A5" w:rsidRDefault="00F773A5" w:rsidP="00680607">
      <w:pPr>
        <w:tabs>
          <w:tab w:val="center" w:pos="4153"/>
          <w:tab w:val="right" w:pos="8306"/>
        </w:tabs>
        <w:spacing w:before="120"/>
        <w:jc w:val="center"/>
        <w:rPr>
          <w:rFonts w:ascii="Verdana" w:hAnsi="Verdana"/>
          <w:sz w:val="20"/>
          <w:szCs w:val="20"/>
          <w:lang w:eastAsia="en-US"/>
        </w:rPr>
      </w:pPr>
    </w:p>
    <w:p w:rsidR="00680607" w:rsidRPr="00F773A5" w:rsidRDefault="00680607" w:rsidP="00680607">
      <w:pPr>
        <w:pBdr>
          <w:bottom w:val="single" w:sz="4" w:space="1" w:color="auto"/>
        </w:pBdr>
        <w:overflowPunct w:val="0"/>
        <w:autoSpaceDE w:val="0"/>
        <w:autoSpaceDN w:val="0"/>
        <w:adjustRightInd w:val="0"/>
        <w:jc w:val="center"/>
        <w:textAlignment w:val="baseline"/>
        <w:rPr>
          <w:rFonts w:ascii="Platinum Bg" w:hAnsi="Platinum Bg" w:cs="Platinum Bg"/>
          <w:caps/>
          <w:spacing w:val="30"/>
          <w:szCs w:val="36"/>
          <w:lang w:eastAsia="en-US"/>
        </w:rPr>
      </w:pPr>
    </w:p>
    <w:p w:rsidR="00680607" w:rsidRPr="00F773A5" w:rsidRDefault="00680607" w:rsidP="00680607">
      <w:pPr>
        <w:pBdr>
          <w:bottom w:val="single" w:sz="4" w:space="1" w:color="auto"/>
        </w:pBdr>
        <w:overflowPunct w:val="0"/>
        <w:autoSpaceDE w:val="0"/>
        <w:autoSpaceDN w:val="0"/>
        <w:adjustRightInd w:val="0"/>
        <w:jc w:val="center"/>
        <w:textAlignment w:val="baseline"/>
        <w:rPr>
          <w:rFonts w:ascii="Platinum Bg" w:hAnsi="Platinum Bg" w:cs="Platinum Bg"/>
          <w:caps/>
          <w:spacing w:val="30"/>
          <w:sz w:val="36"/>
          <w:szCs w:val="36"/>
          <w:lang w:eastAsia="en-US"/>
        </w:rPr>
      </w:pPr>
      <w:r w:rsidRPr="00F773A5">
        <w:rPr>
          <w:rFonts w:ascii="Platinum Bg" w:hAnsi="Platinum Bg" w:cs="Platinum Bg"/>
          <w:caps/>
          <w:spacing w:val="30"/>
          <w:sz w:val="36"/>
          <w:szCs w:val="36"/>
          <w:lang w:eastAsia="en-US"/>
        </w:rPr>
        <w:t>Република България</w:t>
      </w:r>
    </w:p>
    <w:p w:rsidR="00680607" w:rsidRPr="00F773A5" w:rsidRDefault="00680607" w:rsidP="00680607">
      <w:pPr>
        <w:pBdr>
          <w:bottom w:val="single" w:sz="4" w:space="1" w:color="auto"/>
        </w:pBdr>
        <w:overflowPunct w:val="0"/>
        <w:autoSpaceDE w:val="0"/>
        <w:autoSpaceDN w:val="0"/>
        <w:adjustRightInd w:val="0"/>
        <w:jc w:val="center"/>
        <w:textAlignment w:val="baseline"/>
        <w:rPr>
          <w:rFonts w:ascii="Arial" w:hAnsi="Arial"/>
          <w:b/>
          <w:bCs/>
          <w:spacing w:val="30"/>
          <w:sz w:val="20"/>
          <w:szCs w:val="20"/>
          <w:lang w:eastAsia="en-US"/>
        </w:rPr>
      </w:pPr>
      <w:r w:rsidRPr="00F773A5">
        <w:rPr>
          <w:rFonts w:ascii="Platinum Bg" w:hAnsi="Platinum Bg" w:cs="Platinum Bg"/>
          <w:spacing w:val="30"/>
          <w:sz w:val="32"/>
          <w:szCs w:val="32"/>
          <w:lang w:eastAsia="en-US"/>
        </w:rPr>
        <w:t>Заместник-министър на земеделието</w:t>
      </w:r>
    </w:p>
    <w:p w:rsidR="00680607" w:rsidRPr="00F773A5" w:rsidRDefault="00680607" w:rsidP="00680607">
      <w:pPr>
        <w:spacing w:line="348" w:lineRule="auto"/>
        <w:rPr>
          <w:rFonts w:ascii="Verdana" w:hAnsi="Verdana"/>
          <w:sz w:val="20"/>
          <w:szCs w:val="20"/>
        </w:rPr>
      </w:pPr>
    </w:p>
    <w:p w:rsidR="00680607" w:rsidRPr="00F773A5" w:rsidRDefault="00680607" w:rsidP="00680607">
      <w:pPr>
        <w:spacing w:line="480" w:lineRule="auto"/>
        <w:rPr>
          <w:rFonts w:ascii="Verdana" w:hAnsi="Verdana"/>
          <w:sz w:val="20"/>
          <w:szCs w:val="20"/>
        </w:rPr>
      </w:pPr>
      <w:r w:rsidRPr="00F773A5">
        <w:rPr>
          <w:rFonts w:ascii="Verdana" w:hAnsi="Verdana"/>
          <w:sz w:val="20"/>
          <w:szCs w:val="20"/>
        </w:rPr>
        <w:t>…………………………………</w:t>
      </w:r>
    </w:p>
    <w:p w:rsidR="00680607" w:rsidRPr="00F773A5" w:rsidRDefault="00680607" w:rsidP="00680607">
      <w:pPr>
        <w:spacing w:line="480" w:lineRule="auto"/>
        <w:rPr>
          <w:rFonts w:ascii="Verdana" w:hAnsi="Verdana"/>
          <w:sz w:val="20"/>
          <w:szCs w:val="20"/>
        </w:rPr>
      </w:pPr>
      <w:r w:rsidRPr="00F773A5">
        <w:rPr>
          <w:rFonts w:ascii="Verdana" w:hAnsi="Verdana"/>
          <w:sz w:val="20"/>
          <w:szCs w:val="20"/>
        </w:rPr>
        <w:t>………………………………… г.</w:t>
      </w:r>
    </w:p>
    <w:p w:rsidR="00680607" w:rsidRPr="00F773A5" w:rsidRDefault="00680607" w:rsidP="00680607">
      <w:pPr>
        <w:spacing w:line="348" w:lineRule="auto"/>
        <w:rPr>
          <w:rFonts w:ascii="Verdana" w:hAnsi="Verdana"/>
          <w:sz w:val="20"/>
          <w:szCs w:val="20"/>
        </w:rPr>
      </w:pPr>
    </w:p>
    <w:tbl>
      <w:tblPr>
        <w:tblW w:w="9180" w:type="dxa"/>
        <w:tblLayout w:type="fixed"/>
        <w:tblLook w:val="00A0" w:firstRow="1" w:lastRow="0" w:firstColumn="1" w:lastColumn="0" w:noHBand="0" w:noVBand="0"/>
      </w:tblPr>
      <w:tblGrid>
        <w:gridCol w:w="4361"/>
        <w:gridCol w:w="4819"/>
      </w:tblGrid>
      <w:tr w:rsidR="00680607" w:rsidRPr="00F773A5" w:rsidTr="006E7864">
        <w:tc>
          <w:tcPr>
            <w:tcW w:w="4361" w:type="dxa"/>
          </w:tcPr>
          <w:p w:rsidR="00680607" w:rsidRPr="00F773A5" w:rsidRDefault="00680607" w:rsidP="006E7864">
            <w:pPr>
              <w:spacing w:line="348" w:lineRule="auto"/>
              <w:rPr>
                <w:rFonts w:ascii="Verdana" w:hAnsi="Verdana"/>
                <w:b/>
                <w:bCs/>
                <w:sz w:val="20"/>
                <w:szCs w:val="20"/>
              </w:rPr>
            </w:pPr>
          </w:p>
          <w:p w:rsidR="00680607" w:rsidRPr="00F773A5" w:rsidRDefault="00680607" w:rsidP="006E7864">
            <w:pPr>
              <w:spacing w:line="348" w:lineRule="auto"/>
              <w:rPr>
                <w:rFonts w:ascii="Verdana" w:hAnsi="Verdana"/>
                <w:b/>
                <w:bCs/>
                <w:sz w:val="20"/>
                <w:szCs w:val="20"/>
              </w:rPr>
            </w:pPr>
          </w:p>
          <w:p w:rsidR="00680607" w:rsidRPr="00F773A5" w:rsidRDefault="00680607" w:rsidP="006E7864">
            <w:pPr>
              <w:spacing w:line="348" w:lineRule="auto"/>
              <w:rPr>
                <w:rFonts w:ascii="Verdana" w:hAnsi="Verdana"/>
                <w:b/>
                <w:bCs/>
                <w:sz w:val="20"/>
                <w:szCs w:val="20"/>
              </w:rPr>
            </w:pPr>
            <w:r w:rsidRPr="00F773A5">
              <w:rPr>
                <w:rFonts w:ascii="Verdana" w:hAnsi="Verdana"/>
                <w:b/>
                <w:bCs/>
                <w:sz w:val="20"/>
                <w:szCs w:val="20"/>
              </w:rPr>
              <w:t>ДО</w:t>
            </w:r>
          </w:p>
          <w:p w:rsidR="00680607" w:rsidRPr="00F773A5" w:rsidRDefault="00680607" w:rsidP="006E7864">
            <w:pPr>
              <w:spacing w:line="348" w:lineRule="auto"/>
              <w:rPr>
                <w:rFonts w:ascii="Verdana" w:hAnsi="Verdana"/>
                <w:b/>
                <w:bCs/>
                <w:sz w:val="20"/>
                <w:szCs w:val="20"/>
              </w:rPr>
            </w:pPr>
            <w:r w:rsidRPr="00F773A5">
              <w:rPr>
                <w:rFonts w:ascii="Verdana" w:hAnsi="Verdana"/>
                <w:b/>
                <w:bCs/>
                <w:sz w:val="20"/>
                <w:szCs w:val="20"/>
              </w:rPr>
              <w:t xml:space="preserve">МИНИСТЪРА НА ЗЕМЕДЕЛИЕТО </w:t>
            </w:r>
          </w:p>
          <w:p w:rsidR="00680607" w:rsidRPr="00F773A5" w:rsidRDefault="00680607" w:rsidP="006E7864">
            <w:pPr>
              <w:spacing w:line="348" w:lineRule="auto"/>
              <w:rPr>
                <w:rFonts w:ascii="Verdana" w:hAnsi="Verdana"/>
                <w:b/>
                <w:sz w:val="20"/>
                <w:szCs w:val="20"/>
              </w:rPr>
            </w:pPr>
            <w:r w:rsidRPr="00F773A5">
              <w:rPr>
                <w:rFonts w:ascii="Verdana" w:hAnsi="Verdana"/>
                <w:b/>
                <w:bCs/>
                <w:sz w:val="20"/>
                <w:szCs w:val="20"/>
              </w:rPr>
              <w:t>Г-Н ЯВОР ГЕЧЕВ</w:t>
            </w:r>
          </w:p>
        </w:tc>
        <w:tc>
          <w:tcPr>
            <w:tcW w:w="4819" w:type="dxa"/>
          </w:tcPr>
          <w:p w:rsidR="00680607" w:rsidRPr="00F773A5" w:rsidRDefault="00680607" w:rsidP="006E7864">
            <w:pPr>
              <w:spacing w:line="348" w:lineRule="auto"/>
              <w:rPr>
                <w:rFonts w:ascii="Verdana" w:hAnsi="Verdana"/>
                <w:b/>
                <w:sz w:val="20"/>
                <w:szCs w:val="20"/>
              </w:rPr>
            </w:pPr>
            <w:r w:rsidRPr="00F773A5">
              <w:rPr>
                <w:rFonts w:ascii="Verdana" w:hAnsi="Verdana"/>
                <w:b/>
                <w:sz w:val="20"/>
                <w:szCs w:val="20"/>
              </w:rPr>
              <w:t>ОДОБРИЛ,</w:t>
            </w:r>
          </w:p>
          <w:p w:rsidR="00680607" w:rsidRPr="00F773A5" w:rsidRDefault="00680607" w:rsidP="006E7864">
            <w:pPr>
              <w:spacing w:line="348" w:lineRule="auto"/>
              <w:rPr>
                <w:rFonts w:ascii="Verdana" w:hAnsi="Verdana"/>
                <w:b/>
                <w:bCs/>
                <w:sz w:val="20"/>
                <w:szCs w:val="20"/>
              </w:rPr>
            </w:pPr>
            <w:r w:rsidRPr="00F773A5">
              <w:rPr>
                <w:rFonts w:ascii="Verdana" w:hAnsi="Verdana"/>
                <w:b/>
                <w:sz w:val="20"/>
                <w:szCs w:val="20"/>
              </w:rPr>
              <w:t xml:space="preserve">МИНИСТЪР </w:t>
            </w:r>
            <w:r w:rsidRPr="00F773A5">
              <w:rPr>
                <w:rFonts w:ascii="Verdana" w:hAnsi="Verdana"/>
                <w:b/>
                <w:bCs/>
                <w:sz w:val="20"/>
                <w:szCs w:val="20"/>
              </w:rPr>
              <w:t>НА ЗЕМЕДЕЛИЕТО:</w:t>
            </w:r>
          </w:p>
          <w:p w:rsidR="00680607" w:rsidRPr="00F773A5" w:rsidRDefault="00680607" w:rsidP="006E7864">
            <w:pPr>
              <w:spacing w:line="348" w:lineRule="auto"/>
              <w:ind w:left="2438" w:right="100"/>
              <w:jc w:val="right"/>
              <w:rPr>
                <w:rFonts w:ascii="Verdana" w:hAnsi="Verdana"/>
                <w:b/>
                <w:sz w:val="20"/>
                <w:szCs w:val="20"/>
              </w:rPr>
            </w:pPr>
            <w:r w:rsidRPr="00F773A5">
              <w:rPr>
                <w:rFonts w:ascii="Verdana" w:hAnsi="Verdana"/>
                <w:b/>
                <w:sz w:val="20"/>
                <w:szCs w:val="20"/>
              </w:rPr>
              <w:t>ЯВОР ГЕЧЕВ</w:t>
            </w:r>
          </w:p>
        </w:tc>
      </w:tr>
    </w:tbl>
    <w:p w:rsidR="00680607" w:rsidRPr="00F773A5" w:rsidRDefault="00680607" w:rsidP="00680607">
      <w:pPr>
        <w:spacing w:line="348" w:lineRule="auto"/>
        <w:rPr>
          <w:rFonts w:ascii="Verdana" w:hAnsi="Verdana"/>
          <w:b/>
          <w:bCs/>
          <w:sz w:val="20"/>
          <w:szCs w:val="20"/>
        </w:rPr>
      </w:pPr>
    </w:p>
    <w:p w:rsidR="00680607" w:rsidRPr="00F773A5" w:rsidRDefault="00680607" w:rsidP="00680607"/>
    <w:p w:rsidR="00680607" w:rsidRPr="00F773A5" w:rsidRDefault="00680607" w:rsidP="00680607"/>
    <w:p w:rsidR="00680607" w:rsidRPr="00F773A5" w:rsidRDefault="00680607" w:rsidP="00680607">
      <w:pPr>
        <w:pStyle w:val="Heading1"/>
        <w:spacing w:line="360" w:lineRule="auto"/>
        <w:rPr>
          <w:rFonts w:ascii="Verdana" w:hAnsi="Verdana"/>
          <w:spacing w:val="44"/>
          <w:sz w:val="24"/>
          <w:szCs w:val="24"/>
        </w:rPr>
      </w:pPr>
      <w:r w:rsidRPr="00F773A5">
        <w:rPr>
          <w:rFonts w:ascii="Verdana" w:hAnsi="Verdana"/>
          <w:spacing w:val="44"/>
          <w:sz w:val="24"/>
          <w:szCs w:val="24"/>
        </w:rPr>
        <w:t>ДОКЛАД</w:t>
      </w:r>
    </w:p>
    <w:p w:rsidR="00680607" w:rsidRPr="00F773A5" w:rsidRDefault="00680607" w:rsidP="00680607">
      <w:pPr>
        <w:spacing w:line="360" w:lineRule="auto"/>
        <w:jc w:val="center"/>
        <w:rPr>
          <w:rFonts w:ascii="Verdana" w:hAnsi="Verdana"/>
          <w:smallCaps/>
          <w:sz w:val="20"/>
          <w:szCs w:val="20"/>
        </w:rPr>
      </w:pPr>
      <w:r w:rsidRPr="00F773A5">
        <w:rPr>
          <w:rFonts w:ascii="Verdana" w:hAnsi="Verdana"/>
          <w:smallCaps/>
          <w:sz w:val="20"/>
          <w:szCs w:val="20"/>
        </w:rPr>
        <w:t xml:space="preserve">от Георги Събев – заместник-министър на земеделието </w:t>
      </w:r>
    </w:p>
    <w:p w:rsidR="00680607" w:rsidRPr="00F773A5" w:rsidRDefault="00680607" w:rsidP="00680607">
      <w:pPr>
        <w:spacing w:line="348" w:lineRule="auto"/>
        <w:ind w:left="1191" w:hanging="1191"/>
        <w:jc w:val="both"/>
        <w:rPr>
          <w:rFonts w:ascii="Verdana" w:hAnsi="Verdana"/>
          <w:sz w:val="20"/>
          <w:szCs w:val="20"/>
        </w:rPr>
      </w:pPr>
    </w:p>
    <w:p w:rsidR="00680607" w:rsidRPr="00F773A5" w:rsidRDefault="00680607" w:rsidP="00680607">
      <w:pPr>
        <w:spacing w:line="348" w:lineRule="auto"/>
        <w:ind w:left="1191" w:hanging="1191"/>
        <w:jc w:val="both"/>
        <w:rPr>
          <w:rFonts w:ascii="Verdana" w:hAnsi="Verdana"/>
          <w:sz w:val="20"/>
          <w:szCs w:val="20"/>
        </w:rPr>
      </w:pPr>
    </w:p>
    <w:p w:rsidR="00680607" w:rsidRPr="00F773A5" w:rsidRDefault="00680607" w:rsidP="00680607">
      <w:pPr>
        <w:spacing w:line="360" w:lineRule="auto"/>
        <w:ind w:left="1080" w:hanging="1080"/>
        <w:jc w:val="both"/>
        <w:rPr>
          <w:rFonts w:ascii="Verdana" w:hAnsi="Verdana"/>
          <w:sz w:val="20"/>
          <w:szCs w:val="20"/>
        </w:rPr>
      </w:pPr>
      <w:r w:rsidRPr="00F773A5">
        <w:rPr>
          <w:rFonts w:ascii="Verdana" w:hAnsi="Verdana"/>
          <w:b/>
          <w:sz w:val="20"/>
          <w:szCs w:val="20"/>
        </w:rPr>
        <w:t>Относно:</w:t>
      </w:r>
      <w:r w:rsidRPr="00F773A5">
        <w:rPr>
          <w:rFonts w:ascii="Verdana" w:hAnsi="Verdana"/>
          <w:sz w:val="20"/>
          <w:szCs w:val="20"/>
        </w:rPr>
        <w:t xml:space="preserve"> </w:t>
      </w:r>
      <w:r w:rsidR="006109E8">
        <w:rPr>
          <w:rFonts w:ascii="Verdana" w:hAnsi="Verdana"/>
          <w:sz w:val="20"/>
          <w:szCs w:val="20"/>
        </w:rPr>
        <w:t xml:space="preserve">Проект на </w:t>
      </w:r>
      <w:r w:rsidRPr="00F773A5">
        <w:rPr>
          <w:rFonts w:ascii="Verdana" w:hAnsi="Verdana"/>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p>
    <w:p w:rsidR="00680607" w:rsidRPr="00F773A5" w:rsidRDefault="00680607" w:rsidP="00680607">
      <w:pPr>
        <w:spacing w:line="348" w:lineRule="auto"/>
        <w:ind w:left="1191" w:hanging="1191"/>
        <w:jc w:val="both"/>
        <w:rPr>
          <w:rFonts w:ascii="Verdana" w:hAnsi="Verdana"/>
          <w:sz w:val="20"/>
          <w:szCs w:val="20"/>
        </w:rPr>
      </w:pPr>
    </w:p>
    <w:p w:rsidR="00680607" w:rsidRPr="00F773A5" w:rsidRDefault="00680607" w:rsidP="00F773A5">
      <w:pPr>
        <w:spacing w:line="360" w:lineRule="auto"/>
        <w:jc w:val="both"/>
        <w:rPr>
          <w:rFonts w:ascii="Verdana" w:hAnsi="Verdana"/>
          <w:sz w:val="20"/>
          <w:szCs w:val="20"/>
        </w:rPr>
      </w:pPr>
    </w:p>
    <w:p w:rsidR="00680607" w:rsidRPr="00F773A5" w:rsidRDefault="00680607" w:rsidP="00F773A5">
      <w:pPr>
        <w:spacing w:after="120" w:line="360" w:lineRule="auto"/>
        <w:jc w:val="both"/>
        <w:rPr>
          <w:rFonts w:ascii="Verdana" w:hAnsi="Verdana"/>
          <w:bCs/>
          <w:sz w:val="20"/>
          <w:szCs w:val="20"/>
        </w:rPr>
      </w:pPr>
      <w:r w:rsidRPr="00F773A5">
        <w:rPr>
          <w:rFonts w:ascii="Verdana" w:hAnsi="Verdana"/>
          <w:b/>
          <w:sz w:val="20"/>
          <w:szCs w:val="20"/>
        </w:rPr>
        <w:t>УВАЖАЕМИ ГОСПОДИН МИНИСТЪР,</w:t>
      </w:r>
    </w:p>
    <w:p w:rsidR="00680607" w:rsidRPr="00F773A5" w:rsidRDefault="00680607" w:rsidP="00F773A5">
      <w:pPr>
        <w:spacing w:line="360" w:lineRule="auto"/>
        <w:ind w:firstLine="720"/>
        <w:jc w:val="both"/>
        <w:rPr>
          <w:rFonts w:ascii="Verdana" w:hAnsi="Verdana"/>
          <w:bCs/>
          <w:spacing w:val="2"/>
          <w:sz w:val="20"/>
          <w:szCs w:val="20"/>
        </w:rPr>
      </w:pPr>
      <w:r w:rsidRPr="00F773A5">
        <w:rPr>
          <w:rFonts w:ascii="Verdana" w:hAnsi="Verdana"/>
          <w:bCs/>
          <w:spacing w:val="2"/>
          <w:sz w:val="20"/>
          <w:szCs w:val="20"/>
        </w:rPr>
        <w:t xml:space="preserve">На основание чл. 30, ал. 6 от Закона за подпомагане на земеделските производители внасям за одобрение </w:t>
      </w:r>
      <w:r w:rsidRPr="00F773A5">
        <w:rPr>
          <w:rFonts w:ascii="Verdana" w:hAnsi="Verdana"/>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r w:rsidRPr="00F773A5">
        <w:rPr>
          <w:rFonts w:ascii="Verdana" w:hAnsi="Verdana"/>
          <w:bCs/>
          <w:spacing w:val="2"/>
          <w:sz w:val="20"/>
          <w:szCs w:val="20"/>
        </w:rPr>
        <w:t>.</w:t>
      </w:r>
    </w:p>
    <w:p w:rsidR="00680607" w:rsidRPr="00F773A5" w:rsidRDefault="00680607" w:rsidP="00F773A5">
      <w:pPr>
        <w:spacing w:line="360" w:lineRule="auto"/>
        <w:ind w:firstLine="720"/>
        <w:jc w:val="both"/>
        <w:rPr>
          <w:rFonts w:ascii="Verdana" w:hAnsi="Verdana"/>
          <w:bCs/>
          <w:sz w:val="20"/>
          <w:szCs w:val="20"/>
        </w:rPr>
      </w:pPr>
    </w:p>
    <w:p w:rsidR="00680607" w:rsidRPr="00F773A5" w:rsidRDefault="00680607" w:rsidP="00F773A5">
      <w:pPr>
        <w:spacing w:line="360" w:lineRule="auto"/>
        <w:ind w:firstLine="720"/>
        <w:jc w:val="both"/>
        <w:rPr>
          <w:rFonts w:ascii="Verdana" w:hAnsi="Verdana"/>
          <w:b/>
          <w:bCs/>
          <w:sz w:val="20"/>
          <w:szCs w:val="20"/>
        </w:rPr>
      </w:pPr>
      <w:r w:rsidRPr="00F773A5">
        <w:rPr>
          <w:rFonts w:ascii="Verdana" w:hAnsi="Verdana"/>
          <w:b/>
          <w:bCs/>
          <w:sz w:val="20"/>
          <w:szCs w:val="20"/>
        </w:rPr>
        <w:t>Причини, които налагат приемането на акта</w:t>
      </w:r>
    </w:p>
    <w:p w:rsidR="00D3544F" w:rsidRPr="00F773A5" w:rsidRDefault="00680607" w:rsidP="00F773A5">
      <w:pPr>
        <w:spacing w:line="360" w:lineRule="auto"/>
        <w:ind w:firstLine="720"/>
        <w:jc w:val="both"/>
        <w:rPr>
          <w:rFonts w:ascii="Verdana" w:hAnsi="Verdana"/>
          <w:bCs/>
          <w:sz w:val="20"/>
          <w:szCs w:val="20"/>
        </w:rPr>
      </w:pPr>
      <w:r w:rsidRPr="00F773A5">
        <w:rPr>
          <w:rFonts w:ascii="Verdana" w:hAnsi="Verdana"/>
          <w:bCs/>
          <w:sz w:val="20"/>
          <w:szCs w:val="20"/>
        </w:rPr>
        <w:t xml:space="preserve">В Европейския съюз (ЕС) през 2021 г. приключи реформата на Общата селскостопанска политика (ОСП), насочена към по-устойчиво селско стопанство, подпомагане на доходите на земеделските производители и жизнеспособността на тяхната дейност, намаляване на бюрокрацията 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w:t>
      </w:r>
      <w:r w:rsidRPr="00F773A5">
        <w:rPr>
          <w:rFonts w:ascii="Verdana" w:hAnsi="Verdana"/>
          <w:bCs/>
          <w:sz w:val="20"/>
          <w:szCs w:val="20"/>
        </w:rPr>
        <w:lastRenderedPageBreak/>
        <w:t xml:space="preserve">областта на околната среда, изменението на климата и за устойчиво развитие. Въз основа на това всяка държава членка изготвя „Стратегически план за ОСП“,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включително проверките и санкциите. </w:t>
      </w:r>
    </w:p>
    <w:p w:rsidR="00F35F2E" w:rsidRPr="00F773A5" w:rsidRDefault="00D335E3" w:rsidP="00F773A5">
      <w:pPr>
        <w:spacing w:line="360" w:lineRule="auto"/>
        <w:ind w:firstLine="720"/>
        <w:jc w:val="both"/>
        <w:rPr>
          <w:rFonts w:ascii="Verdana" w:hAnsi="Verdana"/>
          <w:sz w:val="20"/>
          <w:szCs w:val="20"/>
        </w:rPr>
      </w:pPr>
      <w:r w:rsidRPr="00F773A5">
        <w:rPr>
          <w:rFonts w:ascii="Verdana" w:hAnsi="Verdana"/>
          <w:bCs/>
          <w:sz w:val="20"/>
          <w:szCs w:val="20"/>
        </w:rPr>
        <w:t xml:space="preserve">Съгласно чл. 9, </w:t>
      </w:r>
      <w:r w:rsidR="005E2BDA">
        <w:rPr>
          <w:rFonts w:ascii="Verdana" w:hAnsi="Verdana"/>
          <w:bCs/>
          <w:sz w:val="20"/>
          <w:szCs w:val="20"/>
        </w:rPr>
        <w:t>параграф</w:t>
      </w:r>
      <w:r w:rsidRPr="00F773A5">
        <w:rPr>
          <w:rFonts w:ascii="Verdana" w:hAnsi="Verdana"/>
          <w:bCs/>
          <w:sz w:val="20"/>
          <w:szCs w:val="20"/>
        </w:rPr>
        <w:t xml:space="preserve"> 3 от Регламент (ЕС) 2021/2115 на Европейския парламент и на Съвета </w:t>
      </w:r>
      <w:r w:rsidR="00BD5465" w:rsidRPr="00BD5465">
        <w:rPr>
          <w:rFonts w:ascii="Verdana" w:hAnsi="Verdana"/>
          <w:bCs/>
          <w:sz w:val="20"/>
          <w:szCs w:val="20"/>
        </w:rPr>
        <w:t>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BD5465">
        <w:rPr>
          <w:rFonts w:ascii="Verdana" w:hAnsi="Verdana"/>
          <w:bCs/>
          <w:sz w:val="20"/>
          <w:szCs w:val="20"/>
        </w:rPr>
        <w:t xml:space="preserve"> </w:t>
      </w:r>
      <w:r w:rsidR="00BD5465" w:rsidRPr="00BD5465">
        <w:rPr>
          <w:rFonts w:ascii="Verdana" w:hAnsi="Verdana"/>
          <w:bCs/>
          <w:sz w:val="20"/>
          <w:szCs w:val="20"/>
        </w:rPr>
        <w:t>(OВ L 435</w:t>
      </w:r>
      <w:r w:rsidR="00BD5465">
        <w:rPr>
          <w:rFonts w:ascii="Verdana" w:hAnsi="Verdana"/>
          <w:bCs/>
          <w:sz w:val="20"/>
          <w:szCs w:val="20"/>
        </w:rPr>
        <w:t>/187</w:t>
      </w:r>
      <w:r w:rsidR="00BD5465" w:rsidRPr="00BD5465">
        <w:rPr>
          <w:rFonts w:ascii="Verdana" w:hAnsi="Verdana"/>
          <w:bCs/>
          <w:sz w:val="20"/>
          <w:szCs w:val="20"/>
        </w:rPr>
        <w:t xml:space="preserve"> от 6.12.2021 г.)</w:t>
      </w:r>
      <w:r w:rsidR="00BD5465">
        <w:rPr>
          <w:rFonts w:ascii="Verdana" w:hAnsi="Verdana"/>
          <w:bCs/>
          <w:sz w:val="20"/>
          <w:szCs w:val="20"/>
        </w:rPr>
        <w:t>,</w:t>
      </w:r>
      <w:r w:rsidR="00BD5465" w:rsidRPr="00BD5465">
        <w:rPr>
          <w:rFonts w:ascii="Verdana" w:hAnsi="Verdana"/>
          <w:bCs/>
          <w:sz w:val="20"/>
          <w:szCs w:val="20"/>
        </w:rPr>
        <w:t xml:space="preserve"> </w:t>
      </w:r>
      <w:r w:rsidRPr="00F773A5">
        <w:rPr>
          <w:rFonts w:ascii="Verdana" w:hAnsi="Verdana"/>
          <w:bCs/>
          <w:sz w:val="20"/>
          <w:szCs w:val="20"/>
        </w:rPr>
        <w:t xml:space="preserve">държавите членки трябва да определят правната рамка, уреждаща предоставянето на подпомагане от Съюза на земеделските стопани и другите </w:t>
      </w:r>
      <w:proofErr w:type="spellStart"/>
      <w:r w:rsidRPr="00F773A5">
        <w:rPr>
          <w:rFonts w:ascii="Verdana" w:hAnsi="Verdana"/>
          <w:bCs/>
          <w:sz w:val="20"/>
          <w:szCs w:val="20"/>
        </w:rPr>
        <w:t>бенефициери</w:t>
      </w:r>
      <w:proofErr w:type="spellEnd"/>
      <w:r w:rsidRPr="00F773A5">
        <w:rPr>
          <w:rFonts w:ascii="Verdana" w:hAnsi="Verdana"/>
          <w:bCs/>
          <w:sz w:val="20"/>
          <w:szCs w:val="20"/>
        </w:rPr>
        <w:t xml:space="preserve">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 Това наложи издаването на нови нормативни актове за прилагане на одобрения от Европейската комисия Стратегически план за развитието на земеделието и селските райони на Република България за периода 2023-2027 г. </w:t>
      </w:r>
      <w:r w:rsidR="00384F88" w:rsidRPr="00F773A5">
        <w:rPr>
          <w:rFonts w:ascii="Verdana" w:hAnsi="Verdana"/>
          <w:bCs/>
          <w:sz w:val="20"/>
          <w:szCs w:val="20"/>
        </w:rPr>
        <w:t xml:space="preserve">(Стратегическия план). </w:t>
      </w:r>
      <w:r w:rsidRPr="00F773A5">
        <w:rPr>
          <w:rFonts w:ascii="Verdana" w:hAnsi="Verdana"/>
          <w:bCs/>
          <w:sz w:val="20"/>
          <w:szCs w:val="20"/>
        </w:rPr>
        <w:t xml:space="preserve">Приет беше Закон за изменение и допълнение на Закона за подпомагане на земеделските производители, обнародван в бр. 102 на </w:t>
      </w:r>
      <w:r w:rsidR="00BD5465">
        <w:rPr>
          <w:rFonts w:ascii="Verdana" w:hAnsi="Verdana"/>
          <w:bCs/>
          <w:sz w:val="20"/>
          <w:szCs w:val="20"/>
        </w:rPr>
        <w:t>‚</w:t>
      </w:r>
      <w:r w:rsidRPr="00F773A5">
        <w:rPr>
          <w:rFonts w:ascii="Verdana" w:hAnsi="Verdana"/>
          <w:bCs/>
          <w:sz w:val="20"/>
          <w:szCs w:val="20"/>
        </w:rPr>
        <w:t>Държавен вестник</w:t>
      </w:r>
      <w:r w:rsidR="00B260F1">
        <w:rPr>
          <w:rFonts w:ascii="Verdana" w:hAnsi="Verdana"/>
          <w:bCs/>
          <w:sz w:val="20"/>
          <w:szCs w:val="20"/>
        </w:rPr>
        <w:t>“</w:t>
      </w:r>
      <w:r w:rsidRPr="00F773A5">
        <w:rPr>
          <w:rFonts w:ascii="Verdana" w:hAnsi="Verdana"/>
          <w:bCs/>
          <w:sz w:val="20"/>
          <w:szCs w:val="20"/>
        </w:rPr>
        <w:t xml:space="preserve"> от 23.12.2022 г. В съответствие с новото законодателство на ЕС, Законът за подпомагане на земеделските производители </w:t>
      </w:r>
      <w:r w:rsidR="00C1129F" w:rsidRPr="00F773A5">
        <w:rPr>
          <w:rFonts w:ascii="Verdana" w:hAnsi="Verdana"/>
          <w:bCs/>
          <w:sz w:val="20"/>
          <w:szCs w:val="20"/>
        </w:rPr>
        <w:t>определи</w:t>
      </w:r>
      <w:r w:rsidRPr="00F773A5">
        <w:rPr>
          <w:rFonts w:ascii="Verdana" w:hAnsi="Verdana"/>
          <w:bCs/>
          <w:sz w:val="20"/>
          <w:szCs w:val="20"/>
        </w:rPr>
        <w:t xml:space="preserve"> системата за електронни услуги, системата за мониторинг на площта и система за </w:t>
      </w:r>
      <w:proofErr w:type="spellStart"/>
      <w:r w:rsidRPr="00F773A5">
        <w:rPr>
          <w:rFonts w:ascii="Verdana" w:hAnsi="Verdana"/>
          <w:bCs/>
          <w:sz w:val="20"/>
          <w:szCs w:val="20"/>
        </w:rPr>
        <w:t>геопространствени</w:t>
      </w:r>
      <w:proofErr w:type="spellEnd"/>
      <w:r w:rsidRPr="00F773A5">
        <w:rPr>
          <w:rFonts w:ascii="Verdana" w:hAnsi="Verdana"/>
          <w:bCs/>
          <w:sz w:val="20"/>
          <w:szCs w:val="20"/>
        </w:rPr>
        <w:t xml:space="preserve"> заявления и за заявления въз основа на броя на животните като част</w:t>
      </w:r>
      <w:r w:rsidR="00C1129F" w:rsidRPr="00F773A5">
        <w:rPr>
          <w:rFonts w:ascii="Verdana" w:hAnsi="Verdana"/>
          <w:bCs/>
          <w:sz w:val="20"/>
          <w:szCs w:val="20"/>
        </w:rPr>
        <w:t>и</w:t>
      </w:r>
      <w:r w:rsidRPr="00F773A5">
        <w:rPr>
          <w:rFonts w:ascii="Verdana" w:hAnsi="Verdana"/>
          <w:bCs/>
          <w:sz w:val="20"/>
          <w:szCs w:val="20"/>
        </w:rPr>
        <w:t xml:space="preserve"> от интегрираната система за администриране и контрол</w:t>
      </w:r>
      <w:r w:rsidR="00C1129F" w:rsidRPr="00F773A5">
        <w:rPr>
          <w:rFonts w:ascii="Verdana" w:hAnsi="Verdana"/>
          <w:bCs/>
          <w:sz w:val="20"/>
          <w:szCs w:val="20"/>
        </w:rPr>
        <w:t xml:space="preserve"> (ИСАК)</w:t>
      </w:r>
      <w:r w:rsidRPr="00F773A5">
        <w:rPr>
          <w:rFonts w:ascii="Verdana" w:hAnsi="Verdana"/>
          <w:bCs/>
          <w:sz w:val="20"/>
          <w:szCs w:val="20"/>
        </w:rPr>
        <w:t xml:space="preserve"> и надграждането на интегрираната система за контрол и санкции</w:t>
      </w:r>
      <w:r w:rsidR="00C1129F" w:rsidRPr="00F773A5">
        <w:rPr>
          <w:rFonts w:ascii="Verdana" w:hAnsi="Verdana"/>
          <w:bCs/>
          <w:sz w:val="20"/>
          <w:szCs w:val="20"/>
        </w:rPr>
        <w:t>, както и задължението на Разплащателната агенция за тяхното създаване и поддържане. Отменена беше досегашната система за подаване на заявления за подпомагане.</w:t>
      </w:r>
      <w:r w:rsidR="008D2E7E" w:rsidRPr="00F773A5">
        <w:rPr>
          <w:rFonts w:ascii="Verdana" w:hAnsi="Verdana"/>
          <w:bCs/>
          <w:sz w:val="20"/>
          <w:szCs w:val="20"/>
        </w:rPr>
        <w:t xml:space="preserve"> Предвидено е ежегодно актуализиране на данните в Системата за идентификация на земеделските парцели чрез системата за мониторинг на площта и система за </w:t>
      </w:r>
      <w:proofErr w:type="spellStart"/>
      <w:r w:rsidR="008D2E7E" w:rsidRPr="00F773A5">
        <w:rPr>
          <w:rFonts w:ascii="Verdana" w:hAnsi="Verdana"/>
          <w:bCs/>
          <w:sz w:val="20"/>
          <w:szCs w:val="20"/>
        </w:rPr>
        <w:t>геопространствени</w:t>
      </w:r>
      <w:proofErr w:type="spellEnd"/>
      <w:r w:rsidR="008D2E7E" w:rsidRPr="00F773A5">
        <w:rPr>
          <w:rFonts w:ascii="Verdana" w:hAnsi="Verdana"/>
          <w:bCs/>
          <w:sz w:val="20"/>
          <w:szCs w:val="20"/>
        </w:rPr>
        <w:t xml:space="preserve"> заявления и за заявления въз основа на броя на животните. В съответствие с новия подход за мониторинг и оценка на допустимостта на площите за подпомагане</w:t>
      </w:r>
      <w:r w:rsidR="00B260F1">
        <w:rPr>
          <w:rFonts w:ascii="Verdana" w:hAnsi="Verdana"/>
          <w:bCs/>
          <w:sz w:val="20"/>
          <w:szCs w:val="20"/>
        </w:rPr>
        <w:t>,</w:t>
      </w:r>
      <w:r w:rsidR="008D2E7E" w:rsidRPr="00F773A5">
        <w:rPr>
          <w:rFonts w:ascii="Verdana" w:hAnsi="Verdana"/>
          <w:bCs/>
          <w:sz w:val="20"/>
          <w:szCs w:val="20"/>
        </w:rPr>
        <w:t xml:space="preserve"> беше отменено създаването на специализиран слой "Площи, допустими за подпомагане". Законът определя основните функции на </w:t>
      </w:r>
      <w:r w:rsidR="00CA24BC" w:rsidRPr="00F773A5">
        <w:rPr>
          <w:rFonts w:ascii="Verdana" w:hAnsi="Verdana"/>
          <w:bCs/>
          <w:sz w:val="20"/>
          <w:szCs w:val="20"/>
        </w:rPr>
        <w:t xml:space="preserve">новата система за мониторинг на площта, както и нейното изграждане. Регламентирана е и системата за </w:t>
      </w:r>
      <w:proofErr w:type="spellStart"/>
      <w:r w:rsidR="00CA24BC" w:rsidRPr="00F773A5">
        <w:rPr>
          <w:rFonts w:ascii="Verdana" w:hAnsi="Verdana"/>
          <w:bCs/>
          <w:sz w:val="20"/>
          <w:szCs w:val="20"/>
        </w:rPr>
        <w:t>геопространствени</w:t>
      </w:r>
      <w:proofErr w:type="spellEnd"/>
      <w:r w:rsidR="00CA24BC" w:rsidRPr="00F773A5">
        <w:rPr>
          <w:rFonts w:ascii="Verdana" w:hAnsi="Verdana"/>
          <w:bCs/>
          <w:sz w:val="20"/>
          <w:szCs w:val="20"/>
        </w:rPr>
        <w:t xml:space="preserve"> заявления и за заявления въз основа на броя на животните, като електронна система за ежегодно подаване на заявления за подпомагане, която съдържа информация, позволяваща да се проверят спазването на условията за допустимост, посочени са и нейните основни </w:t>
      </w:r>
      <w:r w:rsidR="00CA24BC" w:rsidRPr="00F773A5">
        <w:rPr>
          <w:rFonts w:ascii="Verdana" w:hAnsi="Verdana"/>
          <w:bCs/>
          <w:sz w:val="20"/>
          <w:szCs w:val="20"/>
        </w:rPr>
        <w:lastRenderedPageBreak/>
        <w:t>функции. </w:t>
      </w:r>
      <w:r w:rsidR="004532F4" w:rsidRPr="00F773A5">
        <w:rPr>
          <w:rFonts w:ascii="Verdana" w:hAnsi="Verdana"/>
          <w:bCs/>
          <w:sz w:val="20"/>
          <w:szCs w:val="20"/>
        </w:rPr>
        <w:t xml:space="preserve">Законът </w:t>
      </w:r>
      <w:r w:rsidR="00F35F2E" w:rsidRPr="00F773A5">
        <w:rPr>
          <w:rFonts w:ascii="Verdana" w:hAnsi="Verdana"/>
          <w:bCs/>
          <w:sz w:val="20"/>
          <w:szCs w:val="20"/>
        </w:rPr>
        <w:t xml:space="preserve">задължава министъра на земеделието </w:t>
      </w:r>
      <w:r w:rsidR="004532F4" w:rsidRPr="00F773A5">
        <w:rPr>
          <w:rFonts w:ascii="Verdana" w:hAnsi="Verdana"/>
          <w:bCs/>
          <w:sz w:val="20"/>
          <w:szCs w:val="20"/>
        </w:rPr>
        <w:t xml:space="preserve">да </w:t>
      </w:r>
      <w:r w:rsidR="00F35F2E" w:rsidRPr="00F773A5">
        <w:rPr>
          <w:rFonts w:ascii="Verdana" w:hAnsi="Verdana"/>
          <w:bCs/>
          <w:sz w:val="20"/>
          <w:szCs w:val="20"/>
        </w:rPr>
        <w:t>о</w:t>
      </w:r>
      <w:r w:rsidR="004532F4" w:rsidRPr="00F773A5">
        <w:rPr>
          <w:rFonts w:ascii="Verdana" w:hAnsi="Verdana"/>
          <w:bCs/>
          <w:sz w:val="20"/>
          <w:szCs w:val="20"/>
        </w:rPr>
        <w:t>предели</w:t>
      </w:r>
      <w:r w:rsidR="00F35F2E" w:rsidRPr="00F773A5">
        <w:rPr>
          <w:rFonts w:ascii="Verdana" w:hAnsi="Verdana"/>
          <w:bCs/>
          <w:sz w:val="20"/>
          <w:szCs w:val="20"/>
        </w:rPr>
        <w:t xml:space="preserve"> с наредба условията и реда за създаване, поддържане, достъп и ползване на системите</w:t>
      </w:r>
      <w:r w:rsidR="004532F4" w:rsidRPr="00F773A5">
        <w:rPr>
          <w:rFonts w:ascii="Verdana" w:hAnsi="Verdana"/>
          <w:bCs/>
          <w:sz w:val="20"/>
          <w:szCs w:val="20"/>
        </w:rPr>
        <w:t>, които са включени в интегрираната система за администриране и контрол.</w:t>
      </w:r>
      <w:r w:rsidR="001C587F" w:rsidRPr="00F773A5">
        <w:rPr>
          <w:rFonts w:ascii="Verdana" w:hAnsi="Verdana"/>
          <w:bCs/>
          <w:sz w:val="20"/>
          <w:szCs w:val="20"/>
        </w:rPr>
        <w:t xml:space="preserve"> В изпълнение на тази законова делегация и с промените в Закона за подпомагане на земеделските производители е изготвена</w:t>
      </w:r>
      <w:r w:rsidR="001C587F" w:rsidRPr="00F773A5">
        <w:rPr>
          <w:rFonts w:ascii="Verdana" w:hAnsi="Verdana"/>
          <w:sz w:val="20"/>
          <w:szCs w:val="20"/>
        </w:rPr>
        <w:t xml:space="preserve"> 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r w:rsidR="00F773A5">
        <w:rPr>
          <w:rFonts w:ascii="Verdana" w:hAnsi="Verdana"/>
          <w:sz w:val="20"/>
          <w:szCs w:val="20"/>
        </w:rPr>
        <w:t>.</w:t>
      </w:r>
    </w:p>
    <w:p w:rsidR="00D3544F" w:rsidRPr="00F773A5" w:rsidRDefault="005B51C6" w:rsidP="00F773A5">
      <w:pPr>
        <w:spacing w:line="360" w:lineRule="auto"/>
        <w:ind w:firstLine="720"/>
        <w:jc w:val="both"/>
        <w:rPr>
          <w:rFonts w:ascii="Verdana" w:hAnsi="Verdana"/>
          <w:sz w:val="20"/>
          <w:szCs w:val="20"/>
        </w:rPr>
      </w:pPr>
      <w:r w:rsidRPr="00F773A5">
        <w:rPr>
          <w:rFonts w:ascii="Verdana" w:hAnsi="Verdana"/>
          <w:sz w:val="20"/>
          <w:szCs w:val="20"/>
        </w:rPr>
        <w:t xml:space="preserve">Наредбата отразява базовите изисквания на </w:t>
      </w:r>
      <w:r w:rsidR="003060A6" w:rsidRPr="00F773A5">
        <w:rPr>
          <w:rFonts w:ascii="Verdana" w:hAnsi="Verdana"/>
          <w:sz w:val="20"/>
          <w:szCs w:val="20"/>
        </w:rPr>
        <w:t xml:space="preserve">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(OB L 435/187 от 6.12.2021 г.) </w:t>
      </w:r>
      <w:r w:rsidR="00CF23C6">
        <w:rPr>
          <w:rFonts w:ascii="Verdana" w:hAnsi="Verdana"/>
          <w:sz w:val="20"/>
          <w:szCs w:val="20"/>
        </w:rPr>
        <w:t>(</w:t>
      </w:r>
      <w:r w:rsidR="00CF23C6" w:rsidRPr="00CF23C6">
        <w:rPr>
          <w:rFonts w:ascii="Verdana" w:hAnsi="Verdana"/>
          <w:sz w:val="20"/>
          <w:szCs w:val="20"/>
        </w:rPr>
        <w:t>Регламент (ЕС) 2021/2116.</w:t>
      </w:r>
      <w:r w:rsidR="00CF23C6">
        <w:rPr>
          <w:rFonts w:ascii="Verdana" w:hAnsi="Verdana"/>
          <w:sz w:val="20"/>
          <w:szCs w:val="20"/>
        </w:rPr>
        <w:t>)</w:t>
      </w:r>
      <w:r w:rsidR="00CF23C6" w:rsidRPr="00CF23C6">
        <w:rPr>
          <w:rFonts w:ascii="Verdana" w:hAnsi="Verdana"/>
          <w:sz w:val="20"/>
          <w:szCs w:val="20"/>
        </w:rPr>
        <w:t xml:space="preserve"> </w:t>
      </w:r>
      <w:r w:rsidR="003060A6" w:rsidRPr="00F773A5">
        <w:rPr>
          <w:rFonts w:ascii="Verdana" w:hAnsi="Verdana"/>
          <w:sz w:val="20"/>
          <w:szCs w:val="20"/>
        </w:rPr>
        <w:t xml:space="preserve">за </w:t>
      </w:r>
      <w:r w:rsidR="000117CC" w:rsidRPr="00F773A5">
        <w:rPr>
          <w:rFonts w:ascii="Verdana" w:hAnsi="Verdana"/>
          <w:sz w:val="20"/>
          <w:szCs w:val="20"/>
        </w:rPr>
        <w:t xml:space="preserve"> защита на финансовите интереси на Съюза</w:t>
      </w:r>
      <w:r w:rsidR="003060A6" w:rsidRPr="00F773A5">
        <w:rPr>
          <w:rFonts w:ascii="Verdana" w:hAnsi="Verdana"/>
          <w:sz w:val="20"/>
          <w:szCs w:val="20"/>
        </w:rPr>
        <w:t>. В</w:t>
      </w:r>
      <w:r w:rsidR="000117CC" w:rsidRPr="00F773A5">
        <w:rPr>
          <w:rFonts w:ascii="Verdana" w:hAnsi="Verdana"/>
          <w:sz w:val="20"/>
          <w:szCs w:val="20"/>
        </w:rPr>
        <w:t>ъве</w:t>
      </w:r>
      <w:r w:rsidR="003060A6" w:rsidRPr="00F773A5">
        <w:rPr>
          <w:rFonts w:ascii="Verdana" w:hAnsi="Verdana"/>
          <w:sz w:val="20"/>
          <w:szCs w:val="20"/>
        </w:rPr>
        <w:t>ж</w:t>
      </w:r>
      <w:r w:rsidR="000117CC" w:rsidRPr="00F773A5">
        <w:rPr>
          <w:rFonts w:ascii="Verdana" w:hAnsi="Verdana"/>
          <w:sz w:val="20"/>
          <w:szCs w:val="20"/>
        </w:rPr>
        <w:t xml:space="preserve">дат </w:t>
      </w:r>
      <w:r w:rsidR="003060A6" w:rsidRPr="00F773A5">
        <w:rPr>
          <w:rFonts w:ascii="Verdana" w:hAnsi="Verdana"/>
          <w:sz w:val="20"/>
          <w:szCs w:val="20"/>
        </w:rPr>
        <w:t xml:space="preserve">се </w:t>
      </w:r>
      <w:r w:rsidR="000117CC" w:rsidRPr="00F773A5">
        <w:rPr>
          <w:rFonts w:ascii="Verdana" w:hAnsi="Verdana"/>
          <w:sz w:val="20"/>
          <w:szCs w:val="20"/>
        </w:rPr>
        <w:t xml:space="preserve">системи, </w:t>
      </w:r>
      <w:r w:rsidR="003060A6" w:rsidRPr="00F773A5">
        <w:rPr>
          <w:rFonts w:ascii="Verdana" w:hAnsi="Verdana"/>
          <w:sz w:val="20"/>
          <w:szCs w:val="20"/>
        </w:rPr>
        <w:t>които</w:t>
      </w:r>
      <w:r w:rsidR="000117CC" w:rsidRPr="00F773A5">
        <w:rPr>
          <w:rFonts w:ascii="Verdana" w:hAnsi="Verdana"/>
          <w:sz w:val="20"/>
          <w:szCs w:val="20"/>
        </w:rPr>
        <w:t xml:space="preserve"> гарантират, че финансираните по линия на ЕФГЗ и ЕЗФРСР интервенции са действително проведени и са изпълнени правилно, като същевременно се запаз</w:t>
      </w:r>
      <w:r w:rsidR="003060A6" w:rsidRPr="00F773A5">
        <w:rPr>
          <w:rFonts w:ascii="Verdana" w:hAnsi="Verdana"/>
          <w:sz w:val="20"/>
          <w:szCs w:val="20"/>
        </w:rPr>
        <w:t>ва</w:t>
      </w:r>
      <w:r w:rsidR="000117CC" w:rsidRPr="00F773A5">
        <w:rPr>
          <w:rFonts w:ascii="Verdana" w:hAnsi="Verdana"/>
          <w:sz w:val="20"/>
          <w:szCs w:val="20"/>
        </w:rPr>
        <w:t xml:space="preserve"> съществуващата рамка за добро финансово управление. Системите включват извършването на проверки на бенефицие</w:t>
      </w:r>
      <w:r w:rsidR="003060A6" w:rsidRPr="00F773A5">
        <w:rPr>
          <w:rFonts w:ascii="Verdana" w:hAnsi="Verdana"/>
          <w:sz w:val="20"/>
          <w:szCs w:val="20"/>
        </w:rPr>
        <w:t>нти</w:t>
      </w:r>
      <w:r w:rsidR="000117CC" w:rsidRPr="00F773A5">
        <w:rPr>
          <w:rFonts w:ascii="Verdana" w:hAnsi="Verdana"/>
          <w:sz w:val="20"/>
          <w:szCs w:val="20"/>
        </w:rPr>
        <w:t xml:space="preserve">те чрез оценка на спазването от тях на критериите за допустимост и на други условия, както и на задълженията, определени в </w:t>
      </w:r>
      <w:r w:rsidR="003060A6" w:rsidRPr="00F773A5">
        <w:rPr>
          <w:rFonts w:ascii="Verdana" w:hAnsi="Verdana"/>
          <w:sz w:val="20"/>
          <w:szCs w:val="20"/>
        </w:rPr>
        <w:t xml:space="preserve">Стратегическия план </w:t>
      </w:r>
      <w:r w:rsidR="000117CC" w:rsidRPr="00F773A5">
        <w:rPr>
          <w:rFonts w:ascii="Verdana" w:hAnsi="Verdana"/>
          <w:sz w:val="20"/>
          <w:szCs w:val="20"/>
        </w:rPr>
        <w:t xml:space="preserve">и приложимите правила на Съюза. За да се подобрят ефективността и мониторингът на подкрепата от Съюза, </w:t>
      </w:r>
      <w:r w:rsidR="003060A6" w:rsidRPr="00F773A5">
        <w:rPr>
          <w:rFonts w:ascii="Verdana" w:hAnsi="Verdana"/>
          <w:sz w:val="20"/>
          <w:szCs w:val="20"/>
        </w:rPr>
        <w:t xml:space="preserve">интегрираната система за администриране и контрол се </w:t>
      </w:r>
      <w:r w:rsidR="000117CC" w:rsidRPr="00F773A5">
        <w:rPr>
          <w:rFonts w:ascii="Verdana" w:hAnsi="Verdana"/>
          <w:sz w:val="20"/>
          <w:szCs w:val="20"/>
        </w:rPr>
        <w:t xml:space="preserve">използват за </w:t>
      </w:r>
      <w:r w:rsidR="003060A6" w:rsidRPr="00F773A5">
        <w:rPr>
          <w:rFonts w:ascii="Verdana" w:hAnsi="Verdana"/>
          <w:sz w:val="20"/>
          <w:szCs w:val="20"/>
        </w:rPr>
        <w:t>шир</w:t>
      </w:r>
      <w:r w:rsidR="00056F6E" w:rsidRPr="00F773A5">
        <w:rPr>
          <w:rFonts w:ascii="Verdana" w:hAnsi="Verdana"/>
          <w:sz w:val="20"/>
          <w:szCs w:val="20"/>
        </w:rPr>
        <w:t>о</w:t>
      </w:r>
      <w:r w:rsidR="003060A6" w:rsidRPr="00F773A5">
        <w:rPr>
          <w:rFonts w:ascii="Verdana" w:hAnsi="Verdana"/>
          <w:sz w:val="20"/>
          <w:szCs w:val="20"/>
        </w:rPr>
        <w:t xml:space="preserve">к кръг </w:t>
      </w:r>
      <w:r w:rsidR="000117CC" w:rsidRPr="00F773A5">
        <w:rPr>
          <w:rFonts w:ascii="Verdana" w:hAnsi="Verdana"/>
          <w:sz w:val="20"/>
          <w:szCs w:val="20"/>
        </w:rPr>
        <w:t xml:space="preserve">интервенции. </w:t>
      </w:r>
      <w:r w:rsidR="003060A6" w:rsidRPr="00F773A5">
        <w:rPr>
          <w:rFonts w:ascii="Verdana" w:hAnsi="Verdana"/>
          <w:sz w:val="20"/>
          <w:szCs w:val="20"/>
        </w:rPr>
        <w:t>З</w:t>
      </w:r>
      <w:r w:rsidR="000117CC" w:rsidRPr="00F773A5">
        <w:rPr>
          <w:rFonts w:ascii="Verdana" w:hAnsi="Verdana"/>
          <w:sz w:val="20"/>
          <w:szCs w:val="20"/>
        </w:rPr>
        <w:t>апаз</w:t>
      </w:r>
      <w:r w:rsidR="003060A6" w:rsidRPr="00F773A5">
        <w:rPr>
          <w:rFonts w:ascii="Verdana" w:hAnsi="Verdana"/>
          <w:sz w:val="20"/>
          <w:szCs w:val="20"/>
        </w:rPr>
        <w:t>ва</w:t>
      </w:r>
      <w:r w:rsidR="000117CC" w:rsidRPr="00F773A5">
        <w:rPr>
          <w:rFonts w:ascii="Verdana" w:hAnsi="Verdana"/>
          <w:sz w:val="20"/>
          <w:szCs w:val="20"/>
        </w:rPr>
        <w:t xml:space="preserve">т </w:t>
      </w:r>
      <w:r w:rsidR="003060A6" w:rsidRPr="00F773A5">
        <w:rPr>
          <w:rFonts w:ascii="Verdana" w:hAnsi="Verdana"/>
          <w:sz w:val="20"/>
          <w:szCs w:val="20"/>
        </w:rPr>
        <w:t xml:space="preserve">се </w:t>
      </w:r>
      <w:r w:rsidR="000117CC" w:rsidRPr="00F773A5">
        <w:rPr>
          <w:rFonts w:ascii="Verdana" w:hAnsi="Verdana"/>
          <w:sz w:val="20"/>
          <w:szCs w:val="20"/>
        </w:rPr>
        <w:t>съществуващите основни елементи на интегрираната система</w:t>
      </w:r>
      <w:r w:rsidR="003060A6" w:rsidRPr="00F773A5">
        <w:rPr>
          <w:rFonts w:ascii="Verdana" w:hAnsi="Verdana"/>
          <w:sz w:val="20"/>
          <w:szCs w:val="20"/>
        </w:rPr>
        <w:t xml:space="preserve"> за администриране и контрол</w:t>
      </w:r>
      <w:r w:rsidR="000117CC" w:rsidRPr="00F773A5">
        <w:rPr>
          <w:rFonts w:ascii="Verdana" w:hAnsi="Verdana"/>
          <w:sz w:val="20"/>
          <w:szCs w:val="20"/>
        </w:rPr>
        <w:t xml:space="preserve">, и по-специално разпоредбите относно системата за идентификация на земеделските парцели, </w:t>
      </w:r>
      <w:r w:rsidR="00056F6E" w:rsidRPr="00F773A5">
        <w:rPr>
          <w:rFonts w:ascii="Verdana" w:hAnsi="Verdana"/>
          <w:sz w:val="20"/>
          <w:szCs w:val="20"/>
        </w:rPr>
        <w:t>система за регистрация на кандидатите, на заявленията за подпомагане и на заявките за плащане</w:t>
      </w:r>
      <w:r w:rsidR="000117CC" w:rsidRPr="00F773A5">
        <w:rPr>
          <w:rFonts w:ascii="Verdana" w:hAnsi="Verdana"/>
          <w:sz w:val="20"/>
          <w:szCs w:val="20"/>
        </w:rPr>
        <w:t xml:space="preserve"> и системата за контрол. </w:t>
      </w:r>
      <w:r w:rsidR="00056F6E" w:rsidRPr="00F773A5">
        <w:rPr>
          <w:rFonts w:ascii="Verdana" w:hAnsi="Verdana"/>
          <w:sz w:val="20"/>
          <w:szCs w:val="20"/>
        </w:rPr>
        <w:t>П</w:t>
      </w:r>
      <w:r w:rsidR="000117CC" w:rsidRPr="00F773A5">
        <w:rPr>
          <w:rFonts w:ascii="Verdana" w:hAnsi="Verdana"/>
          <w:sz w:val="20"/>
          <w:szCs w:val="20"/>
        </w:rPr>
        <w:t>родължа</w:t>
      </w:r>
      <w:r w:rsidR="00056F6E" w:rsidRPr="00F773A5">
        <w:rPr>
          <w:rFonts w:ascii="Verdana" w:hAnsi="Verdana"/>
          <w:sz w:val="20"/>
          <w:szCs w:val="20"/>
        </w:rPr>
        <w:t>ва се</w:t>
      </w:r>
      <w:r w:rsidR="000117CC" w:rsidRPr="00F773A5">
        <w:rPr>
          <w:rFonts w:ascii="Verdana" w:hAnsi="Verdana"/>
          <w:sz w:val="20"/>
          <w:szCs w:val="20"/>
        </w:rPr>
        <w:t xml:space="preserve"> използва</w:t>
      </w:r>
      <w:r w:rsidR="00056F6E" w:rsidRPr="00F773A5">
        <w:rPr>
          <w:rFonts w:ascii="Verdana" w:hAnsi="Verdana"/>
          <w:sz w:val="20"/>
          <w:szCs w:val="20"/>
        </w:rPr>
        <w:t>нето на</w:t>
      </w:r>
      <w:r w:rsidR="000117CC" w:rsidRPr="00F773A5">
        <w:rPr>
          <w:rFonts w:ascii="Verdana" w:hAnsi="Verdana"/>
          <w:sz w:val="20"/>
          <w:szCs w:val="20"/>
        </w:rPr>
        <w:t xml:space="preserve"> данните или информационните продукти, предоставяни по програма „Коперник“, за да се гарантира, че на цялата територия на </w:t>
      </w:r>
      <w:r w:rsidR="00056F6E" w:rsidRPr="00F773A5">
        <w:rPr>
          <w:rFonts w:ascii="Verdana" w:hAnsi="Verdana"/>
          <w:sz w:val="20"/>
          <w:szCs w:val="20"/>
        </w:rPr>
        <w:t xml:space="preserve">страната </w:t>
      </w:r>
      <w:r w:rsidR="000117CC" w:rsidRPr="00F773A5">
        <w:rPr>
          <w:rFonts w:ascii="Verdana" w:hAnsi="Verdana"/>
          <w:sz w:val="20"/>
          <w:szCs w:val="20"/>
        </w:rPr>
        <w:t>са на разположение изчерпателни и съпоставими данни за целите на мониторинга на политиката</w:t>
      </w:r>
      <w:r w:rsidR="00056F6E" w:rsidRPr="00F773A5">
        <w:rPr>
          <w:rFonts w:ascii="Verdana" w:hAnsi="Verdana"/>
          <w:sz w:val="20"/>
          <w:szCs w:val="20"/>
        </w:rPr>
        <w:t>.</w:t>
      </w:r>
      <w:r w:rsidR="000117CC" w:rsidRPr="00F773A5">
        <w:rPr>
          <w:rFonts w:ascii="Verdana" w:hAnsi="Verdana"/>
          <w:sz w:val="20"/>
          <w:szCs w:val="20"/>
        </w:rPr>
        <w:t xml:space="preserve"> За тази цел интегрираната система </w:t>
      </w:r>
      <w:r w:rsidR="00056F6E" w:rsidRPr="00F773A5">
        <w:rPr>
          <w:rFonts w:ascii="Verdana" w:hAnsi="Verdana"/>
          <w:sz w:val="20"/>
          <w:szCs w:val="20"/>
        </w:rPr>
        <w:t xml:space="preserve">за администриране и контрол </w:t>
      </w:r>
      <w:r w:rsidR="000117CC" w:rsidRPr="00F773A5">
        <w:rPr>
          <w:rFonts w:ascii="Verdana" w:hAnsi="Verdana"/>
          <w:sz w:val="20"/>
          <w:szCs w:val="20"/>
        </w:rPr>
        <w:t>включва също така система за мониторинг на площта. Като част от системите за управление, интегрираната система</w:t>
      </w:r>
      <w:r w:rsidR="00056F6E" w:rsidRPr="00F773A5">
        <w:rPr>
          <w:rFonts w:ascii="Verdana" w:hAnsi="Verdana"/>
          <w:sz w:val="20"/>
          <w:szCs w:val="20"/>
        </w:rPr>
        <w:t xml:space="preserve"> за администриране и контрол</w:t>
      </w:r>
      <w:r w:rsidR="000117CC" w:rsidRPr="00F773A5">
        <w:rPr>
          <w:rFonts w:ascii="Verdana" w:hAnsi="Verdana"/>
          <w:sz w:val="20"/>
          <w:szCs w:val="20"/>
        </w:rPr>
        <w:t xml:space="preserve"> гарантира, че </w:t>
      </w:r>
      <w:proofErr w:type="spellStart"/>
      <w:r w:rsidR="000117CC" w:rsidRPr="00F773A5">
        <w:rPr>
          <w:rFonts w:ascii="Verdana" w:hAnsi="Verdana"/>
          <w:sz w:val="20"/>
          <w:szCs w:val="20"/>
        </w:rPr>
        <w:t>агрегираните</w:t>
      </w:r>
      <w:proofErr w:type="spellEnd"/>
      <w:r w:rsidR="000117CC" w:rsidRPr="00F773A5">
        <w:rPr>
          <w:rFonts w:ascii="Verdana" w:hAnsi="Verdana"/>
          <w:sz w:val="20"/>
          <w:szCs w:val="20"/>
        </w:rPr>
        <w:t xml:space="preserve"> данни, предоставяни в рамките на годишното докладване за качеството на изпълнението, са надеждни и </w:t>
      </w:r>
      <w:proofErr w:type="spellStart"/>
      <w:r w:rsidR="000117CC" w:rsidRPr="00F773A5">
        <w:rPr>
          <w:rFonts w:ascii="Verdana" w:hAnsi="Verdana"/>
          <w:sz w:val="20"/>
          <w:szCs w:val="20"/>
        </w:rPr>
        <w:t>проверими</w:t>
      </w:r>
      <w:proofErr w:type="spellEnd"/>
      <w:r w:rsidR="000117CC" w:rsidRPr="00F773A5">
        <w:rPr>
          <w:rFonts w:ascii="Verdana" w:hAnsi="Verdana"/>
          <w:sz w:val="20"/>
          <w:szCs w:val="20"/>
        </w:rPr>
        <w:t xml:space="preserve">. </w:t>
      </w:r>
      <w:r w:rsidR="00056F6E" w:rsidRPr="00F773A5">
        <w:rPr>
          <w:rFonts w:ascii="Verdana" w:hAnsi="Verdana"/>
          <w:sz w:val="20"/>
          <w:szCs w:val="20"/>
        </w:rPr>
        <w:t>Предвидено е извършването на</w:t>
      </w:r>
      <w:r w:rsidR="000117CC" w:rsidRPr="00F773A5">
        <w:rPr>
          <w:rFonts w:ascii="Verdana" w:hAnsi="Verdana"/>
          <w:sz w:val="20"/>
          <w:szCs w:val="20"/>
        </w:rPr>
        <w:t xml:space="preserve"> оценка на качеството на системата за идентификация на земеделските парцели, на системата за </w:t>
      </w:r>
      <w:proofErr w:type="spellStart"/>
      <w:r w:rsidR="000117CC" w:rsidRPr="00F773A5">
        <w:rPr>
          <w:rFonts w:ascii="Verdana" w:hAnsi="Verdana"/>
          <w:sz w:val="20"/>
          <w:szCs w:val="20"/>
        </w:rPr>
        <w:t>геопространствени</w:t>
      </w:r>
      <w:proofErr w:type="spellEnd"/>
      <w:r w:rsidR="000117CC" w:rsidRPr="00F773A5">
        <w:rPr>
          <w:rFonts w:ascii="Verdana" w:hAnsi="Verdana"/>
          <w:sz w:val="20"/>
          <w:szCs w:val="20"/>
        </w:rPr>
        <w:t xml:space="preserve"> заявления и на системата за мониторинг на площта. За набавянето на информацията, която трябва</w:t>
      </w:r>
      <w:r w:rsidR="008D2412" w:rsidRPr="00F773A5">
        <w:rPr>
          <w:rFonts w:ascii="Verdana" w:hAnsi="Verdana"/>
          <w:sz w:val="20"/>
          <w:szCs w:val="20"/>
        </w:rPr>
        <w:t xml:space="preserve"> да бъде изпращана на Комисията, се предвижда</w:t>
      </w:r>
      <w:r w:rsidR="000117CC" w:rsidRPr="00F773A5">
        <w:rPr>
          <w:rFonts w:ascii="Verdana" w:hAnsi="Verdana"/>
          <w:sz w:val="20"/>
          <w:szCs w:val="20"/>
        </w:rPr>
        <w:t xml:space="preserve"> във възможно най-голяма степен </w:t>
      </w:r>
      <w:r w:rsidR="008D2412" w:rsidRPr="00F773A5">
        <w:rPr>
          <w:rFonts w:ascii="Verdana" w:hAnsi="Verdana"/>
          <w:sz w:val="20"/>
          <w:szCs w:val="20"/>
        </w:rPr>
        <w:t xml:space="preserve">да </w:t>
      </w:r>
      <w:r w:rsidR="000117CC" w:rsidRPr="00F773A5">
        <w:rPr>
          <w:rFonts w:ascii="Verdana" w:hAnsi="Verdana"/>
          <w:sz w:val="20"/>
          <w:szCs w:val="20"/>
        </w:rPr>
        <w:t>се използват възможностите на информационните технологии.</w:t>
      </w:r>
    </w:p>
    <w:p w:rsidR="00495C9D" w:rsidRPr="00F773A5" w:rsidRDefault="00693F06" w:rsidP="00F773A5">
      <w:pPr>
        <w:spacing w:line="360" w:lineRule="auto"/>
        <w:ind w:firstLine="720"/>
        <w:jc w:val="both"/>
        <w:rPr>
          <w:rFonts w:ascii="Verdana" w:hAnsi="Verdana"/>
          <w:sz w:val="20"/>
          <w:szCs w:val="20"/>
        </w:rPr>
      </w:pPr>
      <w:r w:rsidRPr="00F773A5">
        <w:rPr>
          <w:rFonts w:ascii="Verdana" w:hAnsi="Verdana"/>
          <w:sz w:val="20"/>
          <w:szCs w:val="20"/>
        </w:rPr>
        <w:t xml:space="preserve">С измененията и допълненията на </w:t>
      </w:r>
      <w:r w:rsidR="00384F88" w:rsidRPr="00F773A5">
        <w:rPr>
          <w:rFonts w:ascii="Verdana" w:hAnsi="Verdana"/>
          <w:sz w:val="20"/>
          <w:szCs w:val="20"/>
        </w:rPr>
        <w:t xml:space="preserve">Наредба № 105 от 2006 г. за условията и реда за създаване, поддържане, достъп и ползване на интегрираната система за администриране и контрол се въвеждат изискванията на Стратегическия план. </w:t>
      </w:r>
      <w:r w:rsidR="00831C74" w:rsidRPr="00F773A5">
        <w:rPr>
          <w:rFonts w:ascii="Verdana" w:hAnsi="Verdana"/>
          <w:sz w:val="20"/>
          <w:szCs w:val="20"/>
        </w:rPr>
        <w:lastRenderedPageBreak/>
        <w:t xml:space="preserve">Системата за идентификация на земеделските парцели (СИЗП) е базирана на референтен парцел - физически блок и се актуализира чрез ортогонални изображения на три години, като се ползват и данни от системите за </w:t>
      </w:r>
      <w:proofErr w:type="spellStart"/>
      <w:r w:rsidR="00831C74" w:rsidRPr="00F773A5">
        <w:rPr>
          <w:rFonts w:ascii="Verdana" w:hAnsi="Verdana"/>
          <w:sz w:val="20"/>
          <w:szCs w:val="20"/>
        </w:rPr>
        <w:t>геопространственото</w:t>
      </w:r>
      <w:proofErr w:type="spellEnd"/>
      <w:r w:rsidR="00831C74" w:rsidRPr="00F773A5">
        <w:rPr>
          <w:rFonts w:ascii="Verdana" w:hAnsi="Verdana"/>
          <w:sz w:val="20"/>
          <w:szCs w:val="20"/>
        </w:rPr>
        <w:t xml:space="preserve"> заявление и мониторинг на площ. Всеки референтен парцел в системата е идентифициран с уникален идентификатор с неговите граници, начин на трайно ползване (според земното покритие), както и наличните </w:t>
      </w:r>
      <w:proofErr w:type="spellStart"/>
      <w:r w:rsidR="00831C74" w:rsidRPr="00F773A5">
        <w:rPr>
          <w:rFonts w:ascii="Verdana" w:hAnsi="Verdana"/>
          <w:sz w:val="20"/>
          <w:szCs w:val="20"/>
        </w:rPr>
        <w:t>ландшафтни</w:t>
      </w:r>
      <w:proofErr w:type="spellEnd"/>
      <w:r w:rsidR="00831C74" w:rsidRPr="00F773A5">
        <w:rPr>
          <w:rFonts w:ascii="Verdana" w:hAnsi="Verdana"/>
          <w:sz w:val="20"/>
          <w:szCs w:val="20"/>
        </w:rPr>
        <w:t xml:space="preserve"> характеристики, когато това е възможно и приложимо. </w:t>
      </w:r>
      <w:r w:rsidR="00AD2C61" w:rsidRPr="00F773A5">
        <w:rPr>
          <w:rFonts w:ascii="Verdana" w:hAnsi="Verdana"/>
          <w:sz w:val="20"/>
          <w:szCs w:val="20"/>
        </w:rPr>
        <w:t>Идентифицирането на бенефициента се извършва чрез уникален регистрационен номер, които се издава веднъж при подаване на първото заявление за подпомагане и кандидатът участва с този номер по всички схеми, мерки и интервенции, финансирани до момента по ОСП. Създават се електронни средства за комуникация между бенефициента и органите, гарантиращи надеждността на предаваните данни.</w:t>
      </w:r>
      <w:r w:rsidR="004B2C49" w:rsidRPr="00F773A5">
        <w:rPr>
          <w:rFonts w:ascii="Verdana" w:hAnsi="Verdana"/>
          <w:sz w:val="20"/>
          <w:szCs w:val="20"/>
        </w:rPr>
        <w:t xml:space="preserve"> </w:t>
      </w:r>
      <w:r w:rsidR="000D36B0" w:rsidRPr="00F773A5">
        <w:rPr>
          <w:rFonts w:ascii="Verdana" w:hAnsi="Verdana"/>
          <w:sz w:val="20"/>
          <w:szCs w:val="20"/>
        </w:rPr>
        <w:t xml:space="preserve">В система за електронни услуги е изградена система за подаване на жалби от страна на бенефициентите. Системата за заявления, е електронна система, за ежегодно подаване на заявления за подпомагане и съдържа цялата необходима информация, позволяваща да бъдат проверени условията за допустимост, както и условията и изискванията, свързани с предварителната условност. </w:t>
      </w:r>
      <w:r w:rsidR="004B2C49" w:rsidRPr="00F773A5">
        <w:rPr>
          <w:rFonts w:ascii="Verdana" w:hAnsi="Verdana"/>
          <w:sz w:val="20"/>
          <w:szCs w:val="20"/>
        </w:rPr>
        <w:t xml:space="preserve">Системата за мониторинг на площ ще се прилага през 2023 поне за всички </w:t>
      </w:r>
      <w:proofErr w:type="spellStart"/>
      <w:r w:rsidR="004B2C49" w:rsidRPr="000B391A">
        <w:rPr>
          <w:rFonts w:ascii="Verdana" w:hAnsi="Verdana"/>
          <w:sz w:val="20"/>
          <w:szCs w:val="20"/>
        </w:rPr>
        <w:t>монитируеми</w:t>
      </w:r>
      <w:proofErr w:type="spellEnd"/>
      <w:r w:rsidR="004B2C49" w:rsidRPr="00F773A5">
        <w:rPr>
          <w:rFonts w:ascii="Verdana" w:hAnsi="Verdana"/>
          <w:sz w:val="20"/>
          <w:szCs w:val="20"/>
        </w:rPr>
        <w:t xml:space="preserve"> (чрез възможностите на спътниците </w:t>
      </w:r>
      <w:proofErr w:type="spellStart"/>
      <w:r w:rsidR="004B2C49" w:rsidRPr="00F773A5">
        <w:rPr>
          <w:rFonts w:ascii="Verdana" w:hAnsi="Verdana"/>
          <w:sz w:val="20"/>
          <w:szCs w:val="20"/>
        </w:rPr>
        <w:t>Сентинел</w:t>
      </w:r>
      <w:proofErr w:type="spellEnd"/>
      <w:r w:rsidR="004B2C49" w:rsidRPr="00F773A5">
        <w:rPr>
          <w:rFonts w:ascii="Verdana" w:hAnsi="Verdana"/>
          <w:sz w:val="20"/>
          <w:szCs w:val="20"/>
        </w:rPr>
        <w:t>) критерии и условия за допустимост</w:t>
      </w:r>
      <w:r w:rsidR="00DD2D30" w:rsidRPr="00F773A5">
        <w:rPr>
          <w:rFonts w:ascii="Verdana" w:hAnsi="Verdana"/>
          <w:sz w:val="20"/>
          <w:szCs w:val="20"/>
        </w:rPr>
        <w:t>, за всички интервенции</w:t>
      </w:r>
      <w:r w:rsidR="00E6305A">
        <w:rPr>
          <w:rFonts w:ascii="Verdana" w:hAnsi="Verdana"/>
          <w:sz w:val="20"/>
          <w:szCs w:val="20"/>
        </w:rPr>
        <w:t>,</w:t>
      </w:r>
      <w:r w:rsidR="00DD2D30" w:rsidRPr="00F773A5">
        <w:rPr>
          <w:rFonts w:ascii="Verdana" w:hAnsi="Verdana"/>
          <w:sz w:val="20"/>
          <w:szCs w:val="20"/>
        </w:rPr>
        <w:t xml:space="preserve"> за които поне един критерий или условие за допустимост може да бъде </w:t>
      </w:r>
      <w:proofErr w:type="spellStart"/>
      <w:r w:rsidR="00DD2D30" w:rsidRPr="00F773A5">
        <w:rPr>
          <w:rFonts w:ascii="Verdana" w:hAnsi="Verdana"/>
          <w:sz w:val="20"/>
          <w:szCs w:val="20"/>
        </w:rPr>
        <w:t>монитируемо</w:t>
      </w:r>
      <w:proofErr w:type="spellEnd"/>
      <w:r w:rsidR="004B2C49" w:rsidRPr="00F773A5">
        <w:rPr>
          <w:rFonts w:ascii="Verdana" w:hAnsi="Verdana"/>
          <w:sz w:val="20"/>
          <w:szCs w:val="20"/>
        </w:rPr>
        <w:t>.</w:t>
      </w:r>
      <w:r w:rsidR="00495C9D" w:rsidRPr="00F773A5">
        <w:rPr>
          <w:rFonts w:ascii="Verdana" w:hAnsi="Verdana"/>
          <w:sz w:val="20"/>
          <w:szCs w:val="20"/>
        </w:rPr>
        <w:t xml:space="preserve"> </w:t>
      </w:r>
    </w:p>
    <w:p w:rsidR="00436C57" w:rsidRPr="00F773A5" w:rsidRDefault="00BA74D7" w:rsidP="00F773A5">
      <w:pPr>
        <w:spacing w:line="360" w:lineRule="auto"/>
        <w:ind w:firstLine="720"/>
        <w:jc w:val="both"/>
        <w:rPr>
          <w:rFonts w:ascii="Verdana" w:hAnsi="Verdana"/>
          <w:sz w:val="20"/>
          <w:szCs w:val="20"/>
        </w:rPr>
      </w:pPr>
      <w:r w:rsidRPr="00F773A5">
        <w:rPr>
          <w:rFonts w:ascii="Verdana" w:hAnsi="Verdana"/>
          <w:sz w:val="20"/>
          <w:szCs w:val="20"/>
        </w:rPr>
        <w:t>Системата за идентификация на земеделските парцели следва да осигурява изчерпателна и надеждна информация, която да е приложима при докладването за качеството на изпълнението на политиката, да допринася за ефикасното реализиране на интервенциите, основаващи се на площта,</w:t>
      </w:r>
      <w:r w:rsidR="00E2652E" w:rsidRPr="00F773A5">
        <w:rPr>
          <w:rFonts w:ascii="Verdana" w:hAnsi="Verdana"/>
          <w:sz w:val="20"/>
          <w:szCs w:val="20"/>
        </w:rPr>
        <w:t xml:space="preserve"> както и да подпомага бенефициент</w:t>
      </w:r>
      <w:r w:rsidRPr="00F773A5">
        <w:rPr>
          <w:rFonts w:ascii="Verdana" w:hAnsi="Verdana"/>
          <w:sz w:val="20"/>
          <w:szCs w:val="20"/>
        </w:rPr>
        <w:t>ите при подаването на правилни заявления за подпомагане. За да се гарантира постигането на тези цели, са необходими правила, в които да се изяснят техническите изисквания</w:t>
      </w:r>
      <w:r w:rsidR="008D2412" w:rsidRPr="00F773A5">
        <w:rPr>
          <w:rFonts w:ascii="Verdana" w:hAnsi="Verdana"/>
          <w:sz w:val="20"/>
          <w:szCs w:val="20"/>
        </w:rPr>
        <w:t xml:space="preserve"> </w:t>
      </w:r>
      <w:r w:rsidRPr="00F773A5">
        <w:rPr>
          <w:rFonts w:ascii="Verdana" w:hAnsi="Verdana"/>
          <w:sz w:val="20"/>
          <w:szCs w:val="20"/>
        </w:rPr>
        <w:t>и в които да се уточни как да се структурира и актуализира наличната информация.</w:t>
      </w:r>
      <w:r w:rsidR="008D2412" w:rsidRPr="00F773A5">
        <w:rPr>
          <w:rFonts w:ascii="Verdana" w:hAnsi="Verdana"/>
          <w:sz w:val="20"/>
          <w:szCs w:val="20"/>
        </w:rPr>
        <w:t xml:space="preserve"> </w:t>
      </w:r>
      <w:r w:rsidR="00436C57" w:rsidRPr="00F773A5">
        <w:rPr>
          <w:rFonts w:ascii="Verdana" w:hAnsi="Verdana"/>
          <w:sz w:val="20"/>
          <w:szCs w:val="20"/>
        </w:rPr>
        <w:t xml:space="preserve">Измененията на наредбата в частта Система за идентификация на земеделските парцели са свързани с отразяване на новостите в прилагането на действащото европейско законодателство за подпомагане на земеделските стопани в рамките на Общата селскостопанска политика, Стратегическия план и промените, приети с изменението на Закона за подпомагане на земеделските производители. Изменението на чл. 11, ал. 1, т. 2 е направено с  мотив за оптимизиране на сроковете за извършване на актуализация на Система за идентификация на земеделските парцели, във връзка с което се прецизира началната дата за извършване на заснемане при обновяване на Цифровата </w:t>
      </w:r>
      <w:proofErr w:type="spellStart"/>
      <w:r w:rsidR="00436C57" w:rsidRPr="00F773A5">
        <w:rPr>
          <w:rFonts w:ascii="Verdana" w:hAnsi="Verdana"/>
          <w:sz w:val="20"/>
          <w:szCs w:val="20"/>
        </w:rPr>
        <w:t>ортофото</w:t>
      </w:r>
      <w:proofErr w:type="spellEnd"/>
      <w:r w:rsidR="00436C57" w:rsidRPr="00F773A5">
        <w:rPr>
          <w:rFonts w:ascii="Verdana" w:hAnsi="Verdana"/>
          <w:sz w:val="20"/>
          <w:szCs w:val="20"/>
        </w:rPr>
        <w:t xml:space="preserve"> карта.</w:t>
      </w:r>
    </w:p>
    <w:p w:rsidR="00E2652E" w:rsidRPr="00F773A5" w:rsidRDefault="00E2652E" w:rsidP="00F773A5">
      <w:pPr>
        <w:spacing w:line="360" w:lineRule="auto"/>
        <w:ind w:firstLine="720"/>
        <w:jc w:val="both"/>
        <w:rPr>
          <w:rFonts w:ascii="Verdana" w:hAnsi="Verdana"/>
          <w:sz w:val="20"/>
          <w:szCs w:val="20"/>
        </w:rPr>
      </w:pPr>
      <w:r w:rsidRPr="00F773A5">
        <w:rPr>
          <w:rFonts w:ascii="Verdana" w:hAnsi="Verdana"/>
          <w:sz w:val="20"/>
          <w:szCs w:val="20"/>
        </w:rPr>
        <w:t xml:space="preserve">Проектът на наредба включва разпоредби, които регламентират съдържанието и обхвата на система за електронни услуги, чрез която се предоставя възможност на кандидатите за подпомагане да декларират данни, касаещи интервенции, включени в Стратегическия план. Уредено е създаването и поддържането на среда за комуникация </w:t>
      </w:r>
      <w:r w:rsidRPr="00F773A5">
        <w:rPr>
          <w:rFonts w:ascii="Verdana" w:hAnsi="Verdana"/>
          <w:sz w:val="20"/>
          <w:szCs w:val="20"/>
        </w:rPr>
        <w:lastRenderedPageBreak/>
        <w:t>и обмен на документи и информация между кандидатите за подпомагане и Държавен фонд „Земеделие“ и Управляващия орган на Стратегическия план. С проекта за изменение и допълнение на Наредба № 105 от 2006 г. нормативно се урежда съдържанието, функционалността на системата и възможностите за достъп до нея.</w:t>
      </w:r>
    </w:p>
    <w:p w:rsidR="00E2652E" w:rsidRPr="00F773A5" w:rsidRDefault="00E2652E" w:rsidP="00F773A5">
      <w:pPr>
        <w:spacing w:line="360" w:lineRule="auto"/>
        <w:ind w:firstLine="720"/>
        <w:jc w:val="both"/>
        <w:rPr>
          <w:rFonts w:ascii="Verdana" w:hAnsi="Verdana"/>
          <w:sz w:val="20"/>
          <w:szCs w:val="20"/>
        </w:rPr>
      </w:pPr>
      <w:r w:rsidRPr="00F773A5">
        <w:rPr>
          <w:rFonts w:ascii="Verdana" w:hAnsi="Verdana"/>
          <w:sz w:val="20"/>
          <w:szCs w:val="20"/>
        </w:rPr>
        <w:t>Необходимостта от въвеждане на правна рамка, регламентираща използването на Системата за мониторинг на площта по отношение на интервенциите на площ, извършване на оценка на качеството и докладване на данни на Комисията, произтича от задължение на държавата съгласно чл. 70 и чл. 134 от Регламент (ЕС) 2021/2116</w:t>
      </w:r>
      <w:r w:rsidR="000B391A">
        <w:rPr>
          <w:rFonts w:ascii="Verdana" w:hAnsi="Verdana"/>
          <w:sz w:val="20"/>
          <w:szCs w:val="20"/>
        </w:rPr>
        <w:t>.</w:t>
      </w:r>
      <w:r w:rsidRPr="00F773A5">
        <w:rPr>
          <w:rFonts w:ascii="Verdana" w:hAnsi="Verdana"/>
          <w:sz w:val="20"/>
          <w:szCs w:val="20"/>
        </w:rPr>
        <w:t xml:space="preserve">. В съответствие с Регламент (ЕС) 2021/2116 системата за мониторинг на площта е въведена като задължителен елемент от интегрираната система за администриране и контрол. Тя обхваща всички бенефициенти и всички интервенции, основаващи се на площта, които се управляват в рамките на интегрираната система за администриране и контрол, както и всички условия, подлежащи на мониторинг. Подлежащите на мониторинг условия за допустимост се </w:t>
      </w:r>
      <w:proofErr w:type="spellStart"/>
      <w:r w:rsidRPr="00F773A5">
        <w:rPr>
          <w:rFonts w:ascii="Verdana" w:hAnsi="Verdana"/>
          <w:sz w:val="20"/>
          <w:szCs w:val="20"/>
        </w:rPr>
        <w:t>мониторират</w:t>
      </w:r>
      <w:proofErr w:type="spellEnd"/>
      <w:r w:rsidRPr="00F773A5">
        <w:rPr>
          <w:rFonts w:ascii="Verdana" w:hAnsi="Verdana"/>
          <w:sz w:val="20"/>
          <w:szCs w:val="20"/>
        </w:rPr>
        <w:t xml:space="preserve"> чрез обработването на данните от спътниците </w:t>
      </w:r>
      <w:proofErr w:type="spellStart"/>
      <w:r w:rsidRPr="00F773A5">
        <w:rPr>
          <w:rFonts w:ascii="Verdana" w:hAnsi="Verdana"/>
          <w:sz w:val="20"/>
          <w:szCs w:val="20"/>
        </w:rPr>
        <w:t>Сентинели</w:t>
      </w:r>
      <w:proofErr w:type="spellEnd"/>
      <w:r w:rsidRPr="00F773A5">
        <w:rPr>
          <w:rFonts w:ascii="Verdana" w:hAnsi="Verdana"/>
          <w:sz w:val="20"/>
          <w:szCs w:val="20"/>
        </w:rPr>
        <w:t xml:space="preserve"> по програмата „Коперник“ или на други данни с поне еквивалентна стойност. Наредбата включва описание на обхвата на системата за мониторинг на площ, валиден за кампания 2023, във връзка с поетапното внедряване на техническите функционалности на системата. С това се отговаря на необходимостта от въвеждане и използване на система за мониторинг на площ поне за целите на годишното докладване на представянето. За да могат да се откриват проактивно евентуални слабости в системата и при необходимост да предприемат коригиращи действия, се предвиждат правила относно годишната оценка на качеството. Оценката на качеството обхваща всички интервенции, основаващи се на площта, и съответните условия за допустимост. При нея се предоставя диагностична информация както на равнище интервенции, така и на равнище условия за допустимост, въз основа на която при необходимост се предприемат подходящи коригиращи действия.</w:t>
      </w:r>
    </w:p>
    <w:p w:rsidR="00FD42F9" w:rsidRPr="00F773A5" w:rsidRDefault="009D4406" w:rsidP="00F773A5">
      <w:pPr>
        <w:spacing w:line="360" w:lineRule="auto"/>
        <w:ind w:firstLine="720"/>
        <w:jc w:val="both"/>
        <w:rPr>
          <w:rFonts w:ascii="Verdana" w:hAnsi="Verdana"/>
          <w:sz w:val="20"/>
          <w:szCs w:val="20"/>
        </w:rPr>
      </w:pPr>
      <w:r w:rsidRPr="00F773A5">
        <w:rPr>
          <w:rFonts w:ascii="Verdana" w:hAnsi="Verdana"/>
          <w:sz w:val="20"/>
          <w:szCs w:val="20"/>
        </w:rPr>
        <w:t>Въве</w:t>
      </w:r>
      <w:r w:rsidR="00FD42F9" w:rsidRPr="00F773A5">
        <w:rPr>
          <w:rFonts w:ascii="Verdana" w:hAnsi="Verdana"/>
          <w:sz w:val="20"/>
          <w:szCs w:val="20"/>
        </w:rPr>
        <w:t>ж</w:t>
      </w:r>
      <w:r w:rsidRPr="00F773A5">
        <w:rPr>
          <w:rFonts w:ascii="Verdana" w:hAnsi="Verdana"/>
          <w:sz w:val="20"/>
          <w:szCs w:val="20"/>
        </w:rPr>
        <w:t>да се</w:t>
      </w:r>
      <w:r w:rsidR="00BA74D7" w:rsidRPr="00F773A5">
        <w:rPr>
          <w:rFonts w:ascii="Verdana" w:hAnsi="Verdana"/>
          <w:sz w:val="20"/>
          <w:szCs w:val="20"/>
        </w:rPr>
        <w:t xml:space="preserve"> надеждна и съвременна система за управление на заявленията за подпомагане, чрез която да се осигур</w:t>
      </w:r>
      <w:r w:rsidRPr="00F773A5">
        <w:rPr>
          <w:rFonts w:ascii="Verdana" w:hAnsi="Verdana"/>
          <w:sz w:val="20"/>
          <w:szCs w:val="20"/>
        </w:rPr>
        <w:t>ява</w:t>
      </w:r>
      <w:r w:rsidR="00BA74D7" w:rsidRPr="00F773A5">
        <w:rPr>
          <w:rFonts w:ascii="Verdana" w:hAnsi="Verdana"/>
          <w:sz w:val="20"/>
          <w:szCs w:val="20"/>
        </w:rPr>
        <w:t xml:space="preserve"> комуникация по електронен път. </w:t>
      </w:r>
      <w:r w:rsidR="00F86B8A" w:rsidRPr="00F773A5">
        <w:rPr>
          <w:rFonts w:ascii="Verdana" w:hAnsi="Verdana"/>
          <w:sz w:val="20"/>
          <w:szCs w:val="20"/>
        </w:rPr>
        <w:t xml:space="preserve">В </w:t>
      </w:r>
      <w:proofErr w:type="spellStart"/>
      <w:r w:rsidR="00F86B8A" w:rsidRPr="00F773A5">
        <w:rPr>
          <w:rFonts w:ascii="Verdana" w:hAnsi="Verdana"/>
          <w:sz w:val="20"/>
          <w:szCs w:val="20"/>
        </w:rPr>
        <w:t>геопространственото</w:t>
      </w:r>
      <w:proofErr w:type="spellEnd"/>
      <w:r w:rsidR="00F86B8A" w:rsidRPr="00F773A5">
        <w:rPr>
          <w:rFonts w:ascii="Verdana" w:hAnsi="Verdana"/>
          <w:sz w:val="20"/>
          <w:szCs w:val="20"/>
        </w:rPr>
        <w:t xml:space="preserve"> заявление е включена необходимата информация за управлението на интервенциите, основаващи се на площта, в рамките на интегрираната система за администриране и контрол, както и информация относно изискванията във връзка с предварителните условия. </w:t>
      </w:r>
      <w:r w:rsidRPr="00F773A5">
        <w:rPr>
          <w:rFonts w:ascii="Verdana" w:hAnsi="Verdana"/>
          <w:sz w:val="20"/>
          <w:szCs w:val="20"/>
        </w:rPr>
        <w:t>И</w:t>
      </w:r>
      <w:r w:rsidR="00BE0CFD" w:rsidRPr="00F773A5">
        <w:rPr>
          <w:rFonts w:ascii="Verdana" w:hAnsi="Verdana"/>
          <w:sz w:val="20"/>
          <w:szCs w:val="20"/>
        </w:rPr>
        <w:t xml:space="preserve">зползват </w:t>
      </w:r>
      <w:r w:rsidRPr="00F773A5">
        <w:rPr>
          <w:rFonts w:ascii="Verdana" w:hAnsi="Verdana"/>
          <w:sz w:val="20"/>
          <w:szCs w:val="20"/>
        </w:rPr>
        <w:t>се</w:t>
      </w:r>
      <w:r w:rsidR="00BE0CFD" w:rsidRPr="00F773A5">
        <w:rPr>
          <w:rFonts w:ascii="Verdana" w:hAnsi="Verdana"/>
          <w:sz w:val="20"/>
          <w:szCs w:val="20"/>
        </w:rPr>
        <w:t xml:space="preserve"> предимствата на цифровизацията, като по правило </w:t>
      </w:r>
      <w:r w:rsidRPr="00F773A5">
        <w:rPr>
          <w:rFonts w:ascii="Verdana" w:hAnsi="Verdana"/>
          <w:sz w:val="20"/>
          <w:szCs w:val="20"/>
        </w:rPr>
        <w:t xml:space="preserve">се </w:t>
      </w:r>
      <w:r w:rsidR="00BE0CFD" w:rsidRPr="00F773A5">
        <w:rPr>
          <w:rFonts w:ascii="Verdana" w:hAnsi="Verdana"/>
          <w:sz w:val="20"/>
          <w:szCs w:val="20"/>
        </w:rPr>
        <w:t>използват електронни средства за цялата комуникация с бенефицие</w:t>
      </w:r>
      <w:r w:rsidRPr="00F773A5">
        <w:rPr>
          <w:rFonts w:ascii="Verdana" w:hAnsi="Verdana"/>
          <w:sz w:val="20"/>
          <w:szCs w:val="20"/>
        </w:rPr>
        <w:t>нт</w:t>
      </w:r>
      <w:r w:rsidR="00BE0CFD" w:rsidRPr="00F773A5">
        <w:rPr>
          <w:rFonts w:ascii="Verdana" w:hAnsi="Verdana"/>
          <w:sz w:val="20"/>
          <w:szCs w:val="20"/>
        </w:rPr>
        <w:t xml:space="preserve">ите. </w:t>
      </w:r>
      <w:r w:rsidR="00FD42F9" w:rsidRPr="00F773A5">
        <w:rPr>
          <w:rFonts w:ascii="Verdana" w:hAnsi="Verdana"/>
          <w:sz w:val="20"/>
          <w:szCs w:val="20"/>
        </w:rPr>
        <w:t>З</w:t>
      </w:r>
      <w:r w:rsidR="00BE0CFD" w:rsidRPr="00F773A5">
        <w:rPr>
          <w:rFonts w:ascii="Verdana" w:hAnsi="Verdana"/>
          <w:sz w:val="20"/>
          <w:szCs w:val="20"/>
        </w:rPr>
        <w:t>а да се стимулира опростяването, доколкото е възможно</w:t>
      </w:r>
      <w:r w:rsidR="00FD42F9" w:rsidRPr="00F773A5">
        <w:rPr>
          <w:rFonts w:ascii="Verdana" w:hAnsi="Verdana"/>
          <w:sz w:val="20"/>
          <w:szCs w:val="20"/>
        </w:rPr>
        <w:t xml:space="preserve"> се използва</w:t>
      </w:r>
      <w:r w:rsidR="00BE0CFD" w:rsidRPr="00F773A5">
        <w:rPr>
          <w:rFonts w:ascii="Verdana" w:hAnsi="Verdana"/>
          <w:sz w:val="20"/>
          <w:szCs w:val="20"/>
        </w:rPr>
        <w:t xml:space="preserve"> информацията, необходима за управлението на интервенциите, от източници на данни, които са на разположение на администрация</w:t>
      </w:r>
      <w:r w:rsidR="00FD42F9" w:rsidRPr="00F773A5">
        <w:rPr>
          <w:rFonts w:ascii="Verdana" w:hAnsi="Verdana"/>
          <w:sz w:val="20"/>
          <w:szCs w:val="20"/>
        </w:rPr>
        <w:t>та</w:t>
      </w:r>
      <w:r w:rsidR="00BE0CFD" w:rsidRPr="00F773A5">
        <w:rPr>
          <w:rFonts w:ascii="Verdana" w:hAnsi="Verdana"/>
          <w:sz w:val="20"/>
          <w:szCs w:val="20"/>
        </w:rPr>
        <w:t xml:space="preserve">. За да се улесни процесът на подаване на заявления за подпомагане, </w:t>
      </w:r>
      <w:r w:rsidR="00FD42F9" w:rsidRPr="00F773A5">
        <w:rPr>
          <w:rFonts w:ascii="Verdana" w:hAnsi="Verdana"/>
          <w:sz w:val="20"/>
          <w:szCs w:val="20"/>
        </w:rPr>
        <w:t xml:space="preserve">се </w:t>
      </w:r>
      <w:r w:rsidR="00BE0CFD" w:rsidRPr="00F773A5">
        <w:rPr>
          <w:rFonts w:ascii="Verdana" w:hAnsi="Verdana"/>
          <w:sz w:val="20"/>
          <w:szCs w:val="20"/>
        </w:rPr>
        <w:t xml:space="preserve">предоставят </w:t>
      </w:r>
      <w:r w:rsidR="00FD42F9" w:rsidRPr="00F773A5">
        <w:rPr>
          <w:rFonts w:ascii="Verdana" w:hAnsi="Verdana"/>
          <w:sz w:val="20"/>
          <w:szCs w:val="20"/>
        </w:rPr>
        <w:t>предварителни данни за заявление за подпомагане</w:t>
      </w:r>
      <w:r w:rsidR="00BE0CFD" w:rsidRPr="00F773A5">
        <w:rPr>
          <w:rFonts w:ascii="Verdana" w:hAnsi="Verdana"/>
          <w:sz w:val="20"/>
          <w:szCs w:val="20"/>
        </w:rPr>
        <w:t>, съдържащи цялата информация, която е от значение за бенефицие</w:t>
      </w:r>
      <w:r w:rsidR="00FD42F9" w:rsidRPr="00F773A5">
        <w:rPr>
          <w:rFonts w:ascii="Verdana" w:hAnsi="Verdana"/>
          <w:sz w:val="20"/>
          <w:szCs w:val="20"/>
        </w:rPr>
        <w:t>нт</w:t>
      </w:r>
      <w:r w:rsidR="00BE0CFD" w:rsidRPr="00F773A5">
        <w:rPr>
          <w:rFonts w:ascii="Verdana" w:hAnsi="Verdana"/>
          <w:sz w:val="20"/>
          <w:szCs w:val="20"/>
        </w:rPr>
        <w:t xml:space="preserve">ите и която е актуализирана. </w:t>
      </w:r>
      <w:r w:rsidR="00FD42F9" w:rsidRPr="00F773A5">
        <w:rPr>
          <w:rFonts w:ascii="Verdana" w:hAnsi="Verdana"/>
          <w:sz w:val="20"/>
          <w:szCs w:val="20"/>
        </w:rPr>
        <w:t>О</w:t>
      </w:r>
      <w:r w:rsidR="00BE0CFD" w:rsidRPr="00F773A5">
        <w:rPr>
          <w:rFonts w:ascii="Verdana" w:hAnsi="Verdana"/>
          <w:sz w:val="20"/>
          <w:szCs w:val="20"/>
        </w:rPr>
        <w:t>сигурява</w:t>
      </w:r>
      <w:r w:rsidR="00FD42F9" w:rsidRPr="00F773A5">
        <w:rPr>
          <w:rFonts w:ascii="Verdana" w:hAnsi="Verdana"/>
          <w:sz w:val="20"/>
          <w:szCs w:val="20"/>
        </w:rPr>
        <w:t xml:space="preserve"> се</w:t>
      </w:r>
      <w:r w:rsidR="00BE0CFD" w:rsidRPr="00F773A5">
        <w:rPr>
          <w:rFonts w:ascii="Verdana" w:hAnsi="Verdana"/>
          <w:sz w:val="20"/>
          <w:szCs w:val="20"/>
        </w:rPr>
        <w:t xml:space="preserve"> възможност за извършване на изменения в </w:t>
      </w:r>
      <w:r w:rsidR="00FD42F9" w:rsidRPr="00F773A5">
        <w:rPr>
          <w:rFonts w:ascii="Verdana" w:hAnsi="Verdana"/>
          <w:sz w:val="20"/>
          <w:szCs w:val="20"/>
        </w:rPr>
        <w:t xml:space="preserve">подадените заявления </w:t>
      </w:r>
      <w:r w:rsidR="00BE0CFD" w:rsidRPr="00F773A5">
        <w:rPr>
          <w:rFonts w:ascii="Verdana" w:hAnsi="Verdana"/>
          <w:sz w:val="20"/>
          <w:szCs w:val="20"/>
        </w:rPr>
        <w:t xml:space="preserve">чрез предоставяне </w:t>
      </w:r>
      <w:r w:rsidR="00BE0CFD" w:rsidRPr="00F773A5">
        <w:rPr>
          <w:rFonts w:ascii="Verdana" w:hAnsi="Verdana"/>
          <w:sz w:val="20"/>
          <w:szCs w:val="20"/>
        </w:rPr>
        <w:lastRenderedPageBreak/>
        <w:t>на насочващи предупреждения, чрез които бенефицие</w:t>
      </w:r>
      <w:r w:rsidR="00FD42F9" w:rsidRPr="00F773A5">
        <w:rPr>
          <w:rFonts w:ascii="Verdana" w:hAnsi="Verdana"/>
          <w:sz w:val="20"/>
          <w:szCs w:val="20"/>
        </w:rPr>
        <w:t>нт</w:t>
      </w:r>
      <w:r w:rsidR="00BE0CFD" w:rsidRPr="00F773A5">
        <w:rPr>
          <w:rFonts w:ascii="Verdana" w:hAnsi="Verdana"/>
          <w:sz w:val="20"/>
          <w:szCs w:val="20"/>
        </w:rPr>
        <w:t>ът да получи помощ при идентифицирането на потенциалните случаи на неспазване и да подаде правилно заявление. С оглед на правилното управление на интервенциите бенефицие</w:t>
      </w:r>
      <w:r w:rsidR="00FD42F9" w:rsidRPr="00F773A5">
        <w:rPr>
          <w:rFonts w:ascii="Verdana" w:hAnsi="Verdana"/>
          <w:sz w:val="20"/>
          <w:szCs w:val="20"/>
        </w:rPr>
        <w:t>нт</w:t>
      </w:r>
      <w:r w:rsidR="00BE0CFD" w:rsidRPr="00F773A5">
        <w:rPr>
          <w:rFonts w:ascii="Verdana" w:hAnsi="Verdana"/>
          <w:sz w:val="20"/>
          <w:szCs w:val="20"/>
        </w:rPr>
        <w:t>ите продължа</w:t>
      </w:r>
      <w:r w:rsidR="00FD42F9" w:rsidRPr="00F773A5">
        <w:rPr>
          <w:rFonts w:ascii="Verdana" w:hAnsi="Verdana"/>
          <w:sz w:val="20"/>
          <w:szCs w:val="20"/>
        </w:rPr>
        <w:t>ва</w:t>
      </w:r>
      <w:r w:rsidR="00BE0CFD" w:rsidRPr="00F773A5">
        <w:rPr>
          <w:rFonts w:ascii="Verdana" w:hAnsi="Verdana"/>
          <w:sz w:val="20"/>
          <w:szCs w:val="20"/>
        </w:rPr>
        <w:t>т да носят отговорност за подаденото заявление за подпомагане.</w:t>
      </w:r>
      <w:r w:rsidR="00FD42F9" w:rsidRPr="00F773A5">
        <w:rPr>
          <w:rFonts w:ascii="Verdana" w:hAnsi="Verdana"/>
          <w:sz w:val="20"/>
          <w:szCs w:val="20"/>
        </w:rPr>
        <w:t xml:space="preserve"> </w:t>
      </w:r>
      <w:r w:rsidR="00BE0CFD" w:rsidRPr="00F773A5">
        <w:rPr>
          <w:rFonts w:ascii="Verdana" w:hAnsi="Verdana"/>
          <w:sz w:val="20"/>
          <w:szCs w:val="20"/>
        </w:rPr>
        <w:t>В интерес на предотвратяването на нередности се да</w:t>
      </w:r>
      <w:r w:rsidR="00FD42F9" w:rsidRPr="00F773A5">
        <w:rPr>
          <w:rFonts w:ascii="Verdana" w:hAnsi="Verdana"/>
          <w:sz w:val="20"/>
          <w:szCs w:val="20"/>
        </w:rPr>
        <w:t>ва</w:t>
      </w:r>
      <w:r w:rsidR="00BE0CFD" w:rsidRPr="00F773A5">
        <w:rPr>
          <w:rFonts w:ascii="Verdana" w:hAnsi="Verdana"/>
          <w:sz w:val="20"/>
          <w:szCs w:val="20"/>
        </w:rPr>
        <w:t xml:space="preserve"> възможност за извършване на изменения или за оттегляне на заявленията за подпомагане в рамките на определен срок.</w:t>
      </w:r>
    </w:p>
    <w:p w:rsidR="00E2652E" w:rsidRPr="00F773A5" w:rsidRDefault="00E2652E" w:rsidP="00F773A5">
      <w:pPr>
        <w:spacing w:line="360" w:lineRule="auto"/>
        <w:ind w:firstLine="720"/>
        <w:jc w:val="both"/>
        <w:rPr>
          <w:rFonts w:ascii="Verdana" w:hAnsi="Verdana"/>
          <w:bCs/>
          <w:sz w:val="20"/>
          <w:szCs w:val="20"/>
        </w:rPr>
      </w:pPr>
    </w:p>
    <w:p w:rsidR="00680607" w:rsidRPr="00F773A5" w:rsidRDefault="00680607" w:rsidP="00F773A5">
      <w:pPr>
        <w:spacing w:line="360" w:lineRule="auto"/>
        <w:ind w:firstLine="720"/>
        <w:jc w:val="both"/>
        <w:rPr>
          <w:rFonts w:ascii="Verdana" w:hAnsi="Verdana"/>
          <w:b/>
          <w:bCs/>
          <w:sz w:val="20"/>
          <w:szCs w:val="20"/>
        </w:rPr>
      </w:pPr>
      <w:r w:rsidRPr="00F773A5">
        <w:rPr>
          <w:rFonts w:ascii="Verdana" w:hAnsi="Verdana"/>
          <w:b/>
          <w:bCs/>
          <w:sz w:val="20"/>
          <w:szCs w:val="20"/>
        </w:rPr>
        <w:t>Цели</w:t>
      </w:r>
    </w:p>
    <w:p w:rsidR="00680607" w:rsidRPr="00F773A5" w:rsidRDefault="00680607" w:rsidP="00F773A5">
      <w:pPr>
        <w:spacing w:line="360" w:lineRule="auto"/>
        <w:ind w:firstLine="720"/>
        <w:jc w:val="both"/>
        <w:rPr>
          <w:rFonts w:ascii="Verdana" w:hAnsi="Verdana"/>
          <w:bCs/>
          <w:spacing w:val="4"/>
          <w:sz w:val="20"/>
          <w:szCs w:val="20"/>
        </w:rPr>
      </w:pPr>
      <w:r w:rsidRPr="00F773A5">
        <w:rPr>
          <w:rFonts w:ascii="Verdana" w:hAnsi="Verdana"/>
          <w:bCs/>
          <w:spacing w:val="4"/>
          <w:sz w:val="20"/>
          <w:szCs w:val="20"/>
        </w:rPr>
        <w:t xml:space="preserve">Предложените изменения и допълнения </w:t>
      </w:r>
      <w:r w:rsidR="00E6305A">
        <w:rPr>
          <w:rFonts w:ascii="Verdana" w:hAnsi="Verdana"/>
          <w:bCs/>
          <w:spacing w:val="4"/>
          <w:sz w:val="20"/>
          <w:szCs w:val="20"/>
        </w:rPr>
        <w:t>в</w:t>
      </w:r>
      <w:r w:rsidRPr="00F773A5">
        <w:rPr>
          <w:rFonts w:ascii="Verdana" w:hAnsi="Verdana"/>
          <w:bCs/>
          <w:spacing w:val="4"/>
          <w:sz w:val="20"/>
          <w:szCs w:val="20"/>
        </w:rPr>
        <w:t xml:space="preserve"> </w:t>
      </w:r>
      <w:r w:rsidRPr="00F773A5">
        <w:rPr>
          <w:rFonts w:ascii="Verdana" w:hAnsi="Verdana"/>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r w:rsidRPr="00F773A5">
        <w:rPr>
          <w:rFonts w:ascii="Verdana" w:hAnsi="Verdana"/>
          <w:bCs/>
          <w:spacing w:val="4"/>
          <w:sz w:val="20"/>
          <w:szCs w:val="20"/>
        </w:rPr>
        <w:t xml:space="preserve"> са насочени към постигане на следните цели:</w:t>
      </w:r>
    </w:p>
    <w:p w:rsidR="00E2652E" w:rsidRPr="00F773A5" w:rsidRDefault="00A61A21" w:rsidP="00F773A5">
      <w:pPr>
        <w:spacing w:line="360" w:lineRule="auto"/>
        <w:ind w:firstLine="720"/>
        <w:jc w:val="both"/>
        <w:rPr>
          <w:rFonts w:ascii="Verdana" w:hAnsi="Verdana"/>
          <w:bCs/>
          <w:spacing w:val="4"/>
          <w:sz w:val="20"/>
          <w:szCs w:val="20"/>
        </w:rPr>
      </w:pPr>
      <w:r w:rsidRPr="00F773A5">
        <w:rPr>
          <w:rFonts w:ascii="Verdana" w:hAnsi="Verdana"/>
          <w:sz w:val="20"/>
          <w:szCs w:val="20"/>
        </w:rPr>
        <w:t>О</w:t>
      </w:r>
      <w:r w:rsidR="00E2652E" w:rsidRPr="00F773A5">
        <w:rPr>
          <w:rFonts w:ascii="Verdana" w:hAnsi="Verdana"/>
          <w:sz w:val="20"/>
          <w:szCs w:val="20"/>
        </w:rPr>
        <w:t>тразяване на новостите в прилагането на действащото европейско законодателство за подпомагане на земеделските стопани</w:t>
      </w:r>
      <w:r w:rsidRPr="00F773A5">
        <w:rPr>
          <w:rFonts w:ascii="Verdana" w:hAnsi="Verdana"/>
          <w:sz w:val="20"/>
          <w:szCs w:val="20"/>
        </w:rPr>
        <w:t>, Стратегическия план и промените, приети с изменението на Закона за подпомагане на земеделските производители</w:t>
      </w:r>
      <w:r w:rsidR="00E2652E" w:rsidRPr="00F773A5">
        <w:rPr>
          <w:rFonts w:ascii="Verdana" w:hAnsi="Verdana"/>
          <w:sz w:val="20"/>
          <w:szCs w:val="20"/>
        </w:rPr>
        <w:t>;</w:t>
      </w:r>
    </w:p>
    <w:p w:rsidR="00E2652E" w:rsidRPr="00F773A5" w:rsidRDefault="00A61A21" w:rsidP="00F773A5">
      <w:pPr>
        <w:spacing w:line="360" w:lineRule="auto"/>
        <w:ind w:firstLine="720"/>
        <w:jc w:val="both"/>
        <w:rPr>
          <w:rFonts w:ascii="Verdana" w:hAnsi="Verdana"/>
          <w:sz w:val="20"/>
          <w:szCs w:val="20"/>
        </w:rPr>
      </w:pPr>
      <w:r w:rsidRPr="00F773A5">
        <w:rPr>
          <w:rFonts w:ascii="Verdana" w:hAnsi="Verdana"/>
          <w:bCs/>
          <w:spacing w:val="4"/>
          <w:sz w:val="20"/>
          <w:szCs w:val="20"/>
        </w:rPr>
        <w:t>П</w:t>
      </w:r>
      <w:r w:rsidR="00E2652E" w:rsidRPr="00F773A5">
        <w:rPr>
          <w:rFonts w:ascii="Verdana" w:hAnsi="Verdana"/>
          <w:sz w:val="20"/>
          <w:szCs w:val="20"/>
        </w:rPr>
        <w:t>одобряване на ефективността на мониторингът на подкрепата от Съюза, чрез интегрираната система за администриране и контрол;</w:t>
      </w:r>
    </w:p>
    <w:p w:rsidR="00E2652E" w:rsidRPr="00F773A5" w:rsidRDefault="00A61A21" w:rsidP="00F773A5">
      <w:pPr>
        <w:spacing w:line="360" w:lineRule="auto"/>
        <w:ind w:firstLine="720"/>
        <w:jc w:val="both"/>
        <w:rPr>
          <w:rFonts w:ascii="Verdana" w:hAnsi="Verdana"/>
          <w:sz w:val="20"/>
          <w:szCs w:val="20"/>
        </w:rPr>
      </w:pPr>
      <w:r w:rsidRPr="00F773A5">
        <w:rPr>
          <w:rFonts w:ascii="Verdana" w:hAnsi="Verdana"/>
          <w:sz w:val="20"/>
          <w:szCs w:val="20"/>
        </w:rPr>
        <w:t>О</w:t>
      </w:r>
      <w:r w:rsidR="00E2652E" w:rsidRPr="00F773A5">
        <w:rPr>
          <w:rFonts w:ascii="Verdana" w:hAnsi="Verdana"/>
          <w:sz w:val="20"/>
          <w:szCs w:val="20"/>
        </w:rPr>
        <w:t>сигуряване на изчерпателна и надеждна информация, която да се използва за изпълнение на политиката, да допринася за ефикасното реализиране на интервенциите, основаващи се на площта, както и да подпомага бенефициентите при подаването на заявления за подпомагане;</w:t>
      </w:r>
    </w:p>
    <w:p w:rsidR="00E2652E" w:rsidRPr="00F773A5" w:rsidRDefault="00A61A21" w:rsidP="00F773A5">
      <w:pPr>
        <w:spacing w:line="360" w:lineRule="auto"/>
        <w:ind w:firstLine="720"/>
        <w:jc w:val="both"/>
        <w:rPr>
          <w:rFonts w:ascii="Verdana" w:hAnsi="Verdana"/>
          <w:sz w:val="20"/>
          <w:szCs w:val="20"/>
        </w:rPr>
      </w:pPr>
      <w:r w:rsidRPr="00F773A5">
        <w:rPr>
          <w:rFonts w:ascii="Verdana" w:hAnsi="Verdana"/>
          <w:sz w:val="20"/>
          <w:szCs w:val="20"/>
        </w:rPr>
        <w:t>В</w:t>
      </w:r>
      <w:r w:rsidR="00E2652E" w:rsidRPr="00F773A5">
        <w:rPr>
          <w:rFonts w:ascii="Verdana" w:hAnsi="Verdana"/>
          <w:sz w:val="20"/>
          <w:szCs w:val="20"/>
        </w:rPr>
        <w:t>ъзможно най-голяма степен на използване възможностите на информационните технологии;</w:t>
      </w:r>
    </w:p>
    <w:p w:rsidR="00680607" w:rsidRPr="00F773A5" w:rsidRDefault="00A61A21" w:rsidP="00F773A5">
      <w:pPr>
        <w:spacing w:line="360" w:lineRule="auto"/>
        <w:ind w:firstLine="720"/>
        <w:jc w:val="both"/>
        <w:rPr>
          <w:rFonts w:ascii="Verdana" w:hAnsi="Verdana"/>
          <w:bCs/>
          <w:spacing w:val="4"/>
          <w:sz w:val="20"/>
          <w:szCs w:val="20"/>
        </w:rPr>
      </w:pPr>
      <w:r w:rsidRPr="00F773A5">
        <w:rPr>
          <w:rFonts w:ascii="Verdana" w:hAnsi="Verdana"/>
          <w:bCs/>
          <w:spacing w:val="4"/>
          <w:sz w:val="20"/>
          <w:szCs w:val="20"/>
        </w:rPr>
        <w:t>Н</w:t>
      </w:r>
      <w:r w:rsidR="00680607" w:rsidRPr="00F773A5">
        <w:rPr>
          <w:rFonts w:ascii="Verdana" w:hAnsi="Verdana"/>
          <w:bCs/>
          <w:spacing w:val="4"/>
          <w:sz w:val="20"/>
          <w:szCs w:val="20"/>
        </w:rPr>
        <w:t>амаляване на административната тежест както за бенефициентите, така  и за администрацията.</w:t>
      </w:r>
    </w:p>
    <w:p w:rsidR="00680607" w:rsidRPr="00F773A5" w:rsidRDefault="00680607" w:rsidP="00F773A5">
      <w:pPr>
        <w:spacing w:line="360" w:lineRule="auto"/>
        <w:ind w:firstLine="720"/>
        <w:jc w:val="both"/>
        <w:rPr>
          <w:rFonts w:ascii="Verdana" w:hAnsi="Verdana"/>
          <w:bCs/>
          <w:sz w:val="20"/>
          <w:szCs w:val="20"/>
        </w:rPr>
      </w:pPr>
    </w:p>
    <w:p w:rsidR="00680607" w:rsidRPr="00F773A5" w:rsidRDefault="00680607" w:rsidP="00F773A5">
      <w:pPr>
        <w:spacing w:line="360" w:lineRule="auto"/>
        <w:ind w:firstLine="720"/>
        <w:jc w:val="both"/>
        <w:rPr>
          <w:rFonts w:ascii="Verdana" w:hAnsi="Verdana"/>
          <w:b/>
          <w:bCs/>
          <w:sz w:val="20"/>
          <w:szCs w:val="20"/>
        </w:rPr>
      </w:pPr>
      <w:r w:rsidRPr="00F773A5">
        <w:rPr>
          <w:rFonts w:ascii="Verdana" w:hAnsi="Verdana"/>
          <w:b/>
          <w:bCs/>
          <w:sz w:val="20"/>
          <w:szCs w:val="20"/>
        </w:rPr>
        <w:t>Финансови и други средства, необходими за прилагането на новата уредба</w:t>
      </w:r>
    </w:p>
    <w:p w:rsidR="00680607" w:rsidRPr="00F773A5" w:rsidRDefault="00680607" w:rsidP="00F773A5">
      <w:pPr>
        <w:spacing w:line="360" w:lineRule="auto"/>
        <w:ind w:firstLine="720"/>
        <w:jc w:val="both"/>
        <w:rPr>
          <w:rFonts w:ascii="Verdana" w:hAnsi="Verdana"/>
          <w:bCs/>
          <w:sz w:val="20"/>
          <w:szCs w:val="20"/>
        </w:rPr>
      </w:pPr>
      <w:r w:rsidRPr="00F773A5">
        <w:rPr>
          <w:rFonts w:ascii="Verdana" w:hAnsi="Verdana"/>
          <w:bCs/>
          <w:sz w:val="20"/>
          <w:szCs w:val="20"/>
        </w:rPr>
        <w:t xml:space="preserve">За приемането на </w:t>
      </w:r>
      <w:r w:rsidRPr="00F773A5">
        <w:rPr>
          <w:rFonts w:ascii="Verdana" w:hAnsi="Verdana"/>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r w:rsidRPr="00F773A5">
        <w:rPr>
          <w:rFonts w:ascii="Verdana" w:hAnsi="Verdana"/>
          <w:bCs/>
          <w:sz w:val="20"/>
          <w:szCs w:val="20"/>
        </w:rPr>
        <w:t xml:space="preserve"> не се предвижда разходването на допълнителни средства от бюджета на Министерството на земеделието и на Държавен фонд „Земеделие“ – Разплащателна агенция, както и допълнителна финансова тежест за кандидатите и бенефициентите на подпомагане по отношение на интервенциите, които ще бъдат финансирани от бюджета на Европейския фонд за гарантиране на земеделието.</w:t>
      </w:r>
    </w:p>
    <w:p w:rsidR="00680607" w:rsidRPr="00F773A5" w:rsidRDefault="00680607" w:rsidP="00F773A5">
      <w:pPr>
        <w:spacing w:line="360" w:lineRule="auto"/>
        <w:ind w:firstLine="720"/>
        <w:jc w:val="both"/>
        <w:rPr>
          <w:rFonts w:ascii="Verdana" w:hAnsi="Verdana"/>
          <w:bCs/>
          <w:sz w:val="20"/>
          <w:szCs w:val="20"/>
        </w:rPr>
      </w:pPr>
    </w:p>
    <w:p w:rsidR="00680607" w:rsidRPr="00F773A5" w:rsidRDefault="00680607" w:rsidP="00F773A5">
      <w:pPr>
        <w:spacing w:line="360" w:lineRule="auto"/>
        <w:ind w:firstLine="720"/>
        <w:jc w:val="both"/>
        <w:rPr>
          <w:rFonts w:ascii="Verdana" w:hAnsi="Verdana"/>
          <w:b/>
          <w:sz w:val="20"/>
          <w:szCs w:val="20"/>
        </w:rPr>
      </w:pPr>
      <w:r w:rsidRPr="00F773A5">
        <w:rPr>
          <w:rFonts w:ascii="Verdana" w:hAnsi="Verdana"/>
          <w:b/>
          <w:sz w:val="20"/>
          <w:szCs w:val="20"/>
        </w:rPr>
        <w:t>Очаквани резултати от прилагането на акта</w:t>
      </w:r>
    </w:p>
    <w:p w:rsidR="00680607" w:rsidRPr="00F773A5" w:rsidRDefault="00680607" w:rsidP="00F773A5">
      <w:pPr>
        <w:spacing w:line="360" w:lineRule="auto"/>
        <w:ind w:firstLine="720"/>
        <w:jc w:val="both"/>
        <w:rPr>
          <w:rFonts w:ascii="Verdana" w:hAnsi="Verdana"/>
          <w:sz w:val="20"/>
          <w:szCs w:val="20"/>
        </w:rPr>
      </w:pPr>
      <w:r w:rsidRPr="00F773A5">
        <w:rPr>
          <w:rFonts w:ascii="Verdana" w:hAnsi="Verdana"/>
          <w:sz w:val="20"/>
          <w:szCs w:val="20"/>
        </w:rPr>
        <w:lastRenderedPageBreak/>
        <w:t>С прилагане на наредбата се очаква постигането на следните резултати:</w:t>
      </w:r>
    </w:p>
    <w:p w:rsidR="00147D1B" w:rsidRPr="00F773A5" w:rsidRDefault="00147D1B" w:rsidP="000B391A">
      <w:pPr>
        <w:spacing w:line="360" w:lineRule="auto"/>
        <w:ind w:firstLine="720"/>
        <w:jc w:val="both"/>
        <w:rPr>
          <w:rFonts w:ascii="Verdana" w:hAnsi="Verdana"/>
          <w:bCs/>
          <w:spacing w:val="4"/>
          <w:sz w:val="20"/>
          <w:szCs w:val="20"/>
        </w:rPr>
      </w:pPr>
      <w:r w:rsidRPr="00F773A5">
        <w:rPr>
          <w:rFonts w:ascii="Verdana" w:hAnsi="Verdana"/>
          <w:bCs/>
          <w:sz w:val="20"/>
          <w:szCs w:val="20"/>
        </w:rPr>
        <w:t>Създаване на всички необходими условия за правилното администриране на интервенциите, включени в Стратегическия план;</w:t>
      </w:r>
    </w:p>
    <w:p w:rsidR="00147D1B" w:rsidRPr="00F773A5" w:rsidRDefault="00147D1B" w:rsidP="00F773A5">
      <w:pPr>
        <w:spacing w:line="360" w:lineRule="auto"/>
        <w:ind w:firstLine="720"/>
        <w:jc w:val="both"/>
        <w:rPr>
          <w:rFonts w:ascii="Verdana" w:hAnsi="Verdana"/>
          <w:bCs/>
          <w:spacing w:val="4"/>
          <w:sz w:val="20"/>
          <w:szCs w:val="20"/>
        </w:rPr>
      </w:pPr>
      <w:r w:rsidRPr="00F773A5">
        <w:rPr>
          <w:rFonts w:ascii="Verdana" w:hAnsi="Verdana"/>
          <w:bCs/>
          <w:spacing w:val="4"/>
          <w:sz w:val="20"/>
          <w:szCs w:val="20"/>
        </w:rPr>
        <w:t>У</w:t>
      </w:r>
      <w:r w:rsidRPr="00F773A5">
        <w:rPr>
          <w:rFonts w:ascii="Verdana" w:hAnsi="Verdana"/>
          <w:sz w:val="20"/>
          <w:szCs w:val="20"/>
        </w:rPr>
        <w:t>лесняване на процесът на подаване на заявления за подпомагане, чрез предоставяне на предварителни данни, съдържащи цялата актуализирана информация, която е от значение за бенефициентите;</w:t>
      </w:r>
    </w:p>
    <w:p w:rsidR="00A61A21" w:rsidRPr="00F773A5" w:rsidRDefault="004B07B9" w:rsidP="00F773A5">
      <w:pPr>
        <w:spacing w:line="360" w:lineRule="auto"/>
        <w:ind w:firstLine="720"/>
        <w:jc w:val="both"/>
        <w:rPr>
          <w:rFonts w:ascii="Verdana" w:hAnsi="Verdana"/>
          <w:sz w:val="20"/>
          <w:szCs w:val="20"/>
        </w:rPr>
      </w:pPr>
      <w:r w:rsidRPr="00F773A5">
        <w:rPr>
          <w:rFonts w:ascii="Verdana" w:hAnsi="Verdana"/>
          <w:sz w:val="20"/>
          <w:szCs w:val="20"/>
        </w:rPr>
        <w:t>Извършването на проверки на бенефициентите чрез оценка на спазването от тях на критериите за допустимост и на други условия, както и на задълженията, определени в Стратегическия план и приложимите правила на Съюза;</w:t>
      </w:r>
    </w:p>
    <w:p w:rsidR="00147D1B" w:rsidRPr="00F773A5" w:rsidRDefault="00147D1B" w:rsidP="00F773A5">
      <w:pPr>
        <w:spacing w:line="360" w:lineRule="auto"/>
        <w:ind w:firstLine="720"/>
        <w:jc w:val="both"/>
        <w:rPr>
          <w:rFonts w:ascii="Verdana" w:hAnsi="Verdana"/>
          <w:sz w:val="20"/>
          <w:szCs w:val="20"/>
        </w:rPr>
      </w:pPr>
      <w:r w:rsidRPr="00F773A5">
        <w:rPr>
          <w:rFonts w:ascii="Verdana" w:hAnsi="Verdana"/>
          <w:sz w:val="20"/>
          <w:szCs w:val="20"/>
        </w:rPr>
        <w:t>Създаване на електронни средства за комуникация между бенефициента и управляващите органи, гарантиращи надеждността на предаваните данни;</w:t>
      </w:r>
    </w:p>
    <w:p w:rsidR="00147D1B" w:rsidRPr="00F773A5" w:rsidRDefault="00147D1B" w:rsidP="00F773A5">
      <w:pPr>
        <w:spacing w:line="360" w:lineRule="auto"/>
        <w:ind w:firstLine="720"/>
        <w:jc w:val="both"/>
        <w:rPr>
          <w:rFonts w:ascii="Verdana" w:hAnsi="Verdana"/>
          <w:sz w:val="20"/>
          <w:szCs w:val="20"/>
        </w:rPr>
      </w:pPr>
      <w:r w:rsidRPr="00F773A5">
        <w:rPr>
          <w:rFonts w:ascii="Verdana" w:hAnsi="Verdana"/>
          <w:sz w:val="20"/>
          <w:szCs w:val="20"/>
        </w:rPr>
        <w:t>Поетапното внедряване на техническите функционалности на системата за мониторинг на площта;</w:t>
      </w:r>
    </w:p>
    <w:p w:rsidR="00147D1B" w:rsidRPr="00F773A5" w:rsidRDefault="00147D1B" w:rsidP="00F773A5">
      <w:pPr>
        <w:spacing w:line="360" w:lineRule="auto"/>
        <w:ind w:firstLine="720"/>
        <w:jc w:val="both"/>
        <w:rPr>
          <w:rFonts w:ascii="Verdana" w:hAnsi="Verdana"/>
          <w:sz w:val="20"/>
          <w:szCs w:val="20"/>
        </w:rPr>
      </w:pPr>
      <w:r w:rsidRPr="00F773A5">
        <w:rPr>
          <w:rFonts w:ascii="Verdana" w:hAnsi="Verdana"/>
          <w:sz w:val="20"/>
          <w:szCs w:val="20"/>
        </w:rPr>
        <w:t xml:space="preserve">Извършването на оценка на качеството на системата за идентификация на земеделските парцели, на системата за </w:t>
      </w:r>
      <w:proofErr w:type="spellStart"/>
      <w:r w:rsidRPr="00F773A5">
        <w:rPr>
          <w:rFonts w:ascii="Verdana" w:hAnsi="Verdana"/>
          <w:sz w:val="20"/>
          <w:szCs w:val="20"/>
        </w:rPr>
        <w:t>геопространствени</w:t>
      </w:r>
      <w:proofErr w:type="spellEnd"/>
      <w:r w:rsidRPr="00F773A5">
        <w:rPr>
          <w:rFonts w:ascii="Verdana" w:hAnsi="Verdana"/>
          <w:sz w:val="20"/>
          <w:szCs w:val="20"/>
        </w:rPr>
        <w:t xml:space="preserve"> заявления и на системата за мониторинг на площта.</w:t>
      </w:r>
    </w:p>
    <w:p w:rsidR="00680607" w:rsidRPr="00F773A5" w:rsidRDefault="00680607" w:rsidP="00F773A5">
      <w:pPr>
        <w:spacing w:line="360" w:lineRule="auto"/>
        <w:ind w:firstLine="720"/>
        <w:jc w:val="both"/>
        <w:rPr>
          <w:rFonts w:ascii="Verdana" w:hAnsi="Verdana"/>
          <w:bCs/>
          <w:sz w:val="20"/>
          <w:szCs w:val="20"/>
        </w:rPr>
      </w:pPr>
    </w:p>
    <w:p w:rsidR="00680607" w:rsidRPr="00F773A5" w:rsidRDefault="00680607" w:rsidP="00F773A5">
      <w:pPr>
        <w:spacing w:line="360" w:lineRule="auto"/>
        <w:ind w:firstLine="720"/>
        <w:jc w:val="both"/>
        <w:rPr>
          <w:rFonts w:ascii="Verdana" w:hAnsi="Verdana"/>
          <w:bCs/>
          <w:sz w:val="20"/>
          <w:szCs w:val="20"/>
        </w:rPr>
      </w:pPr>
      <w:r w:rsidRPr="00F773A5">
        <w:rPr>
          <w:rFonts w:ascii="Verdana" w:hAnsi="Verdana"/>
          <w:b/>
          <w:sz w:val="20"/>
          <w:szCs w:val="20"/>
        </w:rPr>
        <w:t>Анализ за съответствие с правото на Европейския съюз</w:t>
      </w:r>
    </w:p>
    <w:p w:rsidR="00680607" w:rsidRPr="00F773A5" w:rsidRDefault="00680607" w:rsidP="00F773A5">
      <w:pPr>
        <w:spacing w:line="360" w:lineRule="auto"/>
        <w:ind w:firstLine="720"/>
        <w:jc w:val="both"/>
        <w:rPr>
          <w:rFonts w:ascii="Verdana" w:hAnsi="Verdana"/>
          <w:bCs/>
          <w:sz w:val="20"/>
          <w:szCs w:val="20"/>
        </w:rPr>
      </w:pPr>
      <w:r w:rsidRPr="00F773A5">
        <w:rPr>
          <w:rFonts w:ascii="Verdana" w:hAnsi="Verdana"/>
          <w:bCs/>
          <w:sz w:val="20"/>
          <w:szCs w:val="20"/>
        </w:rPr>
        <w:t>Наредбата не е свързана с транспониране в националното законодателство на нормативни актове на институциите на Европейския съюз, поради което не е приложена таблица на съответствие с правото на Европейския съюз.</w:t>
      </w:r>
    </w:p>
    <w:p w:rsidR="00680607" w:rsidRPr="00F773A5" w:rsidRDefault="00680607" w:rsidP="00F773A5">
      <w:pPr>
        <w:spacing w:line="360" w:lineRule="auto"/>
        <w:ind w:firstLine="720"/>
        <w:jc w:val="both"/>
        <w:rPr>
          <w:rFonts w:ascii="Verdana" w:hAnsi="Verdana"/>
          <w:bCs/>
          <w:sz w:val="20"/>
          <w:szCs w:val="20"/>
        </w:rPr>
      </w:pPr>
    </w:p>
    <w:p w:rsidR="00680607" w:rsidRPr="00F773A5" w:rsidRDefault="00680607" w:rsidP="00F773A5">
      <w:pPr>
        <w:spacing w:line="360" w:lineRule="auto"/>
        <w:ind w:firstLine="720"/>
        <w:jc w:val="both"/>
        <w:rPr>
          <w:rFonts w:ascii="Verdana" w:hAnsi="Verdana"/>
          <w:b/>
          <w:bCs/>
          <w:sz w:val="20"/>
          <w:szCs w:val="20"/>
        </w:rPr>
      </w:pPr>
      <w:r w:rsidRPr="00F773A5">
        <w:rPr>
          <w:rFonts w:ascii="Verdana" w:hAnsi="Verdana"/>
          <w:b/>
          <w:bCs/>
          <w:sz w:val="20"/>
          <w:szCs w:val="20"/>
        </w:rPr>
        <w:t>Информация за проведените обществени консултации</w:t>
      </w:r>
    </w:p>
    <w:p w:rsidR="00680607" w:rsidRPr="00F773A5" w:rsidRDefault="00680607" w:rsidP="00F773A5">
      <w:pPr>
        <w:spacing w:line="360" w:lineRule="auto"/>
        <w:ind w:firstLine="720"/>
        <w:jc w:val="both"/>
        <w:rPr>
          <w:rFonts w:ascii="Verdana" w:hAnsi="Verdana"/>
          <w:bCs/>
          <w:sz w:val="20"/>
          <w:szCs w:val="20"/>
        </w:rPr>
      </w:pPr>
      <w:r w:rsidRPr="00F773A5">
        <w:rPr>
          <w:rFonts w:ascii="Verdana" w:hAnsi="Verdana"/>
          <w:bCs/>
          <w:sz w:val="20"/>
          <w:szCs w:val="20"/>
        </w:rPr>
        <w:t>Съгласно чл. 26, ал. 3 и 4 от Закона за нормативните актове проектите на наредба и доклад (мотиви) бяха публикувани на интернет страницата на Министерството на земеделието и на Портала за обществени консултации със срок за предложения и становища 30 дни. Получените целесъобразни предложения и бележки от физически и юридически лица са отразени в текста на наредбата.</w:t>
      </w:r>
    </w:p>
    <w:p w:rsidR="00680607" w:rsidRPr="00F773A5" w:rsidRDefault="00680607" w:rsidP="00F773A5">
      <w:pPr>
        <w:spacing w:line="360" w:lineRule="auto"/>
        <w:ind w:firstLine="720"/>
        <w:jc w:val="both"/>
        <w:rPr>
          <w:rFonts w:ascii="Verdana" w:hAnsi="Verdana"/>
          <w:bCs/>
          <w:sz w:val="20"/>
          <w:szCs w:val="20"/>
        </w:rPr>
      </w:pPr>
      <w:r w:rsidRPr="00F773A5">
        <w:rPr>
          <w:rFonts w:ascii="Verdana" w:hAnsi="Verdana"/>
          <w:bCs/>
          <w:sz w:val="20"/>
          <w:szCs w:val="20"/>
        </w:rPr>
        <w:t>Съгласно чл. 26, ал. 5 от Закона за нормативните актове справката за отразяване на постъпилите предложения и становища от проведената обществена консултация по проекта,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rsidR="00680607" w:rsidRPr="00F773A5" w:rsidRDefault="00680607" w:rsidP="00F773A5">
      <w:pPr>
        <w:spacing w:line="360" w:lineRule="auto"/>
        <w:ind w:firstLine="720"/>
        <w:jc w:val="both"/>
        <w:rPr>
          <w:rFonts w:ascii="Verdana" w:hAnsi="Verdana"/>
          <w:bCs/>
          <w:sz w:val="20"/>
          <w:szCs w:val="20"/>
        </w:rPr>
      </w:pPr>
      <w:r w:rsidRPr="00F773A5">
        <w:rPr>
          <w:rFonts w:ascii="Verdana" w:hAnsi="Verdana"/>
          <w:bCs/>
          <w:sz w:val="20"/>
          <w:szCs w:val="20"/>
        </w:rPr>
        <w:t>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680607" w:rsidRPr="00F773A5" w:rsidRDefault="00D36587" w:rsidP="00F773A5">
      <w:pPr>
        <w:spacing w:line="360" w:lineRule="auto"/>
        <w:ind w:firstLine="720"/>
        <w:jc w:val="both"/>
        <w:rPr>
          <w:rFonts w:ascii="Verdana" w:hAnsi="Verdana"/>
          <w:bCs/>
          <w:sz w:val="20"/>
          <w:szCs w:val="20"/>
        </w:rPr>
      </w:pPr>
      <w:r w:rsidRPr="00F773A5">
        <w:rPr>
          <w:rFonts w:ascii="Verdana" w:hAnsi="Verdana"/>
          <w:bCs/>
          <w:sz w:val="20"/>
          <w:szCs w:val="20"/>
        </w:rPr>
        <w:t xml:space="preserve">С наредбата се изменя и допълва и Наредба № 3 от 1999 г. за създаване и поддържане на регистър на земеделските стопани. Промените в нея произтичат от промените в </w:t>
      </w:r>
      <w:r w:rsidRPr="00F773A5">
        <w:rPr>
          <w:rFonts w:ascii="Verdana" w:hAnsi="Verdana"/>
          <w:sz w:val="20"/>
          <w:szCs w:val="20"/>
        </w:rPr>
        <w:t>Наредба № 105 от 2006 г.</w:t>
      </w:r>
    </w:p>
    <w:p w:rsidR="00D36587" w:rsidRPr="00F773A5" w:rsidRDefault="00D36587" w:rsidP="00F773A5">
      <w:pPr>
        <w:spacing w:line="360" w:lineRule="auto"/>
        <w:ind w:firstLine="720"/>
        <w:jc w:val="both"/>
        <w:rPr>
          <w:rFonts w:ascii="Verdana" w:hAnsi="Verdana"/>
          <w:bCs/>
          <w:sz w:val="20"/>
          <w:szCs w:val="20"/>
        </w:rPr>
      </w:pPr>
    </w:p>
    <w:p w:rsidR="00680607" w:rsidRPr="00F773A5" w:rsidRDefault="00680607" w:rsidP="00F773A5">
      <w:pPr>
        <w:spacing w:after="120" w:line="360" w:lineRule="auto"/>
        <w:jc w:val="both"/>
        <w:rPr>
          <w:rFonts w:ascii="Verdana" w:hAnsi="Verdana"/>
          <w:b/>
          <w:noProof/>
          <w:sz w:val="20"/>
          <w:szCs w:val="20"/>
          <w:shd w:val="clear" w:color="auto" w:fill="FEFEFE"/>
        </w:rPr>
      </w:pPr>
      <w:r w:rsidRPr="00F773A5">
        <w:rPr>
          <w:rFonts w:ascii="Verdana" w:hAnsi="Verdana"/>
          <w:b/>
          <w:noProof/>
          <w:sz w:val="20"/>
          <w:szCs w:val="20"/>
          <w:shd w:val="clear" w:color="auto" w:fill="FEFEFE"/>
        </w:rPr>
        <w:t>УВАЖАЕМИ ГОСПОДИН МИНИСТЪР,</w:t>
      </w:r>
    </w:p>
    <w:p w:rsidR="00680607" w:rsidRPr="00F773A5" w:rsidRDefault="00680607" w:rsidP="00F773A5">
      <w:pPr>
        <w:spacing w:line="360" w:lineRule="auto"/>
        <w:ind w:firstLine="720"/>
        <w:jc w:val="both"/>
        <w:rPr>
          <w:rFonts w:ascii="Verdana" w:hAnsi="Verdana"/>
          <w:bCs/>
          <w:noProof/>
          <w:sz w:val="20"/>
          <w:szCs w:val="20"/>
        </w:rPr>
      </w:pPr>
      <w:r w:rsidRPr="00F773A5">
        <w:rPr>
          <w:rFonts w:ascii="Verdana" w:hAnsi="Verdana"/>
          <w:noProof/>
          <w:sz w:val="20"/>
          <w:szCs w:val="20"/>
          <w:shd w:val="clear" w:color="auto" w:fill="FEFEFE"/>
        </w:rPr>
        <w:t xml:space="preserve">Във връзка с гореизложеното, предлагам да издадете приложената </w:t>
      </w:r>
      <w:r w:rsidRPr="00F773A5">
        <w:rPr>
          <w:rFonts w:ascii="Verdana" w:hAnsi="Verdana"/>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r w:rsidRPr="00F773A5">
        <w:rPr>
          <w:rFonts w:ascii="Verdana" w:hAnsi="Verdana"/>
          <w:bCs/>
          <w:noProof/>
          <w:sz w:val="20"/>
          <w:szCs w:val="20"/>
        </w:rPr>
        <w:t>.</w:t>
      </w:r>
    </w:p>
    <w:p w:rsidR="00680607" w:rsidRPr="00F773A5" w:rsidRDefault="00680607" w:rsidP="00680607">
      <w:pPr>
        <w:spacing w:line="360" w:lineRule="auto"/>
        <w:ind w:firstLine="720"/>
        <w:jc w:val="both"/>
        <w:rPr>
          <w:rFonts w:ascii="Verdana" w:hAnsi="Verdana"/>
          <w:bCs/>
          <w:noProof/>
          <w:sz w:val="20"/>
          <w:szCs w:val="20"/>
        </w:rPr>
      </w:pPr>
    </w:p>
    <w:tbl>
      <w:tblPr>
        <w:tblW w:w="8512" w:type="dxa"/>
        <w:tblInd w:w="668" w:type="dxa"/>
        <w:tblLook w:val="01E0" w:firstRow="1" w:lastRow="1" w:firstColumn="1" w:lastColumn="1" w:noHBand="0" w:noVBand="0"/>
      </w:tblPr>
      <w:tblGrid>
        <w:gridCol w:w="1884"/>
        <w:gridCol w:w="6628"/>
      </w:tblGrid>
      <w:tr w:rsidR="00680607" w:rsidRPr="00F773A5" w:rsidTr="006E7864">
        <w:tc>
          <w:tcPr>
            <w:tcW w:w="1884" w:type="dxa"/>
          </w:tcPr>
          <w:p w:rsidR="00680607" w:rsidRPr="00F773A5" w:rsidRDefault="00680607" w:rsidP="006E7864">
            <w:pPr>
              <w:spacing w:line="360" w:lineRule="auto"/>
              <w:rPr>
                <w:rFonts w:ascii="Verdana" w:hAnsi="Verdana"/>
                <w:b/>
                <w:bCs/>
                <w:noProof/>
                <w:sz w:val="20"/>
                <w:szCs w:val="20"/>
              </w:rPr>
            </w:pPr>
            <w:r w:rsidRPr="00F773A5">
              <w:rPr>
                <w:rFonts w:ascii="Verdana" w:hAnsi="Verdana"/>
                <w:b/>
                <w:bCs/>
                <w:noProof/>
                <w:sz w:val="20"/>
                <w:szCs w:val="20"/>
              </w:rPr>
              <w:t xml:space="preserve">Приложение: </w:t>
            </w:r>
          </w:p>
        </w:tc>
        <w:tc>
          <w:tcPr>
            <w:tcW w:w="6628" w:type="dxa"/>
          </w:tcPr>
          <w:p w:rsidR="00680607" w:rsidRPr="00F773A5" w:rsidRDefault="00F773A5" w:rsidP="006E7864">
            <w:pPr>
              <w:numPr>
                <w:ilvl w:val="0"/>
                <w:numId w:val="1"/>
              </w:numPr>
              <w:spacing w:line="360" w:lineRule="auto"/>
              <w:ind w:left="284" w:hanging="284"/>
              <w:jc w:val="both"/>
              <w:rPr>
                <w:rStyle w:val="FontStyle52"/>
                <w:noProof/>
                <w:sz w:val="20"/>
                <w:szCs w:val="20"/>
              </w:rPr>
            </w:pPr>
            <w:r w:rsidRPr="008824A8">
              <w:rPr>
                <w:rStyle w:val="FontStyle52"/>
                <w:noProof/>
                <w:color w:val="000000" w:themeColor="text1"/>
                <w:sz w:val="20"/>
                <w:szCs w:val="20"/>
              </w:rPr>
              <w:t>Проект на</w:t>
            </w:r>
            <w:r w:rsidR="00680607" w:rsidRPr="008824A8">
              <w:rPr>
                <w:rStyle w:val="FontStyle52"/>
                <w:noProof/>
                <w:color w:val="000000" w:themeColor="text1"/>
                <w:sz w:val="20"/>
                <w:szCs w:val="20"/>
              </w:rPr>
              <w:t xml:space="preserve"> </w:t>
            </w:r>
            <w:r w:rsidR="00680607" w:rsidRPr="00F773A5">
              <w:rPr>
                <w:rFonts w:ascii="Verdana" w:hAnsi="Verdana" w:cs="Verdana"/>
                <w:noProof/>
                <w:sz w:val="20"/>
                <w:szCs w:val="20"/>
              </w:rPr>
              <w:t xml:space="preserve">Наредба за изменение и допълнение на </w:t>
            </w:r>
            <w:r w:rsidR="00680607" w:rsidRPr="00F773A5">
              <w:rPr>
                <w:rFonts w:ascii="Verdana" w:hAnsi="Verdana"/>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r w:rsidR="00680607" w:rsidRPr="00F773A5">
              <w:rPr>
                <w:rStyle w:val="FontStyle52"/>
                <w:noProof/>
                <w:sz w:val="20"/>
                <w:szCs w:val="20"/>
              </w:rPr>
              <w:t>;</w:t>
            </w:r>
          </w:p>
          <w:p w:rsidR="00680607" w:rsidRPr="00F773A5" w:rsidRDefault="00680607" w:rsidP="006E7864">
            <w:pPr>
              <w:numPr>
                <w:ilvl w:val="0"/>
                <w:numId w:val="1"/>
              </w:numPr>
              <w:spacing w:line="360" w:lineRule="auto"/>
              <w:ind w:left="284" w:hanging="284"/>
              <w:jc w:val="both"/>
              <w:rPr>
                <w:rStyle w:val="FontStyle52"/>
                <w:noProof/>
                <w:sz w:val="20"/>
                <w:szCs w:val="20"/>
              </w:rPr>
            </w:pPr>
            <w:r w:rsidRPr="00F773A5">
              <w:rPr>
                <w:rStyle w:val="FontStyle52"/>
                <w:noProof/>
                <w:sz w:val="20"/>
                <w:szCs w:val="20"/>
              </w:rPr>
              <w:t>Справка да отразавяне на постъпилите становища от вътрешноведомственото съгласуване;</w:t>
            </w:r>
          </w:p>
          <w:p w:rsidR="00680607" w:rsidRPr="00F773A5" w:rsidRDefault="00680607" w:rsidP="006E7864">
            <w:pPr>
              <w:numPr>
                <w:ilvl w:val="0"/>
                <w:numId w:val="1"/>
              </w:numPr>
              <w:spacing w:line="360" w:lineRule="auto"/>
              <w:ind w:left="284" w:hanging="284"/>
              <w:jc w:val="both"/>
              <w:rPr>
                <w:rStyle w:val="FontStyle52"/>
                <w:noProof/>
                <w:sz w:val="20"/>
                <w:szCs w:val="20"/>
              </w:rPr>
            </w:pPr>
            <w:r w:rsidRPr="00F773A5">
              <w:rPr>
                <w:rStyle w:val="FontStyle52"/>
                <w:noProof/>
                <w:sz w:val="20"/>
                <w:szCs w:val="20"/>
              </w:rPr>
              <w:t>Постъпили становища;</w:t>
            </w:r>
          </w:p>
          <w:p w:rsidR="00680607" w:rsidRDefault="00680607" w:rsidP="002246B0">
            <w:pPr>
              <w:numPr>
                <w:ilvl w:val="0"/>
                <w:numId w:val="1"/>
              </w:numPr>
              <w:spacing w:line="360" w:lineRule="auto"/>
              <w:ind w:left="284" w:hanging="284"/>
              <w:jc w:val="both"/>
              <w:rPr>
                <w:rStyle w:val="FontStyle52"/>
                <w:noProof/>
                <w:sz w:val="20"/>
                <w:szCs w:val="20"/>
              </w:rPr>
            </w:pPr>
            <w:r w:rsidRPr="00F773A5">
              <w:rPr>
                <w:rStyle w:val="FontStyle52"/>
                <w:noProof/>
                <w:sz w:val="20"/>
                <w:szCs w:val="20"/>
              </w:rPr>
              <w:t>Справка за отразяване на постъпилите предложения и становища от обществената консултация, заедно с обосновка за неприетите предложения</w:t>
            </w:r>
            <w:r w:rsidR="002246B0">
              <w:rPr>
                <w:rStyle w:val="FontStyle52"/>
                <w:noProof/>
                <w:sz w:val="20"/>
                <w:szCs w:val="20"/>
              </w:rPr>
              <w:t>;</w:t>
            </w:r>
          </w:p>
          <w:p w:rsidR="002246B0" w:rsidRPr="00F773A5" w:rsidRDefault="002246B0" w:rsidP="002246B0">
            <w:pPr>
              <w:numPr>
                <w:ilvl w:val="0"/>
                <w:numId w:val="1"/>
              </w:numPr>
              <w:spacing w:line="360" w:lineRule="auto"/>
              <w:jc w:val="both"/>
              <w:rPr>
                <w:rFonts w:ascii="Verdana" w:hAnsi="Verdana" w:cs="Verdana"/>
                <w:noProof/>
                <w:sz w:val="20"/>
                <w:szCs w:val="20"/>
              </w:rPr>
            </w:pPr>
            <w:r>
              <w:rPr>
                <w:rFonts w:ascii="Verdana" w:hAnsi="Verdana" w:cs="Verdana"/>
                <w:noProof/>
                <w:sz w:val="20"/>
                <w:szCs w:val="20"/>
              </w:rPr>
              <w:t xml:space="preserve">Постъпили </w:t>
            </w:r>
            <w:r w:rsidRPr="002246B0">
              <w:rPr>
                <w:rFonts w:ascii="Verdana" w:hAnsi="Verdana" w:cs="Verdana"/>
                <w:noProof/>
                <w:sz w:val="20"/>
                <w:szCs w:val="20"/>
              </w:rPr>
              <w:t>предложения и становища от проведената обществена консултация.</w:t>
            </w:r>
          </w:p>
        </w:tc>
      </w:tr>
    </w:tbl>
    <w:p w:rsidR="00680607" w:rsidRDefault="00680607" w:rsidP="00680607">
      <w:pPr>
        <w:spacing w:line="348" w:lineRule="auto"/>
        <w:jc w:val="both"/>
        <w:rPr>
          <w:rFonts w:ascii="Verdana" w:hAnsi="Verdana"/>
          <w:sz w:val="20"/>
          <w:szCs w:val="20"/>
          <w:lang w:eastAsia="en-GB"/>
        </w:rPr>
      </w:pPr>
    </w:p>
    <w:p w:rsidR="00F773A5" w:rsidRDefault="00F773A5" w:rsidP="00680607">
      <w:pPr>
        <w:spacing w:line="348" w:lineRule="auto"/>
        <w:jc w:val="both"/>
        <w:rPr>
          <w:rFonts w:ascii="Verdana" w:hAnsi="Verdana"/>
          <w:sz w:val="20"/>
          <w:szCs w:val="20"/>
          <w:lang w:eastAsia="en-GB"/>
        </w:rPr>
      </w:pPr>
    </w:p>
    <w:p w:rsidR="00F773A5" w:rsidRDefault="00F773A5" w:rsidP="00680607">
      <w:pPr>
        <w:spacing w:line="348" w:lineRule="auto"/>
        <w:jc w:val="both"/>
        <w:rPr>
          <w:rFonts w:ascii="Verdana" w:hAnsi="Verdana"/>
          <w:sz w:val="20"/>
          <w:szCs w:val="20"/>
          <w:lang w:eastAsia="en-GB"/>
        </w:rPr>
      </w:pPr>
    </w:p>
    <w:p w:rsidR="00F773A5" w:rsidRPr="00F773A5" w:rsidRDefault="00F773A5" w:rsidP="00680607">
      <w:pPr>
        <w:spacing w:line="348" w:lineRule="auto"/>
        <w:jc w:val="both"/>
        <w:rPr>
          <w:rFonts w:ascii="Verdana" w:hAnsi="Verdana"/>
          <w:sz w:val="20"/>
          <w:szCs w:val="20"/>
          <w:lang w:eastAsia="en-GB"/>
        </w:rPr>
      </w:pPr>
    </w:p>
    <w:p w:rsidR="00680607" w:rsidRPr="00F773A5" w:rsidRDefault="00680607" w:rsidP="00680607">
      <w:pPr>
        <w:spacing w:line="348" w:lineRule="auto"/>
        <w:rPr>
          <w:rFonts w:ascii="Verdana" w:hAnsi="Verdana"/>
          <w:b/>
          <w:caps/>
          <w:sz w:val="20"/>
          <w:szCs w:val="20"/>
          <w:lang w:eastAsia="en-GB"/>
        </w:rPr>
      </w:pPr>
      <w:r w:rsidRPr="00F773A5">
        <w:rPr>
          <w:rFonts w:ascii="Verdana" w:hAnsi="Verdana"/>
          <w:b/>
          <w:caps/>
          <w:sz w:val="20"/>
          <w:szCs w:val="20"/>
          <w:lang w:eastAsia="en-GB"/>
        </w:rPr>
        <w:t>ГЕОРГИ СЪБЕВ,</w:t>
      </w:r>
    </w:p>
    <w:p w:rsidR="00680607" w:rsidRPr="00F773A5" w:rsidRDefault="00680607" w:rsidP="00680607">
      <w:pPr>
        <w:tabs>
          <w:tab w:val="left" w:pos="1843"/>
          <w:tab w:val="left" w:pos="2268"/>
        </w:tabs>
        <w:spacing w:line="348" w:lineRule="auto"/>
        <w:ind w:left="2268" w:hanging="2268"/>
        <w:jc w:val="both"/>
        <w:rPr>
          <w:rFonts w:ascii="Verdana" w:hAnsi="Verdana"/>
          <w:i/>
          <w:sz w:val="20"/>
          <w:szCs w:val="28"/>
          <w:lang w:eastAsia="en-GB"/>
        </w:rPr>
      </w:pPr>
      <w:r w:rsidRPr="00F773A5">
        <w:rPr>
          <w:rFonts w:ascii="Verdana" w:hAnsi="Verdana"/>
          <w:i/>
          <w:sz w:val="20"/>
          <w:szCs w:val="28"/>
          <w:lang w:eastAsia="en-GB"/>
        </w:rPr>
        <w:t>Заместник-министър</w:t>
      </w:r>
      <w:bookmarkStart w:id="0" w:name="_GoBack"/>
      <w:bookmarkEnd w:id="0"/>
    </w:p>
    <w:sectPr w:rsidR="00680607" w:rsidRPr="00F773A5" w:rsidSect="00F773A5">
      <w:footerReference w:type="default" r:id="rId8"/>
      <w:headerReference w:type="firs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35" w:rsidRDefault="00213F35">
      <w:r>
        <w:separator/>
      </w:r>
    </w:p>
  </w:endnote>
  <w:endnote w:type="continuationSeparator" w:id="0">
    <w:p w:rsidR="00213F35" w:rsidRDefault="0021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50078"/>
      <w:docPartObj>
        <w:docPartGallery w:val="Page Numbers (Bottom of Page)"/>
        <w:docPartUnique/>
      </w:docPartObj>
    </w:sdtPr>
    <w:sdtEndPr>
      <w:rPr>
        <w:rFonts w:ascii="Verdana" w:hAnsi="Verdana"/>
        <w:noProof/>
        <w:sz w:val="16"/>
        <w:szCs w:val="16"/>
      </w:rPr>
    </w:sdtEndPr>
    <w:sdtContent>
      <w:p w:rsidR="006E7864" w:rsidRPr="00140F30" w:rsidRDefault="006E7864" w:rsidP="006E7864">
        <w:pPr>
          <w:pStyle w:val="Footer"/>
          <w:jc w:val="right"/>
          <w:rPr>
            <w:rFonts w:ascii="Verdana" w:hAnsi="Verdana"/>
            <w:sz w:val="16"/>
            <w:szCs w:val="16"/>
          </w:rPr>
        </w:pPr>
        <w:r w:rsidRPr="00140F30">
          <w:rPr>
            <w:rFonts w:ascii="Verdana" w:hAnsi="Verdana"/>
            <w:sz w:val="16"/>
            <w:szCs w:val="16"/>
          </w:rPr>
          <w:fldChar w:fldCharType="begin"/>
        </w:r>
        <w:r w:rsidRPr="00140F30">
          <w:rPr>
            <w:rFonts w:ascii="Verdana" w:hAnsi="Verdana"/>
            <w:sz w:val="16"/>
            <w:szCs w:val="16"/>
          </w:rPr>
          <w:instrText xml:space="preserve"> PAGE   \* MERGEFORMAT </w:instrText>
        </w:r>
        <w:r w:rsidRPr="00140F30">
          <w:rPr>
            <w:rFonts w:ascii="Verdana" w:hAnsi="Verdana"/>
            <w:sz w:val="16"/>
            <w:szCs w:val="16"/>
          </w:rPr>
          <w:fldChar w:fldCharType="separate"/>
        </w:r>
        <w:r w:rsidR="0002004E">
          <w:rPr>
            <w:rFonts w:ascii="Verdana" w:hAnsi="Verdana"/>
            <w:noProof/>
            <w:sz w:val="16"/>
            <w:szCs w:val="16"/>
          </w:rPr>
          <w:t>7</w:t>
        </w:r>
        <w:r w:rsidRPr="00140F30">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35" w:rsidRDefault="00213F35">
      <w:r>
        <w:separator/>
      </w:r>
    </w:p>
  </w:footnote>
  <w:footnote w:type="continuationSeparator" w:id="0">
    <w:p w:rsidR="00213F35" w:rsidRDefault="0021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A5" w:rsidRDefault="00F773A5" w:rsidP="00F773A5">
    <w:pPr>
      <w:tabs>
        <w:tab w:val="center" w:pos="4320"/>
        <w:tab w:val="right" w:pos="8640"/>
      </w:tabs>
      <w:overflowPunct w:val="0"/>
      <w:autoSpaceDE w:val="0"/>
      <w:autoSpaceDN w:val="0"/>
      <w:adjustRightInd w:val="0"/>
      <w:jc w:val="right"/>
      <w:textAlignment w:val="baseline"/>
      <w:rPr>
        <w:rFonts w:ascii="Verdana" w:hAnsi="Verdana"/>
        <w:sz w:val="16"/>
        <w:szCs w:val="16"/>
      </w:rPr>
    </w:pPr>
    <w:r w:rsidRPr="00A270DB">
      <w:rPr>
        <w:rFonts w:ascii="Verdana" w:hAnsi="Verdana"/>
        <w:sz w:val="16"/>
        <w:szCs w:val="16"/>
      </w:rPr>
      <w:t>Класификация на информацията:</w:t>
    </w:r>
  </w:p>
  <w:p w:rsidR="00F773A5" w:rsidRPr="00A270DB" w:rsidRDefault="00F773A5" w:rsidP="00F773A5">
    <w:pPr>
      <w:tabs>
        <w:tab w:val="center" w:pos="4320"/>
        <w:tab w:val="right" w:pos="8640"/>
      </w:tabs>
      <w:overflowPunct w:val="0"/>
      <w:autoSpaceDE w:val="0"/>
      <w:autoSpaceDN w:val="0"/>
      <w:adjustRightInd w:val="0"/>
      <w:jc w:val="right"/>
      <w:textAlignment w:val="baseline"/>
      <w:rPr>
        <w:rFonts w:ascii="Verdana" w:hAnsi="Verdana"/>
        <w:sz w:val="16"/>
        <w:szCs w:val="16"/>
      </w:rPr>
    </w:pPr>
    <w:r>
      <w:rPr>
        <w:rFonts w:ascii="Verdana" w:hAnsi="Verdana"/>
        <w:sz w:val="16"/>
        <w:szCs w:val="16"/>
      </w:rPr>
      <w:t>Ниво 0</w:t>
    </w:r>
    <w:r w:rsidRPr="00A270DB">
      <w:rPr>
        <w:rFonts w:ascii="Verdana" w:hAnsi="Verdana"/>
        <w:sz w:val="16"/>
        <w:szCs w:val="16"/>
      </w:rPr>
      <w:t>, TLP-</w:t>
    </w:r>
    <w:r>
      <w:rPr>
        <w:rFonts w:ascii="Verdana" w:hAnsi="Verdana"/>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C5070"/>
    <w:multiLevelType w:val="multilevel"/>
    <w:tmpl w:val="3D94B5A8"/>
    <w:lvl w:ilvl="0">
      <w:start w:val="1"/>
      <w:numFmt w:val="decimal"/>
      <w:suff w:val="space"/>
      <w:lvlText w:val="%1."/>
      <w:lvlJc w:val="left"/>
      <w:pPr>
        <w:ind w:left="360"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9F"/>
    <w:rsid w:val="000117CC"/>
    <w:rsid w:val="0002004E"/>
    <w:rsid w:val="000244E9"/>
    <w:rsid w:val="00041F77"/>
    <w:rsid w:val="00056F6E"/>
    <w:rsid w:val="000B391A"/>
    <w:rsid w:val="000D36B0"/>
    <w:rsid w:val="00147D1B"/>
    <w:rsid w:val="001C587F"/>
    <w:rsid w:val="001C707A"/>
    <w:rsid w:val="00213F35"/>
    <w:rsid w:val="002246B0"/>
    <w:rsid w:val="002720EA"/>
    <w:rsid w:val="003060A6"/>
    <w:rsid w:val="0037587A"/>
    <w:rsid w:val="00384F88"/>
    <w:rsid w:val="0039700D"/>
    <w:rsid w:val="00436C57"/>
    <w:rsid w:val="004532F4"/>
    <w:rsid w:val="00495C9D"/>
    <w:rsid w:val="004B07B9"/>
    <w:rsid w:val="004B2C49"/>
    <w:rsid w:val="004F2253"/>
    <w:rsid w:val="0055686F"/>
    <w:rsid w:val="005B51C6"/>
    <w:rsid w:val="005E2BDA"/>
    <w:rsid w:val="00602945"/>
    <w:rsid w:val="006109E8"/>
    <w:rsid w:val="00630992"/>
    <w:rsid w:val="00647788"/>
    <w:rsid w:val="00680607"/>
    <w:rsid w:val="00693F06"/>
    <w:rsid w:val="00695667"/>
    <w:rsid w:val="006E06B7"/>
    <w:rsid w:val="006E7864"/>
    <w:rsid w:val="00735FCC"/>
    <w:rsid w:val="00803713"/>
    <w:rsid w:val="0082787C"/>
    <w:rsid w:val="00831C74"/>
    <w:rsid w:val="008824A8"/>
    <w:rsid w:val="008D2412"/>
    <w:rsid w:val="008D2E7E"/>
    <w:rsid w:val="00900763"/>
    <w:rsid w:val="00955055"/>
    <w:rsid w:val="009672B6"/>
    <w:rsid w:val="00967BB0"/>
    <w:rsid w:val="00974CAD"/>
    <w:rsid w:val="0099323D"/>
    <w:rsid w:val="009A7F4C"/>
    <w:rsid w:val="009D4406"/>
    <w:rsid w:val="009E54DA"/>
    <w:rsid w:val="00A13152"/>
    <w:rsid w:val="00A453CD"/>
    <w:rsid w:val="00A61A21"/>
    <w:rsid w:val="00A867D4"/>
    <w:rsid w:val="00AD2C61"/>
    <w:rsid w:val="00B260F1"/>
    <w:rsid w:val="00BA0672"/>
    <w:rsid w:val="00BA74D7"/>
    <w:rsid w:val="00BD5465"/>
    <w:rsid w:val="00BE0CFD"/>
    <w:rsid w:val="00BE1817"/>
    <w:rsid w:val="00C1129F"/>
    <w:rsid w:val="00CA24BC"/>
    <w:rsid w:val="00CF23C6"/>
    <w:rsid w:val="00D335E3"/>
    <w:rsid w:val="00D3544F"/>
    <w:rsid w:val="00D36587"/>
    <w:rsid w:val="00D411F1"/>
    <w:rsid w:val="00DD2D30"/>
    <w:rsid w:val="00DE544D"/>
    <w:rsid w:val="00E2652E"/>
    <w:rsid w:val="00E6183D"/>
    <w:rsid w:val="00E6305A"/>
    <w:rsid w:val="00ED3A32"/>
    <w:rsid w:val="00EF13A4"/>
    <w:rsid w:val="00F35F2E"/>
    <w:rsid w:val="00F61FC3"/>
    <w:rsid w:val="00F773A5"/>
    <w:rsid w:val="00F86B8A"/>
    <w:rsid w:val="00FC089F"/>
    <w:rsid w:val="00FD42F9"/>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4F161-6610-42B9-8C09-D03AE32F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607"/>
    <w:pPr>
      <w:spacing w:after="0" w:line="240" w:lineRule="auto"/>
    </w:pPr>
    <w:rPr>
      <w:rFonts w:ascii="Times New Roman" w:eastAsia="Times New Roman" w:hAnsi="Times New Roman" w:cs="Times New Roman"/>
      <w:kern w:val="0"/>
      <w:sz w:val="24"/>
      <w:szCs w:val="24"/>
      <w:lang w:val="bg-BG" w:eastAsia="bg-BG"/>
      <w14:ligatures w14:val="none"/>
    </w:rPr>
  </w:style>
  <w:style w:type="paragraph" w:styleId="Heading1">
    <w:name w:val="heading 1"/>
    <w:basedOn w:val="Normal"/>
    <w:next w:val="Normal"/>
    <w:link w:val="Heading1Char"/>
    <w:qFormat/>
    <w:rsid w:val="00680607"/>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07"/>
    <w:rPr>
      <w:rFonts w:ascii="Times New Roman" w:eastAsia="Times New Roman" w:hAnsi="Times New Roman" w:cs="Times New Roman"/>
      <w:b/>
      <w:kern w:val="0"/>
      <w:sz w:val="28"/>
      <w:szCs w:val="20"/>
      <w:lang w:val="bg-BG" w:eastAsia="bg-BG"/>
      <w14:ligatures w14:val="none"/>
    </w:rPr>
  </w:style>
  <w:style w:type="paragraph" w:styleId="Footer">
    <w:name w:val="footer"/>
    <w:basedOn w:val="Normal"/>
    <w:link w:val="FooterChar"/>
    <w:uiPriority w:val="99"/>
    <w:rsid w:val="00680607"/>
    <w:pPr>
      <w:tabs>
        <w:tab w:val="center" w:pos="4536"/>
        <w:tab w:val="right" w:pos="9072"/>
      </w:tabs>
    </w:pPr>
  </w:style>
  <w:style w:type="character" w:customStyle="1" w:styleId="FooterChar">
    <w:name w:val="Footer Char"/>
    <w:basedOn w:val="DefaultParagraphFont"/>
    <w:link w:val="Footer"/>
    <w:uiPriority w:val="99"/>
    <w:rsid w:val="00680607"/>
    <w:rPr>
      <w:rFonts w:ascii="Times New Roman" w:eastAsia="Times New Roman" w:hAnsi="Times New Roman" w:cs="Times New Roman"/>
      <w:kern w:val="0"/>
      <w:sz w:val="24"/>
      <w:szCs w:val="24"/>
      <w:lang w:val="bg-BG" w:eastAsia="bg-BG"/>
      <w14:ligatures w14:val="none"/>
    </w:rPr>
  </w:style>
  <w:style w:type="character" w:customStyle="1" w:styleId="FontStyle52">
    <w:name w:val="Font Style52"/>
    <w:uiPriority w:val="99"/>
    <w:rsid w:val="00680607"/>
    <w:rPr>
      <w:rFonts w:ascii="Verdana" w:hAnsi="Verdana" w:cs="Verdana"/>
      <w:sz w:val="18"/>
      <w:szCs w:val="18"/>
    </w:rPr>
  </w:style>
  <w:style w:type="paragraph" w:styleId="NormalWeb">
    <w:name w:val="Normal (Web)"/>
    <w:basedOn w:val="Normal"/>
    <w:uiPriority w:val="99"/>
    <w:semiHidden/>
    <w:unhideWhenUsed/>
    <w:rsid w:val="00436C57"/>
    <w:pPr>
      <w:spacing w:before="100" w:beforeAutospacing="1" w:after="100" w:afterAutospacing="1"/>
    </w:pPr>
  </w:style>
  <w:style w:type="paragraph" w:styleId="Header">
    <w:name w:val="header"/>
    <w:basedOn w:val="Normal"/>
    <w:link w:val="HeaderChar"/>
    <w:uiPriority w:val="99"/>
    <w:unhideWhenUsed/>
    <w:rsid w:val="00F773A5"/>
    <w:pPr>
      <w:tabs>
        <w:tab w:val="center" w:pos="4703"/>
        <w:tab w:val="right" w:pos="9406"/>
      </w:tabs>
    </w:pPr>
  </w:style>
  <w:style w:type="character" w:customStyle="1" w:styleId="HeaderChar">
    <w:name w:val="Header Char"/>
    <w:basedOn w:val="DefaultParagraphFont"/>
    <w:link w:val="Header"/>
    <w:uiPriority w:val="99"/>
    <w:rsid w:val="00F773A5"/>
    <w:rPr>
      <w:rFonts w:ascii="Times New Roman" w:eastAsia="Times New Roman" w:hAnsi="Times New Roman" w:cs="Times New Roman"/>
      <w:kern w:val="0"/>
      <w:sz w:val="24"/>
      <w:szCs w:val="24"/>
      <w:lang w:val="bg-BG" w:eastAsia="bg-BG"/>
      <w14:ligatures w14:val="none"/>
    </w:rPr>
  </w:style>
  <w:style w:type="paragraph" w:styleId="BalloonText">
    <w:name w:val="Balloon Text"/>
    <w:basedOn w:val="Normal"/>
    <w:link w:val="BalloonTextChar"/>
    <w:uiPriority w:val="99"/>
    <w:semiHidden/>
    <w:unhideWhenUsed/>
    <w:rsid w:val="00E63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5A"/>
    <w:rPr>
      <w:rFonts w:ascii="Segoe UI" w:eastAsia="Times New Roman" w:hAnsi="Segoe UI" w:cs="Segoe UI"/>
      <w:kern w:val="0"/>
      <w:sz w:val="18"/>
      <w:szCs w:val="18"/>
      <w:lang w:val="bg-BG" w:eastAsia="bg-BG"/>
      <w14:ligatures w14:val="none"/>
    </w:rPr>
  </w:style>
  <w:style w:type="paragraph" w:styleId="ListParagraph">
    <w:name w:val="List Paragraph"/>
    <w:basedOn w:val="Normal"/>
    <w:uiPriority w:val="34"/>
    <w:qFormat/>
    <w:rsid w:val="0022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3450">
      <w:bodyDiv w:val="1"/>
      <w:marLeft w:val="0"/>
      <w:marRight w:val="0"/>
      <w:marTop w:val="0"/>
      <w:marBottom w:val="0"/>
      <w:divBdr>
        <w:top w:val="none" w:sz="0" w:space="0" w:color="auto"/>
        <w:left w:val="none" w:sz="0" w:space="0" w:color="auto"/>
        <w:bottom w:val="none" w:sz="0" w:space="0" w:color="auto"/>
        <w:right w:val="none" w:sz="0" w:space="0" w:color="auto"/>
      </w:divBdr>
    </w:div>
    <w:div w:id="205408357">
      <w:bodyDiv w:val="1"/>
      <w:marLeft w:val="0"/>
      <w:marRight w:val="0"/>
      <w:marTop w:val="0"/>
      <w:marBottom w:val="0"/>
      <w:divBdr>
        <w:top w:val="none" w:sz="0" w:space="0" w:color="auto"/>
        <w:left w:val="none" w:sz="0" w:space="0" w:color="auto"/>
        <w:bottom w:val="none" w:sz="0" w:space="0" w:color="auto"/>
        <w:right w:val="none" w:sz="0" w:space="0" w:color="auto"/>
      </w:divBdr>
      <w:divsChild>
        <w:div w:id="1301809940">
          <w:marLeft w:val="0"/>
          <w:marRight w:val="0"/>
          <w:marTop w:val="0"/>
          <w:marBottom w:val="0"/>
          <w:divBdr>
            <w:top w:val="none" w:sz="0" w:space="0" w:color="auto"/>
            <w:left w:val="none" w:sz="0" w:space="0" w:color="auto"/>
            <w:bottom w:val="none" w:sz="0" w:space="0" w:color="auto"/>
            <w:right w:val="none" w:sz="0" w:space="0" w:color="auto"/>
          </w:divBdr>
        </w:div>
        <w:div w:id="334111328">
          <w:marLeft w:val="0"/>
          <w:marRight w:val="0"/>
          <w:marTop w:val="0"/>
          <w:marBottom w:val="0"/>
          <w:divBdr>
            <w:top w:val="none" w:sz="0" w:space="0" w:color="auto"/>
            <w:left w:val="none" w:sz="0" w:space="0" w:color="auto"/>
            <w:bottom w:val="none" w:sz="0" w:space="0" w:color="auto"/>
            <w:right w:val="none" w:sz="0" w:space="0" w:color="auto"/>
          </w:divBdr>
        </w:div>
        <w:div w:id="1217862291">
          <w:marLeft w:val="0"/>
          <w:marRight w:val="0"/>
          <w:marTop w:val="0"/>
          <w:marBottom w:val="0"/>
          <w:divBdr>
            <w:top w:val="none" w:sz="0" w:space="0" w:color="auto"/>
            <w:left w:val="none" w:sz="0" w:space="0" w:color="auto"/>
            <w:bottom w:val="none" w:sz="0" w:space="0" w:color="auto"/>
            <w:right w:val="none" w:sz="0" w:space="0" w:color="auto"/>
          </w:divBdr>
        </w:div>
      </w:divsChild>
    </w:div>
    <w:div w:id="593518148">
      <w:bodyDiv w:val="1"/>
      <w:marLeft w:val="0"/>
      <w:marRight w:val="0"/>
      <w:marTop w:val="0"/>
      <w:marBottom w:val="0"/>
      <w:divBdr>
        <w:top w:val="none" w:sz="0" w:space="0" w:color="auto"/>
        <w:left w:val="none" w:sz="0" w:space="0" w:color="auto"/>
        <w:bottom w:val="none" w:sz="0" w:space="0" w:color="auto"/>
        <w:right w:val="none" w:sz="0" w:space="0" w:color="auto"/>
      </w:divBdr>
      <w:divsChild>
        <w:div w:id="109192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Kristiana Pavlova</cp:lastModifiedBy>
  <cp:revision>3</cp:revision>
  <dcterms:created xsi:type="dcterms:W3CDTF">2023-05-23T11:12:00Z</dcterms:created>
  <dcterms:modified xsi:type="dcterms:W3CDTF">2023-05-23T12:54:00Z</dcterms:modified>
</cp:coreProperties>
</file>