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3A" w:rsidRPr="009B733A" w:rsidRDefault="009B733A" w:rsidP="009B733A">
      <w:pPr>
        <w:pStyle w:val="Heading2"/>
        <w:numPr>
          <w:ilvl w:val="0"/>
          <w:numId w:val="0"/>
        </w:numPr>
        <w:rPr>
          <w:b w:val="0"/>
          <w:lang w:val="bg-BG"/>
        </w:rPr>
      </w:pPr>
      <w:bookmarkStart w:id="0" w:name="_Toc256000237"/>
      <w:bookmarkStart w:id="1" w:name="_GoBack"/>
      <w:bookmarkEnd w:id="1"/>
      <w:r w:rsidRPr="009B733A">
        <w:rPr>
          <w:b w:val="0"/>
          <w:lang w:val="bg-BG"/>
        </w:rPr>
        <w:t>15.6. Описание на използването на техническа помощ, включително действията, свързани с подготовката, управлението, мониторинга, оценката, информацията и контрола на програмата и нейното изпълнение, както и на дейностите, които се отнасят до предходни и последващи периоди на програмиране, както е посочено в член 59, параграф 1 от Регламент (ЕС) № 1303/2013</w:t>
      </w:r>
      <w:bookmarkEnd w:id="0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622"/>
      </w:tblGrid>
      <w:tr w:rsidR="009B733A" w:rsidRPr="009B733A" w:rsidTr="00F048FD">
        <w:tc>
          <w:tcPr>
            <w:tcW w:w="12000" w:type="dxa"/>
            <w:shd w:val="clear" w:color="auto" w:fill="auto"/>
            <w:tcMar>
              <w:top w:w="60" w:type="dxa"/>
            </w:tcMar>
          </w:tcPr>
          <w:p w:rsidR="009B733A" w:rsidRPr="009B733A" w:rsidRDefault="009B733A" w:rsidP="009B733A">
            <w:pPr>
              <w:spacing w:before="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Общата цел на техническата помощ е осигуряване на средства за изграждане на административен капацитет, ефективно управление и прилагане на ПРСР. Тя ще бъде използвана в съответствие с чл. 51 от Регламент (ЕС) 1305/2013 относно подпомагане на развитието на селските райони от ЕЗФРСР и чл. 59(1) на Регламент (ЕС) 1303/2013 за определяне на общоприложими разпоредби за ЕФРР, ЕСФ, КФ, ЕЗФРСР и ЕФМДР и за определяне на общи разпоредби за ЕФРР, ЕСФ, КФ и ЕФМДР, и за отмяна на Регламент (ЕО) 1083/2006 за подготовката, управлението, наблюдението, оценката, информацията и комуникацията, създаване на мрежи, разглеждане на жалби, както и контрола и одита на Програмата.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 xml:space="preserve">Мярката има две специфични цели, като степента на изпълнението им ще се измерва чрез показатели за ефективност. Целите и показателите са описани в </w:t>
            </w:r>
            <w:r w:rsidRPr="009B733A">
              <w:rPr>
                <w:i/>
                <w:iCs/>
                <w:szCs w:val="24"/>
                <w:lang w:val="bg-BG"/>
              </w:rPr>
              <w:t>Приложение 1.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Ще бъдат подпомагани следните дейности:</w:t>
            </w:r>
          </w:p>
          <w:p w:rsidR="009B733A" w:rsidRPr="009B733A" w:rsidRDefault="009B733A" w:rsidP="009B733A">
            <w:pPr>
              <w:numPr>
                <w:ilvl w:val="0"/>
                <w:numId w:val="3"/>
              </w:numPr>
              <w:spacing w:before="240" w:after="240"/>
              <w:ind w:hanging="28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Организиране на заседанията на Комитета по наблюдение (КН) на ПРСР и работните групи към него, включително разходите (пътни и нощувки), свързани с участие на членовете на КН, членовете на работните групи към КН, както и на лица, чието участие в заседанията на Комитета/работните групи е обосновано и необходимо.</w:t>
            </w:r>
          </w:p>
          <w:p w:rsidR="009B733A" w:rsidRPr="00C21715" w:rsidRDefault="009B733A" w:rsidP="00C21715">
            <w:pPr>
              <w:pStyle w:val="ListParagraph"/>
              <w:numPr>
                <w:ilvl w:val="0"/>
                <w:numId w:val="3"/>
              </w:numPr>
              <w:spacing w:before="240" w:after="240"/>
              <w:rPr>
                <w:szCs w:val="24"/>
                <w:lang w:val="bg-BG"/>
              </w:rPr>
            </w:pPr>
            <w:r w:rsidRPr="00C21715">
              <w:rPr>
                <w:szCs w:val="24"/>
                <w:lang w:val="bg-BG"/>
              </w:rPr>
              <w:t>Организиране на заседания/работни срещи и др., свързани с програмирането и изпълнението на ПРСР.</w:t>
            </w:r>
          </w:p>
          <w:p w:rsidR="009B733A" w:rsidRPr="00C21715" w:rsidRDefault="009B733A" w:rsidP="00C21715">
            <w:pPr>
              <w:pStyle w:val="ListParagraph"/>
              <w:numPr>
                <w:ilvl w:val="0"/>
                <w:numId w:val="3"/>
              </w:numPr>
              <w:spacing w:before="240" w:after="240"/>
              <w:rPr>
                <w:szCs w:val="24"/>
                <w:lang w:val="bg-BG"/>
              </w:rPr>
            </w:pPr>
            <w:r w:rsidRPr="00C21715">
              <w:rPr>
                <w:szCs w:val="24"/>
                <w:lang w:val="bg-BG"/>
              </w:rPr>
              <w:t>Извършване на анализи, проучвания, изследвания и др. от външни изпълнители, необходими на УО, КН/неговите работни групи и РА, за целите на ефективното управление, наблюдение и прилагане на ПРСР, вкл. анализи, изследвания и проучвания за изпълнение на предварителните условия.</w:t>
            </w:r>
          </w:p>
          <w:p w:rsidR="009B733A" w:rsidRPr="00C21715" w:rsidRDefault="009B733A" w:rsidP="00C21715">
            <w:pPr>
              <w:pStyle w:val="ListParagraph"/>
              <w:numPr>
                <w:ilvl w:val="0"/>
                <w:numId w:val="3"/>
              </w:numPr>
              <w:spacing w:before="240" w:after="240"/>
              <w:rPr>
                <w:szCs w:val="24"/>
                <w:lang w:val="bg-BG"/>
              </w:rPr>
            </w:pPr>
            <w:r w:rsidRPr="00C21715">
              <w:rPr>
                <w:szCs w:val="24"/>
                <w:lang w:val="bg-BG"/>
              </w:rPr>
              <w:t>Изготвяне и разпространение на информация относно наблюдението, контрола, прилагането и оценките на ПРСР чрез:</w:t>
            </w:r>
          </w:p>
          <w:p w:rsidR="009B733A" w:rsidRPr="009B733A" w:rsidRDefault="009B733A" w:rsidP="009B733A">
            <w:pPr>
              <w:spacing w:before="240" w:after="240"/>
              <w:ind w:left="709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4.1 Изготвяне, разпространение и публикуване на материали за информираност и публичност;</w:t>
            </w:r>
          </w:p>
          <w:p w:rsidR="009B733A" w:rsidRPr="009B733A" w:rsidRDefault="009B733A" w:rsidP="009B733A">
            <w:pPr>
              <w:spacing w:before="240" w:after="240"/>
              <w:ind w:left="709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 xml:space="preserve">4.2 Подпомагане на подготовката и изпълнението на Комуникационния план на Програмата (вкл. наемане на външна експертна помощ за неговото разработване и/или допълнително прецизиране), в т.ч. предвидените </w:t>
            </w:r>
            <w:r w:rsidRPr="009B733A">
              <w:rPr>
                <w:szCs w:val="24"/>
                <w:lang w:val="bg-BG"/>
              </w:rPr>
              <w:lastRenderedPageBreak/>
              <w:t>дейности за публичност на ПРСР, включващи начините за кандидатстване по мерките, популяризиране на добри практики и др., както и изпълнението на нейните цели и приоритети.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24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Обезпечаване с висококачествени преводачески услуги за нуждите на ПРСР.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Организиране (в т.ч. организация, подготовка/размножаване на информационни и др. материали, пътни, дневни, квартирни) на непланирани публични събития касаещи наблюдението, контрола, прилагането и оценките на ПРСР, по инициатива на УО/ потенциални бенефициенти/социално-икономически партньори, осъществяването на които се поема от МЗХГ.</w:t>
            </w:r>
          </w:p>
          <w:p w:rsidR="009B733A" w:rsidRPr="009B733A" w:rsidRDefault="009B733A" w:rsidP="009B733A">
            <w:pPr>
              <w:numPr>
                <w:ilvl w:val="0"/>
                <w:numId w:val="8"/>
              </w:numPr>
              <w:spacing w:before="0" w:after="0"/>
              <w:ind w:hanging="28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Организиране и участие в обучение на администрацията, ангажирана в управлението, изпълнението, контрола, наблюдението и оценката на ПРСР (вкл. специализирани обучения за държавни помощи), в т. ч. сътрудничество между УО и подобни структури в държавите членки на ЕС (в т.ч. разходи за организиране на обученията и разходи за участие – пътни, дневни, нощувки и такси за обучение).</w:t>
            </w:r>
          </w:p>
          <w:p w:rsidR="009B733A" w:rsidRPr="009B733A" w:rsidRDefault="009B733A" w:rsidP="009B733A">
            <w:pPr>
              <w:numPr>
                <w:ilvl w:val="0"/>
                <w:numId w:val="8"/>
              </w:numPr>
              <w:spacing w:before="0" w:after="0"/>
              <w:ind w:hanging="28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Разработване, инсталиране, модернизиране и поддръжка на компютърни системи за управление, наблюдение и оценка (вкл. за закупуване на техника и програмни продукти), както и наемане на външни експерти за изпълнението на тези дейности, вкл. разходи за наем на помещения и закупуване на офис оборудване.</w:t>
            </w:r>
          </w:p>
          <w:p w:rsidR="009B733A" w:rsidRPr="009B733A" w:rsidRDefault="009B733A" w:rsidP="009B733A">
            <w:pPr>
              <w:numPr>
                <w:ilvl w:val="0"/>
                <w:numId w:val="8"/>
              </w:numPr>
              <w:spacing w:before="0" w:after="0"/>
              <w:ind w:hanging="28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Организиране и провеждане от УО или РА на комисии за оценка и избор на проекти, вкл. заплащане на хонорар на външните за МЗХГ и РА членове на комисиите.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Подготвителни дейности, свързани с предефинирането на обхвата на другите необлагодетелствани райони, различни от планинските. 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Изготвяне на оценките, описани в Раздел 9.  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Участие на администрацията, ангажирана в управлението, изпълнението, контрола, наблюдението и оценката на ПРСР в международни прояви, директно свързани с развитието на селските райони (вкл. такса участие).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Участие на администрацията, ангажирана в управлението, изпълнението, контрола, наблюдението, и оценката на ПРСР в технически срещи със службите на ЕК/комитети/ работни групи, разходите за които не се възстановяват от ЕК.</w:t>
            </w:r>
          </w:p>
          <w:p w:rsidR="009B733A" w:rsidRPr="009B733A" w:rsidRDefault="009B733A" w:rsidP="00C855B1">
            <w:pPr>
              <w:numPr>
                <w:ilvl w:val="0"/>
                <w:numId w:val="8"/>
              </w:numPr>
              <w:spacing w:before="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Разходи в размер до 80% от индивидуалните брутни месечни заплати на персонала, изпълняващ дейности, пряко свързани с управлението, наблюдението, оценката и контрола на ПРСР</w:t>
            </w:r>
            <w:r w:rsidR="00C25448" w:rsidRPr="000762F8">
              <w:rPr>
                <w:color w:val="FF0000"/>
                <w:szCs w:val="24"/>
                <w:lang w:val="bg-BG"/>
              </w:rPr>
              <w:t>,</w:t>
            </w:r>
            <w:r w:rsidR="00C25448" w:rsidRPr="000F6866">
              <w:rPr>
                <w:color w:val="00B050"/>
                <w:szCs w:val="24"/>
                <w:lang w:val="bg-BG"/>
              </w:rPr>
              <w:t xml:space="preserve"> </w:t>
            </w:r>
            <w:r w:rsidR="000F6866" w:rsidRPr="000F6866">
              <w:rPr>
                <w:color w:val="FF0000"/>
                <w:szCs w:val="24"/>
                <w:lang w:val="bg-BG"/>
              </w:rPr>
              <w:t>СПРЗСР</w:t>
            </w:r>
            <w:r w:rsidR="00C25448" w:rsidRPr="000F6866">
              <w:rPr>
                <w:color w:val="FF0000"/>
                <w:szCs w:val="24"/>
                <w:lang w:val="bg-BG"/>
              </w:rPr>
              <w:t xml:space="preserve"> </w:t>
            </w:r>
            <w:r w:rsidRPr="009B733A">
              <w:rPr>
                <w:szCs w:val="24"/>
                <w:lang w:val="bg-BG"/>
              </w:rPr>
              <w:t xml:space="preserve">и </w:t>
            </w:r>
            <w:r w:rsidR="000F6866" w:rsidRPr="000F6866">
              <w:rPr>
                <w:color w:val="FF0000"/>
                <w:szCs w:val="24"/>
                <w:lang w:val="bg-BG"/>
              </w:rPr>
              <w:t>ПВУ</w:t>
            </w:r>
            <w:r w:rsidR="00C25448" w:rsidRPr="000F6866">
              <w:rPr>
                <w:color w:val="FF0000"/>
                <w:szCs w:val="24"/>
                <w:lang w:val="bg-BG"/>
              </w:rPr>
              <w:t xml:space="preserve"> </w:t>
            </w:r>
            <w:r w:rsidR="00C855B1" w:rsidRPr="000F6866">
              <w:rPr>
                <w:color w:val="FF0000"/>
                <w:szCs w:val="24"/>
                <w:lang w:val="bg-BG"/>
              </w:rPr>
              <w:t xml:space="preserve">и </w:t>
            </w:r>
            <w:r w:rsidRPr="009B733A">
              <w:rPr>
                <w:szCs w:val="24"/>
                <w:lang w:val="bg-BG"/>
              </w:rPr>
              <w:t>разписани в длъжностните им характеристики, на месечна база (вкл. разходи за заплата, данък общ доход и дължими от работодателя осигуровки и възнаграждения за платен отпуск).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Плащанията по тази точка ще бъдат съпроводени с необходимите счетоводни документи и ще бъдат ограничени в рамките на периода на прилагане на ПРСР. Сумите ще бъдат изплащани за целия период на изпълнение на ПРСР.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За щатния персонал, ангажиран с дейности, пряко свързани с ПРСР</w:t>
            </w:r>
            <w:r w:rsidR="000F6866" w:rsidRPr="00D62584">
              <w:rPr>
                <w:color w:val="FF0000"/>
                <w:szCs w:val="24"/>
                <w:lang w:val="bg-BG"/>
              </w:rPr>
              <w:t>,</w:t>
            </w:r>
            <w:r w:rsidR="000F6866" w:rsidRPr="000F6866">
              <w:rPr>
                <w:color w:val="00B050"/>
                <w:szCs w:val="24"/>
                <w:lang w:val="bg-BG"/>
              </w:rPr>
              <w:t xml:space="preserve"> </w:t>
            </w:r>
            <w:r w:rsidR="000F6866" w:rsidRPr="000F6866">
              <w:rPr>
                <w:color w:val="FF0000"/>
                <w:szCs w:val="24"/>
                <w:lang w:val="bg-BG"/>
              </w:rPr>
              <w:t>СПРЗСР и ПВУ</w:t>
            </w:r>
            <w:r w:rsidRPr="000F6866">
              <w:rPr>
                <w:color w:val="FF0000"/>
                <w:szCs w:val="24"/>
                <w:lang w:val="bg-BG"/>
              </w:rPr>
              <w:t xml:space="preserve"> </w:t>
            </w:r>
            <w:r w:rsidRPr="009B733A">
              <w:rPr>
                <w:szCs w:val="24"/>
                <w:lang w:val="bg-BG"/>
              </w:rPr>
              <w:t>ще бъде допустимо да получава допълнително възнаграждение с непостоянен характер пропорционално на времевата ангажираност и въз основа на постигнати резултати, които ще бъдат оценявани от ръководителя на съответната административна структура или упълномощено от него лице и измервани съгласно механизъм, разработен при спазване на принципите за прозрачност. За щатния персонал, работещ на непълно работно време по задачи, свързани с ПРСР</w:t>
            </w:r>
            <w:r w:rsidR="00C25448" w:rsidRPr="00EB6CD8">
              <w:rPr>
                <w:color w:val="FF0000"/>
                <w:szCs w:val="24"/>
                <w:lang w:val="bg-BG"/>
              </w:rPr>
              <w:t>,</w:t>
            </w:r>
            <w:r w:rsidR="00C25448" w:rsidRPr="000F6866">
              <w:rPr>
                <w:color w:val="00B050"/>
                <w:szCs w:val="24"/>
                <w:lang w:val="bg-BG"/>
              </w:rPr>
              <w:t xml:space="preserve"> </w:t>
            </w:r>
            <w:r w:rsidR="00C25448" w:rsidRPr="001A7C8C">
              <w:rPr>
                <w:color w:val="FF0000"/>
                <w:szCs w:val="24"/>
                <w:lang w:val="bg-BG"/>
              </w:rPr>
              <w:t>СПРЗСР</w:t>
            </w:r>
            <w:r w:rsidR="00C855B1" w:rsidRPr="001A7C8C">
              <w:rPr>
                <w:color w:val="FF0000"/>
                <w:szCs w:val="24"/>
                <w:lang w:val="bg-BG"/>
              </w:rPr>
              <w:t xml:space="preserve"> и </w:t>
            </w:r>
            <w:r w:rsidR="00C25448" w:rsidRPr="001A7C8C">
              <w:rPr>
                <w:color w:val="FF0000"/>
                <w:szCs w:val="24"/>
                <w:lang w:val="bg-BG"/>
              </w:rPr>
              <w:t>ПВУ</w:t>
            </w:r>
            <w:r w:rsidRPr="009B733A">
              <w:rPr>
                <w:szCs w:val="24"/>
                <w:lang w:val="bg-BG"/>
              </w:rPr>
              <w:t>, само персонала с минимум 50% заетост по ПРСР</w:t>
            </w:r>
            <w:r w:rsidR="00C25448" w:rsidRPr="000F6866">
              <w:rPr>
                <w:color w:val="00B050"/>
                <w:szCs w:val="24"/>
                <w:lang w:val="bg-BG"/>
              </w:rPr>
              <w:t>,</w:t>
            </w:r>
            <w:r w:rsidRPr="000F6866">
              <w:rPr>
                <w:color w:val="00B050"/>
                <w:szCs w:val="24"/>
                <w:lang w:val="bg-BG"/>
              </w:rPr>
              <w:t xml:space="preserve"> </w:t>
            </w:r>
            <w:r w:rsidR="00C855B1" w:rsidRPr="001A7C8C">
              <w:rPr>
                <w:color w:val="FF0000"/>
                <w:szCs w:val="24"/>
                <w:lang w:val="bg-BG"/>
              </w:rPr>
              <w:t xml:space="preserve">СПРЗСР </w:t>
            </w:r>
            <w:r w:rsidR="00C25448" w:rsidRPr="001A7C8C">
              <w:rPr>
                <w:color w:val="FF0000"/>
                <w:szCs w:val="24"/>
                <w:lang w:val="bg-BG"/>
              </w:rPr>
              <w:t xml:space="preserve">и ПВУ </w:t>
            </w:r>
            <w:r w:rsidRPr="009B733A">
              <w:rPr>
                <w:szCs w:val="24"/>
                <w:lang w:val="bg-BG"/>
              </w:rPr>
              <w:t>ще е допустим за допълнително финансово стимулиране с непостоянен характер. То няма да се дублира с други подобни национални схеми за стимулиране и ще бъде съпроводено с необходимите счетоводни документи.</w:t>
            </w:r>
          </w:p>
          <w:p w:rsidR="009B733A" w:rsidRPr="009B733A" w:rsidRDefault="009B733A" w:rsidP="00C855B1">
            <w:pPr>
              <w:pStyle w:val="ListParagraph"/>
              <w:numPr>
                <w:ilvl w:val="0"/>
                <w:numId w:val="8"/>
              </w:num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Наемане на допълнителен персонал</w:t>
            </w:r>
            <w:r w:rsidR="00C855B1" w:rsidRPr="009B733A">
              <w:rPr>
                <w:szCs w:val="24"/>
                <w:lang w:val="bg-BG"/>
              </w:rPr>
              <w:t xml:space="preserve"> </w:t>
            </w:r>
            <w:r w:rsidR="00C855B1" w:rsidRPr="000F6866">
              <w:rPr>
                <w:color w:val="FF0000"/>
                <w:szCs w:val="24"/>
                <w:lang w:val="bg-BG"/>
              </w:rPr>
              <w:t>към УО и РА</w:t>
            </w:r>
            <w:r w:rsidRPr="000F6866">
              <w:rPr>
                <w:color w:val="FF0000"/>
                <w:szCs w:val="24"/>
                <w:lang w:val="bg-BG"/>
              </w:rPr>
              <w:t xml:space="preserve">, </w:t>
            </w:r>
            <w:r w:rsidRPr="009B733A">
              <w:rPr>
                <w:szCs w:val="24"/>
                <w:lang w:val="bg-BG"/>
              </w:rPr>
              <w:t>необходим с оглед засилване на капацитета на администрацията, ангажирана в управлението, изпълнението, контрола, наблюдението и оценката на ПРСР</w:t>
            </w:r>
            <w:r w:rsidR="00C25448" w:rsidRPr="00823695">
              <w:rPr>
                <w:color w:val="FF0000"/>
                <w:szCs w:val="24"/>
                <w:lang w:val="bg-BG"/>
              </w:rPr>
              <w:t xml:space="preserve">, </w:t>
            </w:r>
            <w:r w:rsidR="00C25448" w:rsidRPr="000F6866">
              <w:rPr>
                <w:color w:val="FF0000"/>
                <w:szCs w:val="24"/>
                <w:lang w:val="bg-BG"/>
              </w:rPr>
              <w:t>СПРЗСР</w:t>
            </w:r>
            <w:r w:rsidRPr="000F6866">
              <w:rPr>
                <w:color w:val="FF0000"/>
                <w:szCs w:val="24"/>
                <w:lang w:val="bg-BG"/>
              </w:rPr>
              <w:t xml:space="preserve"> </w:t>
            </w:r>
            <w:r w:rsidR="00C855B1" w:rsidRPr="000F6866">
              <w:rPr>
                <w:color w:val="FF0000"/>
                <w:szCs w:val="24"/>
                <w:lang w:val="bg-BG"/>
              </w:rPr>
              <w:t xml:space="preserve">и </w:t>
            </w:r>
            <w:r w:rsidR="00C25448" w:rsidRPr="000F6866">
              <w:rPr>
                <w:color w:val="FF0000"/>
                <w:szCs w:val="24"/>
                <w:lang w:val="bg-BG"/>
              </w:rPr>
              <w:t xml:space="preserve">ПВУ </w:t>
            </w:r>
            <w:r w:rsidRPr="00400E04">
              <w:rPr>
                <w:strike/>
                <w:szCs w:val="24"/>
                <w:lang w:val="bg-BG"/>
              </w:rPr>
              <w:t>към УО и РА</w:t>
            </w:r>
            <w:r w:rsidRPr="009B733A">
              <w:rPr>
                <w:szCs w:val="24"/>
                <w:lang w:val="bg-BG"/>
              </w:rPr>
              <w:t xml:space="preserve"> и разходи за възнагражденията за този персонал.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lastRenderedPageBreak/>
              <w:t>Допълнителният персонал към УО/РА ще изпълнява ясно разграничени дейности, пряко свързани с управлението и прилагането на ПРСР</w:t>
            </w:r>
            <w:r w:rsidR="00C855B1" w:rsidRPr="000F6866">
              <w:rPr>
                <w:color w:val="FF0000"/>
                <w:szCs w:val="24"/>
                <w:lang w:val="bg-BG"/>
              </w:rPr>
              <w:t xml:space="preserve">, СПРЗСР и </w:t>
            </w:r>
            <w:r w:rsidR="00C25448" w:rsidRPr="000F6866">
              <w:rPr>
                <w:color w:val="FF0000"/>
                <w:szCs w:val="24"/>
                <w:lang w:val="bg-BG"/>
              </w:rPr>
              <w:t>ПВУ</w:t>
            </w:r>
            <w:r w:rsidRPr="009B733A">
              <w:rPr>
                <w:szCs w:val="24"/>
                <w:lang w:val="bg-BG"/>
              </w:rPr>
              <w:t xml:space="preserve">, на основата на сключен договор с УО/РА, но няма да има статут на постоянни служители. Срокът на договорите на тези служители няма да надхвърля крайната дата на допустимост на разходите по ПРСР. 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24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Дейности за създаване и функциониране на НСМ след 31.12.2015 г.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Дейности за работа в мрежа и разрешаване на жалби.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Наемане на независими консултанти (организации/експерти) за изпълнение на краткосрочни и дългосрочни задачи, свързани с ПРСР.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Наемане на консултанти (организации/експерти) от ЕС за обмяна на опит с администрацията при управлението, наблюдението, контрола и оценката на ПРСР.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Извършване на проверки на място (пътни, дневни и нощувки).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Изготвяне и изпълнение на Антикорупционна стратегия за целесъобразност на използването на помощта от ЕЗФРСР, като се планира стратегията да бъде изготвена до края на 2015 г.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Подготовка на ваучерна система по Мярка 1 на ПРСР.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Извършване на обучения на (потенциални) бенефициенти по ПРСР (2014-20).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 xml:space="preserve">Дейности, свързани с подготовката </w:t>
            </w:r>
            <w:r w:rsidR="00F01BCF" w:rsidRPr="000F6866">
              <w:rPr>
                <w:color w:val="FF0000"/>
                <w:szCs w:val="24"/>
                <w:lang w:val="bg-BG"/>
              </w:rPr>
              <w:t xml:space="preserve">и прилагането </w:t>
            </w:r>
            <w:r w:rsidRPr="009B733A">
              <w:rPr>
                <w:szCs w:val="24"/>
                <w:lang w:val="bg-BG"/>
              </w:rPr>
              <w:t>на следващия програмен период (след 202</w:t>
            </w:r>
            <w:r w:rsidR="00C855B1" w:rsidRPr="001A7C8C">
              <w:rPr>
                <w:color w:val="FF0000"/>
                <w:szCs w:val="24"/>
                <w:lang w:val="bg-BG"/>
              </w:rPr>
              <w:t>3</w:t>
            </w:r>
            <w:r w:rsidRPr="00400E04">
              <w:rPr>
                <w:strike/>
                <w:szCs w:val="24"/>
                <w:lang w:val="bg-BG"/>
              </w:rPr>
              <w:t>0</w:t>
            </w:r>
            <w:r w:rsidR="00C25448">
              <w:rPr>
                <w:szCs w:val="24"/>
                <w:lang w:val="bg-BG"/>
              </w:rPr>
              <w:t xml:space="preserve"> г.</w:t>
            </w:r>
            <w:r w:rsidRPr="009B733A">
              <w:rPr>
                <w:szCs w:val="24"/>
                <w:lang w:val="bg-BG"/>
              </w:rPr>
              <w:t>).</w:t>
            </w:r>
          </w:p>
          <w:p w:rsidR="009B733A" w:rsidRPr="009B733A" w:rsidRDefault="009B733A" w:rsidP="009B733A">
            <w:pPr>
              <w:pStyle w:val="ListParagraph"/>
              <w:numPr>
                <w:ilvl w:val="0"/>
                <w:numId w:val="8"/>
              </w:numPr>
              <w:spacing w:before="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Изготвяне на последваща оценка на ПРСР (2007-13).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 xml:space="preserve">Индикативният дял на разходите за всяка от изброените дейности е описан в </w:t>
            </w:r>
            <w:r w:rsidRPr="009B733A">
              <w:rPr>
                <w:i/>
                <w:iCs/>
                <w:szCs w:val="24"/>
                <w:lang w:val="bg-BG"/>
              </w:rPr>
              <w:t>Приложение 2</w:t>
            </w:r>
            <w:r w:rsidRPr="009B733A">
              <w:rPr>
                <w:szCs w:val="24"/>
                <w:lang w:val="bg-BG"/>
              </w:rPr>
              <w:t>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Прилагането на дейностите по техническата помощ ще бъде организирано съгласно Закона за обществените поръчки (ЗОП) за дейности, попадащи в обсега му, или съгласно приложимото национално законодателство за дейности, които не попадат в обхвата на ЗОП.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Изпълнението на одобрените дейности подлежи на проверки на място. Проверките на място ще се извършват от дирекция „Технически инспекторат“ (ТИ) към ДФЗ-РА. Инспекторите от дирекция ТИ са функционално независими от служителите в звената в УО и РА, които извършват административни проверки на одобрените дейности. По този начин е обезпечено спазването на чл. 49, пар. 2 от Регламент за изпълнение (ЕС) 809/2014 на ЕК за определяне на правила за прилагането на Регламент (ЕС) 1306/2013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 xml:space="preserve">Звената в РА, отговорни за извършването на проверки на място и за извършването на контрол по договориране и оторизация на мерките от ПРСР, попадат в два независими един от друг ресора, които са на подчинение на двама заместник-изпълнителни директори на ДФЗ-РА (вж. </w:t>
            </w:r>
            <w:r w:rsidRPr="009B733A">
              <w:rPr>
                <w:i/>
                <w:iCs/>
                <w:szCs w:val="24"/>
                <w:lang w:val="bg-BG"/>
              </w:rPr>
              <w:t>Приложение 3</w:t>
            </w:r>
            <w:r w:rsidRPr="009B733A">
              <w:rPr>
                <w:szCs w:val="24"/>
                <w:lang w:val="bg-BG"/>
              </w:rPr>
              <w:t>).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b/>
                <w:bCs/>
                <w:szCs w:val="24"/>
                <w:lang w:val="bg-BG"/>
              </w:rPr>
              <w:t xml:space="preserve">Бюджет в размер на 37 493 274 евро </w:t>
            </w:r>
            <w:r w:rsidRPr="009B733A">
              <w:rPr>
                <w:szCs w:val="24"/>
                <w:lang w:val="bg-BG"/>
              </w:rPr>
              <w:t>принос на ЕЗФРСР е разпределен за мярката. Финансовата помощ за тези дейности е в размер до 100% от общите допустими разходи. Бюджетът е определен на база опита от прилагането на Мярка 511 от ПРСР (2007-13), като са взети предвид темповете и нивата на договориране на заявленията и на разплащане на разходите.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b/>
                <w:bCs/>
                <w:szCs w:val="24"/>
                <w:lang w:val="bg-BG"/>
              </w:rPr>
              <w:t>От бюджета на мярката се заделя сума в размер до 5.5% за създаване и обслужване на НСМ.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Този дял е определен на база неофициален анализ на УО и обхваща: сумата, определена за дейности, предвидени да бъдат изпълнени до края на 2015 г. съгласно договор, сключен на 09.11.2012 г. с избраното с обществена поръчка Звено за управление на НСМ и разходи за дейности, планирани за периода след 31.12.2015 г., когато цитираният по-горе договор приключва.</w:t>
            </w:r>
          </w:p>
          <w:p w:rsidR="009B733A" w:rsidRPr="009B733A" w:rsidRDefault="009B733A" w:rsidP="009B733A">
            <w:pPr>
              <w:spacing w:before="240" w:after="240"/>
              <w:rPr>
                <w:szCs w:val="24"/>
                <w:lang w:val="bg-BG"/>
              </w:rPr>
            </w:pPr>
            <w:r w:rsidRPr="009B733A">
              <w:rPr>
                <w:b/>
                <w:bCs/>
                <w:szCs w:val="24"/>
                <w:lang w:val="bg-BG"/>
              </w:rPr>
              <w:lastRenderedPageBreak/>
              <w:t>Бенефициенти</w:t>
            </w:r>
          </w:p>
          <w:p w:rsidR="009B733A" w:rsidRPr="009B733A" w:rsidRDefault="009B733A" w:rsidP="009B733A">
            <w:pPr>
              <w:numPr>
                <w:ilvl w:val="0"/>
                <w:numId w:val="7"/>
              </w:numPr>
              <w:spacing w:before="240" w:after="0"/>
              <w:ind w:hanging="210"/>
              <w:rPr>
                <w:szCs w:val="24"/>
                <w:lang w:val="bg-BG"/>
              </w:rPr>
            </w:pPr>
            <w:r w:rsidRPr="009B733A">
              <w:rPr>
                <w:szCs w:val="24"/>
                <w:lang w:val="bg-BG"/>
              </w:rPr>
              <w:t>Министерство на земеделието;</w:t>
            </w:r>
          </w:p>
          <w:p w:rsidR="009B733A" w:rsidRPr="009B733A" w:rsidRDefault="009B733A" w:rsidP="009B733A">
            <w:pPr>
              <w:numPr>
                <w:ilvl w:val="0"/>
                <w:numId w:val="7"/>
              </w:numPr>
              <w:spacing w:before="0" w:after="240"/>
              <w:ind w:hanging="210"/>
              <w:rPr>
                <w:lang w:val="bg-BG"/>
              </w:rPr>
            </w:pPr>
            <w:r w:rsidRPr="009B733A">
              <w:rPr>
                <w:szCs w:val="24"/>
                <w:lang w:val="bg-BG"/>
              </w:rPr>
              <w:t>ДФЗ - РА.</w:t>
            </w:r>
          </w:p>
        </w:tc>
      </w:tr>
    </w:tbl>
    <w:p w:rsidR="00D50009" w:rsidRDefault="00D50009"/>
    <w:sectPr w:rsidR="00D50009" w:rsidSect="00C25448">
      <w:pgSz w:w="12240" w:h="15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34F74"/>
    <w:multiLevelType w:val="hybridMultilevel"/>
    <w:tmpl w:val="79D8DD1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36603"/>
    <w:multiLevelType w:val="multilevel"/>
    <w:tmpl w:val="A09AD310"/>
    <w:numStyleLink w:val="Headings"/>
  </w:abstractNum>
  <w:abstractNum w:abstractNumId="2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722306E8"/>
    <w:multiLevelType w:val="multilevel"/>
    <w:tmpl w:val="72230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2306E9"/>
    <w:multiLevelType w:val="multilevel"/>
    <w:tmpl w:val="722306E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2306EA"/>
    <w:multiLevelType w:val="multilevel"/>
    <w:tmpl w:val="72230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2306EB"/>
    <w:multiLevelType w:val="multilevel"/>
    <w:tmpl w:val="722306E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2306EC"/>
    <w:multiLevelType w:val="hybridMultilevel"/>
    <w:tmpl w:val="722306EC"/>
    <w:lvl w:ilvl="0" w:tplc="C2E2D9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CECA7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8D426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1E4A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500C5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D50AE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6E2FA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9E66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126C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09"/>
    <w:rsid w:val="000762F8"/>
    <w:rsid w:val="00095877"/>
    <w:rsid w:val="000F6866"/>
    <w:rsid w:val="001A7C8C"/>
    <w:rsid w:val="003877C1"/>
    <w:rsid w:val="00400E04"/>
    <w:rsid w:val="005F2309"/>
    <w:rsid w:val="00823695"/>
    <w:rsid w:val="009B733A"/>
    <w:rsid w:val="00C21715"/>
    <w:rsid w:val="00C25448"/>
    <w:rsid w:val="00C855B1"/>
    <w:rsid w:val="00D50009"/>
    <w:rsid w:val="00D62584"/>
    <w:rsid w:val="00EB6CD8"/>
    <w:rsid w:val="00ED493F"/>
    <w:rsid w:val="00F0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8F450-6078-4600-BB56-EDFD6D99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33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9B733A"/>
    <w:pPr>
      <w:keepNext/>
      <w:numPr>
        <w:numId w:val="2"/>
      </w:numPr>
      <w:spacing w:before="240" w:after="240"/>
      <w:outlineLvl w:val="0"/>
    </w:pPr>
    <w:rPr>
      <w:b/>
      <w:smallCaps/>
      <w:sz w:val="28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9B733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9B733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9B733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9B733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9B733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9B733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9B733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9B733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733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9B733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9B733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9B733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9B733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9B733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9B733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9B733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9B733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paragraph" w:styleId="BodyText">
    <w:name w:val="Body Text"/>
    <w:basedOn w:val="Normal"/>
    <w:link w:val="BodyTextChar"/>
    <w:rsid w:val="009B733A"/>
  </w:style>
  <w:style w:type="character" w:customStyle="1" w:styleId="BodyTextChar">
    <w:name w:val="Body Text Char"/>
    <w:basedOn w:val="DefaultParagraphFont"/>
    <w:link w:val="BodyText"/>
    <w:rsid w:val="009B733A"/>
    <w:rPr>
      <w:rFonts w:ascii="Times New Roman" w:eastAsia="Times New Roman" w:hAnsi="Times New Roman" w:cs="Times New Roman"/>
      <w:sz w:val="24"/>
      <w:szCs w:val="20"/>
      <w:lang w:val="en-GB"/>
    </w:rPr>
  </w:style>
  <w:style w:type="numbering" w:customStyle="1" w:styleId="Headings">
    <w:name w:val="Headings"/>
    <w:uiPriority w:val="99"/>
    <w:rsid w:val="009B733A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9B73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5B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5B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4785-C472-4CE8-9928-8463593B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P. Petrova</dc:creator>
  <cp:keywords/>
  <dc:description/>
  <cp:lastModifiedBy>Snezhana Grigorova</cp:lastModifiedBy>
  <cp:revision>2</cp:revision>
  <dcterms:created xsi:type="dcterms:W3CDTF">2023-03-22T13:55:00Z</dcterms:created>
  <dcterms:modified xsi:type="dcterms:W3CDTF">2023-03-22T13:55:00Z</dcterms:modified>
</cp:coreProperties>
</file>