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B67" w:rsidRPr="00581B3B" w:rsidRDefault="00902B67" w:rsidP="00902B67">
      <w:pPr>
        <w:pBdr>
          <w:top w:val="single" w:sz="4" w:space="1" w:color="auto"/>
          <w:left w:val="single" w:sz="4" w:space="4" w:color="auto"/>
          <w:bottom w:val="single" w:sz="4" w:space="1" w:color="auto"/>
          <w:right w:val="single" w:sz="4" w:space="4" w:color="auto"/>
        </w:pBdr>
        <w:shd w:val="clear" w:color="auto" w:fill="D9D9D9" w:themeFill="background1" w:themeFillShade="D9"/>
        <w:ind w:firstLine="567"/>
        <w:jc w:val="center"/>
        <w:rPr>
          <w:rFonts w:ascii="Times New Roman" w:hAnsi="Times New Roman" w:cs="Times New Roman"/>
          <w:b/>
          <w:sz w:val="24"/>
          <w:szCs w:val="24"/>
        </w:rPr>
      </w:pPr>
      <w:bookmarkStart w:id="0" w:name="_GoBack"/>
      <w:bookmarkEnd w:id="0"/>
      <w:r w:rsidRPr="00581B3B">
        <w:rPr>
          <w:rFonts w:ascii="Times New Roman" w:hAnsi="Times New Roman" w:cs="Times New Roman"/>
          <w:b/>
          <w:sz w:val="24"/>
          <w:szCs w:val="24"/>
        </w:rPr>
        <w:t>Предложение на У</w:t>
      </w:r>
      <w:r w:rsidR="00CC36BA">
        <w:rPr>
          <w:rFonts w:ascii="Times New Roman" w:hAnsi="Times New Roman" w:cs="Times New Roman"/>
          <w:b/>
          <w:sz w:val="24"/>
          <w:szCs w:val="24"/>
        </w:rPr>
        <w:t>правляващия орган</w:t>
      </w:r>
      <w:r w:rsidRPr="00581B3B">
        <w:rPr>
          <w:rFonts w:ascii="Times New Roman" w:hAnsi="Times New Roman" w:cs="Times New Roman"/>
          <w:b/>
          <w:sz w:val="24"/>
          <w:szCs w:val="24"/>
        </w:rPr>
        <w:t xml:space="preserve"> на ПРСР 2014-2020 </w:t>
      </w:r>
      <w:r w:rsidR="00CC36BA">
        <w:rPr>
          <w:rFonts w:ascii="Times New Roman" w:hAnsi="Times New Roman" w:cs="Times New Roman"/>
          <w:b/>
          <w:sz w:val="24"/>
          <w:szCs w:val="24"/>
        </w:rPr>
        <w:t xml:space="preserve">г. </w:t>
      </w:r>
      <w:r w:rsidRPr="00581B3B">
        <w:rPr>
          <w:rFonts w:ascii="Times New Roman" w:hAnsi="Times New Roman" w:cs="Times New Roman"/>
          <w:b/>
          <w:sz w:val="24"/>
          <w:szCs w:val="24"/>
        </w:rPr>
        <w:t>за 1</w:t>
      </w:r>
      <w:r w:rsidR="00DC159F" w:rsidRPr="00581B3B">
        <w:rPr>
          <w:rFonts w:ascii="Times New Roman" w:hAnsi="Times New Roman" w:cs="Times New Roman"/>
          <w:b/>
          <w:sz w:val="24"/>
          <w:szCs w:val="24"/>
        </w:rPr>
        <w:t>6</w:t>
      </w:r>
      <w:r w:rsidRPr="00581B3B">
        <w:rPr>
          <w:rFonts w:ascii="Times New Roman" w:hAnsi="Times New Roman" w:cs="Times New Roman"/>
          <w:b/>
          <w:sz w:val="24"/>
          <w:szCs w:val="24"/>
        </w:rPr>
        <w:t xml:space="preserve">-то изменение на Програмата за развитие на селските райони 2014-2020 </w:t>
      </w:r>
      <w:r w:rsidR="00B80D9D" w:rsidRPr="00581B3B">
        <w:rPr>
          <w:rFonts w:ascii="Times New Roman" w:hAnsi="Times New Roman" w:cs="Times New Roman"/>
          <w:b/>
          <w:sz w:val="24"/>
          <w:szCs w:val="24"/>
        </w:rPr>
        <w:t>г.:</w:t>
      </w:r>
    </w:p>
    <w:p w:rsidR="00CC36BA" w:rsidRDefault="002C308C" w:rsidP="00CC36B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firstLine="567"/>
        <w:jc w:val="center"/>
        <w:rPr>
          <w:rFonts w:ascii="Times New Roman" w:hAnsi="Times New Roman" w:cs="Times New Roman"/>
          <w:b/>
          <w:sz w:val="24"/>
          <w:szCs w:val="24"/>
        </w:rPr>
      </w:pPr>
      <w:r w:rsidRPr="00581B3B">
        <w:rPr>
          <w:rFonts w:ascii="Times New Roman" w:hAnsi="Times New Roman" w:cs="Times New Roman"/>
          <w:b/>
          <w:sz w:val="24"/>
          <w:szCs w:val="24"/>
        </w:rPr>
        <w:t xml:space="preserve">Изменения в текстове на мерки и подмерки </w:t>
      </w:r>
      <w:r w:rsidR="00A670DC" w:rsidRPr="00581B3B">
        <w:rPr>
          <w:rFonts w:ascii="Times New Roman" w:hAnsi="Times New Roman" w:cs="Times New Roman"/>
          <w:b/>
          <w:sz w:val="24"/>
          <w:szCs w:val="24"/>
        </w:rPr>
        <w:t>от ПРСР 2014 – 2020 г.</w:t>
      </w:r>
      <w:r w:rsidR="008A272D" w:rsidRPr="00581B3B">
        <w:rPr>
          <w:rFonts w:ascii="Times New Roman" w:hAnsi="Times New Roman" w:cs="Times New Roman"/>
          <w:b/>
          <w:sz w:val="24"/>
          <w:szCs w:val="24"/>
        </w:rPr>
        <w:t>;</w:t>
      </w:r>
      <w:r w:rsidR="00A670DC" w:rsidRPr="00581B3B">
        <w:rPr>
          <w:rFonts w:ascii="Times New Roman" w:hAnsi="Times New Roman" w:cs="Times New Roman"/>
          <w:b/>
          <w:sz w:val="24"/>
          <w:szCs w:val="24"/>
        </w:rPr>
        <w:t xml:space="preserve"> </w:t>
      </w:r>
      <w:r w:rsidRPr="00581B3B">
        <w:rPr>
          <w:rFonts w:ascii="Times New Roman" w:hAnsi="Times New Roman" w:cs="Times New Roman"/>
          <w:b/>
          <w:sz w:val="24"/>
          <w:szCs w:val="24"/>
        </w:rPr>
        <w:t xml:space="preserve">Прехвърляне на средства между мерки и подмерки от Програмата; </w:t>
      </w:r>
    </w:p>
    <w:p w:rsidR="00A670DC" w:rsidRPr="00581B3B" w:rsidRDefault="002C308C" w:rsidP="00CC36B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firstLine="567"/>
        <w:jc w:val="center"/>
        <w:rPr>
          <w:rFonts w:ascii="Times New Roman" w:hAnsi="Times New Roman" w:cs="Times New Roman"/>
          <w:b/>
          <w:sz w:val="24"/>
          <w:szCs w:val="24"/>
        </w:rPr>
      </w:pPr>
      <w:r w:rsidRPr="00581B3B">
        <w:rPr>
          <w:rFonts w:ascii="Times New Roman" w:hAnsi="Times New Roman" w:cs="Times New Roman"/>
          <w:b/>
          <w:sz w:val="24"/>
          <w:szCs w:val="24"/>
        </w:rPr>
        <w:t>В</w:t>
      </w:r>
      <w:r w:rsidR="008A272D" w:rsidRPr="00581B3B">
        <w:rPr>
          <w:rFonts w:ascii="Times New Roman" w:hAnsi="Times New Roman" w:cs="Times New Roman"/>
          <w:b/>
          <w:sz w:val="24"/>
          <w:szCs w:val="24"/>
        </w:rPr>
        <w:t>ъвеждане на възможност за индексация на разходи.</w:t>
      </w:r>
    </w:p>
    <w:p w:rsidR="00AF669A" w:rsidRPr="00762D1F" w:rsidRDefault="00A60967" w:rsidP="00CC36BA">
      <w:pPr>
        <w:spacing w:before="240"/>
        <w:jc w:val="both"/>
        <w:rPr>
          <w:rFonts w:ascii="Times New Roman" w:hAnsi="Times New Roman" w:cs="Times New Roman"/>
          <w:sz w:val="24"/>
          <w:szCs w:val="24"/>
          <w:u w:val="single"/>
        </w:rPr>
      </w:pPr>
      <w:r w:rsidRPr="00762D1F">
        <w:rPr>
          <w:rFonts w:ascii="Times New Roman" w:hAnsi="Times New Roman" w:cs="Times New Roman"/>
          <w:sz w:val="24"/>
          <w:szCs w:val="24"/>
          <w:u w:val="single"/>
        </w:rPr>
        <w:t>С 1</w:t>
      </w:r>
      <w:r w:rsidR="00DC159F" w:rsidRPr="00762D1F">
        <w:rPr>
          <w:rFonts w:ascii="Times New Roman" w:hAnsi="Times New Roman" w:cs="Times New Roman"/>
          <w:sz w:val="24"/>
          <w:szCs w:val="24"/>
          <w:u w:val="single"/>
        </w:rPr>
        <w:t>6</w:t>
      </w:r>
      <w:r w:rsidRPr="00762D1F">
        <w:rPr>
          <w:rFonts w:ascii="Times New Roman" w:hAnsi="Times New Roman" w:cs="Times New Roman"/>
          <w:sz w:val="24"/>
          <w:szCs w:val="24"/>
          <w:u w:val="single"/>
        </w:rPr>
        <w:t xml:space="preserve">-то изменение на ПРСР 2014-2020 г. УО </w:t>
      </w:r>
      <w:r w:rsidR="00762D1F" w:rsidRPr="00762D1F">
        <w:rPr>
          <w:rFonts w:ascii="Times New Roman" w:hAnsi="Times New Roman" w:cs="Times New Roman"/>
          <w:sz w:val="24"/>
          <w:szCs w:val="24"/>
          <w:u w:val="single"/>
        </w:rPr>
        <w:t>предлага</w:t>
      </w:r>
      <w:r w:rsidRPr="00762D1F">
        <w:rPr>
          <w:rFonts w:ascii="Times New Roman" w:hAnsi="Times New Roman" w:cs="Times New Roman"/>
          <w:sz w:val="24"/>
          <w:szCs w:val="24"/>
          <w:u w:val="single"/>
        </w:rPr>
        <w:t xml:space="preserve"> следното:</w:t>
      </w:r>
    </w:p>
    <w:sdt>
      <w:sdtPr>
        <w:rPr>
          <w:rFonts w:asciiTheme="minorHAnsi" w:eastAsiaTheme="minorHAnsi" w:hAnsiTheme="minorHAnsi" w:cstheme="minorBidi"/>
          <w:b w:val="0"/>
          <w:bCs w:val="0"/>
          <w:color w:val="auto"/>
          <w:sz w:val="22"/>
          <w:szCs w:val="22"/>
          <w:lang w:val="bg-BG" w:eastAsia="en-US"/>
        </w:rPr>
        <w:id w:val="1048337493"/>
        <w:docPartObj>
          <w:docPartGallery w:val="Table of Contents"/>
          <w:docPartUnique/>
        </w:docPartObj>
      </w:sdtPr>
      <w:sdtEndPr>
        <w:rPr>
          <w:rFonts w:ascii="Times New Roman" w:hAnsi="Times New Roman" w:cs="Times New Roman"/>
          <w:sz w:val="20"/>
          <w:szCs w:val="20"/>
        </w:rPr>
      </w:sdtEndPr>
      <w:sdtContent>
        <w:p w:rsidR="007205B2" w:rsidRPr="00581B3B" w:rsidRDefault="0092130B" w:rsidP="007205B2">
          <w:pPr>
            <w:pStyle w:val="TOCHeading"/>
            <w:spacing w:before="0" w:line="240" w:lineRule="auto"/>
            <w:rPr>
              <w:rFonts w:ascii="Times New Roman" w:hAnsi="Times New Roman" w:cs="Times New Roman"/>
              <w:sz w:val="22"/>
              <w:szCs w:val="22"/>
              <w:lang w:val="bg-BG"/>
            </w:rPr>
          </w:pPr>
          <w:r w:rsidRPr="00581B3B">
            <w:rPr>
              <w:rFonts w:ascii="Times New Roman" w:hAnsi="Times New Roman" w:cs="Times New Roman"/>
              <w:sz w:val="22"/>
              <w:szCs w:val="22"/>
              <w:lang w:val="bg-BG"/>
            </w:rPr>
            <w:t>Съдържание</w:t>
          </w:r>
          <w:r w:rsidR="007205B2" w:rsidRPr="00581B3B">
            <w:rPr>
              <w:rFonts w:ascii="Times New Roman" w:hAnsi="Times New Roman" w:cs="Times New Roman"/>
              <w:sz w:val="22"/>
              <w:szCs w:val="22"/>
              <w:lang w:val="bg-BG"/>
            </w:rPr>
            <w:t>:</w:t>
          </w:r>
        </w:p>
        <w:p w:rsidR="00D70E0E" w:rsidRDefault="0092130B">
          <w:pPr>
            <w:pStyle w:val="TOC2"/>
            <w:rPr>
              <w:rFonts w:eastAsiaTheme="minorEastAsia"/>
              <w:noProof/>
              <w:lang w:val="en-US"/>
            </w:rPr>
          </w:pPr>
          <w:r w:rsidRPr="00581B3B">
            <w:rPr>
              <w:rFonts w:ascii="Times New Roman" w:hAnsi="Times New Roman" w:cs="Times New Roman"/>
              <w:sz w:val="20"/>
              <w:szCs w:val="20"/>
            </w:rPr>
            <w:fldChar w:fldCharType="begin"/>
          </w:r>
          <w:r w:rsidRPr="00581B3B">
            <w:rPr>
              <w:rFonts w:ascii="Times New Roman" w:hAnsi="Times New Roman" w:cs="Times New Roman"/>
              <w:sz w:val="20"/>
              <w:szCs w:val="20"/>
            </w:rPr>
            <w:instrText xml:space="preserve"> TOC \o "1-3" \h \z \u </w:instrText>
          </w:r>
          <w:r w:rsidRPr="00581B3B">
            <w:rPr>
              <w:rFonts w:ascii="Times New Roman" w:hAnsi="Times New Roman" w:cs="Times New Roman"/>
              <w:sz w:val="20"/>
              <w:szCs w:val="20"/>
            </w:rPr>
            <w:fldChar w:fldCharType="separate"/>
          </w:r>
          <w:hyperlink w:anchor="_Toc130370306" w:history="1">
            <w:r w:rsidR="00D70E0E" w:rsidRPr="00FD05AD">
              <w:rPr>
                <w:rStyle w:val="Hyperlink"/>
                <w:noProof/>
              </w:rPr>
              <w:t>I. Изменения в текстове на мeрки и подмерки</w:t>
            </w:r>
            <w:r w:rsidR="00D70E0E">
              <w:rPr>
                <w:noProof/>
                <w:webHidden/>
              </w:rPr>
              <w:tab/>
            </w:r>
            <w:r w:rsidR="00D70E0E">
              <w:rPr>
                <w:noProof/>
                <w:webHidden/>
              </w:rPr>
              <w:fldChar w:fldCharType="begin"/>
            </w:r>
            <w:r w:rsidR="00D70E0E">
              <w:rPr>
                <w:noProof/>
                <w:webHidden/>
              </w:rPr>
              <w:instrText xml:space="preserve"> PAGEREF _Toc130370306 \h </w:instrText>
            </w:r>
            <w:r w:rsidR="00D70E0E">
              <w:rPr>
                <w:noProof/>
                <w:webHidden/>
              </w:rPr>
            </w:r>
            <w:r w:rsidR="00D70E0E">
              <w:rPr>
                <w:noProof/>
                <w:webHidden/>
              </w:rPr>
              <w:fldChar w:fldCharType="separate"/>
            </w:r>
            <w:r w:rsidR="00D70E0E">
              <w:rPr>
                <w:noProof/>
                <w:webHidden/>
              </w:rPr>
              <w:t>3</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07" w:history="1">
            <w:r w:rsidR="00D70E0E" w:rsidRPr="00FD05AD">
              <w:rPr>
                <w:rStyle w:val="Hyperlink"/>
                <w:noProof/>
              </w:rPr>
              <w:t>1.</w:t>
            </w:r>
            <w:r w:rsidR="00D70E0E">
              <w:rPr>
                <w:rFonts w:eastAsiaTheme="minorEastAsia"/>
                <w:noProof/>
                <w:lang w:val="en-US"/>
              </w:rPr>
              <w:tab/>
            </w:r>
            <w:r w:rsidR="00D70E0E" w:rsidRPr="00FD05AD">
              <w:rPr>
                <w:rStyle w:val="Hyperlink"/>
                <w:noProof/>
              </w:rPr>
              <w:t>Промяна в текста на подмярка 2.2 „Създаване на консултантски услуги“, свързана с разширяване на обхвата на допустимите разходи, одобрена на 19-то заседание на КН на ПРСР,  ще бъде включена в 16 –то изменение на ПРСР (2014-2020).</w:t>
            </w:r>
            <w:r w:rsidR="00D70E0E">
              <w:rPr>
                <w:noProof/>
                <w:webHidden/>
              </w:rPr>
              <w:tab/>
            </w:r>
            <w:r w:rsidR="00D70E0E">
              <w:rPr>
                <w:noProof/>
                <w:webHidden/>
              </w:rPr>
              <w:fldChar w:fldCharType="begin"/>
            </w:r>
            <w:r w:rsidR="00D70E0E">
              <w:rPr>
                <w:noProof/>
                <w:webHidden/>
              </w:rPr>
              <w:instrText xml:space="preserve"> PAGEREF _Toc130370307 \h </w:instrText>
            </w:r>
            <w:r w:rsidR="00D70E0E">
              <w:rPr>
                <w:noProof/>
                <w:webHidden/>
              </w:rPr>
            </w:r>
            <w:r w:rsidR="00D70E0E">
              <w:rPr>
                <w:noProof/>
                <w:webHidden/>
              </w:rPr>
              <w:fldChar w:fldCharType="separate"/>
            </w:r>
            <w:r w:rsidR="00D70E0E">
              <w:rPr>
                <w:noProof/>
                <w:webHidden/>
              </w:rPr>
              <w:t>3</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08" w:history="1">
            <w:r w:rsidR="00D70E0E" w:rsidRPr="00FD05AD">
              <w:rPr>
                <w:rStyle w:val="Hyperlink"/>
                <w:noProof/>
              </w:rPr>
              <w:t>2.</w:t>
            </w:r>
            <w:r w:rsidR="00D70E0E">
              <w:rPr>
                <w:rFonts w:eastAsiaTheme="minorEastAsia"/>
                <w:noProof/>
                <w:lang w:val="en-US"/>
              </w:rPr>
              <w:tab/>
            </w:r>
            <w:r w:rsidR="00D70E0E" w:rsidRPr="00FD05AD">
              <w:rPr>
                <w:rStyle w:val="Hyperlink"/>
                <w:noProof/>
              </w:rPr>
              <w:t>Изменение в текста на подмярка 4.2 „Инвестиции в преработка/маркетинг на селскостопански продукти“ от ПРСР (2014-2020).</w:t>
            </w:r>
            <w:r w:rsidR="00D70E0E">
              <w:rPr>
                <w:noProof/>
                <w:webHidden/>
              </w:rPr>
              <w:tab/>
            </w:r>
            <w:r w:rsidR="00D70E0E">
              <w:rPr>
                <w:noProof/>
                <w:webHidden/>
              </w:rPr>
              <w:fldChar w:fldCharType="begin"/>
            </w:r>
            <w:r w:rsidR="00D70E0E">
              <w:rPr>
                <w:noProof/>
                <w:webHidden/>
              </w:rPr>
              <w:instrText xml:space="preserve"> PAGEREF _Toc130370308 \h </w:instrText>
            </w:r>
            <w:r w:rsidR="00D70E0E">
              <w:rPr>
                <w:noProof/>
                <w:webHidden/>
              </w:rPr>
            </w:r>
            <w:r w:rsidR="00D70E0E">
              <w:rPr>
                <w:noProof/>
                <w:webHidden/>
              </w:rPr>
              <w:fldChar w:fldCharType="separate"/>
            </w:r>
            <w:r w:rsidR="00D70E0E">
              <w:rPr>
                <w:noProof/>
                <w:webHidden/>
              </w:rPr>
              <w:t>4</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09" w:history="1">
            <w:r w:rsidR="00D70E0E" w:rsidRPr="00FD05AD">
              <w:rPr>
                <w:rStyle w:val="Hyperlink"/>
                <w:noProof/>
              </w:rPr>
              <w:t>3.</w:t>
            </w:r>
            <w:r w:rsidR="00D70E0E">
              <w:rPr>
                <w:rFonts w:eastAsiaTheme="minorEastAsia"/>
                <w:noProof/>
                <w:lang w:val="en-US"/>
              </w:rPr>
              <w:tab/>
            </w:r>
            <w:r w:rsidR="00D70E0E" w:rsidRPr="00FD05AD">
              <w:rPr>
                <w:rStyle w:val="Hyperlink"/>
                <w:noProof/>
              </w:rPr>
              <w:t>Изменение в текста на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ПРСР (2014-2020), свързано с включване на нови допустими бенефициенти и разходи</w:t>
            </w:r>
            <w:r w:rsidR="00D70E0E">
              <w:rPr>
                <w:noProof/>
                <w:webHidden/>
              </w:rPr>
              <w:tab/>
            </w:r>
            <w:r w:rsidR="00D70E0E">
              <w:rPr>
                <w:noProof/>
                <w:webHidden/>
              </w:rPr>
              <w:fldChar w:fldCharType="begin"/>
            </w:r>
            <w:r w:rsidR="00D70E0E">
              <w:rPr>
                <w:noProof/>
                <w:webHidden/>
              </w:rPr>
              <w:instrText xml:space="preserve"> PAGEREF _Toc130370309 \h </w:instrText>
            </w:r>
            <w:r w:rsidR="00D70E0E">
              <w:rPr>
                <w:noProof/>
                <w:webHidden/>
              </w:rPr>
            </w:r>
            <w:r w:rsidR="00D70E0E">
              <w:rPr>
                <w:noProof/>
                <w:webHidden/>
              </w:rPr>
              <w:fldChar w:fldCharType="separate"/>
            </w:r>
            <w:r w:rsidR="00D70E0E">
              <w:rPr>
                <w:noProof/>
                <w:webHidden/>
              </w:rPr>
              <w:t>5</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0" w:history="1">
            <w:r w:rsidR="00D70E0E" w:rsidRPr="00FD05AD">
              <w:rPr>
                <w:rStyle w:val="Hyperlink"/>
                <w:noProof/>
              </w:rPr>
              <w:t>4.</w:t>
            </w:r>
            <w:r w:rsidR="00D70E0E">
              <w:rPr>
                <w:rFonts w:eastAsiaTheme="minorEastAsia"/>
                <w:noProof/>
                <w:lang w:val="en-US"/>
              </w:rPr>
              <w:tab/>
            </w:r>
            <w:r w:rsidR="00D70E0E" w:rsidRPr="00FD05AD">
              <w:rPr>
                <w:rStyle w:val="Hyperlink"/>
                <w:noProof/>
              </w:rPr>
              <w:t>Промяна в текста на подмярка 6.1 „Стартова помощ за млади земеделски стопани“ от ПРСР (2014-2020), свързано с възможността за установяване на втори ръководител на земеделското стопанство</w:t>
            </w:r>
            <w:r w:rsidR="00D70E0E">
              <w:rPr>
                <w:noProof/>
                <w:webHidden/>
              </w:rPr>
              <w:tab/>
            </w:r>
            <w:r w:rsidR="00D70E0E">
              <w:rPr>
                <w:noProof/>
                <w:webHidden/>
              </w:rPr>
              <w:fldChar w:fldCharType="begin"/>
            </w:r>
            <w:r w:rsidR="00D70E0E">
              <w:rPr>
                <w:noProof/>
                <w:webHidden/>
              </w:rPr>
              <w:instrText xml:space="preserve"> PAGEREF _Toc130370310 \h </w:instrText>
            </w:r>
            <w:r w:rsidR="00D70E0E">
              <w:rPr>
                <w:noProof/>
                <w:webHidden/>
              </w:rPr>
            </w:r>
            <w:r w:rsidR="00D70E0E">
              <w:rPr>
                <w:noProof/>
                <w:webHidden/>
              </w:rPr>
              <w:fldChar w:fldCharType="separate"/>
            </w:r>
            <w:r w:rsidR="00D70E0E">
              <w:rPr>
                <w:noProof/>
                <w:webHidden/>
              </w:rPr>
              <w:t>10</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1" w:history="1">
            <w:r w:rsidR="00D70E0E" w:rsidRPr="00FD05AD">
              <w:rPr>
                <w:rStyle w:val="Hyperlink"/>
                <w:noProof/>
              </w:rPr>
              <w:t>5.</w:t>
            </w:r>
            <w:r w:rsidR="00D70E0E">
              <w:rPr>
                <w:rFonts w:eastAsiaTheme="minorEastAsia"/>
                <w:noProof/>
                <w:lang w:val="en-US"/>
              </w:rPr>
              <w:tab/>
            </w:r>
            <w:r w:rsidR="00D70E0E" w:rsidRPr="00FD05AD">
              <w:rPr>
                <w:rStyle w:val="Hyperlink"/>
                <w:noProof/>
              </w:rPr>
              <w:t>Изменение на подмярка 6.4.1 „Инвестиции в подкрепа на неземеделски дейности“, свързано с приемането на нова Национална стратегия за малките и средните предприятия</w:t>
            </w:r>
            <w:r w:rsidR="00D70E0E">
              <w:rPr>
                <w:noProof/>
                <w:webHidden/>
              </w:rPr>
              <w:tab/>
            </w:r>
            <w:r w:rsidR="00D70E0E">
              <w:rPr>
                <w:noProof/>
                <w:webHidden/>
              </w:rPr>
              <w:fldChar w:fldCharType="begin"/>
            </w:r>
            <w:r w:rsidR="00D70E0E">
              <w:rPr>
                <w:noProof/>
                <w:webHidden/>
              </w:rPr>
              <w:instrText xml:space="preserve"> PAGEREF _Toc130370311 \h </w:instrText>
            </w:r>
            <w:r w:rsidR="00D70E0E">
              <w:rPr>
                <w:noProof/>
                <w:webHidden/>
              </w:rPr>
            </w:r>
            <w:r w:rsidR="00D70E0E">
              <w:rPr>
                <w:noProof/>
                <w:webHidden/>
              </w:rPr>
              <w:fldChar w:fldCharType="separate"/>
            </w:r>
            <w:r w:rsidR="00D70E0E">
              <w:rPr>
                <w:noProof/>
                <w:webHidden/>
              </w:rPr>
              <w:t>11</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2" w:history="1">
            <w:r w:rsidR="00D70E0E" w:rsidRPr="00FD05AD">
              <w:rPr>
                <w:rStyle w:val="Hyperlink"/>
                <w:noProof/>
              </w:rPr>
              <w:t>6.</w:t>
            </w:r>
            <w:r w:rsidR="00D70E0E">
              <w:rPr>
                <w:rFonts w:eastAsiaTheme="minorEastAsia"/>
                <w:noProof/>
                <w:lang w:val="en-US"/>
              </w:rPr>
              <w:tab/>
            </w:r>
            <w:r w:rsidR="00D70E0E" w:rsidRPr="00FD05AD">
              <w:rPr>
                <w:rStyle w:val="Hyperlink"/>
                <w:noProof/>
              </w:rPr>
              <w:t>Промяна в текста на подмярка 7.2 „Инвестиции в създаването, подобряването или разширяването на всички видове малка по мащаби инфраструктура“</w:t>
            </w:r>
            <w:r w:rsidR="00D70E0E">
              <w:rPr>
                <w:noProof/>
                <w:webHidden/>
              </w:rPr>
              <w:tab/>
            </w:r>
            <w:r w:rsidR="00D70E0E">
              <w:rPr>
                <w:noProof/>
                <w:webHidden/>
              </w:rPr>
              <w:fldChar w:fldCharType="begin"/>
            </w:r>
            <w:r w:rsidR="00D70E0E">
              <w:rPr>
                <w:noProof/>
                <w:webHidden/>
              </w:rPr>
              <w:instrText xml:space="preserve"> PAGEREF _Toc130370312 \h </w:instrText>
            </w:r>
            <w:r w:rsidR="00D70E0E">
              <w:rPr>
                <w:noProof/>
                <w:webHidden/>
              </w:rPr>
            </w:r>
            <w:r w:rsidR="00D70E0E">
              <w:rPr>
                <w:noProof/>
                <w:webHidden/>
              </w:rPr>
              <w:fldChar w:fldCharType="separate"/>
            </w:r>
            <w:r w:rsidR="00D70E0E">
              <w:rPr>
                <w:noProof/>
                <w:webHidden/>
              </w:rPr>
              <w:t>11</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3" w:history="1">
            <w:r w:rsidR="00D70E0E" w:rsidRPr="00FD05AD">
              <w:rPr>
                <w:rStyle w:val="Hyperlink"/>
                <w:noProof/>
              </w:rPr>
              <w:t>7.</w:t>
            </w:r>
            <w:r w:rsidR="00D70E0E">
              <w:rPr>
                <w:rFonts w:eastAsiaTheme="minorEastAsia"/>
                <w:noProof/>
                <w:lang w:val="en-US"/>
              </w:rPr>
              <w:tab/>
            </w:r>
            <w:r w:rsidR="00D70E0E" w:rsidRPr="00FD05AD">
              <w:rPr>
                <w:rStyle w:val="Hyperlink"/>
                <w:noProof/>
              </w:rPr>
              <w:t>Изменения в текстовете на мярка 10 „Агроекология и климат“, мярка 11 „Биологично земеделие“ и Мярка 14 „Хуманно отношение към животните“ от ПРСР (2014-2020).</w:t>
            </w:r>
            <w:r w:rsidR="00D70E0E">
              <w:rPr>
                <w:noProof/>
                <w:webHidden/>
              </w:rPr>
              <w:tab/>
            </w:r>
            <w:r w:rsidR="00D70E0E">
              <w:rPr>
                <w:noProof/>
                <w:webHidden/>
              </w:rPr>
              <w:tab/>
            </w:r>
            <w:r w:rsidR="00D70E0E">
              <w:rPr>
                <w:noProof/>
                <w:webHidden/>
              </w:rPr>
              <w:fldChar w:fldCharType="begin"/>
            </w:r>
            <w:r w:rsidR="00D70E0E">
              <w:rPr>
                <w:noProof/>
                <w:webHidden/>
              </w:rPr>
              <w:instrText xml:space="preserve"> PAGEREF _Toc130370313 \h </w:instrText>
            </w:r>
            <w:r w:rsidR="00D70E0E">
              <w:rPr>
                <w:noProof/>
                <w:webHidden/>
              </w:rPr>
            </w:r>
            <w:r w:rsidR="00D70E0E">
              <w:rPr>
                <w:noProof/>
                <w:webHidden/>
              </w:rPr>
              <w:fldChar w:fldCharType="separate"/>
            </w:r>
            <w:r w:rsidR="00D70E0E">
              <w:rPr>
                <w:noProof/>
                <w:webHidden/>
              </w:rPr>
              <w:t>11</w:t>
            </w:r>
            <w:r w:rsidR="00D70E0E">
              <w:rPr>
                <w:noProof/>
                <w:webHidden/>
              </w:rPr>
              <w:fldChar w:fldCharType="end"/>
            </w:r>
          </w:hyperlink>
        </w:p>
        <w:p w:rsidR="00D70E0E" w:rsidRDefault="00721A66">
          <w:pPr>
            <w:pStyle w:val="TOC2"/>
            <w:rPr>
              <w:rFonts w:eastAsiaTheme="minorEastAsia"/>
              <w:noProof/>
              <w:lang w:val="en-US"/>
            </w:rPr>
          </w:pPr>
          <w:hyperlink w:anchor="_Toc130370314" w:history="1">
            <w:r w:rsidR="00D70E0E" w:rsidRPr="00FD05AD">
              <w:rPr>
                <w:rStyle w:val="Hyperlink"/>
                <w:noProof/>
              </w:rPr>
              <w:t>Възможност за увеличение (индексация) на размера на компенсаторните плащания</w:t>
            </w:r>
            <w:r w:rsidR="00D70E0E">
              <w:rPr>
                <w:noProof/>
                <w:webHidden/>
              </w:rPr>
              <w:tab/>
            </w:r>
            <w:r w:rsidR="00D70E0E">
              <w:rPr>
                <w:noProof/>
                <w:webHidden/>
              </w:rPr>
              <w:fldChar w:fldCharType="begin"/>
            </w:r>
            <w:r w:rsidR="00D70E0E">
              <w:rPr>
                <w:noProof/>
                <w:webHidden/>
              </w:rPr>
              <w:instrText xml:space="preserve"> PAGEREF _Toc130370314 \h </w:instrText>
            </w:r>
            <w:r w:rsidR="00D70E0E">
              <w:rPr>
                <w:noProof/>
                <w:webHidden/>
              </w:rPr>
            </w:r>
            <w:r w:rsidR="00D70E0E">
              <w:rPr>
                <w:noProof/>
                <w:webHidden/>
              </w:rPr>
              <w:fldChar w:fldCharType="separate"/>
            </w:r>
            <w:r w:rsidR="00D70E0E">
              <w:rPr>
                <w:noProof/>
                <w:webHidden/>
              </w:rPr>
              <w:t>12</w:t>
            </w:r>
            <w:r w:rsidR="00D70E0E">
              <w:rPr>
                <w:noProof/>
                <w:webHidden/>
              </w:rPr>
              <w:fldChar w:fldCharType="end"/>
            </w:r>
          </w:hyperlink>
        </w:p>
        <w:p w:rsidR="00D70E0E" w:rsidRDefault="00721A66">
          <w:pPr>
            <w:pStyle w:val="TOC2"/>
            <w:rPr>
              <w:rFonts w:eastAsiaTheme="minorEastAsia"/>
              <w:noProof/>
              <w:lang w:val="en-US"/>
            </w:rPr>
          </w:pPr>
          <w:hyperlink w:anchor="_Toc130370315" w:history="1">
            <w:r w:rsidR="00D70E0E" w:rsidRPr="00FD05AD">
              <w:rPr>
                <w:rStyle w:val="Hyperlink"/>
                <w:noProof/>
              </w:rPr>
              <w:t>Мярка 10 „Агроекология и климат“</w:t>
            </w:r>
            <w:r w:rsidR="00D70E0E">
              <w:rPr>
                <w:noProof/>
                <w:webHidden/>
              </w:rPr>
              <w:tab/>
            </w:r>
            <w:r w:rsidR="00D70E0E">
              <w:rPr>
                <w:noProof/>
                <w:webHidden/>
              </w:rPr>
              <w:fldChar w:fldCharType="begin"/>
            </w:r>
            <w:r w:rsidR="00D70E0E">
              <w:rPr>
                <w:noProof/>
                <w:webHidden/>
              </w:rPr>
              <w:instrText xml:space="preserve"> PAGEREF _Toc130370315 \h </w:instrText>
            </w:r>
            <w:r w:rsidR="00D70E0E">
              <w:rPr>
                <w:noProof/>
                <w:webHidden/>
              </w:rPr>
            </w:r>
            <w:r w:rsidR="00D70E0E">
              <w:rPr>
                <w:noProof/>
                <w:webHidden/>
              </w:rPr>
              <w:fldChar w:fldCharType="separate"/>
            </w:r>
            <w:r w:rsidR="00D70E0E">
              <w:rPr>
                <w:noProof/>
                <w:webHidden/>
              </w:rPr>
              <w:t>12</w:t>
            </w:r>
            <w:r w:rsidR="00D70E0E">
              <w:rPr>
                <w:noProof/>
                <w:webHidden/>
              </w:rPr>
              <w:fldChar w:fldCharType="end"/>
            </w:r>
          </w:hyperlink>
        </w:p>
        <w:p w:rsidR="00D70E0E" w:rsidRDefault="00721A66">
          <w:pPr>
            <w:pStyle w:val="TOC2"/>
            <w:rPr>
              <w:rFonts w:eastAsiaTheme="minorEastAsia"/>
              <w:noProof/>
              <w:lang w:val="en-US"/>
            </w:rPr>
          </w:pPr>
          <w:hyperlink w:anchor="_Toc130370316" w:history="1">
            <w:r w:rsidR="00D70E0E" w:rsidRPr="00FD05AD">
              <w:rPr>
                <w:rStyle w:val="Hyperlink"/>
                <w:noProof/>
              </w:rPr>
              <w:t>Мярка 11 „Биологично земеделие“</w:t>
            </w:r>
            <w:r w:rsidR="00D70E0E">
              <w:rPr>
                <w:noProof/>
                <w:webHidden/>
              </w:rPr>
              <w:tab/>
            </w:r>
            <w:r w:rsidR="00D70E0E">
              <w:rPr>
                <w:noProof/>
                <w:webHidden/>
              </w:rPr>
              <w:fldChar w:fldCharType="begin"/>
            </w:r>
            <w:r w:rsidR="00D70E0E">
              <w:rPr>
                <w:noProof/>
                <w:webHidden/>
              </w:rPr>
              <w:instrText xml:space="preserve"> PAGEREF _Toc130370316 \h </w:instrText>
            </w:r>
            <w:r w:rsidR="00D70E0E">
              <w:rPr>
                <w:noProof/>
                <w:webHidden/>
              </w:rPr>
            </w:r>
            <w:r w:rsidR="00D70E0E">
              <w:rPr>
                <w:noProof/>
                <w:webHidden/>
              </w:rPr>
              <w:fldChar w:fldCharType="separate"/>
            </w:r>
            <w:r w:rsidR="00D70E0E">
              <w:rPr>
                <w:noProof/>
                <w:webHidden/>
              </w:rPr>
              <w:t>15</w:t>
            </w:r>
            <w:r w:rsidR="00D70E0E">
              <w:rPr>
                <w:noProof/>
                <w:webHidden/>
              </w:rPr>
              <w:fldChar w:fldCharType="end"/>
            </w:r>
          </w:hyperlink>
        </w:p>
        <w:p w:rsidR="00D70E0E" w:rsidRDefault="00721A66">
          <w:pPr>
            <w:pStyle w:val="TOC2"/>
            <w:rPr>
              <w:rFonts w:eastAsiaTheme="minorEastAsia"/>
              <w:noProof/>
              <w:lang w:val="en-US"/>
            </w:rPr>
          </w:pPr>
          <w:hyperlink w:anchor="_Toc130370317" w:history="1">
            <w:r w:rsidR="00D70E0E" w:rsidRPr="00FD05AD">
              <w:rPr>
                <w:rStyle w:val="Hyperlink"/>
                <w:noProof/>
              </w:rPr>
              <w:t>Мярка 14 „Хуманно отношение към животните“</w:t>
            </w:r>
            <w:r w:rsidR="00D70E0E">
              <w:rPr>
                <w:noProof/>
                <w:webHidden/>
              </w:rPr>
              <w:tab/>
            </w:r>
            <w:r w:rsidR="00D70E0E">
              <w:rPr>
                <w:noProof/>
                <w:webHidden/>
              </w:rPr>
              <w:fldChar w:fldCharType="begin"/>
            </w:r>
            <w:r w:rsidR="00D70E0E">
              <w:rPr>
                <w:noProof/>
                <w:webHidden/>
              </w:rPr>
              <w:instrText xml:space="preserve"> PAGEREF _Toc130370317 \h </w:instrText>
            </w:r>
            <w:r w:rsidR="00D70E0E">
              <w:rPr>
                <w:noProof/>
                <w:webHidden/>
              </w:rPr>
            </w:r>
            <w:r w:rsidR="00D70E0E">
              <w:rPr>
                <w:noProof/>
                <w:webHidden/>
              </w:rPr>
              <w:fldChar w:fldCharType="separate"/>
            </w:r>
            <w:r w:rsidR="00D70E0E">
              <w:rPr>
                <w:noProof/>
                <w:webHidden/>
              </w:rPr>
              <w:t>16</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8" w:history="1">
            <w:r w:rsidR="00D70E0E" w:rsidRPr="00FD05AD">
              <w:rPr>
                <w:rStyle w:val="Hyperlink"/>
                <w:noProof/>
              </w:rPr>
              <w:t>8.</w:t>
            </w:r>
            <w:r w:rsidR="00D70E0E">
              <w:rPr>
                <w:rFonts w:eastAsiaTheme="minorEastAsia"/>
                <w:noProof/>
                <w:lang w:val="en-US"/>
              </w:rPr>
              <w:tab/>
            </w:r>
            <w:r w:rsidR="00D70E0E" w:rsidRPr="00FD05AD">
              <w:rPr>
                <w:rStyle w:val="Hyperlink"/>
                <w:noProof/>
              </w:rPr>
              <w:t>Промени в мярка 20 „Техническа помощ“ от ПРСР (2014-2020), свързани с уточняване обхвата на допустимост на дейности/разходи</w:t>
            </w:r>
            <w:r w:rsidR="00D70E0E">
              <w:rPr>
                <w:noProof/>
                <w:webHidden/>
              </w:rPr>
              <w:tab/>
            </w:r>
            <w:r w:rsidR="00D70E0E">
              <w:rPr>
                <w:noProof/>
                <w:webHidden/>
              </w:rPr>
              <w:fldChar w:fldCharType="begin"/>
            </w:r>
            <w:r w:rsidR="00D70E0E">
              <w:rPr>
                <w:noProof/>
                <w:webHidden/>
              </w:rPr>
              <w:instrText xml:space="preserve"> PAGEREF _Toc130370318 \h </w:instrText>
            </w:r>
            <w:r w:rsidR="00D70E0E">
              <w:rPr>
                <w:noProof/>
                <w:webHidden/>
              </w:rPr>
            </w:r>
            <w:r w:rsidR="00D70E0E">
              <w:rPr>
                <w:noProof/>
                <w:webHidden/>
              </w:rPr>
              <w:fldChar w:fldCharType="separate"/>
            </w:r>
            <w:r w:rsidR="00D70E0E">
              <w:rPr>
                <w:noProof/>
                <w:webHidden/>
              </w:rPr>
              <w:t>17</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19" w:history="1">
            <w:r w:rsidR="00D70E0E" w:rsidRPr="00FD05AD">
              <w:rPr>
                <w:rStyle w:val="Hyperlink"/>
                <w:noProof/>
              </w:rPr>
              <w:t>9.</w:t>
            </w:r>
            <w:r w:rsidR="00D70E0E">
              <w:rPr>
                <w:rFonts w:eastAsiaTheme="minorEastAsia"/>
                <w:noProof/>
                <w:lang w:val="en-US"/>
              </w:rPr>
              <w:tab/>
            </w:r>
            <w:r w:rsidR="00D70E0E" w:rsidRPr="00FD05AD">
              <w:rPr>
                <w:rStyle w:val="Hyperlink"/>
                <w:noProof/>
              </w:rPr>
              <w:t>Промени в текста на подраздел 8.1. „Описание на общите условия, прилагани за повече от една мярка“ от ПРСР (2014-2020)</w:t>
            </w:r>
            <w:r w:rsidR="00D70E0E">
              <w:rPr>
                <w:noProof/>
                <w:webHidden/>
              </w:rPr>
              <w:tab/>
            </w:r>
            <w:r w:rsidR="00D70E0E">
              <w:rPr>
                <w:noProof/>
                <w:webHidden/>
              </w:rPr>
              <w:fldChar w:fldCharType="begin"/>
            </w:r>
            <w:r w:rsidR="00D70E0E">
              <w:rPr>
                <w:noProof/>
                <w:webHidden/>
              </w:rPr>
              <w:instrText xml:space="preserve"> PAGEREF _Toc130370319 \h </w:instrText>
            </w:r>
            <w:r w:rsidR="00D70E0E">
              <w:rPr>
                <w:noProof/>
                <w:webHidden/>
              </w:rPr>
            </w:r>
            <w:r w:rsidR="00D70E0E">
              <w:rPr>
                <w:noProof/>
                <w:webHidden/>
              </w:rPr>
              <w:fldChar w:fldCharType="separate"/>
            </w:r>
            <w:r w:rsidR="00D70E0E">
              <w:rPr>
                <w:noProof/>
                <w:webHidden/>
              </w:rPr>
              <w:t>20</w:t>
            </w:r>
            <w:r w:rsidR="00D70E0E">
              <w:rPr>
                <w:noProof/>
                <w:webHidden/>
              </w:rPr>
              <w:fldChar w:fldCharType="end"/>
            </w:r>
          </w:hyperlink>
        </w:p>
        <w:p w:rsidR="00D70E0E" w:rsidRDefault="00721A66">
          <w:pPr>
            <w:pStyle w:val="TOC2"/>
            <w:rPr>
              <w:rFonts w:eastAsiaTheme="minorEastAsia"/>
              <w:noProof/>
              <w:lang w:val="en-US"/>
            </w:rPr>
          </w:pPr>
          <w:hyperlink w:anchor="_Toc130370320" w:history="1">
            <w:r w:rsidR="00D70E0E" w:rsidRPr="00FD05AD">
              <w:rPr>
                <w:rStyle w:val="Hyperlink"/>
                <w:noProof/>
              </w:rPr>
              <w:t>II. Прехвърляне на средства между мeрки, подмерки и фокус области от ПРСР (2014-2020)</w:t>
            </w:r>
            <w:r w:rsidR="00D70E0E">
              <w:rPr>
                <w:noProof/>
                <w:webHidden/>
              </w:rPr>
              <w:tab/>
            </w:r>
            <w:r w:rsidR="00D70E0E">
              <w:rPr>
                <w:noProof/>
                <w:webHidden/>
              </w:rPr>
              <w:fldChar w:fldCharType="begin"/>
            </w:r>
            <w:r w:rsidR="00D70E0E">
              <w:rPr>
                <w:noProof/>
                <w:webHidden/>
              </w:rPr>
              <w:instrText xml:space="preserve"> PAGEREF _Toc130370320 \h </w:instrText>
            </w:r>
            <w:r w:rsidR="00D70E0E">
              <w:rPr>
                <w:noProof/>
                <w:webHidden/>
              </w:rPr>
            </w:r>
            <w:r w:rsidR="00D70E0E">
              <w:rPr>
                <w:noProof/>
                <w:webHidden/>
              </w:rPr>
              <w:fldChar w:fldCharType="separate"/>
            </w:r>
            <w:r w:rsidR="00D70E0E">
              <w:rPr>
                <w:noProof/>
                <w:webHidden/>
              </w:rPr>
              <w:t>22</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21" w:history="1">
            <w:r w:rsidR="00D70E0E" w:rsidRPr="00FD05AD">
              <w:rPr>
                <w:rStyle w:val="Hyperlink"/>
                <w:noProof/>
              </w:rPr>
              <w:t>10.</w:t>
            </w:r>
            <w:r w:rsidR="00D70E0E">
              <w:rPr>
                <w:rFonts w:eastAsiaTheme="minorEastAsia"/>
                <w:noProof/>
                <w:lang w:val="en-US"/>
              </w:rPr>
              <w:tab/>
            </w:r>
            <w:r w:rsidR="00D70E0E" w:rsidRPr="00FD05AD">
              <w:rPr>
                <w:rStyle w:val="Hyperlink"/>
                <w:noProof/>
              </w:rPr>
              <w:t>Прехвърляне на средства между мeрки и подмерки от ПРСР 2014-2020 г.</w:t>
            </w:r>
            <w:r w:rsidR="00D70E0E">
              <w:rPr>
                <w:noProof/>
                <w:webHidden/>
              </w:rPr>
              <w:tab/>
            </w:r>
            <w:r w:rsidR="00D70E0E">
              <w:rPr>
                <w:noProof/>
                <w:webHidden/>
              </w:rPr>
              <w:fldChar w:fldCharType="begin"/>
            </w:r>
            <w:r w:rsidR="00D70E0E">
              <w:rPr>
                <w:noProof/>
                <w:webHidden/>
              </w:rPr>
              <w:instrText xml:space="preserve"> PAGEREF _Toc130370321 \h </w:instrText>
            </w:r>
            <w:r w:rsidR="00D70E0E">
              <w:rPr>
                <w:noProof/>
                <w:webHidden/>
              </w:rPr>
            </w:r>
            <w:r w:rsidR="00D70E0E">
              <w:rPr>
                <w:noProof/>
                <w:webHidden/>
              </w:rPr>
              <w:fldChar w:fldCharType="separate"/>
            </w:r>
            <w:r w:rsidR="00D70E0E">
              <w:rPr>
                <w:noProof/>
                <w:webHidden/>
              </w:rPr>
              <w:t>22</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22" w:history="1">
            <w:r w:rsidR="00D70E0E" w:rsidRPr="00FD05AD">
              <w:rPr>
                <w:rStyle w:val="Hyperlink"/>
                <w:noProof/>
              </w:rPr>
              <w:t>11.</w:t>
            </w:r>
            <w:r w:rsidR="00D70E0E">
              <w:rPr>
                <w:rFonts w:eastAsiaTheme="minorEastAsia"/>
                <w:noProof/>
                <w:lang w:val="en-US"/>
              </w:rPr>
              <w:tab/>
            </w:r>
            <w:r w:rsidR="00D70E0E" w:rsidRPr="00FD05AD">
              <w:rPr>
                <w:rStyle w:val="Hyperlink"/>
                <w:noProof/>
              </w:rPr>
              <w:t>Извеждане на средства с цел осигуряване на ресурс</w:t>
            </w:r>
            <w:r w:rsidR="00D70E0E">
              <w:rPr>
                <w:noProof/>
                <w:webHidden/>
              </w:rPr>
              <w:tab/>
            </w:r>
            <w:r w:rsidR="00D70E0E">
              <w:rPr>
                <w:noProof/>
                <w:webHidden/>
              </w:rPr>
              <w:fldChar w:fldCharType="begin"/>
            </w:r>
            <w:r w:rsidR="00D70E0E">
              <w:rPr>
                <w:noProof/>
                <w:webHidden/>
              </w:rPr>
              <w:instrText xml:space="preserve"> PAGEREF _Toc130370322 \h </w:instrText>
            </w:r>
            <w:r w:rsidR="00D70E0E">
              <w:rPr>
                <w:noProof/>
                <w:webHidden/>
              </w:rPr>
            </w:r>
            <w:r w:rsidR="00D70E0E">
              <w:rPr>
                <w:noProof/>
                <w:webHidden/>
              </w:rPr>
              <w:fldChar w:fldCharType="separate"/>
            </w:r>
            <w:r w:rsidR="00D70E0E">
              <w:rPr>
                <w:noProof/>
                <w:webHidden/>
              </w:rPr>
              <w:t>24</w:t>
            </w:r>
            <w:r w:rsidR="00D70E0E">
              <w:rPr>
                <w:noProof/>
                <w:webHidden/>
              </w:rPr>
              <w:fldChar w:fldCharType="end"/>
            </w:r>
          </w:hyperlink>
        </w:p>
        <w:p w:rsidR="00D70E0E" w:rsidRDefault="00721A66">
          <w:pPr>
            <w:pStyle w:val="TOC2"/>
            <w:rPr>
              <w:rFonts w:eastAsiaTheme="minorEastAsia"/>
              <w:noProof/>
              <w:lang w:val="en-US"/>
            </w:rPr>
          </w:pPr>
          <w:hyperlink w:anchor="_Toc130370323" w:history="1">
            <w:r w:rsidR="00D70E0E" w:rsidRPr="00FD05AD">
              <w:rPr>
                <w:rStyle w:val="Hyperlink"/>
                <w:noProof/>
              </w:rPr>
              <w:t>11.1. Извеждане на средства от мярка 1 „Трансфер на знания и действия за осведомяване“</w:t>
            </w:r>
            <w:r w:rsidR="00D70E0E">
              <w:rPr>
                <w:noProof/>
                <w:webHidden/>
              </w:rPr>
              <w:tab/>
            </w:r>
            <w:r w:rsidR="00D70E0E">
              <w:rPr>
                <w:noProof/>
                <w:webHidden/>
              </w:rPr>
              <w:fldChar w:fldCharType="begin"/>
            </w:r>
            <w:r w:rsidR="00D70E0E">
              <w:rPr>
                <w:noProof/>
                <w:webHidden/>
              </w:rPr>
              <w:instrText xml:space="preserve"> PAGEREF _Toc130370323 \h </w:instrText>
            </w:r>
            <w:r w:rsidR="00D70E0E">
              <w:rPr>
                <w:noProof/>
                <w:webHidden/>
              </w:rPr>
            </w:r>
            <w:r w:rsidR="00D70E0E">
              <w:rPr>
                <w:noProof/>
                <w:webHidden/>
              </w:rPr>
              <w:fldChar w:fldCharType="separate"/>
            </w:r>
            <w:r w:rsidR="00D70E0E">
              <w:rPr>
                <w:noProof/>
                <w:webHidden/>
              </w:rPr>
              <w:t>24</w:t>
            </w:r>
            <w:r w:rsidR="00D70E0E">
              <w:rPr>
                <w:noProof/>
                <w:webHidden/>
              </w:rPr>
              <w:fldChar w:fldCharType="end"/>
            </w:r>
          </w:hyperlink>
        </w:p>
        <w:p w:rsidR="00D70E0E" w:rsidRDefault="00721A66">
          <w:pPr>
            <w:pStyle w:val="TOC2"/>
            <w:rPr>
              <w:rFonts w:eastAsiaTheme="minorEastAsia"/>
              <w:noProof/>
              <w:lang w:val="en-US"/>
            </w:rPr>
          </w:pPr>
          <w:hyperlink w:anchor="_Toc130370324" w:history="1">
            <w:r w:rsidR="00D70E0E" w:rsidRPr="00FD05AD">
              <w:rPr>
                <w:rStyle w:val="Hyperlink"/>
                <w:noProof/>
              </w:rPr>
              <w:t>11.2. Извеждане на средства от мярка 6 „Развитие на стопанства и предприятия“</w:t>
            </w:r>
            <w:r w:rsidR="00D70E0E">
              <w:rPr>
                <w:noProof/>
                <w:webHidden/>
              </w:rPr>
              <w:tab/>
            </w:r>
            <w:r w:rsidR="00D70E0E">
              <w:rPr>
                <w:noProof/>
                <w:webHidden/>
              </w:rPr>
              <w:fldChar w:fldCharType="begin"/>
            </w:r>
            <w:r w:rsidR="00D70E0E">
              <w:rPr>
                <w:noProof/>
                <w:webHidden/>
              </w:rPr>
              <w:instrText xml:space="preserve"> PAGEREF _Toc130370324 \h </w:instrText>
            </w:r>
            <w:r w:rsidR="00D70E0E">
              <w:rPr>
                <w:noProof/>
                <w:webHidden/>
              </w:rPr>
            </w:r>
            <w:r w:rsidR="00D70E0E">
              <w:rPr>
                <w:noProof/>
                <w:webHidden/>
              </w:rPr>
              <w:fldChar w:fldCharType="separate"/>
            </w:r>
            <w:r w:rsidR="00D70E0E">
              <w:rPr>
                <w:noProof/>
                <w:webHidden/>
              </w:rPr>
              <w:t>28</w:t>
            </w:r>
            <w:r w:rsidR="00D70E0E">
              <w:rPr>
                <w:noProof/>
                <w:webHidden/>
              </w:rPr>
              <w:fldChar w:fldCharType="end"/>
            </w:r>
          </w:hyperlink>
        </w:p>
        <w:p w:rsidR="00D70E0E" w:rsidRDefault="00721A66">
          <w:pPr>
            <w:pStyle w:val="TOC2"/>
            <w:rPr>
              <w:rFonts w:eastAsiaTheme="minorEastAsia"/>
              <w:noProof/>
              <w:lang w:val="en-US"/>
            </w:rPr>
          </w:pPr>
          <w:hyperlink w:anchor="_Toc130370325" w:history="1">
            <w:r w:rsidR="00D70E0E" w:rsidRPr="00FD05AD">
              <w:rPr>
                <w:rStyle w:val="Hyperlink"/>
                <w:noProof/>
              </w:rPr>
              <w:t>11.3. Извеждане на средства от подмярка 7.3. „Широколентова инфраструктура, включително нейното създаване, подобрение и разширяване“</w:t>
            </w:r>
            <w:r w:rsidR="00D70E0E">
              <w:rPr>
                <w:noProof/>
                <w:webHidden/>
              </w:rPr>
              <w:tab/>
            </w:r>
            <w:r w:rsidR="00D70E0E">
              <w:rPr>
                <w:noProof/>
                <w:webHidden/>
              </w:rPr>
              <w:fldChar w:fldCharType="begin"/>
            </w:r>
            <w:r w:rsidR="00D70E0E">
              <w:rPr>
                <w:noProof/>
                <w:webHidden/>
              </w:rPr>
              <w:instrText xml:space="preserve"> PAGEREF _Toc130370325 \h </w:instrText>
            </w:r>
            <w:r w:rsidR="00D70E0E">
              <w:rPr>
                <w:noProof/>
                <w:webHidden/>
              </w:rPr>
            </w:r>
            <w:r w:rsidR="00D70E0E">
              <w:rPr>
                <w:noProof/>
                <w:webHidden/>
              </w:rPr>
              <w:fldChar w:fldCharType="separate"/>
            </w:r>
            <w:r w:rsidR="00D70E0E">
              <w:rPr>
                <w:noProof/>
                <w:webHidden/>
              </w:rPr>
              <w:t>32</w:t>
            </w:r>
            <w:r w:rsidR="00D70E0E">
              <w:rPr>
                <w:noProof/>
                <w:webHidden/>
              </w:rPr>
              <w:fldChar w:fldCharType="end"/>
            </w:r>
          </w:hyperlink>
        </w:p>
        <w:p w:rsidR="00D70E0E" w:rsidRDefault="00721A66">
          <w:pPr>
            <w:pStyle w:val="TOC2"/>
            <w:rPr>
              <w:rFonts w:eastAsiaTheme="minorEastAsia"/>
              <w:noProof/>
              <w:lang w:val="en-US"/>
            </w:rPr>
          </w:pPr>
          <w:hyperlink w:anchor="_Toc130370326" w:history="1">
            <w:r w:rsidR="00D70E0E" w:rsidRPr="00FD05AD">
              <w:rPr>
                <w:rStyle w:val="Hyperlink"/>
                <w:noProof/>
              </w:rPr>
              <w:t>11.4. Извеждане на остатъчни средства от мерки с плащане на площ - Мярка 10 „Агроекология и климат“, Мярка 11 „Биологично земеделие“, Мярка 12 “Плащания по „Натура-2000” и Рамковата директива  за водите“ и Мярка 13 “Плащания за райони, изправени пред природни или други специфични ограничения“</w:t>
            </w:r>
            <w:r w:rsidR="00D70E0E">
              <w:rPr>
                <w:noProof/>
                <w:webHidden/>
              </w:rPr>
              <w:tab/>
            </w:r>
            <w:r w:rsidR="00D70E0E">
              <w:rPr>
                <w:noProof/>
                <w:webHidden/>
              </w:rPr>
              <w:fldChar w:fldCharType="begin"/>
            </w:r>
            <w:r w:rsidR="00D70E0E">
              <w:rPr>
                <w:noProof/>
                <w:webHidden/>
              </w:rPr>
              <w:instrText xml:space="preserve"> PAGEREF _Toc130370326 \h </w:instrText>
            </w:r>
            <w:r w:rsidR="00D70E0E">
              <w:rPr>
                <w:noProof/>
                <w:webHidden/>
              </w:rPr>
            </w:r>
            <w:r w:rsidR="00D70E0E">
              <w:rPr>
                <w:noProof/>
                <w:webHidden/>
              </w:rPr>
              <w:fldChar w:fldCharType="separate"/>
            </w:r>
            <w:r w:rsidR="00D70E0E">
              <w:rPr>
                <w:noProof/>
                <w:webHidden/>
              </w:rPr>
              <w:t>34</w:t>
            </w:r>
            <w:r w:rsidR="00D70E0E">
              <w:rPr>
                <w:noProof/>
                <w:webHidden/>
              </w:rPr>
              <w:fldChar w:fldCharType="end"/>
            </w:r>
          </w:hyperlink>
        </w:p>
        <w:p w:rsidR="00D70E0E" w:rsidRDefault="00721A66">
          <w:pPr>
            <w:pStyle w:val="TOC2"/>
            <w:rPr>
              <w:rFonts w:eastAsiaTheme="minorEastAsia"/>
              <w:noProof/>
              <w:lang w:val="en-US"/>
            </w:rPr>
          </w:pPr>
          <w:hyperlink w:anchor="_Toc130370327" w:history="1">
            <w:r w:rsidR="00D70E0E" w:rsidRPr="00FD05AD">
              <w:rPr>
                <w:rStyle w:val="Hyperlink"/>
                <w:noProof/>
              </w:rPr>
              <w:t>Мярка 12 “Плащания по „Натура-2000” и Рамковата директива  за водите“ – извеждане на средства</w:t>
            </w:r>
            <w:r w:rsidR="00D70E0E">
              <w:rPr>
                <w:noProof/>
                <w:webHidden/>
              </w:rPr>
              <w:tab/>
            </w:r>
            <w:r w:rsidR="00D70E0E">
              <w:rPr>
                <w:noProof/>
                <w:webHidden/>
              </w:rPr>
              <w:fldChar w:fldCharType="begin"/>
            </w:r>
            <w:r w:rsidR="00D70E0E">
              <w:rPr>
                <w:noProof/>
                <w:webHidden/>
              </w:rPr>
              <w:instrText xml:space="preserve"> PAGEREF _Toc130370327 \h </w:instrText>
            </w:r>
            <w:r w:rsidR="00D70E0E">
              <w:rPr>
                <w:noProof/>
                <w:webHidden/>
              </w:rPr>
            </w:r>
            <w:r w:rsidR="00D70E0E">
              <w:rPr>
                <w:noProof/>
                <w:webHidden/>
              </w:rPr>
              <w:fldChar w:fldCharType="separate"/>
            </w:r>
            <w:r w:rsidR="00D70E0E">
              <w:rPr>
                <w:noProof/>
                <w:webHidden/>
              </w:rPr>
              <w:t>35</w:t>
            </w:r>
            <w:r w:rsidR="00D70E0E">
              <w:rPr>
                <w:noProof/>
                <w:webHidden/>
              </w:rPr>
              <w:fldChar w:fldCharType="end"/>
            </w:r>
          </w:hyperlink>
        </w:p>
        <w:p w:rsidR="00D70E0E" w:rsidRDefault="00721A66">
          <w:pPr>
            <w:pStyle w:val="TOC2"/>
            <w:rPr>
              <w:rFonts w:eastAsiaTheme="minorEastAsia"/>
              <w:noProof/>
              <w:lang w:val="en-US"/>
            </w:rPr>
          </w:pPr>
          <w:hyperlink w:anchor="_Toc130370328" w:history="1">
            <w:r w:rsidR="00D70E0E" w:rsidRPr="00FD05AD">
              <w:rPr>
                <w:rStyle w:val="Hyperlink"/>
                <w:noProof/>
              </w:rPr>
              <w:t>Мярка 14 „Хуманно отношение към животните“ – извеждане на средства</w:t>
            </w:r>
            <w:r w:rsidR="00D70E0E">
              <w:rPr>
                <w:noProof/>
                <w:webHidden/>
              </w:rPr>
              <w:tab/>
            </w:r>
            <w:r w:rsidR="00D70E0E">
              <w:rPr>
                <w:noProof/>
                <w:webHidden/>
              </w:rPr>
              <w:fldChar w:fldCharType="begin"/>
            </w:r>
            <w:r w:rsidR="00D70E0E">
              <w:rPr>
                <w:noProof/>
                <w:webHidden/>
              </w:rPr>
              <w:instrText xml:space="preserve"> PAGEREF _Toc130370328 \h </w:instrText>
            </w:r>
            <w:r w:rsidR="00D70E0E">
              <w:rPr>
                <w:noProof/>
                <w:webHidden/>
              </w:rPr>
            </w:r>
            <w:r w:rsidR="00D70E0E">
              <w:rPr>
                <w:noProof/>
                <w:webHidden/>
              </w:rPr>
              <w:fldChar w:fldCharType="separate"/>
            </w:r>
            <w:r w:rsidR="00D70E0E">
              <w:rPr>
                <w:noProof/>
                <w:webHidden/>
              </w:rPr>
              <w:t>36</w:t>
            </w:r>
            <w:r w:rsidR="00D70E0E">
              <w:rPr>
                <w:noProof/>
                <w:webHidden/>
              </w:rPr>
              <w:fldChar w:fldCharType="end"/>
            </w:r>
          </w:hyperlink>
        </w:p>
        <w:p w:rsidR="00D70E0E" w:rsidRDefault="00721A66">
          <w:pPr>
            <w:pStyle w:val="TOC2"/>
            <w:rPr>
              <w:rFonts w:eastAsiaTheme="minorEastAsia"/>
              <w:noProof/>
              <w:lang w:val="en-US"/>
            </w:rPr>
          </w:pPr>
          <w:hyperlink w:anchor="_Toc130370329" w:history="1">
            <w:r w:rsidR="00D70E0E" w:rsidRPr="00FD05AD">
              <w:rPr>
                <w:rStyle w:val="Hyperlink"/>
                <w:noProof/>
              </w:rPr>
              <w:t>11.5. Извеждане на средства от Мярка 8 „Инвестиции в развитието на горските площи и подобряване на жизнеспособността на горите“</w:t>
            </w:r>
            <w:r w:rsidR="00D70E0E">
              <w:rPr>
                <w:noProof/>
                <w:webHidden/>
              </w:rPr>
              <w:tab/>
            </w:r>
            <w:r w:rsidR="00D70E0E">
              <w:rPr>
                <w:noProof/>
                <w:webHidden/>
              </w:rPr>
              <w:fldChar w:fldCharType="begin"/>
            </w:r>
            <w:r w:rsidR="00D70E0E">
              <w:rPr>
                <w:noProof/>
                <w:webHidden/>
              </w:rPr>
              <w:instrText xml:space="preserve"> PAGEREF _Toc130370329 \h </w:instrText>
            </w:r>
            <w:r w:rsidR="00D70E0E">
              <w:rPr>
                <w:noProof/>
                <w:webHidden/>
              </w:rPr>
            </w:r>
            <w:r w:rsidR="00D70E0E">
              <w:rPr>
                <w:noProof/>
                <w:webHidden/>
              </w:rPr>
              <w:fldChar w:fldCharType="separate"/>
            </w:r>
            <w:r w:rsidR="00D70E0E">
              <w:rPr>
                <w:noProof/>
                <w:webHidden/>
              </w:rPr>
              <w:t>36</w:t>
            </w:r>
            <w:r w:rsidR="00D70E0E">
              <w:rPr>
                <w:noProof/>
                <w:webHidden/>
              </w:rPr>
              <w:fldChar w:fldCharType="end"/>
            </w:r>
          </w:hyperlink>
        </w:p>
        <w:p w:rsidR="00D70E0E" w:rsidRDefault="00721A66">
          <w:pPr>
            <w:pStyle w:val="TOC2"/>
            <w:rPr>
              <w:rFonts w:eastAsiaTheme="minorEastAsia"/>
              <w:noProof/>
              <w:lang w:val="en-US"/>
            </w:rPr>
          </w:pPr>
          <w:hyperlink w:anchor="_Toc130370330" w:history="1">
            <w:r w:rsidR="00D70E0E" w:rsidRPr="00FD05AD">
              <w:rPr>
                <w:rStyle w:val="Hyperlink"/>
                <w:noProof/>
              </w:rPr>
              <w:t>11.6. Извеждане на средства от Мярка 9 „Учредяване на групи и организации на производителите“</w:t>
            </w:r>
            <w:r w:rsidR="00D70E0E">
              <w:rPr>
                <w:noProof/>
                <w:webHidden/>
              </w:rPr>
              <w:tab/>
            </w:r>
            <w:r w:rsidR="00D70E0E">
              <w:rPr>
                <w:noProof/>
                <w:webHidden/>
              </w:rPr>
              <w:fldChar w:fldCharType="begin"/>
            </w:r>
            <w:r w:rsidR="00D70E0E">
              <w:rPr>
                <w:noProof/>
                <w:webHidden/>
              </w:rPr>
              <w:instrText xml:space="preserve"> PAGEREF _Toc130370330 \h </w:instrText>
            </w:r>
            <w:r w:rsidR="00D70E0E">
              <w:rPr>
                <w:noProof/>
                <w:webHidden/>
              </w:rPr>
            </w:r>
            <w:r w:rsidR="00D70E0E">
              <w:rPr>
                <w:noProof/>
                <w:webHidden/>
              </w:rPr>
              <w:fldChar w:fldCharType="separate"/>
            </w:r>
            <w:r w:rsidR="00D70E0E">
              <w:rPr>
                <w:noProof/>
                <w:webHidden/>
              </w:rPr>
              <w:t>38</w:t>
            </w:r>
            <w:r w:rsidR="00D70E0E">
              <w:rPr>
                <w:noProof/>
                <w:webHidden/>
              </w:rPr>
              <w:fldChar w:fldCharType="end"/>
            </w:r>
          </w:hyperlink>
        </w:p>
        <w:p w:rsidR="00D70E0E" w:rsidRDefault="00721A66">
          <w:pPr>
            <w:pStyle w:val="TOC2"/>
            <w:rPr>
              <w:rFonts w:eastAsiaTheme="minorEastAsia"/>
              <w:noProof/>
              <w:lang w:val="en-US"/>
            </w:rPr>
          </w:pPr>
          <w:hyperlink w:anchor="_Toc130370331" w:history="1">
            <w:r w:rsidR="00D70E0E" w:rsidRPr="00FD05AD">
              <w:rPr>
                <w:rStyle w:val="Hyperlink"/>
                <w:noProof/>
              </w:rPr>
              <w:t>11.7. Извеждане на средства от Mярка 16 „Сътрудничество“</w:t>
            </w:r>
            <w:r w:rsidR="00D70E0E">
              <w:rPr>
                <w:noProof/>
                <w:webHidden/>
              </w:rPr>
              <w:tab/>
            </w:r>
            <w:r w:rsidR="00D70E0E">
              <w:rPr>
                <w:noProof/>
                <w:webHidden/>
              </w:rPr>
              <w:fldChar w:fldCharType="begin"/>
            </w:r>
            <w:r w:rsidR="00D70E0E">
              <w:rPr>
                <w:noProof/>
                <w:webHidden/>
              </w:rPr>
              <w:instrText xml:space="preserve"> PAGEREF _Toc130370331 \h </w:instrText>
            </w:r>
            <w:r w:rsidR="00D70E0E">
              <w:rPr>
                <w:noProof/>
                <w:webHidden/>
              </w:rPr>
            </w:r>
            <w:r w:rsidR="00D70E0E">
              <w:rPr>
                <w:noProof/>
                <w:webHidden/>
              </w:rPr>
              <w:fldChar w:fldCharType="separate"/>
            </w:r>
            <w:r w:rsidR="00D70E0E">
              <w:rPr>
                <w:noProof/>
                <w:webHidden/>
              </w:rPr>
              <w:t>39</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32" w:history="1">
            <w:r w:rsidR="00D70E0E" w:rsidRPr="00FD05AD">
              <w:rPr>
                <w:rStyle w:val="Hyperlink"/>
                <w:noProof/>
              </w:rPr>
              <w:t>12.</w:t>
            </w:r>
            <w:r w:rsidR="00D70E0E">
              <w:rPr>
                <w:rFonts w:eastAsiaTheme="minorEastAsia"/>
                <w:noProof/>
                <w:lang w:val="en-US"/>
              </w:rPr>
              <w:tab/>
            </w:r>
            <w:r w:rsidR="00D70E0E" w:rsidRPr="00FD05AD">
              <w:rPr>
                <w:rStyle w:val="Hyperlink"/>
                <w:noProof/>
              </w:rPr>
              <w:t>Прехвърляне на средства към подмерки 4.2, 7.2 и М20</w:t>
            </w:r>
            <w:r w:rsidR="00D70E0E">
              <w:rPr>
                <w:noProof/>
                <w:webHidden/>
              </w:rPr>
              <w:tab/>
            </w:r>
            <w:r w:rsidR="00D70E0E">
              <w:rPr>
                <w:noProof/>
                <w:webHidden/>
              </w:rPr>
              <w:fldChar w:fldCharType="begin"/>
            </w:r>
            <w:r w:rsidR="00D70E0E">
              <w:rPr>
                <w:noProof/>
                <w:webHidden/>
              </w:rPr>
              <w:instrText xml:space="preserve"> PAGEREF _Toc130370332 \h </w:instrText>
            </w:r>
            <w:r w:rsidR="00D70E0E">
              <w:rPr>
                <w:noProof/>
                <w:webHidden/>
              </w:rPr>
            </w:r>
            <w:r w:rsidR="00D70E0E">
              <w:rPr>
                <w:noProof/>
                <w:webHidden/>
              </w:rPr>
              <w:fldChar w:fldCharType="separate"/>
            </w:r>
            <w:r w:rsidR="00D70E0E">
              <w:rPr>
                <w:noProof/>
                <w:webHidden/>
              </w:rPr>
              <w:t>42</w:t>
            </w:r>
            <w:r w:rsidR="00D70E0E">
              <w:rPr>
                <w:noProof/>
                <w:webHidden/>
              </w:rPr>
              <w:fldChar w:fldCharType="end"/>
            </w:r>
          </w:hyperlink>
        </w:p>
        <w:p w:rsidR="00D70E0E" w:rsidRDefault="00721A66">
          <w:pPr>
            <w:pStyle w:val="TOC2"/>
            <w:rPr>
              <w:rFonts w:eastAsiaTheme="minorEastAsia"/>
              <w:noProof/>
              <w:lang w:val="en-US"/>
            </w:rPr>
          </w:pPr>
          <w:hyperlink w:anchor="_Toc130370333" w:history="1">
            <w:r w:rsidR="00D70E0E" w:rsidRPr="00FD05AD">
              <w:rPr>
                <w:rStyle w:val="Hyperlink"/>
                <w:noProof/>
              </w:rPr>
              <w:t>12.1. Прехвърляне на средства към подмярка 4.2 „Инвестиции в земеделски стопанства“</w:t>
            </w:r>
            <w:r w:rsidR="00D70E0E">
              <w:rPr>
                <w:noProof/>
                <w:webHidden/>
              </w:rPr>
              <w:tab/>
            </w:r>
            <w:r w:rsidR="00D70E0E">
              <w:rPr>
                <w:noProof/>
                <w:webHidden/>
              </w:rPr>
              <w:fldChar w:fldCharType="begin"/>
            </w:r>
            <w:r w:rsidR="00D70E0E">
              <w:rPr>
                <w:noProof/>
                <w:webHidden/>
              </w:rPr>
              <w:instrText xml:space="preserve"> PAGEREF _Toc130370333 \h </w:instrText>
            </w:r>
            <w:r w:rsidR="00D70E0E">
              <w:rPr>
                <w:noProof/>
                <w:webHidden/>
              </w:rPr>
            </w:r>
            <w:r w:rsidR="00D70E0E">
              <w:rPr>
                <w:noProof/>
                <w:webHidden/>
              </w:rPr>
              <w:fldChar w:fldCharType="separate"/>
            </w:r>
            <w:r w:rsidR="00D70E0E">
              <w:rPr>
                <w:noProof/>
                <w:webHidden/>
              </w:rPr>
              <w:t>42</w:t>
            </w:r>
            <w:r w:rsidR="00D70E0E">
              <w:rPr>
                <w:noProof/>
                <w:webHidden/>
              </w:rPr>
              <w:fldChar w:fldCharType="end"/>
            </w:r>
          </w:hyperlink>
        </w:p>
        <w:p w:rsidR="00D70E0E" w:rsidRDefault="00721A66">
          <w:pPr>
            <w:pStyle w:val="TOC2"/>
            <w:rPr>
              <w:rFonts w:eastAsiaTheme="minorEastAsia"/>
              <w:noProof/>
              <w:lang w:val="en-US"/>
            </w:rPr>
          </w:pPr>
          <w:hyperlink w:anchor="_Toc130370334" w:history="1">
            <w:r w:rsidR="00D70E0E" w:rsidRPr="00FD05AD">
              <w:rPr>
                <w:rStyle w:val="Hyperlink"/>
                <w:noProof/>
              </w:rPr>
              <w:t>12.2. Прехвърляне на средства към подмярка 7.2 „Инвестиции в създаването, подобряването или разширяването на всички видове малка по мащаби инфраструктура“</w:t>
            </w:r>
            <w:r w:rsidR="00D70E0E">
              <w:rPr>
                <w:noProof/>
                <w:webHidden/>
              </w:rPr>
              <w:tab/>
            </w:r>
            <w:r w:rsidR="00D70E0E">
              <w:rPr>
                <w:noProof/>
                <w:webHidden/>
              </w:rPr>
              <w:fldChar w:fldCharType="begin"/>
            </w:r>
            <w:r w:rsidR="00D70E0E">
              <w:rPr>
                <w:noProof/>
                <w:webHidden/>
              </w:rPr>
              <w:instrText xml:space="preserve"> PAGEREF _Toc130370334 \h </w:instrText>
            </w:r>
            <w:r w:rsidR="00D70E0E">
              <w:rPr>
                <w:noProof/>
                <w:webHidden/>
              </w:rPr>
            </w:r>
            <w:r w:rsidR="00D70E0E">
              <w:rPr>
                <w:noProof/>
                <w:webHidden/>
              </w:rPr>
              <w:fldChar w:fldCharType="separate"/>
            </w:r>
            <w:r w:rsidR="00D70E0E">
              <w:rPr>
                <w:noProof/>
                <w:webHidden/>
              </w:rPr>
              <w:t>42</w:t>
            </w:r>
            <w:r w:rsidR="00D70E0E">
              <w:rPr>
                <w:noProof/>
                <w:webHidden/>
              </w:rPr>
              <w:fldChar w:fldCharType="end"/>
            </w:r>
          </w:hyperlink>
        </w:p>
        <w:p w:rsidR="00D70E0E" w:rsidRDefault="00721A66">
          <w:pPr>
            <w:pStyle w:val="TOC2"/>
            <w:rPr>
              <w:rFonts w:eastAsiaTheme="minorEastAsia"/>
              <w:noProof/>
              <w:lang w:val="en-US"/>
            </w:rPr>
          </w:pPr>
          <w:hyperlink w:anchor="_Toc130370335" w:history="1">
            <w:r w:rsidR="00D70E0E" w:rsidRPr="00FD05AD">
              <w:rPr>
                <w:rStyle w:val="Hyperlink"/>
                <w:noProof/>
              </w:rPr>
              <w:t>Осигуряване на финансово обезпечение на 83 445 789 евро публични средства за покриване изцяло на стартиралите процедури по подмярка 7.2 през 2022 г.</w:t>
            </w:r>
            <w:r w:rsidR="00D70E0E">
              <w:rPr>
                <w:noProof/>
                <w:webHidden/>
              </w:rPr>
              <w:tab/>
            </w:r>
            <w:r w:rsidR="00D70E0E">
              <w:rPr>
                <w:noProof/>
                <w:webHidden/>
              </w:rPr>
              <w:fldChar w:fldCharType="begin"/>
            </w:r>
            <w:r w:rsidR="00D70E0E">
              <w:rPr>
                <w:noProof/>
                <w:webHidden/>
              </w:rPr>
              <w:instrText xml:space="preserve"> PAGEREF _Toc130370335 \h </w:instrText>
            </w:r>
            <w:r w:rsidR="00D70E0E">
              <w:rPr>
                <w:noProof/>
                <w:webHidden/>
              </w:rPr>
            </w:r>
            <w:r w:rsidR="00D70E0E">
              <w:rPr>
                <w:noProof/>
                <w:webHidden/>
              </w:rPr>
              <w:fldChar w:fldCharType="separate"/>
            </w:r>
            <w:r w:rsidR="00D70E0E">
              <w:rPr>
                <w:noProof/>
                <w:webHidden/>
              </w:rPr>
              <w:t>42</w:t>
            </w:r>
            <w:r w:rsidR="00D70E0E">
              <w:rPr>
                <w:noProof/>
                <w:webHidden/>
              </w:rPr>
              <w:fldChar w:fldCharType="end"/>
            </w:r>
          </w:hyperlink>
        </w:p>
        <w:p w:rsidR="00D70E0E" w:rsidRDefault="00721A66">
          <w:pPr>
            <w:pStyle w:val="TOC2"/>
            <w:rPr>
              <w:rFonts w:eastAsiaTheme="minorEastAsia"/>
              <w:noProof/>
              <w:lang w:val="en-US"/>
            </w:rPr>
          </w:pPr>
          <w:hyperlink w:anchor="_Toc130370336" w:history="1">
            <w:r w:rsidR="00D70E0E" w:rsidRPr="00FD05AD">
              <w:rPr>
                <w:rStyle w:val="Hyperlink"/>
                <w:noProof/>
                <w:lang w:val="en-GB"/>
              </w:rPr>
              <w:t>12</w:t>
            </w:r>
            <w:r w:rsidR="00D70E0E" w:rsidRPr="00FD05AD">
              <w:rPr>
                <w:rStyle w:val="Hyperlink"/>
                <w:noProof/>
              </w:rPr>
              <w:t>.3. Прехвърляне на средства към мярка 20 „Техническа помощ“ от ПРСР (2014-2020)</w:t>
            </w:r>
            <w:r w:rsidR="00D70E0E">
              <w:rPr>
                <w:noProof/>
                <w:webHidden/>
              </w:rPr>
              <w:tab/>
            </w:r>
            <w:r w:rsidR="00D70E0E">
              <w:rPr>
                <w:noProof/>
                <w:webHidden/>
              </w:rPr>
              <w:fldChar w:fldCharType="begin"/>
            </w:r>
            <w:r w:rsidR="00D70E0E">
              <w:rPr>
                <w:noProof/>
                <w:webHidden/>
              </w:rPr>
              <w:instrText xml:space="preserve"> PAGEREF _Toc130370336 \h </w:instrText>
            </w:r>
            <w:r w:rsidR="00D70E0E">
              <w:rPr>
                <w:noProof/>
                <w:webHidden/>
              </w:rPr>
            </w:r>
            <w:r w:rsidR="00D70E0E">
              <w:rPr>
                <w:noProof/>
                <w:webHidden/>
              </w:rPr>
              <w:fldChar w:fldCharType="separate"/>
            </w:r>
            <w:r w:rsidR="00D70E0E">
              <w:rPr>
                <w:noProof/>
                <w:webHidden/>
              </w:rPr>
              <w:t>44</w:t>
            </w:r>
            <w:r w:rsidR="00D70E0E">
              <w:rPr>
                <w:noProof/>
                <w:webHidden/>
              </w:rPr>
              <w:fldChar w:fldCharType="end"/>
            </w:r>
          </w:hyperlink>
        </w:p>
        <w:p w:rsidR="00D70E0E" w:rsidRDefault="00721A66">
          <w:pPr>
            <w:pStyle w:val="TOC2"/>
            <w:tabs>
              <w:tab w:val="left" w:pos="1100"/>
            </w:tabs>
            <w:rPr>
              <w:rFonts w:eastAsiaTheme="minorEastAsia"/>
              <w:noProof/>
              <w:lang w:val="en-US"/>
            </w:rPr>
          </w:pPr>
          <w:hyperlink w:anchor="_Toc130370337" w:history="1">
            <w:r w:rsidR="00D70E0E" w:rsidRPr="00FD05AD">
              <w:rPr>
                <w:rStyle w:val="Hyperlink"/>
                <w:noProof/>
              </w:rPr>
              <w:t>13.</w:t>
            </w:r>
            <w:r w:rsidR="00D70E0E">
              <w:rPr>
                <w:rFonts w:eastAsiaTheme="minorEastAsia"/>
                <w:noProof/>
                <w:lang w:val="en-US"/>
              </w:rPr>
              <w:tab/>
            </w:r>
            <w:r w:rsidR="00D70E0E" w:rsidRPr="00FD05AD">
              <w:rPr>
                <w:rStyle w:val="Hyperlink"/>
                <w:noProof/>
              </w:rPr>
              <w:t>Прехвърляне на средства между фокус области в мярка 2, подмярка 4.1 и подмярка 7.2</w:t>
            </w:r>
            <w:r w:rsidR="00D70E0E">
              <w:rPr>
                <w:noProof/>
                <w:webHidden/>
              </w:rPr>
              <w:tab/>
            </w:r>
            <w:r w:rsidR="00D70E0E">
              <w:rPr>
                <w:noProof/>
                <w:webHidden/>
              </w:rPr>
              <w:tab/>
            </w:r>
            <w:r w:rsidR="00D70E0E">
              <w:rPr>
                <w:noProof/>
                <w:webHidden/>
              </w:rPr>
              <w:fldChar w:fldCharType="begin"/>
            </w:r>
            <w:r w:rsidR="00D70E0E">
              <w:rPr>
                <w:noProof/>
                <w:webHidden/>
              </w:rPr>
              <w:instrText xml:space="preserve"> PAGEREF _Toc130370337 \h </w:instrText>
            </w:r>
            <w:r w:rsidR="00D70E0E">
              <w:rPr>
                <w:noProof/>
                <w:webHidden/>
              </w:rPr>
            </w:r>
            <w:r w:rsidR="00D70E0E">
              <w:rPr>
                <w:noProof/>
                <w:webHidden/>
              </w:rPr>
              <w:fldChar w:fldCharType="separate"/>
            </w:r>
            <w:r w:rsidR="00D70E0E">
              <w:rPr>
                <w:noProof/>
                <w:webHidden/>
              </w:rPr>
              <w:t>47</w:t>
            </w:r>
            <w:r w:rsidR="00D70E0E">
              <w:rPr>
                <w:noProof/>
                <w:webHidden/>
              </w:rPr>
              <w:fldChar w:fldCharType="end"/>
            </w:r>
          </w:hyperlink>
        </w:p>
        <w:p w:rsidR="00D70E0E" w:rsidRDefault="00721A66">
          <w:pPr>
            <w:pStyle w:val="TOC2"/>
            <w:rPr>
              <w:rFonts w:eastAsiaTheme="minorEastAsia"/>
              <w:noProof/>
              <w:lang w:val="en-US"/>
            </w:rPr>
          </w:pPr>
          <w:hyperlink w:anchor="_Toc130370338" w:history="1">
            <w:r w:rsidR="00D70E0E" w:rsidRPr="00FD05AD">
              <w:rPr>
                <w:rStyle w:val="Hyperlink"/>
                <w:noProof/>
              </w:rPr>
              <w:t>13.1. Преразпределение на средствата по приоритети и фокус области в рамките на мярка 2 „Консултантски услуги, управление на стопанството и услуги по заместване в стопанството“ от ПРСР 2014-2020 г.</w:t>
            </w:r>
            <w:r w:rsidR="00D70E0E">
              <w:rPr>
                <w:noProof/>
                <w:webHidden/>
              </w:rPr>
              <w:tab/>
            </w:r>
            <w:r w:rsidR="00D70E0E">
              <w:rPr>
                <w:noProof/>
                <w:webHidden/>
              </w:rPr>
              <w:fldChar w:fldCharType="begin"/>
            </w:r>
            <w:r w:rsidR="00D70E0E">
              <w:rPr>
                <w:noProof/>
                <w:webHidden/>
              </w:rPr>
              <w:instrText xml:space="preserve"> PAGEREF _Toc130370338 \h </w:instrText>
            </w:r>
            <w:r w:rsidR="00D70E0E">
              <w:rPr>
                <w:noProof/>
                <w:webHidden/>
              </w:rPr>
            </w:r>
            <w:r w:rsidR="00D70E0E">
              <w:rPr>
                <w:noProof/>
                <w:webHidden/>
              </w:rPr>
              <w:fldChar w:fldCharType="separate"/>
            </w:r>
            <w:r w:rsidR="00D70E0E">
              <w:rPr>
                <w:noProof/>
                <w:webHidden/>
              </w:rPr>
              <w:t>47</w:t>
            </w:r>
            <w:r w:rsidR="00D70E0E">
              <w:rPr>
                <w:noProof/>
                <w:webHidden/>
              </w:rPr>
              <w:fldChar w:fldCharType="end"/>
            </w:r>
          </w:hyperlink>
        </w:p>
        <w:p w:rsidR="00D70E0E" w:rsidRDefault="00721A66">
          <w:pPr>
            <w:pStyle w:val="TOC2"/>
            <w:rPr>
              <w:rFonts w:eastAsiaTheme="minorEastAsia"/>
              <w:noProof/>
              <w:lang w:val="en-US"/>
            </w:rPr>
          </w:pPr>
          <w:hyperlink w:anchor="_Toc130370339" w:history="1">
            <w:r w:rsidR="00D70E0E" w:rsidRPr="00FD05AD">
              <w:rPr>
                <w:rStyle w:val="Hyperlink"/>
                <w:noProof/>
              </w:rPr>
              <w:t>13.2. Прехвърляне на средства между фокус области в подмярка 4.1, вкл. във връзка с договарянето на средствата по линия на ЕУРИ</w:t>
            </w:r>
            <w:r w:rsidR="00D70E0E">
              <w:rPr>
                <w:noProof/>
                <w:webHidden/>
              </w:rPr>
              <w:tab/>
            </w:r>
            <w:r w:rsidR="00D70E0E">
              <w:rPr>
                <w:noProof/>
                <w:webHidden/>
              </w:rPr>
              <w:fldChar w:fldCharType="begin"/>
            </w:r>
            <w:r w:rsidR="00D70E0E">
              <w:rPr>
                <w:noProof/>
                <w:webHidden/>
              </w:rPr>
              <w:instrText xml:space="preserve"> PAGEREF _Toc130370339 \h </w:instrText>
            </w:r>
            <w:r w:rsidR="00D70E0E">
              <w:rPr>
                <w:noProof/>
                <w:webHidden/>
              </w:rPr>
            </w:r>
            <w:r w:rsidR="00D70E0E">
              <w:rPr>
                <w:noProof/>
                <w:webHidden/>
              </w:rPr>
              <w:fldChar w:fldCharType="separate"/>
            </w:r>
            <w:r w:rsidR="00D70E0E">
              <w:rPr>
                <w:noProof/>
                <w:webHidden/>
              </w:rPr>
              <w:t>48</w:t>
            </w:r>
            <w:r w:rsidR="00D70E0E">
              <w:rPr>
                <w:noProof/>
                <w:webHidden/>
              </w:rPr>
              <w:fldChar w:fldCharType="end"/>
            </w:r>
          </w:hyperlink>
        </w:p>
        <w:p w:rsidR="00D70E0E" w:rsidRDefault="00721A66">
          <w:pPr>
            <w:pStyle w:val="TOC2"/>
            <w:rPr>
              <w:rFonts w:eastAsiaTheme="minorEastAsia"/>
              <w:noProof/>
              <w:lang w:val="en-US"/>
            </w:rPr>
          </w:pPr>
          <w:hyperlink w:anchor="_Toc130370340" w:history="1">
            <w:r w:rsidR="00D70E0E" w:rsidRPr="00FD05AD">
              <w:rPr>
                <w:rStyle w:val="Hyperlink"/>
                <w:noProof/>
              </w:rPr>
              <w:t>13.3. Прехвърляне на средства между фокус области в подмярка 7.2</w:t>
            </w:r>
            <w:r w:rsidR="00D70E0E">
              <w:rPr>
                <w:noProof/>
                <w:webHidden/>
              </w:rPr>
              <w:tab/>
            </w:r>
            <w:r w:rsidR="00D70E0E">
              <w:rPr>
                <w:noProof/>
                <w:webHidden/>
              </w:rPr>
              <w:fldChar w:fldCharType="begin"/>
            </w:r>
            <w:r w:rsidR="00D70E0E">
              <w:rPr>
                <w:noProof/>
                <w:webHidden/>
              </w:rPr>
              <w:instrText xml:space="preserve"> PAGEREF _Toc130370340 \h </w:instrText>
            </w:r>
            <w:r w:rsidR="00D70E0E">
              <w:rPr>
                <w:noProof/>
                <w:webHidden/>
              </w:rPr>
            </w:r>
            <w:r w:rsidR="00D70E0E">
              <w:rPr>
                <w:noProof/>
                <w:webHidden/>
              </w:rPr>
              <w:fldChar w:fldCharType="separate"/>
            </w:r>
            <w:r w:rsidR="00D70E0E">
              <w:rPr>
                <w:noProof/>
                <w:webHidden/>
              </w:rPr>
              <w:t>52</w:t>
            </w:r>
            <w:r w:rsidR="00D70E0E">
              <w:rPr>
                <w:noProof/>
                <w:webHidden/>
              </w:rPr>
              <w:fldChar w:fldCharType="end"/>
            </w:r>
          </w:hyperlink>
        </w:p>
        <w:p w:rsidR="00D70E0E" w:rsidRDefault="00721A66">
          <w:pPr>
            <w:pStyle w:val="TOC2"/>
            <w:rPr>
              <w:rFonts w:eastAsiaTheme="minorEastAsia"/>
              <w:noProof/>
              <w:lang w:val="en-US"/>
            </w:rPr>
          </w:pPr>
          <w:hyperlink w:anchor="_Toc130370341" w:history="1">
            <w:r w:rsidR="00D70E0E" w:rsidRPr="00FD05AD">
              <w:rPr>
                <w:rStyle w:val="Hyperlink"/>
                <w:noProof/>
              </w:rPr>
              <w:t>III. Нестартиране на Подмярка 12.2. „Компенсаторни плащания за гори в Натура 2000“ и Подмярка 12.3. „Компенсаторни плащания за земеделски площи в речен басейн с план за управление“, първоначално предвидени за прилагане по ПРСР 2014-2020</w:t>
            </w:r>
            <w:r w:rsidR="00D70E0E">
              <w:rPr>
                <w:noProof/>
                <w:webHidden/>
              </w:rPr>
              <w:tab/>
            </w:r>
            <w:r w:rsidR="00D70E0E">
              <w:rPr>
                <w:noProof/>
                <w:webHidden/>
              </w:rPr>
              <w:fldChar w:fldCharType="begin"/>
            </w:r>
            <w:r w:rsidR="00D70E0E">
              <w:rPr>
                <w:noProof/>
                <w:webHidden/>
              </w:rPr>
              <w:instrText xml:space="preserve"> PAGEREF _Toc130370341 \h </w:instrText>
            </w:r>
            <w:r w:rsidR="00D70E0E">
              <w:rPr>
                <w:noProof/>
                <w:webHidden/>
              </w:rPr>
            </w:r>
            <w:r w:rsidR="00D70E0E">
              <w:rPr>
                <w:noProof/>
                <w:webHidden/>
              </w:rPr>
              <w:fldChar w:fldCharType="separate"/>
            </w:r>
            <w:r w:rsidR="00D70E0E">
              <w:rPr>
                <w:noProof/>
                <w:webHidden/>
              </w:rPr>
              <w:t>53</w:t>
            </w:r>
            <w:r w:rsidR="00D70E0E">
              <w:rPr>
                <w:noProof/>
                <w:webHidden/>
              </w:rPr>
              <w:fldChar w:fldCharType="end"/>
            </w:r>
          </w:hyperlink>
        </w:p>
        <w:p w:rsidR="00D70E0E" w:rsidRDefault="00721A66">
          <w:pPr>
            <w:pStyle w:val="TOC2"/>
            <w:rPr>
              <w:rFonts w:eastAsiaTheme="minorEastAsia"/>
              <w:noProof/>
              <w:lang w:val="en-US"/>
            </w:rPr>
          </w:pPr>
          <w:hyperlink w:anchor="_Toc130370342" w:history="1">
            <w:r w:rsidR="00D70E0E" w:rsidRPr="00FD05AD">
              <w:rPr>
                <w:rStyle w:val="Hyperlink"/>
                <w:noProof/>
              </w:rPr>
              <w:t>Подмярка 12.2. "Компенсаторни плащания за гори в Натура 2000“</w:t>
            </w:r>
            <w:r w:rsidR="00D70E0E">
              <w:rPr>
                <w:noProof/>
                <w:webHidden/>
              </w:rPr>
              <w:tab/>
            </w:r>
            <w:r w:rsidR="00D70E0E">
              <w:rPr>
                <w:noProof/>
                <w:webHidden/>
              </w:rPr>
              <w:fldChar w:fldCharType="begin"/>
            </w:r>
            <w:r w:rsidR="00D70E0E">
              <w:rPr>
                <w:noProof/>
                <w:webHidden/>
              </w:rPr>
              <w:instrText xml:space="preserve"> PAGEREF _Toc130370342 \h </w:instrText>
            </w:r>
            <w:r w:rsidR="00D70E0E">
              <w:rPr>
                <w:noProof/>
                <w:webHidden/>
              </w:rPr>
            </w:r>
            <w:r w:rsidR="00D70E0E">
              <w:rPr>
                <w:noProof/>
                <w:webHidden/>
              </w:rPr>
              <w:fldChar w:fldCharType="separate"/>
            </w:r>
            <w:r w:rsidR="00D70E0E">
              <w:rPr>
                <w:noProof/>
                <w:webHidden/>
              </w:rPr>
              <w:t>53</w:t>
            </w:r>
            <w:r w:rsidR="00D70E0E">
              <w:rPr>
                <w:noProof/>
                <w:webHidden/>
              </w:rPr>
              <w:fldChar w:fldCharType="end"/>
            </w:r>
          </w:hyperlink>
        </w:p>
        <w:p w:rsidR="00D70E0E" w:rsidRDefault="00721A66">
          <w:pPr>
            <w:pStyle w:val="TOC2"/>
            <w:rPr>
              <w:rFonts w:eastAsiaTheme="minorEastAsia"/>
              <w:noProof/>
              <w:lang w:val="en-US"/>
            </w:rPr>
          </w:pPr>
          <w:hyperlink w:anchor="_Toc130370343" w:history="1">
            <w:r w:rsidR="00D70E0E" w:rsidRPr="00FD05AD">
              <w:rPr>
                <w:rStyle w:val="Hyperlink"/>
                <w:noProof/>
              </w:rPr>
              <w:t>Подмярка 12.3. „Компенсаторни плащания за земеделски площи в речен басейн с план за управление“</w:t>
            </w:r>
            <w:r w:rsidR="00D70E0E">
              <w:rPr>
                <w:noProof/>
                <w:webHidden/>
              </w:rPr>
              <w:tab/>
            </w:r>
            <w:r w:rsidR="00D70E0E">
              <w:rPr>
                <w:noProof/>
                <w:webHidden/>
              </w:rPr>
              <w:fldChar w:fldCharType="begin"/>
            </w:r>
            <w:r w:rsidR="00D70E0E">
              <w:rPr>
                <w:noProof/>
                <w:webHidden/>
              </w:rPr>
              <w:instrText xml:space="preserve"> PAGEREF _Toc130370343 \h </w:instrText>
            </w:r>
            <w:r w:rsidR="00D70E0E">
              <w:rPr>
                <w:noProof/>
                <w:webHidden/>
              </w:rPr>
            </w:r>
            <w:r w:rsidR="00D70E0E">
              <w:rPr>
                <w:noProof/>
                <w:webHidden/>
              </w:rPr>
              <w:fldChar w:fldCharType="separate"/>
            </w:r>
            <w:r w:rsidR="00D70E0E">
              <w:rPr>
                <w:noProof/>
                <w:webHidden/>
              </w:rPr>
              <w:t>54</w:t>
            </w:r>
            <w:r w:rsidR="00D70E0E">
              <w:rPr>
                <w:noProof/>
                <w:webHidden/>
              </w:rPr>
              <w:fldChar w:fldCharType="end"/>
            </w:r>
          </w:hyperlink>
        </w:p>
        <w:p w:rsidR="00D70E0E" w:rsidRDefault="00721A66">
          <w:pPr>
            <w:pStyle w:val="TOC2"/>
            <w:rPr>
              <w:rFonts w:eastAsiaTheme="minorEastAsia"/>
              <w:noProof/>
              <w:lang w:val="en-US"/>
            </w:rPr>
          </w:pPr>
          <w:hyperlink w:anchor="_Toc130370344" w:history="1">
            <w:r w:rsidR="00D70E0E" w:rsidRPr="00FD05AD">
              <w:rPr>
                <w:rStyle w:val="Hyperlink"/>
                <w:noProof/>
              </w:rPr>
              <w:t>IV. Очаквано въздействие на изменението върху бюджета на ПРСР 2014-2020</w:t>
            </w:r>
            <w:r w:rsidR="00D70E0E">
              <w:rPr>
                <w:noProof/>
                <w:webHidden/>
              </w:rPr>
              <w:tab/>
            </w:r>
            <w:r w:rsidR="00D70E0E">
              <w:rPr>
                <w:noProof/>
                <w:webHidden/>
              </w:rPr>
              <w:fldChar w:fldCharType="begin"/>
            </w:r>
            <w:r w:rsidR="00D70E0E">
              <w:rPr>
                <w:noProof/>
                <w:webHidden/>
              </w:rPr>
              <w:instrText xml:space="preserve"> PAGEREF _Toc130370344 \h </w:instrText>
            </w:r>
            <w:r w:rsidR="00D70E0E">
              <w:rPr>
                <w:noProof/>
                <w:webHidden/>
              </w:rPr>
            </w:r>
            <w:r w:rsidR="00D70E0E">
              <w:rPr>
                <w:noProof/>
                <w:webHidden/>
              </w:rPr>
              <w:fldChar w:fldCharType="separate"/>
            </w:r>
            <w:r w:rsidR="00D70E0E">
              <w:rPr>
                <w:noProof/>
                <w:webHidden/>
              </w:rPr>
              <w:t>55</w:t>
            </w:r>
            <w:r w:rsidR="00D70E0E">
              <w:rPr>
                <w:noProof/>
                <w:webHidden/>
              </w:rPr>
              <w:fldChar w:fldCharType="end"/>
            </w:r>
          </w:hyperlink>
        </w:p>
        <w:p w:rsidR="00D70E0E" w:rsidRDefault="00721A66">
          <w:pPr>
            <w:pStyle w:val="TOC2"/>
            <w:rPr>
              <w:rFonts w:eastAsiaTheme="minorEastAsia"/>
              <w:noProof/>
              <w:lang w:val="en-US"/>
            </w:rPr>
          </w:pPr>
          <w:hyperlink w:anchor="_Toc130370345" w:history="1">
            <w:r w:rsidR="00D70E0E" w:rsidRPr="00FD05AD">
              <w:rPr>
                <w:rStyle w:val="Hyperlink"/>
                <w:noProof/>
              </w:rPr>
              <w:t>V. Очаквано въздействие на изменението върху показателите</w:t>
            </w:r>
            <w:r w:rsidR="00D70E0E">
              <w:rPr>
                <w:noProof/>
                <w:webHidden/>
              </w:rPr>
              <w:tab/>
            </w:r>
            <w:r w:rsidR="00D70E0E">
              <w:rPr>
                <w:noProof/>
                <w:webHidden/>
              </w:rPr>
              <w:fldChar w:fldCharType="begin"/>
            </w:r>
            <w:r w:rsidR="00D70E0E">
              <w:rPr>
                <w:noProof/>
                <w:webHidden/>
              </w:rPr>
              <w:instrText xml:space="preserve"> PAGEREF _Toc130370345 \h </w:instrText>
            </w:r>
            <w:r w:rsidR="00D70E0E">
              <w:rPr>
                <w:noProof/>
                <w:webHidden/>
              </w:rPr>
            </w:r>
            <w:r w:rsidR="00D70E0E">
              <w:rPr>
                <w:noProof/>
                <w:webHidden/>
              </w:rPr>
              <w:fldChar w:fldCharType="separate"/>
            </w:r>
            <w:r w:rsidR="00D70E0E">
              <w:rPr>
                <w:noProof/>
                <w:webHidden/>
              </w:rPr>
              <w:t>55</w:t>
            </w:r>
            <w:r w:rsidR="00D70E0E">
              <w:rPr>
                <w:noProof/>
                <w:webHidden/>
              </w:rPr>
              <w:fldChar w:fldCharType="end"/>
            </w:r>
          </w:hyperlink>
        </w:p>
        <w:p w:rsidR="006A53D1" w:rsidRPr="00581B3B" w:rsidRDefault="0092130B" w:rsidP="007205B2">
          <w:pPr>
            <w:spacing w:line="240" w:lineRule="auto"/>
            <w:rPr>
              <w:rFonts w:ascii="Times New Roman" w:hAnsi="Times New Roman" w:cs="Times New Roman"/>
              <w:sz w:val="20"/>
              <w:szCs w:val="20"/>
            </w:rPr>
          </w:pPr>
          <w:r w:rsidRPr="00581B3B">
            <w:rPr>
              <w:rFonts w:ascii="Times New Roman" w:hAnsi="Times New Roman" w:cs="Times New Roman"/>
              <w:b/>
              <w:bCs/>
              <w:sz w:val="20"/>
              <w:szCs w:val="20"/>
            </w:rPr>
            <w:fldChar w:fldCharType="end"/>
          </w:r>
        </w:p>
      </w:sdtContent>
    </w:sdt>
    <w:p w:rsidR="00095555" w:rsidRPr="00581B3B" w:rsidRDefault="00095555">
      <w:pPr>
        <w:rPr>
          <w:rFonts w:ascii="Times New Roman" w:eastAsia="Times New Roman" w:hAnsi="Times New Roman" w:cs="Times New Roman"/>
          <w:b/>
          <w:color w:val="548DD4" w:themeColor="text2" w:themeTint="99"/>
          <w:sz w:val="24"/>
          <w:szCs w:val="20"/>
        </w:rPr>
      </w:pPr>
      <w:r w:rsidRPr="00581B3B">
        <w:rPr>
          <w:color w:val="548DD4" w:themeColor="text2" w:themeTint="99"/>
        </w:rPr>
        <w:br w:type="page"/>
      </w:r>
    </w:p>
    <w:p w:rsidR="006A53D1" w:rsidRPr="00581B3B" w:rsidRDefault="006A53D1" w:rsidP="00B35E6D">
      <w:pPr>
        <w:pStyle w:val="Heading2"/>
        <w:numPr>
          <w:ilvl w:val="0"/>
          <w:numId w:val="0"/>
        </w:numPr>
      </w:pPr>
      <w:bookmarkStart w:id="1" w:name="_Toc130370306"/>
      <w:r w:rsidRPr="00581B3B">
        <w:lastRenderedPageBreak/>
        <w:t xml:space="preserve">I. Изменения в текстове на </w:t>
      </w:r>
      <w:r w:rsidR="00EF32DD" w:rsidRPr="00581B3B">
        <w:t>мeрки</w:t>
      </w:r>
      <w:r w:rsidRPr="00581B3B">
        <w:t xml:space="preserve"> и подмерки</w:t>
      </w:r>
      <w:bookmarkEnd w:id="1"/>
    </w:p>
    <w:p w:rsidR="00B74BF4" w:rsidRPr="00581B3B" w:rsidRDefault="0001511F" w:rsidP="00B35E6D">
      <w:pPr>
        <w:pStyle w:val="Heading2"/>
      </w:pPr>
      <w:bookmarkStart w:id="2" w:name="_Toc130370307"/>
      <w:r>
        <w:t>Изменение</w:t>
      </w:r>
      <w:r w:rsidR="002C308C" w:rsidRPr="00581B3B">
        <w:t xml:space="preserve"> в текста на подмярка 2.2 „Създаване на</w:t>
      </w:r>
      <w:r w:rsidR="005D4B17">
        <w:t xml:space="preserve"> консултантски услуги“, свързано</w:t>
      </w:r>
      <w:r w:rsidR="002C308C" w:rsidRPr="00581B3B">
        <w:t xml:space="preserve"> с разширяване на обхвата на допустимите разходи, одобрен</w:t>
      </w:r>
      <w:r w:rsidR="005D4B17">
        <w:t>о</w:t>
      </w:r>
      <w:r w:rsidR="002C308C" w:rsidRPr="00581B3B">
        <w:t xml:space="preserve"> на 19-то заседание на КН на ПРСР</w:t>
      </w:r>
      <w:r w:rsidR="005D4B17">
        <w:t xml:space="preserve"> – </w:t>
      </w:r>
      <w:r w:rsidR="002C308C" w:rsidRPr="00581B3B">
        <w:t>ще</w:t>
      </w:r>
      <w:r w:rsidR="005D4B17">
        <w:t xml:space="preserve"> </w:t>
      </w:r>
      <w:r w:rsidR="002C308C" w:rsidRPr="00581B3B">
        <w:t>бъде включен</w:t>
      </w:r>
      <w:r w:rsidR="005D4B17">
        <w:t>о</w:t>
      </w:r>
      <w:r w:rsidR="002C308C" w:rsidRPr="00581B3B">
        <w:t xml:space="preserve"> в 16 –то изменение на ПРСР (2014-2020).</w:t>
      </w:r>
      <w:bookmarkEnd w:id="2"/>
    </w:p>
    <w:p w:rsidR="009B526C" w:rsidRPr="00581B3B" w:rsidRDefault="009B526C"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1. Комитетът за наблюдение </w:t>
      </w:r>
      <w:r w:rsidR="00280661" w:rsidRPr="00581B3B">
        <w:rPr>
          <w:rFonts w:ascii="Times New Roman" w:hAnsi="Times New Roman" w:cs="Times New Roman"/>
          <w:sz w:val="24"/>
          <w:szCs w:val="24"/>
        </w:rPr>
        <w:t xml:space="preserve">на </w:t>
      </w:r>
      <w:r w:rsidRPr="00581B3B">
        <w:rPr>
          <w:rFonts w:ascii="Times New Roman" w:hAnsi="Times New Roman" w:cs="Times New Roman"/>
          <w:sz w:val="24"/>
          <w:szCs w:val="24"/>
        </w:rPr>
        <w:t xml:space="preserve">ПРСР 2014-2020 г., на своето заседание, проведено на 11.11.2022 г. одобри предложението на УО за </w:t>
      </w:r>
      <w:r w:rsidR="005D4B17">
        <w:rPr>
          <w:rFonts w:ascii="Times New Roman" w:hAnsi="Times New Roman" w:cs="Times New Roman"/>
          <w:sz w:val="24"/>
          <w:szCs w:val="24"/>
        </w:rPr>
        <w:t>изменение</w:t>
      </w:r>
      <w:r w:rsidRPr="00581B3B">
        <w:rPr>
          <w:rFonts w:ascii="Times New Roman" w:hAnsi="Times New Roman" w:cs="Times New Roman"/>
          <w:sz w:val="24"/>
          <w:szCs w:val="24"/>
        </w:rPr>
        <w:t xml:space="preserve"> в текста на подмярка 2.2. „Създаване на консултантски услуги</w:t>
      </w:r>
      <w:r w:rsidR="0001511F">
        <w:rPr>
          <w:rFonts w:ascii="Times New Roman" w:hAnsi="Times New Roman" w:cs="Times New Roman"/>
          <w:sz w:val="24"/>
          <w:szCs w:val="24"/>
        </w:rPr>
        <w:t>“</w:t>
      </w:r>
      <w:r w:rsidRPr="00581B3B">
        <w:rPr>
          <w:rFonts w:ascii="Times New Roman" w:hAnsi="Times New Roman" w:cs="Times New Roman"/>
          <w:sz w:val="24"/>
          <w:szCs w:val="24"/>
        </w:rPr>
        <w:t xml:space="preserve"> от мярка 2 „Консултантски услуги, услуги по управление на стопанство и услуги по заместване в стопанство“:</w:t>
      </w:r>
    </w:p>
    <w:p w:rsidR="009B526C" w:rsidRPr="00581B3B" w:rsidRDefault="00275500" w:rsidP="009B526C">
      <w:pPr>
        <w:spacing w:after="0"/>
        <w:jc w:val="both"/>
        <w:rPr>
          <w:rFonts w:ascii="Times New Roman" w:hAnsi="Times New Roman" w:cs="Times New Roman"/>
          <w:b/>
          <w:sz w:val="24"/>
          <w:szCs w:val="24"/>
        </w:rPr>
      </w:pPr>
      <w:r w:rsidRPr="00581B3B">
        <w:rPr>
          <w:rFonts w:ascii="Times New Roman" w:hAnsi="Times New Roman" w:cs="Times New Roman"/>
          <w:b/>
          <w:sz w:val="24"/>
          <w:szCs w:val="24"/>
        </w:rPr>
        <w:t>Таблица 1</w:t>
      </w:r>
      <w:r w:rsidR="009B526C" w:rsidRPr="00581B3B">
        <w:rPr>
          <w:rFonts w:ascii="Times New Roman" w:hAnsi="Times New Roman" w:cs="Times New Roman"/>
          <w:b/>
          <w:sz w:val="24"/>
          <w:szCs w:val="24"/>
        </w:rPr>
        <w:t>:</w:t>
      </w:r>
    </w:p>
    <w:tbl>
      <w:tblPr>
        <w:tblStyle w:val="TableGrid1"/>
        <w:tblW w:w="5000" w:type="pct"/>
        <w:tblInd w:w="-5" w:type="dxa"/>
        <w:tblLook w:val="04A0" w:firstRow="1" w:lastRow="0" w:firstColumn="1" w:lastColumn="0" w:noHBand="0" w:noVBand="1"/>
      </w:tblPr>
      <w:tblGrid>
        <w:gridCol w:w="4224"/>
        <w:gridCol w:w="5064"/>
      </w:tblGrid>
      <w:tr w:rsidR="009B526C" w:rsidRPr="00581B3B" w:rsidTr="009B526C">
        <w:trPr>
          <w:trHeight w:val="420"/>
        </w:trPr>
        <w:tc>
          <w:tcPr>
            <w:tcW w:w="22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B526C" w:rsidRPr="00581B3B" w:rsidRDefault="009B526C" w:rsidP="009B526C">
            <w:pPr>
              <w:contextualSpacing/>
              <w:jc w:val="center"/>
              <w:rPr>
                <w:rFonts w:ascii="Times New Roman" w:eastAsia="Times New Roman" w:hAnsi="Times New Roman"/>
                <w:b/>
                <w:sz w:val="18"/>
                <w:szCs w:val="18"/>
              </w:rPr>
            </w:pPr>
            <w:r w:rsidRPr="00581B3B">
              <w:rPr>
                <w:rFonts w:ascii="Times New Roman" w:eastAsia="Times New Roman" w:hAnsi="Times New Roman"/>
                <w:b/>
                <w:sz w:val="18"/>
                <w:szCs w:val="18"/>
              </w:rPr>
              <w:t>Стар текст в ПРСР 2014-2020 г.</w:t>
            </w:r>
          </w:p>
        </w:tc>
        <w:tc>
          <w:tcPr>
            <w:tcW w:w="2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B526C" w:rsidRPr="00581B3B" w:rsidRDefault="009B526C" w:rsidP="009B526C">
            <w:pPr>
              <w:contextualSpacing/>
              <w:jc w:val="center"/>
              <w:rPr>
                <w:rFonts w:ascii="Times New Roman" w:eastAsia="Times New Roman" w:hAnsi="Times New Roman"/>
                <w:b/>
                <w:sz w:val="18"/>
                <w:szCs w:val="18"/>
              </w:rPr>
            </w:pPr>
            <w:r w:rsidRPr="00581B3B">
              <w:rPr>
                <w:rFonts w:ascii="Times New Roman" w:eastAsia="Times New Roman" w:hAnsi="Times New Roman"/>
                <w:b/>
                <w:sz w:val="18"/>
                <w:szCs w:val="18"/>
              </w:rPr>
              <w:t>Предложение за нов текст в ПРСР 2014-2020 г.</w:t>
            </w:r>
          </w:p>
        </w:tc>
      </w:tr>
      <w:tr w:rsidR="009B526C" w:rsidRPr="00581B3B" w:rsidTr="009B526C">
        <w:tc>
          <w:tcPr>
            <w:tcW w:w="2274" w:type="pct"/>
            <w:tcBorders>
              <w:top w:val="single" w:sz="4" w:space="0" w:color="auto"/>
              <w:left w:val="single" w:sz="4" w:space="0" w:color="auto"/>
              <w:bottom w:val="single" w:sz="4" w:space="0" w:color="auto"/>
              <w:right w:val="single" w:sz="4" w:space="0" w:color="auto"/>
            </w:tcBorders>
          </w:tcPr>
          <w:p w:rsidR="009B526C" w:rsidRPr="00581B3B" w:rsidRDefault="009B526C" w:rsidP="009B526C">
            <w:pPr>
              <w:spacing w:after="120"/>
              <w:jc w:val="both"/>
              <w:rPr>
                <w:rFonts w:ascii="Times New Roman" w:eastAsia="Times New Roman" w:hAnsi="Times New Roman"/>
                <w:b/>
                <w:sz w:val="18"/>
                <w:szCs w:val="18"/>
              </w:rPr>
            </w:pPr>
            <w:r w:rsidRPr="00581B3B">
              <w:rPr>
                <w:rFonts w:ascii="Times New Roman" w:eastAsia="Times New Roman" w:hAnsi="Times New Roman"/>
                <w:b/>
                <w:sz w:val="18"/>
                <w:szCs w:val="18"/>
              </w:rPr>
              <w:t>Раздел 8.2.2.3.3.5. Допустими разходи</w:t>
            </w:r>
          </w:p>
          <w:p w:rsidR="009B526C" w:rsidRPr="00581B3B" w:rsidRDefault="009B526C" w:rsidP="009B526C">
            <w:pPr>
              <w:spacing w:after="120"/>
              <w:jc w:val="both"/>
              <w:rPr>
                <w:rFonts w:ascii="Times New Roman" w:eastAsia="Times New Roman" w:hAnsi="Times New Roman"/>
                <w:sz w:val="18"/>
                <w:szCs w:val="18"/>
              </w:rPr>
            </w:pPr>
            <w:r w:rsidRPr="00581B3B">
              <w:rPr>
                <w:rFonts w:ascii="Times New Roman" w:eastAsia="Times New Roman" w:hAnsi="Times New Roman"/>
                <w:sz w:val="18"/>
                <w:szCs w:val="18"/>
              </w:rPr>
              <w:t>По подмярка 2.2. са допустими само разходи ясно свързани със стартирането на дейността на мобилните общинските центрове (офиси) и осигуряването на тяхната нормална работа и първоначално функциониране през първите 5 години от дейността им и по специално:</w:t>
            </w:r>
          </w:p>
          <w:p w:rsidR="009B526C" w:rsidRPr="00581B3B" w:rsidRDefault="009B526C" w:rsidP="009B526C">
            <w:pPr>
              <w:spacing w:after="120"/>
              <w:jc w:val="both"/>
              <w:rPr>
                <w:rFonts w:ascii="Times New Roman" w:eastAsia="Times New Roman" w:hAnsi="Times New Roman"/>
                <w:sz w:val="18"/>
                <w:szCs w:val="18"/>
              </w:rPr>
            </w:pPr>
            <w:r w:rsidRPr="00581B3B">
              <w:rPr>
                <w:rFonts w:ascii="Times New Roman" w:eastAsia="Times New Roman" w:hAnsi="Times New Roman"/>
                <w:sz w:val="18"/>
                <w:szCs w:val="18"/>
              </w:rPr>
              <w:t>·      разходи за дълготрайни материални и нематериални активи стриктно свързани със създаването и функционирането на мобилните общинските центрове (офиси) в т.ч.  разходи за софтуерни продукти, оборудване, обзавеждане и закупуване на автомобили;</w:t>
            </w:r>
          </w:p>
          <w:p w:rsidR="009B526C" w:rsidRPr="00581B3B" w:rsidRDefault="009B526C" w:rsidP="009B526C">
            <w:pPr>
              <w:spacing w:after="120"/>
              <w:rPr>
                <w:rFonts w:ascii="Times New Roman" w:eastAsia="Times New Roman" w:hAnsi="Times New Roman"/>
                <w:sz w:val="18"/>
                <w:szCs w:val="18"/>
              </w:rPr>
            </w:pPr>
          </w:p>
        </w:tc>
        <w:tc>
          <w:tcPr>
            <w:tcW w:w="2726" w:type="pct"/>
            <w:tcBorders>
              <w:top w:val="single" w:sz="4" w:space="0" w:color="auto"/>
              <w:left w:val="single" w:sz="4" w:space="0" w:color="auto"/>
              <w:bottom w:val="single" w:sz="4" w:space="0" w:color="auto"/>
              <w:right w:val="single" w:sz="4" w:space="0" w:color="auto"/>
            </w:tcBorders>
          </w:tcPr>
          <w:p w:rsidR="009B526C" w:rsidRPr="00581B3B" w:rsidRDefault="009B526C" w:rsidP="009B526C">
            <w:pPr>
              <w:spacing w:after="120"/>
              <w:jc w:val="both"/>
              <w:rPr>
                <w:rFonts w:ascii="Times New Roman" w:eastAsia="Times New Roman" w:hAnsi="Times New Roman"/>
                <w:b/>
                <w:sz w:val="18"/>
                <w:szCs w:val="18"/>
              </w:rPr>
            </w:pPr>
            <w:r w:rsidRPr="00581B3B">
              <w:rPr>
                <w:rFonts w:ascii="Times New Roman" w:eastAsia="Times New Roman" w:hAnsi="Times New Roman"/>
                <w:b/>
                <w:sz w:val="18"/>
                <w:szCs w:val="18"/>
              </w:rPr>
              <w:t>Раздел 8.2.2.3.3.5. Допустими разходи</w:t>
            </w:r>
          </w:p>
          <w:p w:rsidR="009B526C" w:rsidRPr="00581B3B" w:rsidRDefault="009B526C" w:rsidP="009B526C">
            <w:pPr>
              <w:spacing w:after="120"/>
              <w:jc w:val="both"/>
              <w:rPr>
                <w:rFonts w:ascii="Times New Roman" w:eastAsia="Times New Roman" w:hAnsi="Times New Roman"/>
                <w:sz w:val="18"/>
                <w:szCs w:val="18"/>
              </w:rPr>
            </w:pPr>
            <w:r w:rsidRPr="00581B3B">
              <w:rPr>
                <w:rFonts w:ascii="Times New Roman" w:eastAsia="Times New Roman" w:hAnsi="Times New Roman"/>
                <w:sz w:val="18"/>
                <w:szCs w:val="18"/>
              </w:rPr>
              <w:t>По подмярка 2.2. са допустими само разходи ясно свързани със стартирането на дейността на мобилните общинските центрове (офиси) и осигуряването на тяхната нормална работа и първоначално функциониране през първите 5 години от дейността им и по специално:</w:t>
            </w:r>
          </w:p>
          <w:p w:rsidR="009B526C" w:rsidRPr="00581B3B" w:rsidRDefault="009B526C" w:rsidP="009B526C">
            <w:pPr>
              <w:spacing w:after="120"/>
              <w:jc w:val="both"/>
              <w:rPr>
                <w:rFonts w:ascii="Times New Roman" w:eastAsia="Times New Roman" w:hAnsi="Times New Roman"/>
                <w:b/>
                <w:sz w:val="18"/>
                <w:szCs w:val="18"/>
              </w:rPr>
            </w:pPr>
            <w:r w:rsidRPr="00581B3B">
              <w:rPr>
                <w:rFonts w:ascii="Times New Roman" w:eastAsia="Times New Roman" w:hAnsi="Times New Roman"/>
                <w:sz w:val="18"/>
                <w:szCs w:val="18"/>
              </w:rPr>
              <w:t xml:space="preserve">·      разходи за дълготрайни материални и нематериални активи стриктно свързани със създаването и функционирането на мобилните общинските центрове (офиси) в т.ч.  разходи за софтуерни продукти, оборудване, обзавеждане и закупуване на автомобили, </w:t>
            </w:r>
            <w:r w:rsidRPr="00581B3B">
              <w:rPr>
                <w:rFonts w:ascii="Times New Roman" w:eastAsia="Times New Roman" w:hAnsi="Times New Roman"/>
                <w:b/>
                <w:color w:val="FF0000"/>
                <w:sz w:val="18"/>
                <w:szCs w:val="18"/>
              </w:rPr>
              <w:t>както и разходи за задължителни по българското законодателство застраховки на автомобилите и за застраховка пълно „Каско“, както и разходи за застраховка на останалите дълготрайните материални активи, предмет на подпомагане за рисковете, посочени в насоките за кандидатстване по подмярката;</w:t>
            </w:r>
          </w:p>
        </w:tc>
      </w:tr>
    </w:tbl>
    <w:p w:rsidR="009B526C" w:rsidRPr="00581B3B" w:rsidRDefault="009B526C" w:rsidP="009B526C">
      <w:pPr>
        <w:spacing w:after="0"/>
        <w:ind w:firstLine="567"/>
        <w:jc w:val="both"/>
        <w:rPr>
          <w:rFonts w:ascii="Times New Roman" w:hAnsi="Times New Roman" w:cs="Times New Roman"/>
          <w:b/>
          <w:sz w:val="24"/>
          <w:szCs w:val="24"/>
        </w:rPr>
      </w:pPr>
    </w:p>
    <w:p w:rsidR="009B526C" w:rsidRPr="00581B3B" w:rsidRDefault="009B526C"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2. Съгласно данни на Националния статистически институт (НСИ) през октомври 2022 г. месечната инфлация, измерена с индекса на потребителските цени (ИПЦ), е 0.9 % спрямо предходния месец, а годишната инфлация за октомври 2022 г. спрямо октомври 2021 г. е 17.6 %. От друга страна, последните данни на НСИ показват, че средната брутна годишна работна заплата в сектор „Професионални дейности и научни изследвания“ за </w:t>
      </w:r>
      <w:r w:rsidRPr="00581B3B">
        <w:rPr>
          <w:rFonts w:ascii="Times New Roman" w:hAnsi="Times New Roman" w:cs="Times New Roman"/>
          <w:sz w:val="24"/>
          <w:szCs w:val="24"/>
        </w:rPr>
        <w:lastRenderedPageBreak/>
        <w:t xml:space="preserve">2021 г. спрямо средната брутна годишна работна заплата в съответния сектор за 2019 г. се е повишила с над 15 %. </w:t>
      </w:r>
    </w:p>
    <w:p w:rsidR="009B526C" w:rsidRPr="00581B3B" w:rsidRDefault="009B526C" w:rsidP="001D683F">
      <w:pPr>
        <w:jc w:val="both"/>
        <w:rPr>
          <w:rFonts w:ascii="Times New Roman" w:hAnsi="Times New Roman" w:cs="Times New Roman"/>
          <w:sz w:val="24"/>
          <w:szCs w:val="24"/>
        </w:rPr>
      </w:pPr>
      <w:r w:rsidRPr="00581B3B">
        <w:rPr>
          <w:rFonts w:ascii="Times New Roman" w:hAnsi="Times New Roman" w:cs="Times New Roman"/>
          <w:sz w:val="24"/>
          <w:szCs w:val="24"/>
        </w:rPr>
        <w:t>В тази връзка, за да се отговори на пазарната ситуация, в т.ч. на пазара на труда, УО на ПРСР 2014-2020 г. предлага промяна в текста на подмярка 2.2 „Създаване на консултантски услуги“ от мярка 2 „Консултантски услуги, услуги по управление на стопанство и услуги по заместване в стопанство“ от Програма за развитие на селските райони (ПРСР) 2014-2020 г. както следва:</w:t>
      </w:r>
    </w:p>
    <w:p w:rsidR="009B526C" w:rsidRPr="00581B3B" w:rsidRDefault="009B526C" w:rsidP="009B526C">
      <w:pPr>
        <w:spacing w:after="0" w:line="240" w:lineRule="auto"/>
        <w:jc w:val="both"/>
        <w:rPr>
          <w:rFonts w:ascii="Times New Roman" w:eastAsia="Calibri" w:hAnsi="Times New Roman" w:cs="Times New Roman"/>
          <w:sz w:val="24"/>
          <w:szCs w:val="24"/>
          <w:lang w:eastAsia="bg-BG"/>
        </w:rPr>
      </w:pPr>
    </w:p>
    <w:p w:rsidR="009B526C" w:rsidRPr="00581B3B" w:rsidRDefault="00275500" w:rsidP="009B526C">
      <w:pPr>
        <w:spacing w:after="0"/>
        <w:jc w:val="both"/>
        <w:rPr>
          <w:rFonts w:ascii="Times New Roman" w:hAnsi="Times New Roman" w:cs="Times New Roman"/>
          <w:b/>
          <w:sz w:val="24"/>
          <w:szCs w:val="24"/>
        </w:rPr>
      </w:pPr>
      <w:r w:rsidRPr="00581B3B">
        <w:rPr>
          <w:rFonts w:ascii="Times New Roman" w:hAnsi="Times New Roman" w:cs="Times New Roman"/>
          <w:b/>
          <w:sz w:val="24"/>
          <w:szCs w:val="24"/>
        </w:rPr>
        <w:t xml:space="preserve">Таблица </w:t>
      </w:r>
      <w:r w:rsidR="009B526C" w:rsidRPr="00581B3B">
        <w:rPr>
          <w:rFonts w:ascii="Times New Roman" w:hAnsi="Times New Roman" w:cs="Times New Roman"/>
          <w:b/>
          <w:sz w:val="24"/>
          <w:szCs w:val="24"/>
        </w:rPr>
        <w:t>2:</w:t>
      </w:r>
    </w:p>
    <w:tbl>
      <w:tblPr>
        <w:tblW w:w="5000" w:type="pct"/>
        <w:tblCellMar>
          <w:left w:w="0" w:type="dxa"/>
          <w:right w:w="0" w:type="dxa"/>
        </w:tblCellMar>
        <w:tblLook w:val="04A0" w:firstRow="1" w:lastRow="0" w:firstColumn="1" w:lastColumn="0" w:noHBand="0" w:noVBand="1"/>
      </w:tblPr>
      <w:tblGrid>
        <w:gridCol w:w="4644"/>
        <w:gridCol w:w="4644"/>
      </w:tblGrid>
      <w:tr w:rsidR="009B526C" w:rsidRPr="00581B3B" w:rsidTr="009B526C">
        <w:tc>
          <w:tcPr>
            <w:tcW w:w="25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9B526C" w:rsidRPr="00581B3B" w:rsidRDefault="009B526C" w:rsidP="009B526C">
            <w:pPr>
              <w:spacing w:after="0" w:line="240" w:lineRule="auto"/>
              <w:rPr>
                <w:rFonts w:ascii="Times New Roman" w:eastAsia="Calibri" w:hAnsi="Times New Roman" w:cs="Times New Roman"/>
                <w:b/>
                <w:bCs/>
                <w:sz w:val="18"/>
                <w:szCs w:val="18"/>
                <w:lang w:eastAsia="bg-BG"/>
              </w:rPr>
            </w:pPr>
            <w:r w:rsidRPr="00581B3B">
              <w:rPr>
                <w:rFonts w:ascii="Times New Roman" w:eastAsia="Calibri" w:hAnsi="Times New Roman" w:cs="Times New Roman"/>
                <w:b/>
                <w:bCs/>
                <w:sz w:val="18"/>
                <w:szCs w:val="18"/>
                <w:lang w:eastAsia="bg-BG"/>
              </w:rPr>
              <w:t>Стар текст в ПРСР 2014-2020 г.</w:t>
            </w:r>
          </w:p>
        </w:tc>
        <w:tc>
          <w:tcPr>
            <w:tcW w:w="250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9B526C" w:rsidRPr="00581B3B" w:rsidRDefault="009B526C" w:rsidP="009B526C">
            <w:pPr>
              <w:spacing w:after="0" w:line="240" w:lineRule="auto"/>
              <w:rPr>
                <w:rFonts w:ascii="Times New Roman" w:eastAsia="Calibri" w:hAnsi="Times New Roman" w:cs="Times New Roman"/>
                <w:b/>
                <w:bCs/>
                <w:sz w:val="18"/>
                <w:szCs w:val="18"/>
                <w:lang w:eastAsia="bg-BG"/>
              </w:rPr>
            </w:pPr>
            <w:r w:rsidRPr="00581B3B">
              <w:rPr>
                <w:rFonts w:ascii="Times New Roman" w:eastAsia="Calibri" w:hAnsi="Times New Roman" w:cs="Times New Roman"/>
                <w:b/>
                <w:bCs/>
                <w:sz w:val="18"/>
                <w:szCs w:val="18"/>
                <w:lang w:eastAsia="bg-BG"/>
              </w:rPr>
              <w:t>Предложение за нов текст в ПРСР 2014-2020 г.</w:t>
            </w:r>
          </w:p>
        </w:tc>
      </w:tr>
      <w:tr w:rsidR="009B526C" w:rsidRPr="00581B3B" w:rsidTr="009B526C">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B526C" w:rsidRPr="00581B3B" w:rsidRDefault="009B526C" w:rsidP="009B526C">
            <w:pPr>
              <w:spacing w:after="0" w:line="240" w:lineRule="auto"/>
              <w:rPr>
                <w:rFonts w:ascii="Times New Roman" w:eastAsia="Calibri" w:hAnsi="Times New Roman" w:cs="Times New Roman"/>
                <w:b/>
                <w:bCs/>
                <w:sz w:val="18"/>
                <w:szCs w:val="18"/>
                <w:lang w:eastAsia="bg-BG"/>
              </w:rPr>
            </w:pPr>
            <w:r w:rsidRPr="00581B3B">
              <w:rPr>
                <w:rFonts w:ascii="Times New Roman" w:eastAsia="Calibri" w:hAnsi="Times New Roman" w:cs="Times New Roman"/>
                <w:b/>
                <w:bCs/>
                <w:sz w:val="18"/>
                <w:szCs w:val="18"/>
                <w:lang w:eastAsia="bg-BG"/>
              </w:rPr>
              <w:t>Раздел 8.2.2.3.3.5. Допустими разходи</w:t>
            </w:r>
          </w:p>
          <w:p w:rsidR="009B526C" w:rsidRPr="00581B3B" w:rsidRDefault="009B526C" w:rsidP="009B526C">
            <w:pPr>
              <w:spacing w:after="0" w:line="240" w:lineRule="auto"/>
              <w:jc w:val="both"/>
              <w:rPr>
                <w:rFonts w:ascii="Times New Roman" w:eastAsia="Calibri" w:hAnsi="Times New Roman" w:cs="Times New Roman"/>
                <w:sz w:val="18"/>
                <w:szCs w:val="18"/>
                <w:lang w:eastAsia="bg-BG"/>
              </w:rPr>
            </w:pPr>
            <w:r w:rsidRPr="00581B3B">
              <w:rPr>
                <w:rFonts w:ascii="Times New Roman" w:eastAsia="Calibri" w:hAnsi="Times New Roman" w:cs="Times New Roman"/>
                <w:sz w:val="18"/>
                <w:szCs w:val="18"/>
                <w:lang w:eastAsia="bg-BG"/>
              </w:rPr>
              <w:t>·      разходи за служителите (съветниците) в мобилните общинските центрове (офиси) и за координаторите на регионално и централно ниво в т.ч. възнаграждения и командировъчни разходи ;</w:t>
            </w:r>
          </w:p>
          <w:p w:rsidR="009B526C" w:rsidRPr="00581B3B" w:rsidRDefault="009B526C" w:rsidP="009B526C">
            <w:pPr>
              <w:spacing w:after="0" w:line="240" w:lineRule="auto"/>
              <w:rPr>
                <w:rFonts w:ascii="Times New Roman" w:eastAsia="Calibri" w:hAnsi="Times New Roman" w:cs="Times New Roman"/>
                <w:sz w:val="18"/>
                <w:szCs w:val="18"/>
                <w:lang w:eastAsia="bg-BG"/>
              </w:rPr>
            </w:pPr>
          </w:p>
          <w:p w:rsidR="009B526C" w:rsidRPr="00581B3B" w:rsidRDefault="009B526C" w:rsidP="009B526C">
            <w:pPr>
              <w:spacing w:after="0" w:line="240" w:lineRule="auto"/>
              <w:rPr>
                <w:rFonts w:ascii="Times New Roman" w:eastAsia="Calibri" w:hAnsi="Times New Roman" w:cs="Times New Roman"/>
                <w:sz w:val="18"/>
                <w:szCs w:val="18"/>
                <w:lang w:eastAsia="bg-BG"/>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rsidR="009B526C" w:rsidRPr="00581B3B" w:rsidRDefault="009B526C" w:rsidP="009B526C">
            <w:pPr>
              <w:spacing w:after="0" w:line="240" w:lineRule="auto"/>
              <w:rPr>
                <w:rFonts w:ascii="Times New Roman" w:eastAsia="Calibri" w:hAnsi="Times New Roman" w:cs="Times New Roman"/>
                <w:b/>
                <w:bCs/>
                <w:sz w:val="18"/>
                <w:szCs w:val="18"/>
                <w:lang w:eastAsia="bg-BG"/>
              </w:rPr>
            </w:pPr>
            <w:r w:rsidRPr="00581B3B">
              <w:rPr>
                <w:rFonts w:ascii="Times New Roman" w:eastAsia="Calibri" w:hAnsi="Times New Roman" w:cs="Times New Roman"/>
                <w:b/>
                <w:bCs/>
                <w:sz w:val="18"/>
                <w:szCs w:val="18"/>
                <w:lang w:eastAsia="bg-BG"/>
              </w:rPr>
              <w:t>Раздел 8.2.2.3.3.5. Допустими разходи</w:t>
            </w:r>
          </w:p>
          <w:p w:rsidR="009B526C" w:rsidRPr="00581B3B" w:rsidRDefault="009B526C" w:rsidP="009B526C">
            <w:pPr>
              <w:spacing w:after="0" w:line="240" w:lineRule="auto"/>
              <w:jc w:val="both"/>
              <w:rPr>
                <w:rFonts w:ascii="Times New Roman" w:eastAsia="Calibri" w:hAnsi="Times New Roman" w:cs="Times New Roman"/>
                <w:sz w:val="18"/>
                <w:szCs w:val="18"/>
                <w:lang w:eastAsia="bg-BG"/>
              </w:rPr>
            </w:pPr>
            <w:r w:rsidRPr="00581B3B">
              <w:rPr>
                <w:rFonts w:ascii="Times New Roman" w:eastAsia="Calibri" w:hAnsi="Times New Roman" w:cs="Times New Roman"/>
                <w:sz w:val="18"/>
                <w:szCs w:val="18"/>
                <w:lang w:eastAsia="bg-BG"/>
              </w:rPr>
              <w:t xml:space="preserve">·      разходи за служителите (съветниците) в мобилните общинските центрове (офиси) и за координаторите на регионално и централно ниво в т.ч. възнаграждения, </w:t>
            </w:r>
            <w:r w:rsidRPr="00581B3B">
              <w:rPr>
                <w:rFonts w:ascii="Times New Roman" w:eastAsia="Calibri" w:hAnsi="Times New Roman" w:cs="Times New Roman"/>
                <w:b/>
                <w:color w:val="FF0000"/>
                <w:sz w:val="18"/>
                <w:szCs w:val="18"/>
                <w:lang w:eastAsia="bg-BG"/>
              </w:rPr>
              <w:t>съответстващи на актуални статистически данни на НСИ</w:t>
            </w:r>
            <w:r w:rsidRPr="00581B3B">
              <w:rPr>
                <w:rFonts w:ascii="Times New Roman" w:eastAsia="Calibri" w:hAnsi="Times New Roman" w:cs="Times New Roman"/>
                <w:sz w:val="18"/>
                <w:szCs w:val="18"/>
                <w:lang w:eastAsia="bg-BG"/>
              </w:rPr>
              <w:t>  и командировъчни разходи;</w:t>
            </w:r>
          </w:p>
        </w:tc>
      </w:tr>
    </w:tbl>
    <w:p w:rsidR="009B526C" w:rsidRPr="00581B3B" w:rsidRDefault="009B526C" w:rsidP="009B526C">
      <w:pPr>
        <w:spacing w:after="0" w:line="240" w:lineRule="auto"/>
        <w:rPr>
          <w:rFonts w:ascii="Times New Roman" w:eastAsia="Calibri" w:hAnsi="Times New Roman" w:cs="Times New Roman"/>
          <w:sz w:val="24"/>
          <w:szCs w:val="24"/>
          <w:lang w:eastAsia="bg-BG"/>
        </w:rPr>
      </w:pPr>
    </w:p>
    <w:p w:rsidR="002C308C" w:rsidRPr="00581B3B" w:rsidRDefault="009B526C" w:rsidP="001D683F">
      <w:pPr>
        <w:jc w:val="both"/>
      </w:pPr>
      <w:r w:rsidRPr="00581B3B">
        <w:rPr>
          <w:rFonts w:ascii="Times New Roman" w:hAnsi="Times New Roman" w:cs="Times New Roman"/>
          <w:sz w:val="24"/>
          <w:szCs w:val="24"/>
        </w:rPr>
        <w:t>Тази промяна ще позволи да бъде осигурена възможност за актуализация на допустимите разходи за възнаграждения на служителите в мобилните офиси във връзка с разпоредбите на Закона за управление на средствата при споделено управление (ЗУСЕФСУ)</w:t>
      </w:r>
      <w:r w:rsidR="00531B4E" w:rsidRPr="00531B4E">
        <w:t xml:space="preserve"> </w:t>
      </w:r>
      <w:r w:rsidR="00531B4E" w:rsidRPr="00531B4E">
        <w:rPr>
          <w:rFonts w:ascii="Times New Roman" w:hAnsi="Times New Roman" w:cs="Times New Roman"/>
          <w:sz w:val="24"/>
          <w:szCs w:val="24"/>
        </w:rPr>
        <w:t>предвид текущата ситуацията в страната</w:t>
      </w:r>
      <w:r w:rsidRPr="00581B3B">
        <w:rPr>
          <w:rFonts w:ascii="Times New Roman" w:hAnsi="Times New Roman" w:cs="Times New Roman"/>
          <w:sz w:val="24"/>
          <w:szCs w:val="24"/>
        </w:rPr>
        <w:t>.</w:t>
      </w:r>
    </w:p>
    <w:p w:rsidR="002C308C" w:rsidRPr="00581B3B" w:rsidRDefault="002C308C" w:rsidP="00B35E6D">
      <w:pPr>
        <w:pStyle w:val="Heading2"/>
      </w:pPr>
      <w:bookmarkStart w:id="3" w:name="_Toc130370308"/>
      <w:r w:rsidRPr="00581B3B">
        <w:lastRenderedPageBreak/>
        <w:t>Изменение в текста на подмярка 4.2 „Инвестиции в преработка/маркетинг на селскостопански продукти“ от ПРСР (2014-2020).</w:t>
      </w:r>
      <w:bookmarkEnd w:id="3"/>
    </w:p>
    <w:p w:rsidR="00FF1D35" w:rsidRPr="00581B3B" w:rsidRDefault="00FF1D35" w:rsidP="001D683F">
      <w:pPr>
        <w:jc w:val="both"/>
        <w:rPr>
          <w:rFonts w:ascii="Times New Roman" w:hAnsi="Times New Roman" w:cs="Times New Roman"/>
          <w:bCs/>
          <w:sz w:val="24"/>
          <w:szCs w:val="24"/>
        </w:rPr>
      </w:pPr>
      <w:r w:rsidRPr="00581B3B">
        <w:rPr>
          <w:rFonts w:ascii="Times New Roman" w:hAnsi="Times New Roman" w:cs="Times New Roman"/>
          <w:sz w:val="24"/>
          <w:szCs w:val="24"/>
        </w:rPr>
        <w:t xml:space="preserve">УО на ПРСР предлага да бъдат направени изменения в текста на подмярка 4.2, свързани с </w:t>
      </w:r>
      <w:r w:rsidRPr="00581B3B">
        <w:rPr>
          <w:rFonts w:ascii="Times New Roman" w:hAnsi="Times New Roman" w:cs="Times New Roman"/>
          <w:bCs/>
          <w:sz w:val="24"/>
          <w:szCs w:val="24"/>
        </w:rPr>
        <w:t>условията за допустимост на бенефициери и проектни предложения,</w:t>
      </w:r>
      <w:r w:rsidRPr="00581B3B">
        <w:rPr>
          <w:rFonts w:ascii="Verdana" w:hAnsi="Verdana" w:cs="Times New Roman"/>
          <w:b/>
          <w:bCs/>
          <w:sz w:val="16"/>
          <w:szCs w:val="16"/>
        </w:rPr>
        <w:t xml:space="preserve"> </w:t>
      </w:r>
      <w:r w:rsidRPr="00581B3B">
        <w:rPr>
          <w:rFonts w:ascii="Times New Roman" w:hAnsi="Times New Roman" w:cs="Times New Roman"/>
          <w:bCs/>
          <w:sz w:val="24"/>
          <w:szCs w:val="24"/>
        </w:rPr>
        <w:t>принципи при определяне на критериите за подбор и приложими суми и проценти на предоставяната подкрепа.</w:t>
      </w:r>
    </w:p>
    <w:p w:rsidR="00FF1D35" w:rsidRPr="00581B3B" w:rsidRDefault="00FF1D35" w:rsidP="001D683F">
      <w:pPr>
        <w:jc w:val="both"/>
        <w:rPr>
          <w:rFonts w:ascii="Times New Roman" w:hAnsi="Times New Roman" w:cs="Times New Roman"/>
          <w:sz w:val="24"/>
          <w:szCs w:val="24"/>
        </w:rPr>
      </w:pPr>
      <w:r w:rsidRPr="00581B3B">
        <w:rPr>
          <w:rFonts w:ascii="Times New Roman" w:hAnsi="Times New Roman" w:cs="Times New Roman"/>
          <w:sz w:val="24"/>
          <w:szCs w:val="24"/>
        </w:rPr>
        <w:t>Предложението за промяна е пряко свързано с предложението за прехвърляне на средства към бюджета на подмярката (описано в Раздел II</w:t>
      </w:r>
      <w:r w:rsidR="005D4B17">
        <w:rPr>
          <w:rFonts w:ascii="Times New Roman" w:hAnsi="Times New Roman" w:cs="Times New Roman"/>
          <w:sz w:val="24"/>
          <w:szCs w:val="24"/>
        </w:rPr>
        <w:t xml:space="preserve"> </w:t>
      </w:r>
      <w:r w:rsidRPr="00581B3B">
        <w:rPr>
          <w:rFonts w:ascii="Times New Roman" w:hAnsi="Times New Roman" w:cs="Times New Roman"/>
          <w:sz w:val="24"/>
          <w:szCs w:val="24"/>
        </w:rPr>
        <w:t>от настоящия документ), които средства ще бъдат разходвани по един от следните начини:</w:t>
      </w:r>
    </w:p>
    <w:p w:rsidR="00FF1D35" w:rsidRPr="00581B3B" w:rsidRDefault="00FF1D35" w:rsidP="00FF1D35">
      <w:pPr>
        <w:pStyle w:val="ListParagraph"/>
        <w:numPr>
          <w:ilvl w:val="0"/>
          <w:numId w:val="24"/>
        </w:numPr>
        <w:jc w:val="both"/>
        <w:rPr>
          <w:rFonts w:ascii="Times New Roman" w:hAnsi="Times New Roman" w:cs="Times New Roman"/>
          <w:sz w:val="24"/>
          <w:szCs w:val="24"/>
        </w:rPr>
      </w:pPr>
      <w:r w:rsidRPr="00581B3B">
        <w:rPr>
          <w:rFonts w:ascii="Times New Roman" w:hAnsi="Times New Roman" w:cs="Times New Roman"/>
          <w:sz w:val="24"/>
          <w:szCs w:val="24"/>
        </w:rPr>
        <w:t>Увеличение на бюджета по процедура чрез подбор № BG06RDNP001-4.015 по подмярка 4.2. „Инвестиции в преработка/маркетинг на селскостопански продукти“</w:t>
      </w:r>
      <w:r w:rsidR="0034662C" w:rsidRPr="00581B3B">
        <w:rPr>
          <w:rFonts w:ascii="Times New Roman" w:hAnsi="Times New Roman" w:cs="Times New Roman"/>
          <w:sz w:val="24"/>
          <w:szCs w:val="24"/>
        </w:rPr>
        <w:t xml:space="preserve">, </w:t>
      </w:r>
      <w:r w:rsidRPr="00581B3B">
        <w:rPr>
          <w:rFonts w:ascii="Times New Roman" w:hAnsi="Times New Roman" w:cs="Times New Roman"/>
          <w:b/>
          <w:sz w:val="24"/>
          <w:szCs w:val="24"/>
          <w:u w:val="single"/>
        </w:rPr>
        <w:t>или</w:t>
      </w:r>
    </w:p>
    <w:p w:rsidR="00FF1D35" w:rsidRPr="00581B3B" w:rsidRDefault="00FF1D35" w:rsidP="00FF1D35">
      <w:pPr>
        <w:pStyle w:val="ListParagraph"/>
        <w:numPr>
          <w:ilvl w:val="0"/>
          <w:numId w:val="24"/>
        </w:numPr>
        <w:jc w:val="both"/>
        <w:rPr>
          <w:rFonts w:ascii="Times New Roman" w:hAnsi="Times New Roman" w:cs="Times New Roman"/>
          <w:sz w:val="24"/>
          <w:szCs w:val="24"/>
        </w:rPr>
      </w:pPr>
      <w:r w:rsidRPr="00581B3B">
        <w:rPr>
          <w:rFonts w:ascii="Times New Roman" w:hAnsi="Times New Roman" w:cs="Times New Roman"/>
          <w:sz w:val="24"/>
          <w:szCs w:val="24"/>
        </w:rPr>
        <w:t>Обявяване на прием за проектни предложения с включени разходи за инвестиции за производство на енергия от ВЕИ.</w:t>
      </w:r>
    </w:p>
    <w:p w:rsidR="0034662C" w:rsidRPr="00581B3B" w:rsidRDefault="00FF1D35" w:rsidP="001D683F">
      <w:pPr>
        <w:jc w:val="both"/>
        <w:rPr>
          <w:rFonts w:ascii="Times New Roman" w:hAnsi="Times New Roman" w:cs="Times New Roman"/>
          <w:sz w:val="24"/>
          <w:szCs w:val="24"/>
        </w:rPr>
      </w:pPr>
      <w:r w:rsidRPr="00581B3B">
        <w:rPr>
          <w:rFonts w:ascii="Times New Roman" w:hAnsi="Times New Roman" w:cs="Times New Roman"/>
          <w:sz w:val="24"/>
          <w:szCs w:val="24"/>
        </w:rPr>
        <w:t>Проектните предложения</w:t>
      </w:r>
      <w:r w:rsidR="0034662C" w:rsidRPr="00581B3B">
        <w:rPr>
          <w:rFonts w:ascii="Times New Roman" w:hAnsi="Times New Roman" w:cs="Times New Roman"/>
          <w:sz w:val="24"/>
          <w:szCs w:val="24"/>
        </w:rPr>
        <w:t>,</w:t>
      </w:r>
      <w:r w:rsidRPr="00581B3B">
        <w:rPr>
          <w:rFonts w:ascii="Times New Roman" w:hAnsi="Times New Roman" w:cs="Times New Roman"/>
          <w:sz w:val="24"/>
          <w:szCs w:val="24"/>
        </w:rPr>
        <w:t xml:space="preserve"> подадени в периода на прием по процедура чрез подбор № BG06RDNP001-4.015 по подмярка 4.2. „Инвестиции в преработка/маркетинг на селскостопански продукти“ са в процес на оценка за допустимост на кандидатите, дейностите и разходите. В процеса на оценка допустимите разходи ще се разпределят към бюджета на съответната фокус област, за чието изпълнение допринасят. За определяне на </w:t>
      </w:r>
      <w:r w:rsidRPr="00581B3B">
        <w:rPr>
          <w:rFonts w:ascii="Times New Roman" w:hAnsi="Times New Roman" w:cs="Times New Roman"/>
          <w:sz w:val="24"/>
          <w:szCs w:val="24"/>
        </w:rPr>
        <w:lastRenderedPageBreak/>
        <w:t>недостига на средства по отделните фокус области, респективно излишъка, е необходимо приключване на работата на оценителната комисия с оценителен доклад и класиране на одобрените проектни предложения.</w:t>
      </w:r>
    </w:p>
    <w:p w:rsidR="0034662C" w:rsidRPr="00581B3B" w:rsidRDefault="00FF1D35" w:rsidP="001D683F">
      <w:pPr>
        <w:jc w:val="both"/>
        <w:rPr>
          <w:rFonts w:ascii="Times New Roman" w:hAnsi="Times New Roman" w:cs="Times New Roman"/>
          <w:bCs/>
          <w:sz w:val="24"/>
          <w:szCs w:val="24"/>
        </w:rPr>
      </w:pPr>
      <w:r w:rsidRPr="00581B3B">
        <w:rPr>
          <w:rFonts w:ascii="Times New Roman" w:hAnsi="Times New Roman" w:cs="Times New Roman"/>
          <w:sz w:val="24"/>
          <w:szCs w:val="24"/>
        </w:rPr>
        <w:t xml:space="preserve">В случай на установен недостиг на средства по фокус област </w:t>
      </w:r>
      <w:r w:rsidRPr="00581B3B">
        <w:rPr>
          <w:rFonts w:ascii="Times New Roman" w:hAnsi="Times New Roman" w:cs="Times New Roman"/>
          <w:bCs/>
          <w:sz w:val="24"/>
          <w:szCs w:val="24"/>
        </w:rPr>
        <w:t xml:space="preserve">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УО предлага средствата да послужат за увеличаване на бюджета по процедурата, с което ще се даде възможност да бъдат финансирани повече проектни предложения с включени инвестиции за производства на енергия от ВЕИ. </w:t>
      </w:r>
    </w:p>
    <w:p w:rsidR="00FF1D35" w:rsidRPr="00581B3B" w:rsidRDefault="00FF1D35" w:rsidP="001D683F">
      <w:pPr>
        <w:jc w:val="both"/>
        <w:rPr>
          <w:rFonts w:ascii="Times New Roman" w:hAnsi="Times New Roman" w:cs="Times New Roman"/>
          <w:bCs/>
          <w:sz w:val="24"/>
          <w:szCs w:val="24"/>
        </w:rPr>
      </w:pPr>
      <w:r w:rsidRPr="00581B3B">
        <w:rPr>
          <w:rFonts w:ascii="Times New Roman" w:hAnsi="Times New Roman" w:cs="Times New Roman"/>
          <w:bCs/>
          <w:sz w:val="24"/>
          <w:szCs w:val="24"/>
        </w:rPr>
        <w:t>При установяване на излишък на средства по фокус област 5В, УО предлага средствата да бъдат използвани за обявяване на прием за проектни предложения за инвестиции за производства на енергия от ВЕИ.</w:t>
      </w:r>
    </w:p>
    <w:p w:rsidR="0034662C" w:rsidRPr="00581B3B" w:rsidRDefault="0034662C" w:rsidP="001D683F">
      <w:pPr>
        <w:jc w:val="both"/>
        <w:rPr>
          <w:rFonts w:ascii="Times New Roman" w:hAnsi="Times New Roman" w:cs="Times New Roman"/>
          <w:sz w:val="24"/>
          <w:szCs w:val="24"/>
        </w:rPr>
      </w:pPr>
      <w:r w:rsidRPr="00581B3B">
        <w:rPr>
          <w:rFonts w:ascii="Times New Roman" w:hAnsi="Times New Roman" w:cs="Times New Roman"/>
          <w:bCs/>
          <w:sz w:val="24"/>
          <w:szCs w:val="24"/>
        </w:rPr>
        <w:t>Насочеността на подпомагането (независимо дали чрез увеличение на бюджета по текущата отворена процедура или чрез обявяване на целеви прием) към</w:t>
      </w:r>
      <w:r w:rsidR="00EA2206" w:rsidRPr="00581B3B">
        <w:t xml:space="preserve"> </w:t>
      </w:r>
      <w:r w:rsidR="00EA2206" w:rsidRPr="00581B3B">
        <w:rPr>
          <w:rFonts w:ascii="Times New Roman" w:hAnsi="Times New Roman" w:cs="Times New Roman"/>
          <w:bCs/>
          <w:sz w:val="24"/>
          <w:szCs w:val="24"/>
        </w:rPr>
        <w:t>инвестиции за производства на енергия от ВЕИ е обусловено от</w:t>
      </w:r>
      <w:r w:rsidR="00EA2206" w:rsidRPr="00581B3B">
        <w:t xml:space="preserve"> </w:t>
      </w:r>
      <w:r w:rsidR="00EA2206" w:rsidRPr="00581B3B">
        <w:rPr>
          <w:rFonts w:ascii="Times New Roman" w:hAnsi="Times New Roman" w:cs="Times New Roman"/>
          <w:bCs/>
          <w:sz w:val="24"/>
          <w:szCs w:val="24"/>
        </w:rPr>
        <w:t xml:space="preserve">енергийната криза вследствие на руското нашествие в Украйна. Наблюдава се засилен интерес на потребителите към енергийна независимост и към подобряване на показателите на потребление на енергийни ресурси, което от своя страна дава увереност на УО на ПРСР за засилен интерес към такъв тип инвестиции от страна на преработвателните предприятия на земеделска продукция. </w:t>
      </w:r>
    </w:p>
    <w:p w:rsidR="00FF1D35" w:rsidRPr="00581B3B" w:rsidRDefault="00EA2206"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Също така, следва да се отбележи, че предприятия, преработващи земеделска продукция, не са допустими за пряка инвестиционна подкрепа по Плана за възстановяване и устойчивост, средствата от който са предвидени </w:t>
      </w:r>
      <w:r w:rsidRPr="00581B3B">
        <w:rPr>
          <w:rFonts w:ascii="Times New Roman" w:hAnsi="Times New Roman" w:cs="Times New Roman"/>
          <w:sz w:val="24"/>
          <w:szCs w:val="24"/>
        </w:rPr>
        <w:lastRenderedPageBreak/>
        <w:t>за технологична и екологична модернизация.</w:t>
      </w:r>
      <w:r w:rsidR="00FF1D35" w:rsidRPr="00581B3B">
        <w:rPr>
          <w:rFonts w:ascii="Times New Roman" w:hAnsi="Times New Roman" w:cs="Times New Roman"/>
          <w:sz w:val="24"/>
          <w:szCs w:val="24"/>
        </w:rPr>
        <w:t xml:space="preserve"> В тази връзка, полученият вакуум във финансирането на </w:t>
      </w:r>
      <w:r w:rsidRPr="00581B3B">
        <w:rPr>
          <w:rFonts w:ascii="Times New Roman" w:hAnsi="Times New Roman" w:cs="Times New Roman"/>
          <w:sz w:val="24"/>
          <w:szCs w:val="24"/>
        </w:rPr>
        <w:t xml:space="preserve">преработвателните </w:t>
      </w:r>
      <w:r w:rsidR="00FF1D35" w:rsidRPr="00581B3B">
        <w:rPr>
          <w:rFonts w:ascii="Times New Roman" w:hAnsi="Times New Roman" w:cs="Times New Roman"/>
          <w:sz w:val="24"/>
          <w:szCs w:val="24"/>
        </w:rPr>
        <w:t xml:space="preserve">предприятия </w:t>
      </w:r>
      <w:r w:rsidRPr="00581B3B">
        <w:rPr>
          <w:rFonts w:ascii="Times New Roman" w:hAnsi="Times New Roman" w:cs="Times New Roman"/>
          <w:sz w:val="24"/>
          <w:szCs w:val="24"/>
        </w:rPr>
        <w:t>с цел</w:t>
      </w:r>
      <w:r w:rsidR="00FF1D35" w:rsidRPr="00581B3B">
        <w:rPr>
          <w:rFonts w:ascii="Times New Roman" w:hAnsi="Times New Roman" w:cs="Times New Roman"/>
          <w:sz w:val="24"/>
          <w:szCs w:val="24"/>
        </w:rPr>
        <w:t xml:space="preserve"> постигане на по-високите екологични цели на Съюза би могъл да се покрие </w:t>
      </w:r>
      <w:r w:rsidRPr="00581B3B">
        <w:rPr>
          <w:rFonts w:ascii="Times New Roman" w:hAnsi="Times New Roman" w:cs="Times New Roman"/>
          <w:sz w:val="24"/>
          <w:szCs w:val="24"/>
        </w:rPr>
        <w:t xml:space="preserve">до известна степен чрез прехвърлянето на допълнителни средства към </w:t>
      </w:r>
      <w:r w:rsidR="00F760BD">
        <w:rPr>
          <w:rFonts w:ascii="Times New Roman" w:hAnsi="Times New Roman" w:cs="Times New Roman"/>
          <w:sz w:val="24"/>
          <w:szCs w:val="24"/>
        </w:rPr>
        <w:t xml:space="preserve">бюджета на </w:t>
      </w:r>
      <w:r w:rsidRPr="00581B3B">
        <w:rPr>
          <w:rFonts w:ascii="Times New Roman" w:hAnsi="Times New Roman" w:cs="Times New Roman"/>
          <w:sz w:val="24"/>
          <w:szCs w:val="24"/>
        </w:rPr>
        <w:t xml:space="preserve">подмярката. </w:t>
      </w:r>
    </w:p>
    <w:p w:rsidR="00F33127" w:rsidRPr="00581B3B" w:rsidRDefault="002C308C" w:rsidP="00B35E6D">
      <w:pPr>
        <w:pStyle w:val="Heading2"/>
      </w:pPr>
      <w:bookmarkStart w:id="4" w:name="_Toc130370309"/>
      <w:r w:rsidRPr="00581B3B">
        <w:t>Изменение в текста на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ПРСР (2014-2020), свързано с включване на нови допустими бенефициенти и разходи</w:t>
      </w:r>
      <w:bookmarkEnd w:id="4"/>
    </w:p>
    <w:p w:rsidR="00B7330E" w:rsidRPr="00581B3B" w:rsidRDefault="00B7330E" w:rsidP="00EA2206">
      <w:pPr>
        <w:jc w:val="both"/>
        <w:rPr>
          <w:rFonts w:ascii="Times New Roman" w:hAnsi="Times New Roman" w:cs="Times New Roman"/>
          <w:b/>
          <w:sz w:val="24"/>
          <w:szCs w:val="24"/>
        </w:rPr>
      </w:pPr>
      <w:r w:rsidRPr="00581B3B">
        <w:rPr>
          <w:rFonts w:ascii="Times New Roman" w:hAnsi="Times New Roman" w:cs="Times New Roman"/>
          <w:b/>
          <w:sz w:val="24"/>
          <w:szCs w:val="24"/>
        </w:rPr>
        <w:t xml:space="preserve">3.1. Подкрепа за инвестиции в специализирано лабораторно оборудване за диагностика, превенция и намаляване на последиците от заразни болести по животните и растенията, неблагоприятни климатични </w:t>
      </w:r>
      <w:r w:rsidR="00286861">
        <w:rPr>
          <w:rFonts w:ascii="Times New Roman" w:hAnsi="Times New Roman" w:cs="Times New Roman"/>
          <w:b/>
          <w:sz w:val="24"/>
          <w:szCs w:val="24"/>
        </w:rPr>
        <w:t>явления</w:t>
      </w:r>
      <w:r w:rsidRPr="00581B3B">
        <w:rPr>
          <w:rFonts w:ascii="Times New Roman" w:hAnsi="Times New Roman" w:cs="Times New Roman"/>
          <w:b/>
          <w:sz w:val="24"/>
          <w:szCs w:val="24"/>
        </w:rPr>
        <w:t xml:space="preserve">, природни бедствия и катастрофични събития.  </w:t>
      </w:r>
    </w:p>
    <w:p w:rsidR="00B7330E" w:rsidRPr="00581B3B" w:rsidRDefault="00531B4E" w:rsidP="001D683F">
      <w:pPr>
        <w:jc w:val="both"/>
        <w:rPr>
          <w:rFonts w:ascii="Times New Roman" w:hAnsi="Times New Roman" w:cs="Times New Roman"/>
          <w:sz w:val="24"/>
          <w:szCs w:val="24"/>
        </w:rPr>
      </w:pPr>
      <w:r>
        <w:rPr>
          <w:rFonts w:ascii="Times New Roman" w:hAnsi="Times New Roman" w:cs="Times New Roman"/>
          <w:sz w:val="24"/>
          <w:szCs w:val="24"/>
        </w:rPr>
        <w:t>Управляващият орган</w:t>
      </w:r>
      <w:r w:rsidR="00B7330E" w:rsidRPr="00581B3B">
        <w:rPr>
          <w:rFonts w:ascii="Times New Roman" w:hAnsi="Times New Roman" w:cs="Times New Roman"/>
          <w:sz w:val="24"/>
          <w:szCs w:val="24"/>
        </w:rPr>
        <w:t xml:space="preserve"> има намерение през 2023 г. да обяви извънреден прием за специализирано лабораторно оборудване, свързано с превенция и контрол на неблагоприятни климатични събития, природни бедствия и катастрофични събития, включително болести по животните и растенията.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Необходимостта от инвестиции за увеличаване на лабораторния капацитет се обуславя от одитните проучвания на DG SANTE и последващото проследяване на одитните препоръки. Те показват някои повтарящи се слабости в контрола по агрохранителната верига, осъществяван от Националните референтни лаборатории. Идентифицираните недостатъци са свързани основно с липса на подходящо лабораторно оборудване, липса </w:t>
      </w:r>
      <w:r w:rsidRPr="00581B3B">
        <w:rPr>
          <w:rFonts w:ascii="Times New Roman" w:hAnsi="Times New Roman" w:cs="Times New Roman"/>
          <w:sz w:val="24"/>
          <w:szCs w:val="24"/>
        </w:rPr>
        <w:lastRenderedPageBreak/>
        <w:t>на достатъчно финансиране за лабораториите, незадоволителни диагностични стандарти и валидирани методи, както и невъзможност на частните лаборатории да осигурят надеждни резултати от тестовете.</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Тези слабости са идентифицирани по отношение на болестите бяс, птичи грип и Африканска чума по свинете (АЧС), както и при Спонгиформна енцефалопатия по говедата (СЕГ),</w:t>
      </w:r>
      <w:r w:rsidR="00531B4E">
        <w:rPr>
          <w:rFonts w:ascii="Times New Roman" w:hAnsi="Times New Roman" w:cs="Times New Roman"/>
          <w:sz w:val="24"/>
          <w:szCs w:val="24"/>
        </w:rPr>
        <w:t xml:space="preserve"> както и във връзка с</w:t>
      </w:r>
      <w:r w:rsidRPr="00581B3B">
        <w:rPr>
          <w:rFonts w:ascii="Times New Roman" w:hAnsi="Times New Roman" w:cs="Times New Roman"/>
          <w:sz w:val="24"/>
          <w:szCs w:val="24"/>
        </w:rPr>
        <w:t xml:space="preserve"> вземане</w:t>
      </w:r>
      <w:r w:rsidR="00531B4E">
        <w:rPr>
          <w:rFonts w:ascii="Times New Roman" w:hAnsi="Times New Roman" w:cs="Times New Roman"/>
          <w:sz w:val="24"/>
          <w:szCs w:val="24"/>
        </w:rPr>
        <w:t>то</w:t>
      </w:r>
      <w:r w:rsidRPr="00581B3B">
        <w:rPr>
          <w:rFonts w:ascii="Times New Roman" w:hAnsi="Times New Roman" w:cs="Times New Roman"/>
          <w:sz w:val="24"/>
          <w:szCs w:val="24"/>
        </w:rPr>
        <w:t xml:space="preserve"> на проби от сурово мляко и за остатъци от пестициди, мониторинг на остатъците в живи животни и продукти от животински произход.</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В тази връзка се предвижда включване на лабораториите към трите университета - Тракийски университет </w:t>
      </w:r>
      <w:r w:rsidR="00273ED1">
        <w:rPr>
          <w:rFonts w:ascii="Times New Roman" w:hAnsi="Times New Roman" w:cs="Times New Roman"/>
          <w:sz w:val="24"/>
          <w:szCs w:val="24"/>
        </w:rPr>
        <w:t xml:space="preserve">- </w:t>
      </w:r>
      <w:r w:rsidRPr="00581B3B">
        <w:rPr>
          <w:rFonts w:ascii="Times New Roman" w:hAnsi="Times New Roman" w:cs="Times New Roman"/>
          <w:sz w:val="24"/>
          <w:szCs w:val="24"/>
        </w:rPr>
        <w:t xml:space="preserve">Стара Загора, Аграрен университет </w:t>
      </w:r>
      <w:r w:rsidR="00273ED1">
        <w:rPr>
          <w:rFonts w:ascii="Times New Roman" w:hAnsi="Times New Roman" w:cs="Times New Roman"/>
          <w:sz w:val="24"/>
          <w:szCs w:val="24"/>
        </w:rPr>
        <w:t xml:space="preserve">- </w:t>
      </w:r>
      <w:r w:rsidRPr="00581B3B">
        <w:rPr>
          <w:rFonts w:ascii="Times New Roman" w:hAnsi="Times New Roman" w:cs="Times New Roman"/>
          <w:sz w:val="24"/>
          <w:szCs w:val="24"/>
        </w:rPr>
        <w:t xml:space="preserve">Пловдив и Университета по хранителни технологии </w:t>
      </w:r>
      <w:r w:rsidR="00273ED1">
        <w:rPr>
          <w:rFonts w:ascii="Times New Roman" w:hAnsi="Times New Roman" w:cs="Times New Roman"/>
          <w:sz w:val="24"/>
          <w:szCs w:val="24"/>
        </w:rPr>
        <w:t xml:space="preserve">- </w:t>
      </w:r>
      <w:r w:rsidRPr="00581B3B">
        <w:rPr>
          <w:rFonts w:ascii="Times New Roman" w:hAnsi="Times New Roman" w:cs="Times New Roman"/>
          <w:sz w:val="24"/>
          <w:szCs w:val="24"/>
        </w:rPr>
        <w:t xml:space="preserve">Пловдив, в системата на контрол по агрохранителната верига. Трите университета са водещи с сферата на аграрната наука в България и имат дългогодишни научно-изследователски традиции и развит лабораторен капацитет. Разполагат с опитен и квалифициран лабораторен персонал в тяхната водеща научноизследователска област на компетентност. Традициите и изградения научен капацитет са предпоставка за по-висока надеждност на резултатите в сравнение с частните лаборатории.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В тази връзка, изменението в подмярка 5.1. </w:t>
      </w:r>
      <w:r w:rsidR="00531B4E">
        <w:rPr>
          <w:rFonts w:ascii="Times New Roman" w:hAnsi="Times New Roman" w:cs="Times New Roman"/>
          <w:sz w:val="24"/>
          <w:szCs w:val="24"/>
        </w:rPr>
        <w:t>„</w:t>
      </w:r>
      <w:r w:rsidRPr="00581B3B">
        <w:rPr>
          <w:rFonts w:ascii="Times New Roman" w:hAnsi="Times New Roman" w:cs="Times New Roman"/>
          <w:sz w:val="24"/>
          <w:szCs w:val="24"/>
        </w:rPr>
        <w:t>Подкрепа за инвестиции в превантивни мерки</w:t>
      </w:r>
      <w:r w:rsidR="00531B4E">
        <w:rPr>
          <w:rFonts w:ascii="Times New Roman" w:hAnsi="Times New Roman" w:cs="Times New Roman"/>
          <w:sz w:val="24"/>
          <w:szCs w:val="24"/>
        </w:rPr>
        <w:t>“</w:t>
      </w:r>
      <w:r w:rsidRPr="00581B3B">
        <w:rPr>
          <w:rFonts w:ascii="Times New Roman" w:hAnsi="Times New Roman" w:cs="Times New Roman"/>
          <w:sz w:val="24"/>
          <w:szCs w:val="24"/>
        </w:rPr>
        <w:t xml:space="preserve"> предвижда въвеждане на нови допустими бенефициенти – публични субекти, както следва: Тракийски университет-Стара Загора, Аграрен университет-Пловдив и Университет за хранителни технологии-Пловдив.</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За да се покрият нуждите на университетите от инвестиции в специализирано лабораторно оборудване се предвижда увеличение на максималната стойност на допустимите разходите за едно проектно предложение от 2 000 000 евро на 3 000 000 евро. Изменението включва и разширяване на обхвата на допустимите разходи с необходимото лабораторно оборудване, включително компютри, климатично и хладилно оборудване за анализ и съхранение на проби, също така дронове и специализирани пътни превозни средства за пренасяне на проби.</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Областите на специализация на трите лаборатории към университетите се намират в необходимата допълняемост, така че съвместно да могат да осигурят пълен превантивен контрол по цялата агрохранителна верига. За да се осигури по-широко покритие на възможните рискове и бърза реакция в случай на санитарни кризи, при спазване на високи лабораторни стандарти за качество, е необходимо надграждане/обновяване на съществуващото лабораторно оборудване в университетите.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Включването на трите университета като допустим бенефициент за инвестиции в лабораторно оборудване цели увеличаване на ефективността на извършвания контрол, чрез осигуряване на покритие с лабораторен капацитет за основните рискове по агрохранителната верига. Чрез инвестициите в лабораторно оборудване ще се увеличи наличния лабораторен капацитет за диагностика и превенция срещу заразни болести по животните и растенията, превенция и намаляване на последиците от неблагоприятни климатични събития, природни бедствия и катастрофични събития. </w:t>
      </w:r>
    </w:p>
    <w:p w:rsidR="00B7330E" w:rsidRPr="00581B3B" w:rsidRDefault="00B7330E" w:rsidP="00EA2206">
      <w:pPr>
        <w:jc w:val="both"/>
        <w:rPr>
          <w:rFonts w:ascii="Times New Roman" w:hAnsi="Times New Roman" w:cs="Times New Roman"/>
          <w:b/>
          <w:sz w:val="24"/>
          <w:szCs w:val="24"/>
        </w:rPr>
      </w:pPr>
      <w:r w:rsidRPr="00581B3B">
        <w:rPr>
          <w:rFonts w:ascii="Times New Roman" w:hAnsi="Times New Roman" w:cs="Times New Roman"/>
          <w:b/>
          <w:sz w:val="24"/>
          <w:szCs w:val="24"/>
        </w:rPr>
        <w:lastRenderedPageBreak/>
        <w:t>3.2. Подкрепа за превантивни мерки, насочени към ограничаване на градовите процеси</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Изменението на климата води все по-често до значителни по количество и интензитет градушки и други неблагоприятни атмосферни явления. Увеличението през 2022 г. на градовите процеси, както и невъзможността с наличните ракетни площадки да се покрие земеделската земя на територията на цялата страна, води до необходимост от въвеждане на нови способи за реакция от страна на Изпълнителна агенция „Борба с градушките“ при провеждането на активни въздействия върху градовите процеси.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В тази връзка, изменението в подмярка 5.1</w:t>
      </w:r>
      <w:r w:rsidR="00085C83" w:rsidRPr="00581B3B">
        <w:rPr>
          <w:rFonts w:ascii="Times New Roman" w:hAnsi="Times New Roman" w:cs="Times New Roman"/>
          <w:sz w:val="24"/>
          <w:szCs w:val="24"/>
        </w:rPr>
        <w:t xml:space="preserve"> </w:t>
      </w:r>
      <w:r w:rsidRPr="00581B3B">
        <w:rPr>
          <w:rFonts w:ascii="Times New Roman" w:hAnsi="Times New Roman" w:cs="Times New Roman"/>
          <w:sz w:val="24"/>
          <w:szCs w:val="24"/>
        </w:rPr>
        <w:t>предвижда за борба с градушките и намаляване на неблагоприятните последици от тях, включените към подмярката допустими разходи на Изпълнителна агенция „Борба с градушките“ да се разширят, като се включат и разходи за закупуване на летателни апарати (дронове), които ще се използват за предпазване на незащитените по ракетния способ земеделски площи.</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При въздушния способ (използване на летателни апарати) се използват палки със сребърен йодид, закрепени към летателния апарат. По този начин сребърният йодид се впръсква в градоносния облак, който е с кристална структура. Целта е изкуствените зародиши и естествените такива да разпределят водата в облака, която замръзва върху тях. Така градовите зърна стават повече, но с по-малки размери и падайки се стопяват до дъждовни капки. Този способ е подбран за подкрепа по подмярката, тъй като е по-евтин от използвания към момента ракетен способ.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В процеса на консултации със служите на ЕК, УО извърши проучване на възможните алтернативи за осигуряване на противоградна защита, както следва: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Инвестициите в мрежи за предпазване от градушки на ниво стопанство са възможна алтернатива, но те могат да бъдат използвани само при трайни насаждения, а основната част от непокритите площи са заети със зърнено</w:t>
      </w:r>
      <w:r w:rsidR="00085C83" w:rsidRPr="00581B3B">
        <w:rPr>
          <w:rFonts w:ascii="Times New Roman" w:hAnsi="Times New Roman" w:cs="Times New Roman"/>
          <w:sz w:val="24"/>
          <w:szCs w:val="24"/>
        </w:rPr>
        <w:t>-</w:t>
      </w:r>
      <w:r w:rsidRPr="00581B3B">
        <w:rPr>
          <w:rFonts w:ascii="Times New Roman" w:hAnsi="Times New Roman" w:cs="Times New Roman"/>
          <w:sz w:val="24"/>
          <w:szCs w:val="24"/>
        </w:rPr>
        <w:t xml:space="preserve">житни, маслодайни и етерично-маслени култури. Освен това, мрежите против градушки са скъп способ за защита дори на трайни насаждения. При референтна цена, прилагана от ДФЗ-РА за </w:t>
      </w:r>
      <w:r w:rsidR="00085C83" w:rsidRPr="00581B3B">
        <w:rPr>
          <w:rFonts w:ascii="Times New Roman" w:hAnsi="Times New Roman" w:cs="Times New Roman"/>
          <w:sz w:val="24"/>
          <w:szCs w:val="24"/>
        </w:rPr>
        <w:t>инвестиции</w:t>
      </w:r>
      <w:r w:rsidRPr="00581B3B">
        <w:rPr>
          <w:rFonts w:ascii="Times New Roman" w:hAnsi="Times New Roman" w:cs="Times New Roman"/>
          <w:sz w:val="24"/>
          <w:szCs w:val="24"/>
        </w:rPr>
        <w:t xml:space="preserve">  в мрежи против градушки от 41 000 евро/ха, за 6 млн. евро могат да бъдат покрити 146,3 ха, които представляват малка част от незащитените земеделски площи. За сравнение, инвестицията в дронове ще бъде ограничена до 6 млн. евро и цели да осигури защита на почти цялата територия от незащитени земеделски площи, която </w:t>
      </w:r>
      <w:r w:rsidR="00085C83" w:rsidRPr="00581B3B">
        <w:rPr>
          <w:rFonts w:ascii="Times New Roman" w:hAnsi="Times New Roman" w:cs="Times New Roman"/>
          <w:sz w:val="24"/>
          <w:szCs w:val="24"/>
        </w:rPr>
        <w:t>представлява</w:t>
      </w:r>
      <w:r w:rsidRPr="00581B3B">
        <w:rPr>
          <w:rFonts w:ascii="Times New Roman" w:hAnsi="Times New Roman" w:cs="Times New Roman"/>
          <w:sz w:val="24"/>
          <w:szCs w:val="24"/>
        </w:rPr>
        <w:t xml:space="preserve"> около 3 200 000 ха</w:t>
      </w:r>
      <w:r w:rsidR="001B6634" w:rsidRPr="00581B3B">
        <w:rPr>
          <w:rFonts w:ascii="Times New Roman" w:hAnsi="Times New Roman" w:cs="Times New Roman"/>
          <w:sz w:val="24"/>
          <w:szCs w:val="24"/>
        </w:rPr>
        <w:t>.</w:t>
      </w:r>
    </w:p>
    <w:p w:rsidR="00B7330E" w:rsidRPr="00581B3B" w:rsidRDefault="00531B4E" w:rsidP="001D683F">
      <w:pPr>
        <w:jc w:val="both"/>
        <w:rPr>
          <w:rFonts w:ascii="Times New Roman" w:hAnsi="Times New Roman" w:cs="Times New Roman"/>
          <w:sz w:val="24"/>
          <w:szCs w:val="24"/>
        </w:rPr>
      </w:pPr>
      <w:r w:rsidRPr="00531B4E">
        <w:rPr>
          <w:rFonts w:ascii="Times New Roman" w:hAnsi="Times New Roman" w:cs="Times New Roman"/>
          <w:sz w:val="24"/>
          <w:szCs w:val="24"/>
        </w:rPr>
        <w:t>Подмярка 5.2. „Инвестиции за възстановяване на потенциала на земеделските земи и на селскостопанския производствен потенциал, нарушени от природни бедствия, неблагоприятни климатични явления и катастрофични“</w:t>
      </w:r>
      <w:r w:rsidR="00B7330E" w:rsidRPr="00581B3B">
        <w:rPr>
          <w:rFonts w:ascii="Times New Roman" w:hAnsi="Times New Roman" w:cs="Times New Roman"/>
          <w:sz w:val="24"/>
          <w:szCs w:val="24"/>
        </w:rPr>
        <w:t xml:space="preserve"> дава възможност за възстановяване на увредени дълготрайни активи. От друга страна, </w:t>
      </w:r>
      <w:r w:rsidR="001B6634" w:rsidRPr="00581B3B">
        <w:rPr>
          <w:rFonts w:ascii="Times New Roman" w:hAnsi="Times New Roman" w:cs="Times New Roman"/>
          <w:sz w:val="24"/>
          <w:szCs w:val="24"/>
        </w:rPr>
        <w:t>щетите</w:t>
      </w:r>
      <w:r w:rsidR="00B7330E" w:rsidRPr="00581B3B">
        <w:rPr>
          <w:rFonts w:ascii="Times New Roman" w:hAnsi="Times New Roman" w:cs="Times New Roman"/>
          <w:sz w:val="24"/>
          <w:szCs w:val="24"/>
        </w:rPr>
        <w:t xml:space="preserve"> от градушки са свързани основно с увреждане на селскостопанска продукция (краткотраен актив), чи</w:t>
      </w:r>
      <w:r w:rsidR="001B6634" w:rsidRPr="00581B3B">
        <w:rPr>
          <w:rFonts w:ascii="Times New Roman" w:hAnsi="Times New Roman" w:cs="Times New Roman"/>
          <w:sz w:val="24"/>
          <w:szCs w:val="24"/>
        </w:rPr>
        <w:t>е</w:t>
      </w:r>
      <w:r w:rsidR="00B7330E" w:rsidRPr="00581B3B">
        <w:rPr>
          <w:rFonts w:ascii="Times New Roman" w:hAnsi="Times New Roman" w:cs="Times New Roman"/>
          <w:sz w:val="24"/>
          <w:szCs w:val="24"/>
        </w:rPr>
        <w:t>то възстановяване е недопустимо по подмярка 5.2.</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Възможностите за подпомагане по ЕЗФРСР включват и застраховане на продукцията, като ед</w:t>
      </w:r>
      <w:r w:rsidR="001B6634" w:rsidRPr="00581B3B">
        <w:rPr>
          <w:rFonts w:ascii="Times New Roman" w:hAnsi="Times New Roman" w:cs="Times New Roman"/>
          <w:sz w:val="24"/>
          <w:szCs w:val="24"/>
        </w:rPr>
        <w:t>и</w:t>
      </w:r>
      <w:r w:rsidRPr="00581B3B">
        <w:rPr>
          <w:rFonts w:ascii="Times New Roman" w:hAnsi="Times New Roman" w:cs="Times New Roman"/>
          <w:sz w:val="24"/>
          <w:szCs w:val="24"/>
        </w:rPr>
        <w:t xml:space="preserve">н от покритите рискове може да бъде и риск от увреждане на селскостопанска продукция при градушки. Такова подпомагане </w:t>
      </w:r>
      <w:r w:rsidRPr="00581B3B">
        <w:rPr>
          <w:rFonts w:ascii="Times New Roman" w:hAnsi="Times New Roman" w:cs="Times New Roman"/>
          <w:sz w:val="24"/>
          <w:szCs w:val="24"/>
        </w:rPr>
        <w:lastRenderedPageBreak/>
        <w:t xml:space="preserve">се прилага </w:t>
      </w:r>
      <w:r w:rsidR="00531B4E">
        <w:rPr>
          <w:rFonts w:ascii="Times New Roman" w:hAnsi="Times New Roman" w:cs="Times New Roman"/>
          <w:sz w:val="24"/>
          <w:szCs w:val="24"/>
        </w:rPr>
        <w:t xml:space="preserve">в </w:t>
      </w:r>
      <w:r w:rsidRPr="00581B3B">
        <w:rPr>
          <w:rFonts w:ascii="Times New Roman" w:hAnsi="Times New Roman" w:cs="Times New Roman"/>
          <w:sz w:val="24"/>
          <w:szCs w:val="24"/>
        </w:rPr>
        <w:t>България по схемите за държавна помощ. При тях интензитета на подпомагане е 65% от застрахователната премия, при максимално допустима застрахователна премия от 150 евро/ха</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 xml:space="preserve"> а безвъзмездната финансова помощ е ограничена до 100 евро/ха. В този случай, с максималната сума от 6 млн. евро, при БФП от 100 евро/ха могат да бъдат покрити 60 000 ха. За сравнение, с инвестиция от 6 млн. евро при въздушния способ с използване на дронове се цели покритие на около 3 200 000 ха земеделска площ.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Също така, защитата от градушки осигурява превенция против настъпване на неблагоприятното климатично събитие, а застраховката на продукция по същество се явява компенсация за вече настъпило неблагоприятно събитие. Допускането да погине огромна по обем продукция, може да има и други неблагоприятни ефекти, освен загубата на доход за земеделските стопани. В настоящите условия на инфлация, загубата на големи количества земеделска продукция може да засили недостига на определени земеделски продукти и да допринесе за турбулентно покачване на цените на храните, като допълнително постави под риск продоволствената сигурност на страната.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Проучването на възможностите за осигуряване на противоградна защита показва, че въздушния</w:t>
      </w:r>
      <w:r w:rsidR="001B6634" w:rsidRPr="00581B3B">
        <w:rPr>
          <w:rFonts w:ascii="Times New Roman" w:hAnsi="Times New Roman" w:cs="Times New Roman"/>
          <w:sz w:val="24"/>
          <w:szCs w:val="24"/>
        </w:rPr>
        <w:t>т</w:t>
      </w:r>
      <w:r w:rsidRPr="00581B3B">
        <w:rPr>
          <w:rFonts w:ascii="Times New Roman" w:hAnsi="Times New Roman" w:cs="Times New Roman"/>
          <w:sz w:val="24"/>
          <w:szCs w:val="24"/>
        </w:rPr>
        <w:t xml:space="preserve"> способ с използване на дронове </w:t>
      </w:r>
      <w:r w:rsidR="00935161">
        <w:rPr>
          <w:rFonts w:ascii="Times New Roman" w:hAnsi="Times New Roman" w:cs="Times New Roman"/>
          <w:sz w:val="24"/>
          <w:szCs w:val="24"/>
        </w:rPr>
        <w:t>е</w:t>
      </w:r>
      <w:r w:rsidRPr="00581B3B">
        <w:rPr>
          <w:rFonts w:ascii="Times New Roman" w:hAnsi="Times New Roman" w:cs="Times New Roman"/>
          <w:sz w:val="24"/>
          <w:szCs w:val="24"/>
        </w:rPr>
        <w:t xml:space="preserve"> по-ефективен от другите алтернативи за осигуряване на защита от градушки, като той осигурява ефикасност и разумна основателност на разходите от ЕЗФРСР.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Изпълнителна агенция „Борба с градушките“ е агенция към Министерство на земеделието. Нейната цел и функции са изцяло насочени към предпазване на земеделски площи от </w:t>
      </w:r>
      <w:r w:rsidR="00531B4E">
        <w:rPr>
          <w:rFonts w:ascii="Times New Roman" w:hAnsi="Times New Roman" w:cs="Times New Roman"/>
          <w:sz w:val="24"/>
          <w:szCs w:val="24"/>
        </w:rPr>
        <w:t xml:space="preserve">градушки. Изпълнителна агенция </w:t>
      </w:r>
      <w:r w:rsidR="00531B4E">
        <w:rPr>
          <w:rFonts w:ascii="Times New Roman" w:hAnsi="Times New Roman" w:cs="Times New Roman"/>
          <w:sz w:val="24"/>
          <w:szCs w:val="24"/>
        </w:rPr>
        <w:lastRenderedPageBreak/>
        <w:t>„</w:t>
      </w:r>
      <w:r w:rsidRPr="00581B3B">
        <w:rPr>
          <w:rFonts w:ascii="Times New Roman" w:hAnsi="Times New Roman" w:cs="Times New Roman"/>
          <w:sz w:val="24"/>
          <w:szCs w:val="24"/>
        </w:rPr>
        <w:t xml:space="preserve">Борба с градушките” защитава с ракетен способ за засев на градоопасни облаци територия над 2 милиона хектара земеделска земя в областите Видин, Монтана, Враца, Плевен, Пазарджик, Пловдив, Стара Загора, Сливен, Хасково. Използването на системата за противоградна защита за други цели не влиза в обхвата на дейност на агенцията. В тази връзка, инвестицията в дронове, за предпазване от градушки, ще бъде изцяло насочена към защита на земеделски площи.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Предвижда се изпълнението на дейностите по защита от градушки с летателни апарати да се осъществява съвместно от Изпълнителна агенция „Борба с градушките“ и Националния институт по метеорология и хидрология, който е главен изпълнител на научните изследвания и научнооперативни дейности у нас по метеорология, агрометеорология и хидрология. Предмет на дейност на института е наблюдение, анализ и прогноза на процесите в атмосферата и хидросферата, изследване на климатичните и водните ресурси, изучаване и прогнозиране на състава на атмосферата и хидросферата и изменението му от естествен и антропогенен характер, хидро-метеорологично обслужване за територията на страната и Черно море на държавните органи, населението и широк кръг потребители, опазване живота на хората и имуществото чрез навременно прогнозиране на опасни и особено опасни метеорологични явления и наводнения и др. Дейностите ще се изпълняват съвместно с Държавно предприятие „Ръководство на въздушното движение“, отговарящо за управление на въздушното движение за постигане на безопасност, ефективност и редовност на полетите в обслужваното </w:t>
      </w:r>
      <w:r w:rsidRPr="00581B3B">
        <w:rPr>
          <w:rFonts w:ascii="Times New Roman" w:hAnsi="Times New Roman" w:cs="Times New Roman"/>
          <w:sz w:val="24"/>
          <w:szCs w:val="24"/>
        </w:rPr>
        <w:lastRenderedPageBreak/>
        <w:t>гражданско въздушно пространство; планиране, осигуряване, внедряване, експлоатация и поддържане на съоръжения, системи и оборудване за комуникационно, навигационно, обзорно, енергийно, метеорологично и аеронавигационно осигуряване на обслужваното въздушно движение и съпътстващата инфраструктура.</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Осигуряването на подкрепа за закупуване на дронове за борба с градушките ще гарантира защита на земеделската продукция на територията на почти цялата страна.</w:t>
      </w:r>
    </w:p>
    <w:p w:rsidR="00B7330E" w:rsidRPr="00581B3B" w:rsidRDefault="00B7330E" w:rsidP="00EA2206">
      <w:pPr>
        <w:jc w:val="both"/>
        <w:rPr>
          <w:rFonts w:ascii="Times New Roman" w:hAnsi="Times New Roman" w:cs="Times New Roman"/>
          <w:b/>
          <w:sz w:val="24"/>
          <w:szCs w:val="24"/>
        </w:rPr>
      </w:pPr>
      <w:r w:rsidRPr="00581B3B">
        <w:rPr>
          <w:rFonts w:ascii="Times New Roman" w:hAnsi="Times New Roman" w:cs="Times New Roman"/>
          <w:b/>
          <w:sz w:val="24"/>
          <w:szCs w:val="24"/>
        </w:rPr>
        <w:t xml:space="preserve">3.3. Подкрепа за превантивни мерки, насочени към ограничаване на риска от наводнения на земеделски площи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Тенденциите в изменението на климата показват зачестяване на значителни по количество и интензитет неблагоприятни атмосферни явления, като неравномерното разпределение на количеството на валежите, водещо до наводнения, което от своя страна води до унищожаване на земеделската продукция, включително и на материални активи на земеделските стопани. В случаите на наводнения, освен загубата на селс</w:t>
      </w:r>
      <w:r w:rsidR="002B309C">
        <w:rPr>
          <w:rFonts w:ascii="Times New Roman" w:hAnsi="Times New Roman" w:cs="Times New Roman"/>
          <w:sz w:val="24"/>
          <w:szCs w:val="24"/>
        </w:rPr>
        <w:t xml:space="preserve">костопанска продукция е налице </w:t>
      </w:r>
      <w:r w:rsidRPr="00581B3B">
        <w:rPr>
          <w:rFonts w:ascii="Times New Roman" w:hAnsi="Times New Roman" w:cs="Times New Roman"/>
          <w:sz w:val="24"/>
          <w:szCs w:val="24"/>
        </w:rPr>
        <w:t>и допълнително увреждане на земеделската земя, като в някои от случаите това води и до непоправими щети и невъзможност за възстановяване и загубата на площи и изключването им от използваните земеделски площи.</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За превенция от наводнения на земеделските площи се предвижда като допустими кандидати по подмярката да бъдат включени „Напоителни системи“ ЕАД и </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Земинвест</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 xml:space="preserve"> ЕАД.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Съгласно Закона за водите, функции по почистването на речните легла в границите на урбанизирана територия са в прерогативите на кметовете на населените места. Почистването на речните легла извън границите на урбанизирана територия се планират и организират от областните администрации, областният управител. В съответствие с чл. 137, ал. 5 от </w:t>
      </w:r>
      <w:r w:rsidR="00672D45">
        <w:rPr>
          <w:rFonts w:ascii="Times New Roman" w:hAnsi="Times New Roman" w:cs="Times New Roman"/>
          <w:sz w:val="24"/>
          <w:szCs w:val="24"/>
        </w:rPr>
        <w:t>З</w:t>
      </w:r>
      <w:r w:rsidRPr="00581B3B">
        <w:rPr>
          <w:rFonts w:ascii="Times New Roman" w:hAnsi="Times New Roman" w:cs="Times New Roman"/>
          <w:sz w:val="24"/>
          <w:szCs w:val="24"/>
        </w:rPr>
        <w:t>акона за водите, „Напоителни системи“ ЕАД извършва дейности по защита от вредното въздействие на водите в границите на възложените му територии, съгласно договор с Министерство на земеделието, включващи територии със земеделски земи, както и земи от държавния поземлен фонд, състоящ се от земеделски земи</w:t>
      </w:r>
      <w:r w:rsidR="00672D45">
        <w:rPr>
          <w:rFonts w:ascii="Times New Roman" w:hAnsi="Times New Roman" w:cs="Times New Roman"/>
          <w:sz w:val="24"/>
          <w:szCs w:val="24"/>
        </w:rPr>
        <w:t xml:space="preserve"> </w:t>
      </w:r>
      <w:r w:rsidRPr="00581B3B">
        <w:rPr>
          <w:rFonts w:ascii="Times New Roman" w:hAnsi="Times New Roman" w:cs="Times New Roman"/>
          <w:sz w:val="24"/>
          <w:szCs w:val="24"/>
        </w:rPr>
        <w:t>-</w:t>
      </w:r>
      <w:r w:rsidR="00672D45">
        <w:rPr>
          <w:rFonts w:ascii="Times New Roman" w:hAnsi="Times New Roman" w:cs="Times New Roman"/>
          <w:sz w:val="24"/>
          <w:szCs w:val="24"/>
        </w:rPr>
        <w:t xml:space="preserve"> </w:t>
      </w:r>
      <w:r w:rsidRPr="00581B3B">
        <w:rPr>
          <w:rFonts w:ascii="Times New Roman" w:hAnsi="Times New Roman" w:cs="Times New Roman"/>
          <w:sz w:val="24"/>
          <w:szCs w:val="24"/>
        </w:rPr>
        <w:t>ниви, пасища, мери и ливади. Средствата се предоставят и отчитат чрез бюджета на Министерството на земеделието.</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Задълженията на „Напоителни системи“ ЕАД и </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Земинвест</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 xml:space="preserve"> ЕАД</w:t>
      </w:r>
      <w:r w:rsidRPr="00581B3B" w:rsidDel="00512959">
        <w:rPr>
          <w:rFonts w:ascii="Times New Roman" w:hAnsi="Times New Roman" w:cs="Times New Roman"/>
          <w:sz w:val="24"/>
          <w:szCs w:val="24"/>
        </w:rPr>
        <w:t xml:space="preserve"> </w:t>
      </w:r>
      <w:r w:rsidRPr="00581B3B">
        <w:rPr>
          <w:rFonts w:ascii="Times New Roman" w:hAnsi="Times New Roman" w:cs="Times New Roman"/>
          <w:sz w:val="24"/>
          <w:szCs w:val="24"/>
        </w:rPr>
        <w:t>са свързани с поддържане на язовирни стени, на предпазни диги на р. Дунав, корекции на вътрешни реки, предпазни диги, отводнителни помпени станции, отводнителни системи, които представляват дейности за предпазване от вредното въздействие на водите.</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Инвестициите в дейности за защита от вредното въздействие на водите и корекции на реки се препоръчват и от Световна банка в разработената и одобрена „Стратегия за управление и развитие на хидромелиорациите и защита от вредното въздействие на водите“ на България. Съгласно цитираната стратегия тези инвестиции ще позволят по-добра защита и контрол на наводненията, както и адекватно отвеждане на дренажните води от </w:t>
      </w:r>
      <w:r w:rsidRPr="00581B3B">
        <w:rPr>
          <w:rFonts w:ascii="Times New Roman" w:hAnsi="Times New Roman" w:cs="Times New Roman"/>
          <w:sz w:val="24"/>
          <w:szCs w:val="24"/>
        </w:rPr>
        <w:lastRenderedPageBreak/>
        <w:t xml:space="preserve">земеделската земя. Това е критично важно условие за устойчивостта на инвестициите за модернизация на отводняването и за възстановяването на поливните площи.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Поддържането на инфраструктурата за отводняване и защита от наводнения генерира важни ползи за селското стопанство и предотвратяването на наводнения. Голяма част от наводненията в България са формирани в резултат на тежки и продължителни валежи в селските райони. Земеделската земя служи като „хидроложка пътека“ за повърхностния отток и дренажните води, отвеждани чрез изкуствени системи към притоците и реките. Поддържането на инфраструктурата за защита от наводнения е предназначено за контрол на нивата на подземните води в основната обработваема земя, което цели повишаване на плодородието</w:t>
      </w:r>
      <w:r w:rsidR="002B6199">
        <w:rPr>
          <w:rFonts w:ascii="Times New Roman" w:hAnsi="Times New Roman" w:cs="Times New Roman"/>
          <w:sz w:val="24"/>
          <w:szCs w:val="24"/>
        </w:rPr>
        <w:t xml:space="preserve"> и продуктивността на почвите. </w:t>
      </w:r>
    </w:p>
    <w:p w:rsidR="00B7330E" w:rsidRPr="00581B3B" w:rsidRDefault="00B7330E" w:rsidP="001D683F">
      <w:pPr>
        <w:jc w:val="both"/>
        <w:rPr>
          <w:rFonts w:ascii="Times New Roman" w:hAnsi="Times New Roman" w:cs="Times New Roman"/>
          <w:sz w:val="24"/>
          <w:szCs w:val="24"/>
        </w:rPr>
      </w:pPr>
      <w:r w:rsidRPr="00581B3B">
        <w:rPr>
          <w:rFonts w:ascii="Times New Roman" w:hAnsi="Times New Roman" w:cs="Times New Roman"/>
          <w:sz w:val="24"/>
          <w:szCs w:val="24"/>
        </w:rPr>
        <w:t>С цел намаляване вредното въздействие на водите, като допустими инвестиции се предвижда да бъдат включени закупуването н</w:t>
      </w:r>
      <w:r w:rsidR="00143919">
        <w:rPr>
          <w:rFonts w:ascii="Times New Roman" w:hAnsi="Times New Roman" w:cs="Times New Roman"/>
          <w:sz w:val="24"/>
          <w:szCs w:val="24"/>
        </w:rPr>
        <w:t xml:space="preserve">а </w:t>
      </w:r>
      <w:r w:rsidRPr="00581B3B">
        <w:rPr>
          <w:rFonts w:ascii="Times New Roman" w:hAnsi="Times New Roman" w:cs="Times New Roman"/>
          <w:sz w:val="24"/>
          <w:szCs w:val="24"/>
        </w:rPr>
        <w:t>машини и оборудване за разчистване на наноси, срутвания, свличания, премахване на растителност и др</w:t>
      </w:r>
      <w:r w:rsidR="001B6634" w:rsidRPr="00581B3B">
        <w:rPr>
          <w:rFonts w:ascii="Times New Roman" w:hAnsi="Times New Roman" w:cs="Times New Roman"/>
          <w:sz w:val="24"/>
          <w:szCs w:val="24"/>
        </w:rPr>
        <w:t>.</w:t>
      </w:r>
      <w:r w:rsidRPr="00581B3B">
        <w:rPr>
          <w:rFonts w:ascii="Times New Roman" w:hAnsi="Times New Roman" w:cs="Times New Roman"/>
          <w:sz w:val="24"/>
          <w:szCs w:val="24"/>
        </w:rPr>
        <w:t xml:space="preserve"> Посочените инвестиции ще имат директен принос за възстановяване на поливните земеделски площи, за повишаване на плодородието и продуктивността на земеделските почви, което ще се постигне чрез контрол на нивата на подпочвени и повърхностни води. </w:t>
      </w:r>
    </w:p>
    <w:p w:rsidR="002C308C" w:rsidRPr="00581B3B" w:rsidRDefault="002C308C" w:rsidP="00B35E6D">
      <w:pPr>
        <w:pStyle w:val="Heading2"/>
      </w:pPr>
      <w:bookmarkStart w:id="5" w:name="_Toc130370310"/>
      <w:r w:rsidRPr="00581B3B">
        <w:lastRenderedPageBreak/>
        <w:t>Промяна в текста на подмярка 6.1 „Стартова помощ за млади земеделски стопани“ от ПРСР (2014-2020), свързано с възможността за установяване на втори ръководител на земеделското стопанство</w:t>
      </w:r>
      <w:bookmarkEnd w:id="5"/>
    </w:p>
    <w:p w:rsidR="00275500" w:rsidRPr="00581B3B" w:rsidRDefault="00275500" w:rsidP="001D683F">
      <w:pPr>
        <w:jc w:val="both"/>
        <w:rPr>
          <w:rFonts w:ascii="Times New Roman" w:hAnsi="Times New Roman" w:cs="Times New Roman"/>
          <w:sz w:val="24"/>
          <w:szCs w:val="24"/>
        </w:rPr>
      </w:pPr>
      <w:r w:rsidRPr="00581B3B">
        <w:rPr>
          <w:rFonts w:ascii="Times New Roman" w:hAnsi="Times New Roman" w:cs="Times New Roman"/>
          <w:sz w:val="24"/>
          <w:szCs w:val="24"/>
        </w:rPr>
        <w:t>Във връзка с възникнали казуси при изпълнение на поети ангажименти от страна на бенефициенти по подмярка 6.1 „Стартова помощ за млади земеделски стопани“ от ПРСР 2014-2020 г., Управляващият орган на ПРСР предлага да се извършат промени в раздела, свързан с изискването за установяване на втори ръководител на земеделското стопанство от бенефициентите по подмярката.</w:t>
      </w:r>
    </w:p>
    <w:p w:rsidR="00275500" w:rsidRPr="00581B3B" w:rsidRDefault="00275500" w:rsidP="001D683F">
      <w:pPr>
        <w:jc w:val="both"/>
        <w:rPr>
          <w:rFonts w:ascii="Times New Roman" w:hAnsi="Times New Roman" w:cs="Times New Roman"/>
          <w:sz w:val="24"/>
          <w:szCs w:val="24"/>
        </w:rPr>
      </w:pPr>
      <w:r w:rsidRPr="00581B3B">
        <w:rPr>
          <w:rFonts w:ascii="Times New Roman" w:hAnsi="Times New Roman" w:cs="Times New Roman"/>
          <w:sz w:val="24"/>
          <w:szCs w:val="24"/>
        </w:rPr>
        <w:t>От една страна, част от бенефициентите по подмярката са млади жени, които в периода на изпълнение на бизнес плана стават майки. Земеделските стопани - жени, осигурени за общо заболяване и майчинство и придобили общ осигурителен стаж 12 месеца за този риск, имат право на парично обезщетение за бременност, раждане и за отглеждане на дете до 2-годишна възраст при условие, че през съответния период не продължават да упражняват лична трудова дейност в това качество. Периодът на бременност и раждане е в размер 410 дни, които започват 45 дни преди определения термин, като за първите 135 дни се издават болнични листове.</w:t>
      </w:r>
    </w:p>
    <w:p w:rsidR="00275500" w:rsidRPr="00581B3B" w:rsidRDefault="00275500" w:rsidP="00275500">
      <w:pPr>
        <w:jc w:val="both"/>
        <w:rPr>
          <w:rFonts w:ascii="Times New Roman" w:hAnsi="Times New Roman" w:cs="Times New Roman"/>
          <w:sz w:val="24"/>
          <w:szCs w:val="24"/>
        </w:rPr>
      </w:pPr>
      <w:r w:rsidRPr="00581B3B">
        <w:rPr>
          <w:rFonts w:ascii="Times New Roman" w:hAnsi="Times New Roman" w:cs="Times New Roman"/>
          <w:sz w:val="24"/>
          <w:szCs w:val="24"/>
        </w:rPr>
        <w:t xml:space="preserve">Паричните обезщетения за бременност, раждане и за отглеждане на дете до 2-годишна възраст се изплащат за времето на съответните отпуски, които наетите лица ползват по трудово, служебно или др. правоотношение, като ролята на обезщетението е да замести пропуснатото трудово възнаграждение. Аналог на отпуските при самоосигуряващите се лица е условието да не упражняват дейност през съответния период. </w:t>
      </w:r>
    </w:p>
    <w:p w:rsidR="00275500" w:rsidRPr="00581B3B" w:rsidRDefault="00275500" w:rsidP="00275500">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От друга страна, съгласно условията за допустимост по подмярка 6.1 „Стартова помощ за млади земеделски стопани“ от ПРСР 2014-2020 г., не се подпомагат земеделски стопани, при които е налице втори ръководител на земеделското стопанство. Втори ръководител на земеделското стопанство е лице, различно от кандидата/бенефициента, собственика на предприятието на кандидата/бенефициента ЕТ или собственика на капитала на кандидата/бенефициента ЕООД, което организира търговската и земеделската дейност на стопанството, разпорежда се с активите и/или извършва финансови операции от и за сметка на земеделското стопанство, включително е назначено като управител и/или прокурист на кандидата/бенефициента ЕООД или ЕТ или действа в качеството си на пълномощник на кандидата/бенефициента, на собственика на предприятието на кандидата/бенефициента ЕТ или собственика на капитала на кандидата/бенефициента ЕООД. В чл. 2, параграф 1 и 2 от Делегиран регламент (ЕС) № 807/2014 на Комисията от 11 март 2014 година за допълнение на някои разпоредби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и за въвеждане на преходни разпоредби</w:t>
      </w:r>
      <w:r w:rsidRPr="00581B3B">
        <w:rPr>
          <w:rFonts w:ascii="Times New Roman" w:hAnsi="Times New Roman" w:cs="Times New Roman"/>
          <w:i/>
          <w:sz w:val="24"/>
          <w:szCs w:val="24"/>
        </w:rPr>
        <w:t xml:space="preserve"> </w:t>
      </w:r>
      <w:r w:rsidRPr="00581B3B">
        <w:rPr>
          <w:rFonts w:ascii="Times New Roman" w:hAnsi="Times New Roman" w:cs="Times New Roman"/>
          <w:sz w:val="24"/>
          <w:szCs w:val="24"/>
        </w:rPr>
        <w:t xml:space="preserve">е предвидена възможност, съгласно която страната-членка може да предвиди условия, при които е допустим втори ръководител. </w:t>
      </w:r>
    </w:p>
    <w:p w:rsidR="00275500" w:rsidRPr="00581B3B" w:rsidRDefault="00275500" w:rsidP="00275500">
      <w:pPr>
        <w:jc w:val="both"/>
        <w:rPr>
          <w:rFonts w:ascii="Times New Roman" w:hAnsi="Times New Roman" w:cs="Times New Roman"/>
          <w:sz w:val="24"/>
          <w:szCs w:val="24"/>
        </w:rPr>
      </w:pPr>
      <w:r w:rsidRPr="00581B3B">
        <w:rPr>
          <w:rFonts w:ascii="Times New Roman" w:hAnsi="Times New Roman" w:cs="Times New Roman"/>
          <w:sz w:val="24"/>
          <w:szCs w:val="24"/>
        </w:rPr>
        <w:t xml:space="preserve">Изложените факти пораждат необходимост да бъде допуснато назначаване на втори ръководител, само и единствено в случаите, когато бенефициентът (жена) ползва отпуск и обезщетение, при бременност, раждане и отглеждане на дете до 2-годишна възраст. </w:t>
      </w:r>
    </w:p>
    <w:p w:rsidR="00275500" w:rsidRPr="00581B3B" w:rsidRDefault="00275500" w:rsidP="001D683F">
      <w:pPr>
        <w:tabs>
          <w:tab w:val="left" w:pos="709"/>
        </w:tabs>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С оглед гореизложеното и с цел улесняване изпълнението на подмярка 6.1 „Стартова помощ за млади земеделски стопани“ Управляващият орган предлага в подмярката да бъде включен текст, </w:t>
      </w:r>
      <w:r w:rsidR="00531B4E">
        <w:rPr>
          <w:rFonts w:ascii="Times New Roman" w:hAnsi="Times New Roman" w:cs="Times New Roman"/>
          <w:sz w:val="24"/>
          <w:szCs w:val="24"/>
        </w:rPr>
        <w:t xml:space="preserve">който гласи, </w:t>
      </w:r>
      <w:r w:rsidRPr="00581B3B">
        <w:rPr>
          <w:rFonts w:ascii="Times New Roman" w:hAnsi="Times New Roman" w:cs="Times New Roman"/>
          <w:sz w:val="24"/>
          <w:szCs w:val="24"/>
        </w:rPr>
        <w:t>че назначаването на втори ръководител е допустимо само когато кандидати/бенефициенти – жени, ползват отпуск и обезщетение при бременност, раждане и отглеждане на дете до 2 години.</w:t>
      </w:r>
      <w:r w:rsidRPr="00581B3B">
        <w:rPr>
          <w:rFonts w:ascii="Verdana" w:hAnsi="Verdana" w:cs="Times New Roman"/>
          <w:b/>
          <w:i/>
          <w:sz w:val="16"/>
          <w:szCs w:val="16"/>
        </w:rPr>
        <w:tab/>
      </w:r>
    </w:p>
    <w:p w:rsidR="00275500" w:rsidRPr="00581B3B" w:rsidRDefault="00275500" w:rsidP="00B35E6D">
      <w:pPr>
        <w:pStyle w:val="Heading2"/>
      </w:pPr>
      <w:bookmarkStart w:id="6" w:name="_Toc130370311"/>
      <w:r w:rsidRPr="00581B3B">
        <w:t>Изменение на подмярка 6.4.1 „Инвестиции в подкрепа на неземеделски дейности“, свързано с приемането на нова Национална стратегия за малките и средните предприятия</w:t>
      </w:r>
      <w:bookmarkEnd w:id="6"/>
      <w:r w:rsidRPr="00581B3B">
        <w:rPr>
          <w:u w:val="single"/>
        </w:rPr>
        <w:t xml:space="preserve"> </w:t>
      </w:r>
    </w:p>
    <w:p w:rsidR="00E622BC" w:rsidRPr="00581B3B" w:rsidRDefault="00275500" w:rsidP="001D683F">
      <w:pPr>
        <w:spacing w:after="0"/>
        <w:jc w:val="both"/>
        <w:rPr>
          <w:rFonts w:ascii="Times New Roman" w:hAnsi="Times New Roman" w:cs="Times New Roman"/>
          <w:sz w:val="24"/>
          <w:szCs w:val="24"/>
        </w:rPr>
      </w:pPr>
      <w:r w:rsidRPr="00581B3B">
        <w:rPr>
          <w:rFonts w:ascii="Times New Roman" w:hAnsi="Times New Roman" w:cs="Times New Roman"/>
          <w:sz w:val="24"/>
          <w:szCs w:val="24"/>
        </w:rPr>
        <w:t>Във връзка със стартиране на прием на проектни предложения по подмярка 6.4.1 „Инвестиции в подкрепа на неземеделски дейности“</w:t>
      </w:r>
      <w:r w:rsidR="001B6634" w:rsidRPr="00581B3B">
        <w:rPr>
          <w:rFonts w:ascii="Times New Roman" w:hAnsi="Times New Roman" w:cs="Times New Roman"/>
          <w:sz w:val="24"/>
          <w:szCs w:val="24"/>
        </w:rPr>
        <w:t xml:space="preserve"> през 2023 г.</w:t>
      </w:r>
      <w:r w:rsidRPr="00581B3B">
        <w:rPr>
          <w:rFonts w:ascii="Times New Roman" w:hAnsi="Times New Roman" w:cs="Times New Roman"/>
          <w:sz w:val="24"/>
          <w:szCs w:val="24"/>
        </w:rPr>
        <w:t xml:space="preserve">, </w:t>
      </w:r>
      <w:r w:rsidR="001B6634" w:rsidRPr="00581B3B">
        <w:rPr>
          <w:rFonts w:ascii="Times New Roman" w:hAnsi="Times New Roman" w:cs="Times New Roman"/>
          <w:sz w:val="24"/>
          <w:szCs w:val="24"/>
        </w:rPr>
        <w:t>УО</w:t>
      </w:r>
      <w:r w:rsidRPr="00581B3B">
        <w:rPr>
          <w:rFonts w:ascii="Times New Roman" w:hAnsi="Times New Roman" w:cs="Times New Roman"/>
          <w:sz w:val="24"/>
          <w:szCs w:val="24"/>
        </w:rPr>
        <w:t xml:space="preserve"> предлага редакционно изменение в текстовете на т. 8.2.5.3.3.9 „Принципи при определяне на критериите за подбор“. Изменението е свързано с приетата с Решение № 281 от 01.04.2021 г. на Министерски съвет на Република България нова Национална стратегия за малките и средните предприятия 2021 – 2027 г. и се изразява в промяна на името на документа и раздела, в който са посочени секторите, които са допустими за подпомагане по подмярката. </w:t>
      </w:r>
    </w:p>
    <w:p w:rsidR="00E622BC" w:rsidRPr="00581B3B" w:rsidRDefault="00E622BC" w:rsidP="00B35E6D">
      <w:pPr>
        <w:pStyle w:val="Heading2"/>
      </w:pPr>
      <w:bookmarkStart w:id="7" w:name="_Toc130370312"/>
      <w:r w:rsidRPr="00581B3B">
        <w:t>Промяна в текста на подмярка 7.2 „Инвестиции в създаването, подобряването или разширяването на всички видове малка по мащаби инфраструктура“</w:t>
      </w:r>
      <w:bookmarkEnd w:id="7"/>
      <w:r w:rsidRPr="00581B3B">
        <w:t xml:space="preserve"> </w:t>
      </w:r>
    </w:p>
    <w:p w:rsidR="00AA6F7C" w:rsidRPr="00AA6F7C" w:rsidRDefault="00D93995" w:rsidP="00AA6F7C">
      <w:pPr>
        <w:jc w:val="both"/>
        <w:rPr>
          <w:rFonts w:ascii="Times New Roman" w:hAnsi="Times New Roman" w:cs="Times New Roman"/>
          <w:sz w:val="24"/>
          <w:szCs w:val="24"/>
        </w:rPr>
      </w:pPr>
      <w:r w:rsidRPr="00581B3B">
        <w:rPr>
          <w:rFonts w:ascii="Times New Roman" w:hAnsi="Times New Roman" w:cs="Times New Roman"/>
          <w:sz w:val="24"/>
          <w:szCs w:val="24"/>
        </w:rPr>
        <w:t xml:space="preserve">УО предлага включване на нов текст в Раздел </w:t>
      </w:r>
      <w:r w:rsidRPr="00581B3B">
        <w:rPr>
          <w:rFonts w:ascii="Times New Roman" w:hAnsi="Times New Roman" w:cs="Times New Roman"/>
          <w:i/>
          <w:sz w:val="24"/>
          <w:szCs w:val="24"/>
        </w:rPr>
        <w:t>8.2.6.3.1.11. Специфична информация за операцията</w:t>
      </w:r>
      <w:r w:rsidRPr="00581B3B">
        <w:rPr>
          <w:rFonts w:ascii="Times New Roman" w:hAnsi="Times New Roman" w:cs="Times New Roman"/>
          <w:sz w:val="24"/>
          <w:szCs w:val="24"/>
        </w:rPr>
        <w:t xml:space="preserve"> от мярка 7</w:t>
      </w:r>
      <w:r w:rsidR="00531B4E">
        <w:rPr>
          <w:rFonts w:ascii="Times New Roman" w:hAnsi="Times New Roman" w:cs="Times New Roman"/>
          <w:sz w:val="24"/>
          <w:szCs w:val="24"/>
        </w:rPr>
        <w:t xml:space="preserve"> </w:t>
      </w:r>
      <w:r w:rsidR="00531B4E" w:rsidRPr="00531B4E">
        <w:rPr>
          <w:rFonts w:ascii="Times New Roman" w:hAnsi="Times New Roman" w:cs="Times New Roman"/>
          <w:sz w:val="24"/>
          <w:szCs w:val="24"/>
        </w:rPr>
        <w:t>„Основни услуги и обновяване на селата в селските райони“</w:t>
      </w:r>
      <w:r w:rsidRPr="00581B3B">
        <w:rPr>
          <w:rFonts w:ascii="Times New Roman" w:hAnsi="Times New Roman" w:cs="Times New Roman"/>
          <w:sz w:val="24"/>
          <w:szCs w:val="24"/>
        </w:rPr>
        <w:t xml:space="preserve">, свързан с въвеждането на изключение относно </w:t>
      </w:r>
      <w:r w:rsidRPr="00581B3B">
        <w:rPr>
          <w:rFonts w:ascii="Times New Roman" w:hAnsi="Times New Roman" w:cs="Times New Roman"/>
          <w:sz w:val="24"/>
          <w:szCs w:val="24"/>
        </w:rPr>
        <w:lastRenderedPageBreak/>
        <w:t xml:space="preserve">определянето на </w:t>
      </w:r>
      <w:r w:rsidR="00AA6F7C">
        <w:rPr>
          <w:rFonts w:ascii="Times New Roman" w:hAnsi="Times New Roman" w:cs="Times New Roman"/>
          <w:sz w:val="24"/>
          <w:szCs w:val="24"/>
        </w:rPr>
        <w:t>малка по мащаби инфраструктура с</w:t>
      </w:r>
      <w:r w:rsidR="00AA6F7C" w:rsidRPr="00AA6F7C">
        <w:rPr>
          <w:rFonts w:ascii="Times New Roman" w:hAnsi="Times New Roman" w:cs="Times New Roman"/>
          <w:sz w:val="24"/>
          <w:szCs w:val="24"/>
        </w:rPr>
        <w:t xml:space="preserve"> оглед равното третиране на кандидатите при индексиране н</w:t>
      </w:r>
      <w:r w:rsidR="00AA6F7C">
        <w:rPr>
          <w:rFonts w:ascii="Times New Roman" w:hAnsi="Times New Roman" w:cs="Times New Roman"/>
          <w:sz w:val="24"/>
          <w:szCs w:val="24"/>
        </w:rPr>
        <w:t xml:space="preserve">а разходи по сключени договори. </w:t>
      </w:r>
      <w:r w:rsidR="00AA6F7C" w:rsidRPr="00AA6F7C">
        <w:rPr>
          <w:rFonts w:ascii="Times New Roman" w:hAnsi="Times New Roman" w:cs="Times New Roman"/>
          <w:sz w:val="24"/>
          <w:szCs w:val="24"/>
        </w:rPr>
        <w:t>Това е породено от следните съображения:</w:t>
      </w:r>
    </w:p>
    <w:p w:rsidR="00AA6F7C" w:rsidRPr="00AA6F7C" w:rsidRDefault="00AA6F7C" w:rsidP="00AA6F7C">
      <w:pPr>
        <w:pStyle w:val="ListParagraph"/>
        <w:numPr>
          <w:ilvl w:val="0"/>
          <w:numId w:val="31"/>
        </w:numPr>
        <w:jc w:val="both"/>
        <w:rPr>
          <w:rFonts w:ascii="Times New Roman" w:hAnsi="Times New Roman" w:cs="Times New Roman"/>
          <w:sz w:val="24"/>
          <w:szCs w:val="24"/>
        </w:rPr>
      </w:pPr>
      <w:r w:rsidRPr="00AA6F7C">
        <w:rPr>
          <w:rFonts w:ascii="Times New Roman" w:hAnsi="Times New Roman" w:cs="Times New Roman"/>
          <w:sz w:val="24"/>
          <w:szCs w:val="24"/>
        </w:rPr>
        <w:t xml:space="preserve">Бенефициенти с одобрени разходи до посочените в Раздел 8.2.6.3.1.11. </w:t>
      </w:r>
      <w:r w:rsidRPr="00286861">
        <w:rPr>
          <w:rFonts w:ascii="Times New Roman" w:hAnsi="Times New Roman" w:cs="Times New Roman"/>
          <w:i/>
          <w:sz w:val="24"/>
          <w:szCs w:val="24"/>
        </w:rPr>
        <w:t>„Специфична информация за операцията“</w:t>
      </w:r>
      <w:r w:rsidRPr="00AA6F7C">
        <w:rPr>
          <w:rFonts w:ascii="Times New Roman" w:hAnsi="Times New Roman" w:cs="Times New Roman"/>
          <w:sz w:val="24"/>
          <w:szCs w:val="24"/>
        </w:rPr>
        <w:t xml:space="preserve"> от ПРСР тавани няма да могат да се възползват от възможността да индексират своите договори;</w:t>
      </w:r>
    </w:p>
    <w:p w:rsidR="00E622BC" w:rsidRPr="00AA6F7C" w:rsidRDefault="00AA6F7C" w:rsidP="00AA6F7C">
      <w:pPr>
        <w:pStyle w:val="ListParagraph"/>
        <w:numPr>
          <w:ilvl w:val="0"/>
          <w:numId w:val="31"/>
        </w:numPr>
        <w:jc w:val="both"/>
        <w:rPr>
          <w:rFonts w:ascii="Times New Roman" w:hAnsi="Times New Roman" w:cs="Times New Roman"/>
          <w:sz w:val="24"/>
          <w:szCs w:val="24"/>
        </w:rPr>
      </w:pPr>
      <w:r w:rsidRPr="00AA6F7C">
        <w:rPr>
          <w:rFonts w:ascii="Times New Roman" w:hAnsi="Times New Roman" w:cs="Times New Roman"/>
          <w:sz w:val="24"/>
          <w:szCs w:val="24"/>
        </w:rPr>
        <w:t>На практика индексацията представлява единствено актуализация на вече одобрените разходи, пресметната през индекса на инфлация, а не увеличение във вида и размера на инфраструктурата, която е била заявена и одобрена като малка по мащаби инфраструктура по смисъла на разпоредбите в ПРСР и приложимото Европейско законодателство.</w:t>
      </w:r>
    </w:p>
    <w:p w:rsidR="00E622BC" w:rsidRPr="00581B3B" w:rsidRDefault="00E622BC" w:rsidP="00B35E6D">
      <w:pPr>
        <w:pStyle w:val="Heading2"/>
      </w:pPr>
      <w:bookmarkStart w:id="8" w:name="_Toc130370313"/>
      <w:r w:rsidRPr="00581B3B">
        <w:t>Изменения в текстовете на мярка 10 „Агроекология и климат“, мярка 11 „Биологично земеделие“ и Мярка 14 „Хуманно отношение към животните“ от ПРСР (2014-2020).</w:t>
      </w:r>
      <w:bookmarkEnd w:id="8"/>
    </w:p>
    <w:p w:rsidR="005B47C7" w:rsidRPr="00581B3B" w:rsidRDefault="005B47C7" w:rsidP="001D683F">
      <w:pPr>
        <w:jc w:val="both"/>
        <w:rPr>
          <w:rFonts w:ascii="Times New Roman" w:hAnsi="Times New Roman" w:cs="Times New Roman"/>
          <w:sz w:val="24"/>
          <w:szCs w:val="24"/>
        </w:rPr>
      </w:pPr>
      <w:r w:rsidRPr="00581B3B">
        <w:rPr>
          <w:rFonts w:ascii="Times New Roman" w:hAnsi="Times New Roman" w:cs="Times New Roman"/>
          <w:sz w:val="24"/>
          <w:szCs w:val="24"/>
        </w:rPr>
        <w:t>През 2020 г. България бе изправена пред безпрецедентна криза, породена от икономическите, социални и здравни последици на пандемията от COVID-19. Това създаде допълнително несигурност и повишени рискове за земеделските стоп</w:t>
      </w:r>
      <w:r w:rsidR="009B1A84">
        <w:rPr>
          <w:rFonts w:ascii="Times New Roman" w:hAnsi="Times New Roman" w:cs="Times New Roman"/>
          <w:sz w:val="24"/>
          <w:szCs w:val="24"/>
        </w:rPr>
        <w:t xml:space="preserve">ани и селскостопански сектор. </w:t>
      </w:r>
      <w:r w:rsidRPr="00581B3B">
        <w:rPr>
          <w:rFonts w:ascii="Times New Roman" w:hAnsi="Times New Roman" w:cs="Times New Roman"/>
          <w:sz w:val="24"/>
          <w:szCs w:val="24"/>
        </w:rPr>
        <w:t>Удължаването на значителните ограничения по отношение на движението, както и задължителното затваряне на магазини, открити пазари, ресторанти и други заведения за хранене, доведоха до икономически смущения в селскостопанския сектор и икономически проблеми на земеделските стопани и операторите, занимаващи се с преработка, предлагане на пазара или развитие на селскостопански продукти.</w:t>
      </w:r>
      <w:r w:rsidR="006041B7" w:rsidRPr="00581B3B">
        <w:rPr>
          <w:rFonts w:ascii="Times New Roman" w:hAnsi="Times New Roman" w:cs="Times New Roman"/>
          <w:sz w:val="24"/>
          <w:szCs w:val="24"/>
        </w:rPr>
        <w:t xml:space="preserve"> </w:t>
      </w:r>
      <w:r w:rsidRPr="00581B3B">
        <w:rPr>
          <w:rFonts w:ascii="Times New Roman" w:hAnsi="Times New Roman" w:cs="Times New Roman"/>
          <w:sz w:val="24"/>
          <w:szCs w:val="24"/>
        </w:rPr>
        <w:t xml:space="preserve">Налице бе повишен риск и реална опасност от нарушаване на производството и </w:t>
      </w:r>
      <w:r w:rsidRPr="00581B3B">
        <w:rPr>
          <w:rFonts w:ascii="Times New Roman" w:hAnsi="Times New Roman" w:cs="Times New Roman"/>
          <w:sz w:val="24"/>
          <w:szCs w:val="24"/>
        </w:rPr>
        <w:lastRenderedPageBreak/>
        <w:t>преработката на селскостопански продукти, предвид затрудненията в доставките на необходимите средства за производство, както и поради задълбочаващия се недостиг на работна ръка за изпълнение на основните дейности в отрасъла, породени от прилагането на задължителните мерки за безопасност, въведени за преодоляване на коронавирус епидемията. Затварянето на ресторантьорския, хотелиерския и туристическия бизнес (канал HОRЕCА) до голяма степен намали консумацията на основни хранителни продукти. Земеделските стопани и преработватели бяха поставени в извънредна ситуация, като последиците, сред които забавен или невъзможен износ, труден достъп до работна ръка, промяна в потребителските нагласи</w:t>
      </w:r>
      <w:r w:rsidR="006041B7" w:rsidRPr="00581B3B">
        <w:rPr>
          <w:rFonts w:ascii="Times New Roman" w:hAnsi="Times New Roman" w:cs="Times New Roman"/>
          <w:sz w:val="24"/>
          <w:szCs w:val="24"/>
        </w:rPr>
        <w:t>,</w:t>
      </w:r>
      <w:r w:rsidRPr="00581B3B">
        <w:rPr>
          <w:rFonts w:ascii="Times New Roman" w:hAnsi="Times New Roman" w:cs="Times New Roman"/>
          <w:sz w:val="24"/>
          <w:szCs w:val="24"/>
        </w:rPr>
        <w:t xml:space="preserve"> се наблюдаваха през 2020 г. и 2021 г. Нарушено бе нормалното функциониране на цялата верига на доставки на храни, като в същото време потребителското търсене намаля.</w:t>
      </w:r>
    </w:p>
    <w:p w:rsidR="005B47C7" w:rsidRPr="00581B3B" w:rsidRDefault="005B47C7" w:rsidP="001D683F">
      <w:pPr>
        <w:jc w:val="both"/>
        <w:rPr>
          <w:rFonts w:ascii="Times New Roman" w:hAnsi="Times New Roman" w:cs="Times New Roman"/>
          <w:sz w:val="24"/>
          <w:szCs w:val="24"/>
        </w:rPr>
      </w:pPr>
      <w:r w:rsidRPr="00581B3B">
        <w:rPr>
          <w:rFonts w:ascii="Times New Roman" w:hAnsi="Times New Roman" w:cs="Times New Roman"/>
          <w:sz w:val="24"/>
          <w:szCs w:val="24"/>
        </w:rPr>
        <w:t>За съжаление, всички предприети действия от страна на държавата, целящи нормализирането на тези процеси, намаляване на усещането за несигурност и възстановяването на обичайното функциониране на сектора бе нарушено отново през 2022 г. в резултат на военна агресия от страна на Руската федерация, което допълнително изостри неблагоприятното  въздействие и създаде риск от допълнително забавяне на възстановяването на икономиката. Повишената инфлация, ръстът в цените на основните ресурси, използвани в селското стопанство, повиши усещането за несигурност в земеделските стопани, като възстановяването в различните сектори на икономиката е неравномерно, но негативните последствия от повишените разходи за суровини и горива в селското стопанство наред със значителната инфлация, ведно с необходимостта от правилно планиране на извършваните дейности, оказват значимо негативно въздействие в нормалното функциониране на сектора.</w:t>
      </w:r>
    </w:p>
    <w:p w:rsidR="006041B7" w:rsidRPr="00581B3B" w:rsidRDefault="006041B7"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Във връзка с изложените по-горе факти и обстоятелства, УО счита, че следва да бъдат предприети следните действия, които, в рамките на допустимите възможности съгласно приложимото европейско и национално законодателство, частично биха могли да отговорят на създадените пред сектора предизвикателства, а именно:</w:t>
      </w:r>
    </w:p>
    <w:p w:rsidR="006041B7" w:rsidRPr="00581B3B" w:rsidRDefault="006041B7" w:rsidP="00B35E6D">
      <w:pPr>
        <w:pStyle w:val="Heading2"/>
        <w:numPr>
          <w:ilvl w:val="0"/>
          <w:numId w:val="0"/>
        </w:numPr>
      </w:pPr>
      <w:bookmarkStart w:id="9" w:name="_Toc130370314"/>
      <w:r w:rsidRPr="00581B3B">
        <w:t>Възможност за увеличение (индексация) на размера на компенсаторните плащания</w:t>
      </w:r>
      <w:bookmarkEnd w:id="9"/>
      <w:r w:rsidRPr="00581B3B">
        <w:t xml:space="preserve"> </w:t>
      </w:r>
    </w:p>
    <w:p w:rsidR="00E622BC" w:rsidRPr="00581B3B" w:rsidRDefault="007616BE" w:rsidP="00B35E6D">
      <w:pPr>
        <w:pStyle w:val="Heading2"/>
        <w:numPr>
          <w:ilvl w:val="0"/>
          <w:numId w:val="0"/>
        </w:numPr>
      </w:pPr>
      <w:bookmarkStart w:id="10" w:name="_Toc130370315"/>
      <w:r w:rsidRPr="00581B3B">
        <w:t>Мярка 10 „Агроекология и климат“</w:t>
      </w:r>
      <w:bookmarkEnd w:id="10"/>
    </w:p>
    <w:p w:rsidR="00B75093" w:rsidRPr="00581B3B" w:rsidRDefault="00B7509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Общо планираните публични средства по мярка 10 „Агроекология и климат“ за периода 2014-2020 г. възлизат на над 223 млн. евро. По всички направления от мярката в периода са поемани доброволни 5-годишни ангажименти от земеделските стопани. </w:t>
      </w:r>
    </w:p>
    <w:p w:rsidR="00B75093" w:rsidRPr="00581B3B" w:rsidRDefault="00B75093" w:rsidP="001D683F">
      <w:pPr>
        <w:pStyle w:val="ListParagraph"/>
        <w:ind w:left="0"/>
        <w:jc w:val="both"/>
        <w:rPr>
          <w:rFonts w:ascii="Times New Roman" w:hAnsi="Times New Roman" w:cs="Times New Roman"/>
          <w:sz w:val="24"/>
          <w:szCs w:val="24"/>
        </w:rPr>
      </w:pPr>
      <w:r w:rsidRPr="00581B3B">
        <w:rPr>
          <w:rFonts w:ascii="Times New Roman" w:hAnsi="Times New Roman" w:cs="Times New Roman"/>
          <w:sz w:val="24"/>
          <w:szCs w:val="24"/>
        </w:rPr>
        <w:t>С 11-то изменение на ПРСР 2014-2020 г. през 2021 г. към мярката са прехвърлени допълнителни средства в размер на 51 млн. евро от „преходния период“ 2021-2022 г., както и 8 млн. евро. по линия на инструмента Next Generation EU. Така общият бюджет на мярка 10 „Агроекология и климат“, който следва да покрие и преходния период е 282 млн.евро.</w:t>
      </w:r>
    </w:p>
    <w:p w:rsidR="00B75093" w:rsidRPr="00581B3B" w:rsidRDefault="00B7509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Предложението за насочване на допълнителни средства по линия на инструмента Next Generation EU в размер на 8 млн. евро имаше за цел да отговори на ръста на подаваните заявления, за прилаганите през 2020 г. направления, без да е необходимо поети ангажименти през 2021 и 2022 г. да бъдат финансирани със средства от бюджета на Стратегическия план. </w:t>
      </w:r>
    </w:p>
    <w:p w:rsidR="00B75093" w:rsidRPr="00581B3B" w:rsidRDefault="00B75093" w:rsidP="001D683F">
      <w:pPr>
        <w:pStyle w:val="ListParagraph"/>
        <w:ind w:left="0"/>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В същото време, законодателната процедура във връзка с представените през 2018 г. от Европейската комисия законодателни предложения относно ОСП след 2020 г. не приключи навреме и бе предвидено продължаване на прилагането на правилата на правната рамка на ОСП от периода 2014-2020 г. с цел непрекъснатост на плащанията за земеделските стопани и осигуряване на предвидимост и стабилност по време на преходния период 2021 г. и 2022 г. За да се ограничи пренасянето на значителен обем поети задължения от текущия програмен период за развитие на селските райони към стратегическите планове по ОСП, с приетия Регламент (ЕС) 2020/2220 на </w:t>
      </w:r>
      <w:r w:rsidR="00CD5F97" w:rsidRPr="00581B3B">
        <w:rPr>
          <w:rFonts w:ascii="Times New Roman" w:hAnsi="Times New Roman" w:cs="Times New Roman"/>
          <w:sz w:val="24"/>
          <w:szCs w:val="24"/>
        </w:rPr>
        <w:t>Е</w:t>
      </w:r>
      <w:r w:rsidRPr="00581B3B">
        <w:rPr>
          <w:rFonts w:ascii="Times New Roman" w:hAnsi="Times New Roman" w:cs="Times New Roman"/>
          <w:sz w:val="24"/>
          <w:szCs w:val="24"/>
        </w:rPr>
        <w:t>вропейския парламент и на съвета, продължителността на новите многогодишни задължения в областта на агроекологията и климата, биологичното земеделие и хуманното отношение към животните бе ограничена до най-много три години, а от 2022 г. удължаването на съществуващите задължения е ограничено до една година.</w:t>
      </w:r>
    </w:p>
    <w:p w:rsidR="00B75093" w:rsidRPr="00581B3B" w:rsidRDefault="00B75093" w:rsidP="001D683F">
      <w:pPr>
        <w:jc w:val="both"/>
        <w:rPr>
          <w:rFonts w:ascii="Times New Roman" w:hAnsi="Times New Roman" w:cs="Times New Roman"/>
          <w:sz w:val="24"/>
          <w:szCs w:val="24"/>
        </w:rPr>
      </w:pPr>
      <w:r w:rsidRPr="00581B3B">
        <w:rPr>
          <w:rFonts w:ascii="Times New Roman" w:hAnsi="Times New Roman" w:cs="Times New Roman"/>
          <w:sz w:val="24"/>
          <w:szCs w:val="24"/>
        </w:rPr>
        <w:t>През кампания 2020 г. бе отчетен значим спад в подаваните заявление по мярка 10 „Агроекология и климат“, като по различните направления, които текущо се прилагат</w:t>
      </w:r>
      <w:r w:rsidR="00CD5F97" w:rsidRPr="00581B3B">
        <w:rPr>
          <w:rFonts w:ascii="Times New Roman" w:hAnsi="Times New Roman" w:cs="Times New Roman"/>
          <w:sz w:val="24"/>
          <w:szCs w:val="24"/>
        </w:rPr>
        <w:t>,</w:t>
      </w:r>
      <w:r w:rsidRPr="00581B3B">
        <w:rPr>
          <w:rFonts w:ascii="Times New Roman" w:hAnsi="Times New Roman" w:cs="Times New Roman"/>
          <w:sz w:val="24"/>
          <w:szCs w:val="24"/>
        </w:rPr>
        <w:t xml:space="preserve"> тази тенденция се наблюдаваше отново и през 2021 г. Ако през 2020 г. делът на неподалите заявления за подпомагане по текущо изпълняваните ангажименти спрямо подадените заявления през 2019 г. бе в границите от 1,96 % до 15,56 %, то през 2021 г. този дял на земеделските стопани, изпълняващи ангажименти през 2020 г., които не подават заявление за подпомагане през 2021 г. се увеличава значително, достигайки нива от 9 до 33 %.</w:t>
      </w:r>
    </w:p>
    <w:p w:rsidR="00B75093" w:rsidRPr="00581B3B" w:rsidRDefault="00531B4E" w:rsidP="00F760BD">
      <w:pPr>
        <w:ind w:hanging="540"/>
        <w:jc w:val="center"/>
      </w:pPr>
      <w:r>
        <w:rPr>
          <w:noProof/>
          <w:lang w:val="en-US"/>
        </w:rPr>
        <w:lastRenderedPageBreak/>
        <w:drawing>
          <wp:inline distT="0" distB="0" distL="0" distR="0" wp14:anchorId="29E23A78">
            <wp:extent cx="6638925" cy="362140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8925" cy="3621405"/>
                    </a:xfrm>
                    <a:prstGeom prst="rect">
                      <a:avLst/>
                    </a:prstGeom>
                    <a:noFill/>
                  </pic:spPr>
                </pic:pic>
              </a:graphicData>
            </a:graphic>
          </wp:inline>
        </w:drawing>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hAnsi="Times New Roman" w:cs="Times New Roman"/>
          <w:sz w:val="24"/>
          <w:szCs w:val="24"/>
        </w:rPr>
        <w:t>Въпреки това, бяха положени усилия и въведени условия за подпомагане по мярка 10 „Агроекология и климат“, които от една страна да намалят усещането за несигурност на земеделските стопани, а от друга да ограничат до разумна степен прехвърлянето на финансиране на изпълнявани многогодишни ангажименти със средства от Стратегическия план в периода след 2023 г. На практика</w:t>
      </w:r>
      <w:r w:rsidR="00CD5F97" w:rsidRPr="00581B3B">
        <w:rPr>
          <w:rFonts w:ascii="Times New Roman" w:hAnsi="Times New Roman" w:cs="Times New Roman"/>
          <w:sz w:val="24"/>
          <w:szCs w:val="24"/>
        </w:rPr>
        <w:t>,</w:t>
      </w:r>
      <w:r w:rsidRPr="00581B3B">
        <w:rPr>
          <w:rFonts w:ascii="Times New Roman" w:hAnsi="Times New Roman" w:cs="Times New Roman"/>
          <w:sz w:val="24"/>
          <w:szCs w:val="24"/>
        </w:rPr>
        <w:t xml:space="preserve"> с </w:t>
      </w:r>
      <w:r w:rsidR="00CD5F97" w:rsidRPr="00581B3B">
        <w:rPr>
          <w:rFonts w:ascii="Times New Roman" w:hAnsi="Times New Roman" w:cs="Times New Roman"/>
          <w:sz w:val="24"/>
          <w:szCs w:val="24"/>
        </w:rPr>
        <w:t xml:space="preserve">направените през 2021 г. </w:t>
      </w:r>
      <w:r w:rsidRPr="00581B3B">
        <w:rPr>
          <w:rFonts w:ascii="Times New Roman" w:hAnsi="Times New Roman" w:cs="Times New Roman"/>
          <w:sz w:val="24"/>
          <w:szCs w:val="24"/>
        </w:rPr>
        <w:t>промени в ПРСР 2014-2020 г., новите ангажименти по направленията „Възстановяване и поддържане на затревени площи с висока природна стойност (ВПС-1</w:t>
      </w:r>
      <w:r w:rsidR="00CD5F97" w:rsidRPr="00581B3B">
        <w:rPr>
          <w:rFonts w:ascii="Times New Roman" w:hAnsi="Times New Roman" w:cs="Times New Roman"/>
          <w:sz w:val="24"/>
          <w:szCs w:val="24"/>
        </w:rPr>
        <w:t>)</w:t>
      </w:r>
      <w:r w:rsidRPr="00581B3B">
        <w:rPr>
          <w:rFonts w:ascii="Times New Roman" w:hAnsi="Times New Roman" w:cs="Times New Roman"/>
          <w:sz w:val="24"/>
          <w:szCs w:val="24"/>
        </w:rPr>
        <w:t xml:space="preserve">“, „Опазване на застрашени от изчезване местни породи, важни за селското стопанство“ и „Опазване на застрашени от изчезване местни сортове, важни за селското стопанство“ са </w:t>
      </w:r>
      <w:r w:rsidR="0027648B">
        <w:rPr>
          <w:rFonts w:ascii="Times New Roman" w:hAnsi="Times New Roman" w:cs="Times New Roman"/>
          <w:sz w:val="24"/>
          <w:szCs w:val="24"/>
        </w:rPr>
        <w:t xml:space="preserve">с </w:t>
      </w:r>
      <w:r w:rsidRPr="00581B3B">
        <w:rPr>
          <w:rFonts w:ascii="Times New Roman" w:hAnsi="Times New Roman" w:cs="Times New Roman"/>
          <w:sz w:val="24"/>
          <w:szCs w:val="24"/>
        </w:rPr>
        <w:t xml:space="preserve">продължителност от 3 години в съответствие с чл. 28, параграф 5 от Регламент 1305 от 2013 г. </w:t>
      </w:r>
      <w:r w:rsidR="00CD5F97" w:rsidRPr="00581B3B">
        <w:rPr>
          <w:rFonts w:ascii="Times New Roman" w:hAnsi="Times New Roman" w:cs="Times New Roman"/>
          <w:sz w:val="24"/>
          <w:szCs w:val="24"/>
        </w:rPr>
        <w:t>Т</w:t>
      </w:r>
      <w:r w:rsidRPr="00581B3B">
        <w:rPr>
          <w:rFonts w:ascii="Times New Roman" w:hAnsi="Times New Roman" w:cs="Times New Roman"/>
          <w:sz w:val="24"/>
          <w:szCs w:val="24"/>
        </w:rPr>
        <w:t xml:space="preserve">ова </w:t>
      </w:r>
      <w:r w:rsidRPr="00581B3B">
        <w:rPr>
          <w:rFonts w:ascii="Times New Roman" w:hAnsi="Times New Roman" w:cs="Times New Roman"/>
          <w:sz w:val="24"/>
          <w:szCs w:val="24"/>
        </w:rPr>
        <w:lastRenderedPageBreak/>
        <w:t xml:space="preserve">доведе до включването през 2022 г. на нови кандидати по всички прилагани направления от мярка 10 „Агроекология и климат“, в т.ч. дори по направление </w:t>
      </w:r>
      <w:r w:rsidR="00CD5F97" w:rsidRPr="00581B3B">
        <w:rPr>
          <w:rFonts w:ascii="Times New Roman" w:hAnsi="Times New Roman" w:cs="Times New Roman"/>
          <w:sz w:val="24"/>
          <w:szCs w:val="24"/>
        </w:rPr>
        <w:t>„</w:t>
      </w:r>
      <w:r w:rsidRPr="00581B3B">
        <w:rPr>
          <w:rFonts w:ascii="Times New Roman" w:eastAsia="Times New Roman" w:hAnsi="Times New Roman" w:cs="Times New Roman"/>
          <w:sz w:val="24"/>
          <w:szCs w:val="24"/>
        </w:rPr>
        <w:t>Традиционни практики за сезонна паша (пасторализъм)“, като в дейностите се включв</w:t>
      </w:r>
      <w:r w:rsidR="0027648B">
        <w:rPr>
          <w:rFonts w:ascii="Times New Roman" w:eastAsia="Times New Roman" w:hAnsi="Times New Roman" w:cs="Times New Roman"/>
          <w:sz w:val="24"/>
          <w:szCs w:val="24"/>
        </w:rPr>
        <w:t xml:space="preserve">ат нови 56 земеделски стопани. </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 xml:space="preserve">Единствено </w:t>
      </w:r>
      <w:r w:rsidR="00CD5F97" w:rsidRPr="00581B3B">
        <w:rPr>
          <w:rFonts w:ascii="Times New Roman" w:eastAsia="Times New Roman" w:hAnsi="Times New Roman" w:cs="Times New Roman"/>
          <w:sz w:val="24"/>
          <w:szCs w:val="24"/>
        </w:rPr>
        <w:t>включването</w:t>
      </w:r>
      <w:r w:rsidRPr="00581B3B">
        <w:rPr>
          <w:rFonts w:ascii="Times New Roman" w:eastAsia="Times New Roman" w:hAnsi="Times New Roman" w:cs="Times New Roman"/>
          <w:sz w:val="24"/>
          <w:szCs w:val="24"/>
        </w:rPr>
        <w:t xml:space="preserve"> на нови кандидати в направлението </w:t>
      </w:r>
      <w:r w:rsidRPr="00581B3B">
        <w:rPr>
          <w:rFonts w:ascii="Times New Roman" w:eastAsia="Times New Roman" w:hAnsi="Times New Roman" w:cs="Times New Roman"/>
          <w:i/>
          <w:sz w:val="24"/>
          <w:szCs w:val="24"/>
        </w:rPr>
        <w:t xml:space="preserve">„Традиционни практики за сезонна паша на животните (пасторализъм)“, </w:t>
      </w:r>
      <w:r w:rsidRPr="00581B3B">
        <w:rPr>
          <w:rFonts w:ascii="Times New Roman" w:eastAsia="Times New Roman" w:hAnsi="Times New Roman" w:cs="Times New Roman"/>
          <w:sz w:val="24"/>
          <w:szCs w:val="24"/>
        </w:rPr>
        <w:t>които изпълняват дейността на териториите на Националните паркове бе донякъде неочаквано, предвид изразяваните опасения от страна на Министерството на околната среда и водите, свързани с рисковете за защитените територии, които бяха отчетени</w:t>
      </w:r>
      <w:r w:rsidR="00CD5F97" w:rsidRPr="00581B3B">
        <w:rPr>
          <w:rFonts w:ascii="Times New Roman" w:eastAsia="Times New Roman" w:hAnsi="Times New Roman" w:cs="Times New Roman"/>
          <w:sz w:val="24"/>
          <w:szCs w:val="24"/>
        </w:rPr>
        <w:t>,</w:t>
      </w:r>
      <w:r w:rsidRPr="00581B3B">
        <w:rPr>
          <w:rFonts w:ascii="Times New Roman" w:eastAsia="Times New Roman" w:hAnsi="Times New Roman" w:cs="Times New Roman"/>
          <w:sz w:val="24"/>
          <w:szCs w:val="24"/>
        </w:rPr>
        <w:t xml:space="preserve"> и ангажиментите бяха фиксирани с про</w:t>
      </w:r>
      <w:r w:rsidR="000B13EA">
        <w:rPr>
          <w:rFonts w:ascii="Times New Roman" w:eastAsia="Times New Roman" w:hAnsi="Times New Roman" w:cs="Times New Roman"/>
          <w:sz w:val="24"/>
          <w:szCs w:val="24"/>
        </w:rPr>
        <w:t xml:space="preserve">дължителност от само 1 година. </w:t>
      </w:r>
      <w:r w:rsidRPr="00581B3B">
        <w:rPr>
          <w:rFonts w:ascii="Times New Roman" w:eastAsia="Times New Roman" w:hAnsi="Times New Roman" w:cs="Times New Roman"/>
          <w:sz w:val="24"/>
          <w:szCs w:val="24"/>
        </w:rPr>
        <w:t>Въпреки това, тези земеделски стопани могат от 2023 г. да се включат в 3</w:t>
      </w:r>
      <w:r w:rsidR="00CD5F97" w:rsidRPr="00581B3B">
        <w:rPr>
          <w:rFonts w:ascii="Times New Roman" w:eastAsia="Times New Roman" w:hAnsi="Times New Roman" w:cs="Times New Roman"/>
          <w:sz w:val="24"/>
          <w:szCs w:val="24"/>
        </w:rPr>
        <w:t>-</w:t>
      </w:r>
      <w:r w:rsidRPr="00581B3B">
        <w:rPr>
          <w:rFonts w:ascii="Times New Roman" w:eastAsia="Times New Roman" w:hAnsi="Times New Roman" w:cs="Times New Roman"/>
          <w:sz w:val="24"/>
          <w:szCs w:val="24"/>
        </w:rPr>
        <w:t>годишни ангажименти в идентичната интервенция от Стратегическия план, условията на която позволява</w:t>
      </w:r>
      <w:r w:rsidR="005B47C7" w:rsidRPr="00581B3B">
        <w:rPr>
          <w:rFonts w:ascii="Times New Roman" w:eastAsia="Times New Roman" w:hAnsi="Times New Roman" w:cs="Times New Roman"/>
          <w:sz w:val="24"/>
          <w:szCs w:val="24"/>
        </w:rPr>
        <w:t>т</w:t>
      </w:r>
      <w:r w:rsidRPr="00581B3B">
        <w:rPr>
          <w:rFonts w:ascii="Times New Roman" w:eastAsia="Times New Roman" w:hAnsi="Times New Roman" w:cs="Times New Roman"/>
          <w:sz w:val="24"/>
          <w:szCs w:val="24"/>
        </w:rPr>
        <w:t xml:space="preserve"> дирекциите на Националните паркове да продължат ефективно да управляват защитените територии, съответно издаваните разрешителни въз основа на утвърдените планове за управление и </w:t>
      </w:r>
      <w:r w:rsidR="005B47C7" w:rsidRPr="00581B3B">
        <w:rPr>
          <w:rFonts w:ascii="Times New Roman" w:eastAsia="Times New Roman" w:hAnsi="Times New Roman" w:cs="Times New Roman"/>
          <w:sz w:val="24"/>
          <w:szCs w:val="24"/>
        </w:rPr>
        <w:t xml:space="preserve">да </w:t>
      </w:r>
      <w:r w:rsidRPr="00581B3B">
        <w:rPr>
          <w:rFonts w:ascii="Times New Roman" w:eastAsia="Times New Roman" w:hAnsi="Times New Roman" w:cs="Times New Roman"/>
          <w:sz w:val="24"/>
          <w:szCs w:val="24"/>
        </w:rPr>
        <w:t xml:space="preserve">контролират чрез подходящи средства спазването </w:t>
      </w:r>
      <w:r w:rsidR="005B47C7" w:rsidRPr="00581B3B">
        <w:rPr>
          <w:rFonts w:ascii="Times New Roman" w:eastAsia="Times New Roman" w:hAnsi="Times New Roman" w:cs="Times New Roman"/>
          <w:sz w:val="24"/>
          <w:szCs w:val="24"/>
        </w:rPr>
        <w:t xml:space="preserve">на </w:t>
      </w:r>
      <w:r w:rsidRPr="00581B3B">
        <w:rPr>
          <w:rFonts w:ascii="Times New Roman" w:eastAsia="Times New Roman" w:hAnsi="Times New Roman" w:cs="Times New Roman"/>
          <w:sz w:val="24"/>
          <w:szCs w:val="24"/>
        </w:rPr>
        <w:t>приложимите режими и условия за паша.</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 xml:space="preserve">Въпреки наличието на неблагоприятни външни фактори, увеличени разходи и рисковете от намалени приходи, породени от инфлацията, нарастващите цени и ограничени основни производствени ресурси, в резултат на променената външна икономическа среда след началото на военните действия в Украйна, всички предприети </w:t>
      </w:r>
      <w:r w:rsidR="005B47C7" w:rsidRPr="00581B3B">
        <w:rPr>
          <w:rFonts w:ascii="Times New Roman" w:eastAsia="Times New Roman" w:hAnsi="Times New Roman" w:cs="Times New Roman"/>
          <w:sz w:val="24"/>
          <w:szCs w:val="24"/>
        </w:rPr>
        <w:t xml:space="preserve">от УО </w:t>
      </w:r>
      <w:r w:rsidRPr="00581B3B">
        <w:rPr>
          <w:rFonts w:ascii="Times New Roman" w:eastAsia="Times New Roman" w:hAnsi="Times New Roman" w:cs="Times New Roman"/>
          <w:sz w:val="24"/>
          <w:szCs w:val="24"/>
        </w:rPr>
        <w:t>действия доведоха до ръст от минимум 10 % в подадените заявления за подпомагане през 2022 г. по всички направления от мярка 10 „Агроекология и климат“:</w:t>
      </w:r>
    </w:p>
    <w:tbl>
      <w:tblPr>
        <w:tblW w:w="4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3"/>
        <w:gridCol w:w="1808"/>
        <w:gridCol w:w="1532"/>
      </w:tblGrid>
      <w:tr w:rsidR="00B75093" w:rsidRPr="00581B3B" w:rsidTr="005B47C7">
        <w:trPr>
          <w:trHeight w:val="300"/>
          <w:jc w:val="center"/>
        </w:trPr>
        <w:tc>
          <w:tcPr>
            <w:tcW w:w="2947" w:type="pct"/>
            <w:shd w:val="clear" w:color="auto" w:fill="D9D9D9" w:themeFill="background1" w:themeFillShade="D9"/>
            <w:noWrap/>
            <w:vAlign w:val="center"/>
            <w:hideMark/>
          </w:tcPr>
          <w:p w:rsidR="00B75093" w:rsidRPr="00581B3B" w:rsidRDefault="00B75093" w:rsidP="00EA2206">
            <w:pPr>
              <w:spacing w:after="0" w:line="240" w:lineRule="auto"/>
              <w:jc w:val="center"/>
              <w:rPr>
                <w:rFonts w:ascii="Times New Roman" w:eastAsia="Times New Roman" w:hAnsi="Times New Roman" w:cs="Times New Roman"/>
                <w:b/>
                <w:bCs/>
                <w:color w:val="000000"/>
                <w:sz w:val="18"/>
                <w:szCs w:val="18"/>
              </w:rPr>
            </w:pPr>
            <w:r w:rsidRPr="00581B3B">
              <w:rPr>
                <w:rFonts w:ascii="Times New Roman" w:eastAsia="Times New Roman" w:hAnsi="Times New Roman" w:cs="Times New Roman"/>
                <w:b/>
                <w:bCs/>
                <w:color w:val="000000"/>
                <w:sz w:val="18"/>
                <w:szCs w:val="18"/>
              </w:rPr>
              <w:t>Подмерки на мярка 10 „Агроекология и климат“</w:t>
            </w:r>
          </w:p>
        </w:tc>
        <w:tc>
          <w:tcPr>
            <w:tcW w:w="1112" w:type="pct"/>
            <w:shd w:val="clear" w:color="auto" w:fill="D9D9D9" w:themeFill="background1" w:themeFillShade="D9"/>
            <w:noWrap/>
            <w:vAlign w:val="center"/>
            <w:hideMark/>
          </w:tcPr>
          <w:p w:rsidR="00B75093" w:rsidRPr="00581B3B" w:rsidRDefault="00B75093" w:rsidP="00EA2206">
            <w:pPr>
              <w:spacing w:after="0" w:line="240" w:lineRule="auto"/>
              <w:jc w:val="center"/>
              <w:rPr>
                <w:rFonts w:ascii="Times New Roman" w:eastAsia="Times New Roman" w:hAnsi="Times New Roman" w:cs="Times New Roman"/>
                <w:b/>
                <w:bCs/>
                <w:color w:val="000000"/>
                <w:sz w:val="18"/>
                <w:szCs w:val="18"/>
              </w:rPr>
            </w:pPr>
            <w:r w:rsidRPr="00581B3B">
              <w:rPr>
                <w:rFonts w:ascii="Times New Roman" w:eastAsia="Times New Roman" w:hAnsi="Times New Roman" w:cs="Times New Roman"/>
                <w:b/>
                <w:bCs/>
                <w:color w:val="000000"/>
                <w:sz w:val="18"/>
                <w:szCs w:val="18"/>
              </w:rPr>
              <w:t>Бр. нови заявления</w:t>
            </w:r>
          </w:p>
          <w:p w:rsidR="00B75093" w:rsidRPr="00581B3B" w:rsidRDefault="00B75093" w:rsidP="00EA2206">
            <w:pPr>
              <w:spacing w:after="0" w:line="240" w:lineRule="auto"/>
              <w:jc w:val="center"/>
              <w:rPr>
                <w:rFonts w:ascii="Times New Roman" w:eastAsia="Times New Roman" w:hAnsi="Times New Roman" w:cs="Times New Roman"/>
                <w:b/>
                <w:bCs/>
                <w:color w:val="000000"/>
                <w:sz w:val="18"/>
                <w:szCs w:val="18"/>
              </w:rPr>
            </w:pPr>
            <w:r w:rsidRPr="00581B3B">
              <w:rPr>
                <w:rFonts w:ascii="Times New Roman" w:eastAsia="Times New Roman" w:hAnsi="Times New Roman" w:cs="Times New Roman"/>
                <w:b/>
                <w:bCs/>
                <w:color w:val="000000"/>
                <w:sz w:val="18"/>
                <w:szCs w:val="18"/>
              </w:rPr>
              <w:lastRenderedPageBreak/>
              <w:t>/спрямо 2021 г./</w:t>
            </w:r>
          </w:p>
        </w:tc>
        <w:tc>
          <w:tcPr>
            <w:tcW w:w="942" w:type="pct"/>
            <w:shd w:val="clear" w:color="auto" w:fill="D9D9D9" w:themeFill="background1" w:themeFillShade="D9"/>
            <w:noWrap/>
            <w:vAlign w:val="center"/>
            <w:hideMark/>
          </w:tcPr>
          <w:p w:rsidR="00B75093" w:rsidRPr="00581B3B" w:rsidRDefault="00B75093" w:rsidP="00EA2206">
            <w:pPr>
              <w:spacing w:after="0" w:line="240" w:lineRule="auto"/>
              <w:jc w:val="center"/>
              <w:rPr>
                <w:rFonts w:ascii="Times New Roman" w:eastAsia="Times New Roman" w:hAnsi="Times New Roman" w:cs="Times New Roman"/>
                <w:b/>
                <w:bCs/>
                <w:color w:val="000000"/>
                <w:sz w:val="18"/>
                <w:szCs w:val="18"/>
              </w:rPr>
            </w:pPr>
            <w:r w:rsidRPr="00581B3B">
              <w:rPr>
                <w:rFonts w:ascii="Times New Roman" w:eastAsia="Times New Roman" w:hAnsi="Times New Roman" w:cs="Times New Roman"/>
                <w:b/>
                <w:bCs/>
                <w:color w:val="000000"/>
                <w:sz w:val="18"/>
                <w:szCs w:val="18"/>
              </w:rPr>
              <w:lastRenderedPageBreak/>
              <w:t>Ръст</w:t>
            </w:r>
          </w:p>
          <w:p w:rsidR="00B75093" w:rsidRPr="00581B3B" w:rsidRDefault="00B75093" w:rsidP="00EA2206">
            <w:pPr>
              <w:spacing w:after="0" w:line="240" w:lineRule="auto"/>
              <w:jc w:val="center"/>
              <w:rPr>
                <w:rFonts w:ascii="Times New Roman" w:eastAsia="Times New Roman" w:hAnsi="Times New Roman" w:cs="Times New Roman"/>
                <w:b/>
                <w:bCs/>
                <w:color w:val="000000"/>
                <w:sz w:val="18"/>
                <w:szCs w:val="18"/>
              </w:rPr>
            </w:pPr>
            <w:r w:rsidRPr="00581B3B">
              <w:rPr>
                <w:rFonts w:ascii="Times New Roman" w:eastAsia="Times New Roman" w:hAnsi="Times New Roman" w:cs="Times New Roman"/>
                <w:b/>
                <w:bCs/>
                <w:color w:val="000000"/>
                <w:sz w:val="18"/>
                <w:szCs w:val="18"/>
              </w:rPr>
              <w:lastRenderedPageBreak/>
              <w:t xml:space="preserve"> /спрямо 2021 г./</w:t>
            </w:r>
          </w:p>
        </w:tc>
      </w:tr>
      <w:tr w:rsidR="00B75093" w:rsidRPr="00581B3B" w:rsidTr="005B47C7">
        <w:trPr>
          <w:trHeight w:val="600"/>
          <w:jc w:val="center"/>
        </w:trPr>
        <w:tc>
          <w:tcPr>
            <w:tcW w:w="2947" w:type="pct"/>
            <w:shd w:val="clear" w:color="auto" w:fill="auto"/>
            <w:vAlign w:val="center"/>
            <w:hideMark/>
          </w:tcPr>
          <w:p w:rsidR="00B75093" w:rsidRPr="00581B3B" w:rsidRDefault="00B75093" w:rsidP="00EA2206">
            <w:pPr>
              <w:spacing w:after="0" w:line="240" w:lineRule="auto"/>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lastRenderedPageBreak/>
              <w:t>Възстановяване и поддържане на затревени площи с висока природна стойност (ВПС-1)</w:t>
            </w:r>
          </w:p>
        </w:tc>
        <w:tc>
          <w:tcPr>
            <w:tcW w:w="1112" w:type="pct"/>
            <w:shd w:val="clear" w:color="auto" w:fill="auto"/>
            <w:noWrap/>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103</w:t>
            </w:r>
          </w:p>
        </w:tc>
        <w:tc>
          <w:tcPr>
            <w:tcW w:w="942" w:type="pct"/>
            <w:shd w:val="clear" w:color="auto" w:fill="auto"/>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10.91%</w:t>
            </w:r>
          </w:p>
        </w:tc>
      </w:tr>
      <w:tr w:rsidR="00B75093" w:rsidRPr="00581B3B" w:rsidTr="005B47C7">
        <w:trPr>
          <w:trHeight w:val="600"/>
          <w:jc w:val="center"/>
        </w:trPr>
        <w:tc>
          <w:tcPr>
            <w:tcW w:w="2947" w:type="pct"/>
            <w:shd w:val="clear" w:color="auto" w:fill="auto"/>
            <w:vAlign w:val="center"/>
            <w:hideMark/>
          </w:tcPr>
          <w:p w:rsidR="00B75093" w:rsidRPr="00581B3B" w:rsidRDefault="00B75093" w:rsidP="00EA2206">
            <w:pPr>
              <w:spacing w:after="0" w:line="240" w:lineRule="auto"/>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Контрол на почвената ерозия</w:t>
            </w:r>
          </w:p>
        </w:tc>
        <w:tc>
          <w:tcPr>
            <w:tcW w:w="1112" w:type="pct"/>
            <w:shd w:val="clear" w:color="auto" w:fill="auto"/>
            <w:noWrap/>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122</w:t>
            </w:r>
          </w:p>
        </w:tc>
        <w:tc>
          <w:tcPr>
            <w:tcW w:w="942" w:type="pct"/>
            <w:shd w:val="clear" w:color="auto" w:fill="auto"/>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10.20%</w:t>
            </w:r>
          </w:p>
        </w:tc>
      </w:tr>
      <w:tr w:rsidR="00B75093" w:rsidRPr="00581B3B" w:rsidTr="005B47C7">
        <w:trPr>
          <w:trHeight w:val="600"/>
          <w:jc w:val="center"/>
        </w:trPr>
        <w:tc>
          <w:tcPr>
            <w:tcW w:w="2947" w:type="pct"/>
            <w:shd w:val="clear" w:color="auto" w:fill="auto"/>
            <w:vAlign w:val="center"/>
            <w:hideMark/>
          </w:tcPr>
          <w:p w:rsidR="00B75093" w:rsidRPr="00581B3B" w:rsidRDefault="00B75093" w:rsidP="00EA2206">
            <w:pPr>
              <w:spacing w:after="0" w:line="240" w:lineRule="auto"/>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Опазване на застрашени от изчезване местни породи</w:t>
            </w:r>
          </w:p>
        </w:tc>
        <w:tc>
          <w:tcPr>
            <w:tcW w:w="1112" w:type="pct"/>
            <w:shd w:val="clear" w:color="auto" w:fill="auto"/>
            <w:noWrap/>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220</w:t>
            </w:r>
          </w:p>
        </w:tc>
        <w:tc>
          <w:tcPr>
            <w:tcW w:w="942" w:type="pct"/>
            <w:shd w:val="clear" w:color="auto" w:fill="auto"/>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12.28%</w:t>
            </w:r>
          </w:p>
        </w:tc>
      </w:tr>
      <w:tr w:rsidR="00B75093" w:rsidRPr="00581B3B" w:rsidTr="005B47C7">
        <w:trPr>
          <w:trHeight w:val="600"/>
          <w:jc w:val="center"/>
        </w:trPr>
        <w:tc>
          <w:tcPr>
            <w:tcW w:w="2947" w:type="pct"/>
            <w:shd w:val="clear" w:color="auto" w:fill="auto"/>
            <w:vAlign w:val="center"/>
            <w:hideMark/>
          </w:tcPr>
          <w:p w:rsidR="00B75093" w:rsidRPr="00581B3B" w:rsidRDefault="00B75093" w:rsidP="00EA2206">
            <w:pPr>
              <w:spacing w:after="0" w:line="240" w:lineRule="auto"/>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Опазване на застрашени от изчезване местни сортове, важни за селското стопанство</w:t>
            </w:r>
          </w:p>
        </w:tc>
        <w:tc>
          <w:tcPr>
            <w:tcW w:w="1112" w:type="pct"/>
            <w:shd w:val="clear" w:color="auto" w:fill="auto"/>
            <w:noWrap/>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118</w:t>
            </w:r>
          </w:p>
        </w:tc>
        <w:tc>
          <w:tcPr>
            <w:tcW w:w="942" w:type="pct"/>
            <w:shd w:val="clear" w:color="auto" w:fill="auto"/>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20.17%</w:t>
            </w:r>
          </w:p>
        </w:tc>
      </w:tr>
      <w:tr w:rsidR="00B75093" w:rsidRPr="00581B3B" w:rsidTr="005B47C7">
        <w:trPr>
          <w:trHeight w:val="600"/>
          <w:jc w:val="center"/>
        </w:trPr>
        <w:tc>
          <w:tcPr>
            <w:tcW w:w="2947" w:type="pct"/>
            <w:shd w:val="clear" w:color="auto" w:fill="auto"/>
            <w:vAlign w:val="center"/>
            <w:hideMark/>
          </w:tcPr>
          <w:p w:rsidR="00B75093" w:rsidRPr="00581B3B" w:rsidRDefault="00B75093" w:rsidP="00EA2206">
            <w:pPr>
              <w:spacing w:after="0" w:line="240" w:lineRule="auto"/>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Традиционни практики за сезонна паша на животните (пасторализъм)</w:t>
            </w:r>
          </w:p>
        </w:tc>
        <w:tc>
          <w:tcPr>
            <w:tcW w:w="1112" w:type="pct"/>
            <w:shd w:val="clear" w:color="auto" w:fill="auto"/>
            <w:noWrap/>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56</w:t>
            </w:r>
          </w:p>
        </w:tc>
        <w:tc>
          <w:tcPr>
            <w:tcW w:w="942" w:type="pct"/>
            <w:shd w:val="clear" w:color="auto" w:fill="auto"/>
            <w:vAlign w:val="center"/>
            <w:hideMark/>
          </w:tcPr>
          <w:p w:rsidR="00B75093" w:rsidRPr="00581B3B" w:rsidRDefault="00B75093" w:rsidP="00EA2206">
            <w:pPr>
              <w:spacing w:after="0" w:line="240" w:lineRule="auto"/>
              <w:jc w:val="center"/>
              <w:rPr>
                <w:rFonts w:ascii="Times New Roman" w:eastAsia="Times New Roman" w:hAnsi="Times New Roman" w:cs="Times New Roman"/>
                <w:color w:val="000000"/>
                <w:sz w:val="18"/>
                <w:szCs w:val="18"/>
              </w:rPr>
            </w:pPr>
            <w:r w:rsidRPr="00581B3B">
              <w:rPr>
                <w:rFonts w:ascii="Times New Roman" w:eastAsia="Times New Roman" w:hAnsi="Times New Roman" w:cs="Times New Roman"/>
                <w:color w:val="000000"/>
                <w:sz w:val="18"/>
                <w:szCs w:val="18"/>
              </w:rPr>
              <w:t>15.18%</w:t>
            </w:r>
          </w:p>
        </w:tc>
      </w:tr>
    </w:tbl>
    <w:p w:rsidR="00261164" w:rsidRPr="00581B3B" w:rsidRDefault="00261164" w:rsidP="006041B7">
      <w:pPr>
        <w:ind w:firstLine="708"/>
        <w:jc w:val="both"/>
        <w:rPr>
          <w:rFonts w:ascii="Times New Roman" w:eastAsia="Times New Roman" w:hAnsi="Times New Roman" w:cs="Times New Roman"/>
          <w:sz w:val="24"/>
          <w:szCs w:val="24"/>
        </w:rPr>
      </w:pP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 xml:space="preserve">От страна на УО бяха предприети всички действия за ангажиране на повече земеделски стопани през 2022 г. и въпреки описаните рискове, нестабилността на средата и съответно повишено усещане за несигурност в земеделските стопани, през 2022 г. за доброволни ангажименти по мярката са подадени нови заявления за подпомагане по всички посочени направления. </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В съответствие с чл. 28, параграф 5 от Регламент 1305 от 2013 г., новите ангажименти по част от подмерките на мярка 10 „</w:t>
      </w:r>
      <w:r w:rsidR="005B47C7" w:rsidRPr="00581B3B">
        <w:rPr>
          <w:rFonts w:ascii="Times New Roman" w:eastAsia="Times New Roman" w:hAnsi="Times New Roman" w:cs="Times New Roman"/>
          <w:sz w:val="24"/>
          <w:szCs w:val="24"/>
        </w:rPr>
        <w:t>Агроекология</w:t>
      </w:r>
      <w:r w:rsidRPr="00581B3B">
        <w:rPr>
          <w:rFonts w:ascii="Times New Roman" w:eastAsia="Times New Roman" w:hAnsi="Times New Roman" w:cs="Times New Roman"/>
          <w:sz w:val="24"/>
          <w:szCs w:val="24"/>
        </w:rPr>
        <w:t xml:space="preserve"> и климат“, поети през 2022 г. са с продължителност от 3 години. Изпълнението на тези поети ангажименти по подмерки </w:t>
      </w:r>
      <w:r w:rsidRPr="00581B3B">
        <w:rPr>
          <w:rFonts w:ascii="Times New Roman" w:eastAsia="Times New Roman" w:hAnsi="Times New Roman" w:cs="Times New Roman"/>
          <w:b/>
          <w:sz w:val="24"/>
          <w:szCs w:val="24"/>
        </w:rPr>
        <w:t>„Опазване на застрашени от изчезване местни породи, важни за селското стопанство“</w:t>
      </w:r>
      <w:r w:rsidRPr="00581B3B">
        <w:rPr>
          <w:rFonts w:ascii="Times New Roman" w:eastAsia="Times New Roman" w:hAnsi="Times New Roman" w:cs="Times New Roman"/>
          <w:sz w:val="24"/>
          <w:szCs w:val="24"/>
        </w:rPr>
        <w:t xml:space="preserve"> и </w:t>
      </w:r>
      <w:r w:rsidRPr="00581B3B">
        <w:rPr>
          <w:rFonts w:ascii="Times New Roman" w:eastAsia="Times New Roman" w:hAnsi="Times New Roman" w:cs="Times New Roman"/>
          <w:b/>
          <w:sz w:val="24"/>
          <w:szCs w:val="24"/>
        </w:rPr>
        <w:t>„Опазване на застрашени от изчезване местни сортове, важни за селското стопанство“</w:t>
      </w:r>
      <w:r w:rsidRPr="00581B3B">
        <w:rPr>
          <w:rFonts w:ascii="Times New Roman" w:eastAsia="Times New Roman" w:hAnsi="Times New Roman" w:cs="Times New Roman"/>
          <w:sz w:val="24"/>
          <w:szCs w:val="24"/>
        </w:rPr>
        <w:t xml:space="preserve"> ще приключи през 2024 г. </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В одобрения</w:t>
      </w:r>
      <w:r w:rsidR="005D4B17">
        <w:rPr>
          <w:rFonts w:ascii="Times New Roman" w:eastAsia="Times New Roman" w:hAnsi="Times New Roman" w:cs="Times New Roman"/>
          <w:sz w:val="24"/>
          <w:szCs w:val="24"/>
        </w:rPr>
        <w:t>т</w:t>
      </w:r>
      <w:r w:rsidRPr="00581B3B">
        <w:rPr>
          <w:rFonts w:ascii="Times New Roman" w:eastAsia="Times New Roman" w:hAnsi="Times New Roman" w:cs="Times New Roman"/>
          <w:sz w:val="24"/>
          <w:szCs w:val="24"/>
        </w:rPr>
        <w:t xml:space="preserve"> Стратегически план </w:t>
      </w:r>
      <w:r w:rsidR="005B47C7" w:rsidRPr="00581B3B">
        <w:rPr>
          <w:rFonts w:ascii="Times New Roman" w:eastAsia="Times New Roman" w:hAnsi="Times New Roman" w:cs="Times New Roman"/>
          <w:sz w:val="24"/>
          <w:szCs w:val="24"/>
        </w:rPr>
        <w:t xml:space="preserve">за периода </w:t>
      </w:r>
      <w:r w:rsidRPr="00581B3B">
        <w:rPr>
          <w:rFonts w:ascii="Times New Roman" w:eastAsia="Times New Roman" w:hAnsi="Times New Roman" w:cs="Times New Roman"/>
          <w:sz w:val="24"/>
          <w:szCs w:val="24"/>
        </w:rPr>
        <w:t>2023-2027 г. е предвидена финансов</w:t>
      </w:r>
      <w:r w:rsidR="00C065D2">
        <w:rPr>
          <w:rFonts w:ascii="Times New Roman" w:eastAsia="Times New Roman" w:hAnsi="Times New Roman" w:cs="Times New Roman"/>
          <w:sz w:val="24"/>
          <w:szCs w:val="24"/>
        </w:rPr>
        <w:t>а</w:t>
      </w:r>
      <w:r w:rsidRPr="00581B3B">
        <w:rPr>
          <w:rFonts w:ascii="Times New Roman" w:eastAsia="Times New Roman" w:hAnsi="Times New Roman" w:cs="Times New Roman"/>
          <w:sz w:val="24"/>
          <w:szCs w:val="24"/>
        </w:rPr>
        <w:t xml:space="preserve"> подкрепа по две аналогични интервенции за опазване на застрашени от генетична ерозия селскостопански породи животни и сортове растения. Изчисленията на размерите на финансовото подпомагане на дейностите от интервенциите се </w:t>
      </w:r>
      <w:r w:rsidRPr="00581B3B">
        <w:rPr>
          <w:rFonts w:ascii="Times New Roman" w:eastAsia="Times New Roman" w:hAnsi="Times New Roman" w:cs="Times New Roman"/>
          <w:sz w:val="24"/>
          <w:szCs w:val="24"/>
        </w:rPr>
        <w:lastRenderedPageBreak/>
        <w:t>основава</w:t>
      </w:r>
      <w:r w:rsidR="005B47C7" w:rsidRPr="00581B3B">
        <w:rPr>
          <w:rFonts w:ascii="Times New Roman" w:eastAsia="Times New Roman" w:hAnsi="Times New Roman" w:cs="Times New Roman"/>
          <w:sz w:val="24"/>
          <w:szCs w:val="24"/>
        </w:rPr>
        <w:t>т</w:t>
      </w:r>
      <w:r w:rsidRPr="00581B3B">
        <w:rPr>
          <w:rFonts w:ascii="Times New Roman" w:eastAsia="Times New Roman" w:hAnsi="Times New Roman" w:cs="Times New Roman"/>
          <w:sz w:val="24"/>
          <w:szCs w:val="24"/>
        </w:rPr>
        <w:t xml:space="preserve"> на данни за периода до 2021 г., като продължава да се наблюдава значима динамика на икономическите променливи, цени на продукция и влагани суровини и материали. </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В контекста на динамичната икон</w:t>
      </w:r>
      <w:r w:rsidR="00C065D2">
        <w:rPr>
          <w:rFonts w:ascii="Times New Roman" w:eastAsia="Times New Roman" w:hAnsi="Times New Roman" w:cs="Times New Roman"/>
          <w:sz w:val="24"/>
          <w:szCs w:val="24"/>
        </w:rPr>
        <w:t>омическа обстановка и поетите 3-</w:t>
      </w:r>
      <w:r w:rsidRPr="00581B3B">
        <w:rPr>
          <w:rFonts w:ascii="Times New Roman" w:eastAsia="Times New Roman" w:hAnsi="Times New Roman" w:cs="Times New Roman"/>
          <w:sz w:val="24"/>
          <w:szCs w:val="24"/>
        </w:rPr>
        <w:t xml:space="preserve">годишни ангажименти по мярка 10 „Агроекология и климат“, </w:t>
      </w:r>
      <w:r w:rsidRPr="00581B3B">
        <w:rPr>
          <w:rFonts w:ascii="Times New Roman" w:eastAsia="Times New Roman" w:hAnsi="Times New Roman" w:cs="Times New Roman"/>
          <w:b/>
          <w:sz w:val="24"/>
          <w:szCs w:val="24"/>
        </w:rPr>
        <w:t>УО предлага размерите и ставките на помощта по двете подмерки да бъдат адаптирани до нивата на подпомагане на дейностите в идентичните интервенции в одобрения Стратегически план 2023-2027 г.</w:t>
      </w:r>
      <w:r w:rsidRPr="00581B3B">
        <w:rPr>
          <w:rFonts w:ascii="Times New Roman" w:eastAsia="Times New Roman" w:hAnsi="Times New Roman" w:cs="Times New Roman"/>
          <w:sz w:val="24"/>
          <w:szCs w:val="24"/>
        </w:rPr>
        <w:t>, като ставките бъдат увеличени, за да бъдат компенсирани идентични разходи и намалени приходи при изпълнение на агроекологичните дейности по опазване на застрашени от генетична ерозия селскостопански породи животни и сортове растения, съгласно поетите ангажименти</w:t>
      </w:r>
      <w:r w:rsidR="005B47C7" w:rsidRPr="00581B3B">
        <w:rPr>
          <w:rFonts w:ascii="Times New Roman" w:eastAsia="Times New Roman" w:hAnsi="Times New Roman" w:cs="Times New Roman"/>
          <w:sz w:val="24"/>
          <w:szCs w:val="24"/>
        </w:rPr>
        <w:t>.</w:t>
      </w:r>
      <w:r w:rsidRPr="00581B3B">
        <w:rPr>
          <w:rFonts w:ascii="Times New Roman" w:eastAsia="Times New Roman" w:hAnsi="Times New Roman" w:cs="Times New Roman"/>
          <w:sz w:val="24"/>
          <w:szCs w:val="24"/>
        </w:rPr>
        <w:t xml:space="preserve"> </w:t>
      </w:r>
      <w:r w:rsidR="005B47C7" w:rsidRPr="00581B3B">
        <w:rPr>
          <w:rFonts w:ascii="Times New Roman" w:eastAsia="Times New Roman" w:hAnsi="Times New Roman" w:cs="Times New Roman"/>
          <w:sz w:val="24"/>
          <w:szCs w:val="24"/>
        </w:rPr>
        <w:t>А</w:t>
      </w:r>
      <w:r w:rsidRPr="00581B3B">
        <w:rPr>
          <w:rFonts w:ascii="Times New Roman" w:eastAsia="Times New Roman" w:hAnsi="Times New Roman" w:cs="Times New Roman"/>
          <w:sz w:val="24"/>
          <w:szCs w:val="24"/>
        </w:rPr>
        <w:t xml:space="preserve">ктуализирането спрямо оценените вече допълнителни разходи, на които се основават размерите на подпомагане на идентичните дейности в Стратегическия план 2023-2027 г. ще намали усещането за несигурност и ще осигури частичен принос в периода на изпълняваните ангажименти, без това да води до различни нива на подпомагане за едни и същи дейности през 2023 г. </w:t>
      </w:r>
    </w:p>
    <w:p w:rsidR="00B75093" w:rsidRPr="00581B3B" w:rsidRDefault="00B75093" w:rsidP="001D683F">
      <w:pPr>
        <w:jc w:val="both"/>
        <w:rPr>
          <w:rFonts w:ascii="Times New Roman" w:eastAsia="Times New Roman" w:hAnsi="Times New Roman" w:cs="Times New Roman"/>
          <w:sz w:val="24"/>
          <w:szCs w:val="24"/>
        </w:rPr>
      </w:pPr>
      <w:r w:rsidRPr="00581B3B">
        <w:rPr>
          <w:rFonts w:ascii="Times New Roman" w:eastAsia="Times New Roman" w:hAnsi="Times New Roman" w:cs="Times New Roman"/>
          <w:sz w:val="24"/>
          <w:szCs w:val="24"/>
        </w:rPr>
        <w:t xml:space="preserve">УО счита, че с предложението за увеличение на компенсаторните ставки по мярката над максималните такива по Приложение II ще се осигури равнопоставено третиране на кандидатите по мярка 10 „Агроекология и климат“ с оглед предоставената им възможност да получават подпомагане за идентични дейности в интервенциите от СП, насочени към задължения за опазване, устойчиво използване и развитие на генетичните ресурси в </w:t>
      </w:r>
      <w:r w:rsidRPr="00581B3B">
        <w:rPr>
          <w:rFonts w:ascii="Times New Roman" w:eastAsia="Times New Roman" w:hAnsi="Times New Roman" w:cs="Times New Roman"/>
          <w:sz w:val="24"/>
          <w:szCs w:val="24"/>
        </w:rPr>
        <w:lastRenderedPageBreak/>
        <w:t xml:space="preserve">един и същи период, като площите и животните </w:t>
      </w:r>
      <w:r w:rsidR="00286861">
        <w:rPr>
          <w:rFonts w:ascii="Times New Roman" w:eastAsia="Times New Roman" w:hAnsi="Times New Roman" w:cs="Times New Roman"/>
          <w:sz w:val="24"/>
          <w:szCs w:val="24"/>
        </w:rPr>
        <w:t>по</w:t>
      </w:r>
      <w:r w:rsidRPr="00581B3B">
        <w:rPr>
          <w:rFonts w:ascii="Times New Roman" w:eastAsia="Times New Roman" w:hAnsi="Times New Roman" w:cs="Times New Roman"/>
          <w:sz w:val="24"/>
          <w:szCs w:val="24"/>
        </w:rPr>
        <w:t xml:space="preserve"> двата ангажимента ще бъдат различни и не би могло да има двойно финансиране.</w:t>
      </w:r>
    </w:p>
    <w:p w:rsidR="00E622BC" w:rsidRPr="00581B3B" w:rsidRDefault="007616BE" w:rsidP="00B35E6D">
      <w:pPr>
        <w:pStyle w:val="Heading2"/>
        <w:numPr>
          <w:ilvl w:val="0"/>
          <w:numId w:val="0"/>
        </w:numPr>
      </w:pPr>
      <w:bookmarkStart w:id="11" w:name="_Toc130370316"/>
      <w:r w:rsidRPr="00581B3B">
        <w:t>Мярка 11 „Биологично земеделие“</w:t>
      </w:r>
      <w:bookmarkEnd w:id="11"/>
      <w:r w:rsidRPr="00581B3B">
        <w:t xml:space="preserve"> </w:t>
      </w:r>
      <w:r w:rsidR="00E622BC" w:rsidRPr="00581B3B">
        <w:t xml:space="preserve"> </w:t>
      </w:r>
    </w:p>
    <w:p w:rsidR="009E52EC" w:rsidRPr="00581B3B" w:rsidRDefault="009E52EC" w:rsidP="009E52EC">
      <w:pPr>
        <w:jc w:val="both"/>
        <w:rPr>
          <w:rFonts w:ascii="Times New Roman" w:hAnsi="Times New Roman" w:cs="Times New Roman"/>
          <w:sz w:val="24"/>
          <w:szCs w:val="24"/>
        </w:rPr>
      </w:pPr>
      <w:r w:rsidRPr="00581B3B">
        <w:rPr>
          <w:rFonts w:ascii="Times New Roman" w:hAnsi="Times New Roman" w:cs="Times New Roman"/>
          <w:sz w:val="24"/>
          <w:szCs w:val="24"/>
        </w:rPr>
        <w:t xml:space="preserve">Земеделските стопани изпитват нужда от финансов ресурс за оборотни средства, за да посрещнат непрекъснато нарастващите си производствени нужди. В този смисъл, увеличението на подкрепата за биологичните производители чрез изпълняваната мярка </w:t>
      </w:r>
      <w:r w:rsidRPr="00F66D1D">
        <w:rPr>
          <w:rFonts w:ascii="Times New Roman" w:hAnsi="Times New Roman" w:cs="Times New Roman"/>
          <w:sz w:val="24"/>
          <w:szCs w:val="24"/>
        </w:rPr>
        <w:t xml:space="preserve">11 </w:t>
      </w:r>
      <w:r w:rsidRPr="00ED68F3">
        <w:rPr>
          <w:rFonts w:ascii="Times New Roman" w:hAnsi="Times New Roman" w:cs="Times New Roman"/>
          <w:sz w:val="24"/>
          <w:szCs w:val="24"/>
        </w:rPr>
        <w:t xml:space="preserve">„Биологично земеделие“  </w:t>
      </w:r>
      <w:r w:rsidRPr="00F66D1D">
        <w:rPr>
          <w:rFonts w:ascii="Times New Roman" w:hAnsi="Times New Roman" w:cs="Times New Roman"/>
          <w:sz w:val="24"/>
          <w:szCs w:val="24"/>
        </w:rPr>
        <w:t>ще</w:t>
      </w:r>
      <w:r w:rsidRPr="00581B3B">
        <w:rPr>
          <w:rFonts w:ascii="Times New Roman" w:hAnsi="Times New Roman" w:cs="Times New Roman"/>
          <w:sz w:val="24"/>
          <w:szCs w:val="24"/>
        </w:rPr>
        <w:t xml:space="preserve"> допринесе за съхраняване на производствения потенциал на сектора и за осигуряване на неговото нормално функциониране през следващите месеци. </w:t>
      </w:r>
    </w:p>
    <w:p w:rsidR="00E622BC" w:rsidRPr="00581B3B" w:rsidRDefault="009E52EC" w:rsidP="009E52EC">
      <w:pPr>
        <w:jc w:val="both"/>
        <w:rPr>
          <w:rFonts w:ascii="Times New Roman" w:hAnsi="Times New Roman" w:cs="Times New Roman"/>
          <w:sz w:val="24"/>
          <w:szCs w:val="24"/>
        </w:rPr>
      </w:pPr>
      <w:r w:rsidRPr="00581B3B">
        <w:rPr>
          <w:rFonts w:ascii="Times New Roman" w:hAnsi="Times New Roman" w:cs="Times New Roman"/>
          <w:sz w:val="24"/>
          <w:szCs w:val="24"/>
        </w:rPr>
        <w:t>На база предоставени данни от ДФЗ необходимите средства за изплащане на поетите ангажименти по мярка 11 до края на 2025 г. са около 30 млн. евро. Тези средства са необходими за ангажиментите по мярката, поети през кампании 2020 г., 2021 г. и 2022 г. Тези прогнози са на база досега прилаганите нива на подпомагане.</w:t>
      </w:r>
      <w:r w:rsidR="00E622BC" w:rsidRPr="00581B3B">
        <w:rPr>
          <w:rFonts w:ascii="Times New Roman" w:hAnsi="Times New Roman" w:cs="Times New Roman"/>
          <w:sz w:val="24"/>
          <w:szCs w:val="24"/>
        </w:rPr>
        <w:t xml:space="preserve"> </w:t>
      </w:r>
    </w:p>
    <w:p w:rsidR="00E622BC" w:rsidRPr="00581B3B" w:rsidRDefault="00E622BC" w:rsidP="001D683F">
      <w:pPr>
        <w:jc w:val="both"/>
        <w:rPr>
          <w:rFonts w:ascii="Times New Roman" w:hAnsi="Times New Roman" w:cs="Times New Roman"/>
          <w:sz w:val="24"/>
          <w:szCs w:val="24"/>
        </w:rPr>
      </w:pPr>
      <w:r w:rsidRPr="00581B3B">
        <w:rPr>
          <w:rFonts w:ascii="Times New Roman" w:hAnsi="Times New Roman" w:cs="Times New Roman"/>
          <w:sz w:val="24"/>
          <w:szCs w:val="24"/>
        </w:rPr>
        <w:t>От стартирането на ПРСР 2014-2020 г., ставките по основните групи култури подпомагани по мярка 11 „Биологично земеделие“ не са индексирани.</w:t>
      </w:r>
      <w:r w:rsidR="0016087A" w:rsidRPr="00581B3B">
        <w:rPr>
          <w:rFonts w:ascii="Times New Roman" w:hAnsi="Times New Roman" w:cs="Times New Roman"/>
          <w:sz w:val="24"/>
          <w:szCs w:val="24"/>
        </w:rPr>
        <w:t xml:space="preserve"> Преизчислена е </w:t>
      </w:r>
      <w:r w:rsidRPr="00581B3B">
        <w:rPr>
          <w:rFonts w:ascii="Times New Roman" w:hAnsi="Times New Roman" w:cs="Times New Roman"/>
          <w:sz w:val="24"/>
          <w:szCs w:val="24"/>
        </w:rPr>
        <w:t>ставката за групата „полски култури, включително фуражни“, която е намалена с 2 евро (от 284 евро/ха намалена на 282 евро/ха), поради влезлите в сила от 01.01.2018 г. изменения в изисквания</w:t>
      </w:r>
      <w:r w:rsidR="0016087A" w:rsidRPr="00581B3B">
        <w:rPr>
          <w:rFonts w:ascii="Times New Roman" w:hAnsi="Times New Roman" w:cs="Times New Roman"/>
          <w:sz w:val="24"/>
          <w:szCs w:val="24"/>
        </w:rPr>
        <w:t>та</w:t>
      </w:r>
      <w:r w:rsidRPr="00581B3B">
        <w:rPr>
          <w:rFonts w:ascii="Times New Roman" w:hAnsi="Times New Roman" w:cs="Times New Roman"/>
          <w:sz w:val="24"/>
          <w:szCs w:val="24"/>
        </w:rPr>
        <w:t xml:space="preserve"> към практиките по чл. 43 от Регламент 1307/2013, включващи забрана за употреба на продукти за растителна защита. Изменения</w:t>
      </w:r>
      <w:r w:rsidR="0016087A" w:rsidRPr="00581B3B">
        <w:rPr>
          <w:rFonts w:ascii="Times New Roman" w:hAnsi="Times New Roman" w:cs="Times New Roman"/>
          <w:sz w:val="24"/>
          <w:szCs w:val="24"/>
        </w:rPr>
        <w:t>т</w:t>
      </w:r>
      <w:r w:rsidRPr="00581B3B">
        <w:rPr>
          <w:rFonts w:ascii="Times New Roman" w:hAnsi="Times New Roman" w:cs="Times New Roman"/>
          <w:sz w:val="24"/>
          <w:szCs w:val="24"/>
        </w:rPr>
        <w:t xml:space="preserve"> размер на финансовото подпомагане за горецитираната група е гласуван на заседание на КН</w:t>
      </w:r>
      <w:r w:rsidR="0016087A" w:rsidRPr="00581B3B">
        <w:rPr>
          <w:rFonts w:ascii="Times New Roman" w:hAnsi="Times New Roman" w:cs="Times New Roman"/>
          <w:sz w:val="24"/>
          <w:szCs w:val="24"/>
        </w:rPr>
        <w:t>,</w:t>
      </w:r>
      <w:r w:rsidRPr="00581B3B">
        <w:rPr>
          <w:rFonts w:ascii="Times New Roman" w:hAnsi="Times New Roman" w:cs="Times New Roman"/>
          <w:sz w:val="24"/>
          <w:szCs w:val="24"/>
        </w:rPr>
        <w:t xml:space="preserve"> проведено на 11.12.2018 г. Това изменение е извършено съгласно </w:t>
      </w:r>
      <w:r w:rsidRPr="00581B3B">
        <w:rPr>
          <w:rFonts w:ascii="Times New Roman" w:hAnsi="Times New Roman" w:cs="Times New Roman"/>
          <w:sz w:val="24"/>
          <w:szCs w:val="24"/>
        </w:rPr>
        <w:lastRenderedPageBreak/>
        <w:t>изискванията на чл. 48 от Регламент (ЕС) № 1305/2013 относно подпомагане на развитието на селските райони от Европейския земеделски фонд за развитие на селските райони (ЕЗФРСР)</w:t>
      </w:r>
      <w:r w:rsidR="00725E9F">
        <w:rPr>
          <w:rFonts w:ascii="Times New Roman" w:hAnsi="Times New Roman" w:cs="Times New Roman"/>
          <w:sz w:val="24"/>
          <w:szCs w:val="24"/>
        </w:rPr>
        <w:t>.</w:t>
      </w:r>
    </w:p>
    <w:p w:rsidR="00E622BC" w:rsidRPr="00581B3B" w:rsidRDefault="00E622BC"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В съответствие с предоставената от Регламент </w:t>
      </w:r>
      <w:r w:rsidR="00531B4E" w:rsidRPr="00531B4E">
        <w:rPr>
          <w:rFonts w:ascii="Times New Roman" w:hAnsi="Times New Roman" w:cs="Times New Roman"/>
          <w:sz w:val="24"/>
          <w:szCs w:val="24"/>
        </w:rPr>
        <w:t>(ЕС)</w:t>
      </w:r>
      <w:r w:rsidR="00531B4E">
        <w:rPr>
          <w:rFonts w:ascii="Times New Roman" w:hAnsi="Times New Roman" w:cs="Times New Roman"/>
          <w:sz w:val="24"/>
          <w:szCs w:val="24"/>
        </w:rPr>
        <w:t xml:space="preserve"> </w:t>
      </w:r>
      <w:r w:rsidRPr="00581B3B">
        <w:rPr>
          <w:rFonts w:ascii="Times New Roman" w:hAnsi="Times New Roman" w:cs="Times New Roman"/>
          <w:sz w:val="24"/>
          <w:szCs w:val="24"/>
        </w:rPr>
        <w:t>1305/2013 г. възможност „тези суми могат да бъдат увеличени в надлежно обосновани случаи с оглед на специфични обстоятелства, които следва да бъдат разяснени в програмите за развитие на селските райони“, УО счита, че с предложението за увеличение на компенсаторните ставки по мярката над максималните такива по Приложение II ще се осигури по</w:t>
      </w:r>
      <w:r w:rsidR="0016087A" w:rsidRPr="00581B3B">
        <w:rPr>
          <w:rFonts w:ascii="Times New Roman" w:hAnsi="Times New Roman" w:cs="Times New Roman"/>
          <w:sz w:val="24"/>
          <w:szCs w:val="24"/>
        </w:rPr>
        <w:t>-</w:t>
      </w:r>
      <w:r w:rsidRPr="00581B3B">
        <w:rPr>
          <w:rFonts w:ascii="Times New Roman" w:hAnsi="Times New Roman" w:cs="Times New Roman"/>
          <w:sz w:val="24"/>
          <w:szCs w:val="24"/>
        </w:rPr>
        <w:t>справедливо компенсиране на кандидатите по мярка 11 „Биологично земеделие“ до края на 2025 г., предвид настъпилите нови икономически обстоятелства.</w:t>
      </w:r>
    </w:p>
    <w:p w:rsidR="00E622BC" w:rsidRPr="00581B3B" w:rsidRDefault="00E622BC" w:rsidP="001D683F">
      <w:pPr>
        <w:jc w:val="both"/>
        <w:rPr>
          <w:rFonts w:ascii="Times New Roman" w:hAnsi="Times New Roman" w:cs="Times New Roman"/>
          <w:sz w:val="24"/>
          <w:szCs w:val="24"/>
        </w:rPr>
      </w:pPr>
      <w:r w:rsidRPr="00581B3B">
        <w:rPr>
          <w:rFonts w:ascii="Times New Roman" w:hAnsi="Times New Roman" w:cs="Times New Roman"/>
          <w:sz w:val="24"/>
          <w:szCs w:val="24"/>
        </w:rPr>
        <w:t>През 2023 г се очаква да стартира прилагането на интервенции „Биологично растениевъдство“, „Биологично пчеларство“ и Еко схема за биологично земеделие (селскостопански животни). За тези интервенции има одобрени нови нива на плащане. Предложението за индексиране на ставките по отделните групи култури</w:t>
      </w:r>
      <w:r w:rsidR="0016087A" w:rsidRPr="00581B3B">
        <w:rPr>
          <w:rFonts w:ascii="Times New Roman" w:hAnsi="Times New Roman" w:cs="Times New Roman"/>
          <w:sz w:val="24"/>
          <w:szCs w:val="24"/>
        </w:rPr>
        <w:t>,</w:t>
      </w:r>
      <w:r w:rsidRPr="00581B3B">
        <w:rPr>
          <w:rFonts w:ascii="Times New Roman" w:hAnsi="Times New Roman" w:cs="Times New Roman"/>
          <w:sz w:val="24"/>
          <w:szCs w:val="24"/>
        </w:rPr>
        <w:t xml:space="preserve"> за които може да се получи подпомагане по мярка 11 „Биологично земеделие</w:t>
      </w:r>
      <w:r w:rsidR="0016087A" w:rsidRPr="00581B3B">
        <w:rPr>
          <w:rFonts w:ascii="Times New Roman" w:hAnsi="Times New Roman" w:cs="Times New Roman"/>
          <w:sz w:val="24"/>
          <w:szCs w:val="24"/>
        </w:rPr>
        <w:t>“</w:t>
      </w:r>
      <w:r w:rsidRPr="00581B3B">
        <w:rPr>
          <w:rFonts w:ascii="Times New Roman" w:hAnsi="Times New Roman" w:cs="Times New Roman"/>
          <w:sz w:val="24"/>
          <w:szCs w:val="24"/>
        </w:rPr>
        <w:t xml:space="preserve"> не надвишава нивата на подпомагане</w:t>
      </w:r>
      <w:r w:rsidR="0016087A" w:rsidRPr="00581B3B">
        <w:rPr>
          <w:rFonts w:ascii="Times New Roman" w:hAnsi="Times New Roman" w:cs="Times New Roman"/>
          <w:sz w:val="24"/>
          <w:szCs w:val="24"/>
        </w:rPr>
        <w:t>,</w:t>
      </w:r>
      <w:r w:rsidRPr="00581B3B">
        <w:rPr>
          <w:rFonts w:ascii="Times New Roman" w:hAnsi="Times New Roman" w:cs="Times New Roman"/>
          <w:sz w:val="24"/>
          <w:szCs w:val="24"/>
        </w:rPr>
        <w:t xml:space="preserve"> одобрени в Стратегическия план по интервенциите в областта на биологичното земеделие.</w:t>
      </w:r>
    </w:p>
    <w:p w:rsidR="007616BE" w:rsidRPr="00581B3B" w:rsidRDefault="007616BE" w:rsidP="00B35E6D">
      <w:pPr>
        <w:pStyle w:val="Heading2"/>
        <w:numPr>
          <w:ilvl w:val="0"/>
          <w:numId w:val="0"/>
        </w:numPr>
      </w:pPr>
      <w:bookmarkStart w:id="12" w:name="_Toc130370317"/>
      <w:r w:rsidRPr="00581B3B">
        <w:t>М</w:t>
      </w:r>
      <w:r w:rsidR="00E622BC" w:rsidRPr="00581B3B">
        <w:t>ярка 14 „Хуманно отношение към животните“</w:t>
      </w:r>
      <w:bookmarkEnd w:id="12"/>
      <w:r w:rsidR="00E622BC" w:rsidRPr="00581B3B">
        <w:t xml:space="preserve"> </w:t>
      </w:r>
    </w:p>
    <w:p w:rsidR="007616BE" w:rsidRPr="00581B3B" w:rsidRDefault="007616BE"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Насърчаване на по-високи нива на подпомагане за хуманно отношение към животните може да бъде приложен за мярка 14 „Хуманно отношение към животните“ от Програмата за развитие на селските райони за периода </w:t>
      </w:r>
      <w:r w:rsidRPr="00581B3B">
        <w:rPr>
          <w:rFonts w:ascii="Times New Roman" w:hAnsi="Times New Roman" w:cs="Times New Roman"/>
          <w:sz w:val="24"/>
          <w:szCs w:val="24"/>
        </w:rPr>
        <w:lastRenderedPageBreak/>
        <w:t xml:space="preserve">2014 – 2020 г. за земеделските стопани, кандидатствали през кампания 2022, с цел запазване на техните стопанства и възможност за компенсиране на по-високата себестойност на продукцията вследствие на нарастващите цени, затруднената реализация и намаляване възможността за пазарна възвращаемост от производствената дейност, осъществявана при непрекъснато покачващи се разходи. </w:t>
      </w:r>
    </w:p>
    <w:p w:rsidR="007616BE" w:rsidRPr="00581B3B" w:rsidRDefault="007616BE" w:rsidP="001D683F">
      <w:pPr>
        <w:jc w:val="both"/>
        <w:rPr>
          <w:rFonts w:ascii="Times New Roman" w:hAnsi="Times New Roman" w:cs="Times New Roman"/>
          <w:sz w:val="24"/>
          <w:szCs w:val="24"/>
        </w:rPr>
      </w:pPr>
      <w:r w:rsidRPr="00581B3B">
        <w:rPr>
          <w:rFonts w:ascii="Times New Roman" w:hAnsi="Times New Roman" w:cs="Times New Roman"/>
          <w:sz w:val="24"/>
          <w:szCs w:val="24"/>
        </w:rPr>
        <w:t>Основните компоненти и променливи за преизчисляване на компенсаторните плащания са производствени, ценови, трудови и технологични, те отразяват частична индексация на основните разходи за изхранване и ветеринарна грижа, както и ценовата динамика.</w:t>
      </w:r>
    </w:p>
    <w:p w:rsidR="00EA2206" w:rsidRPr="00581B3B" w:rsidRDefault="007616BE" w:rsidP="001D683F">
      <w:pPr>
        <w:jc w:val="both"/>
        <w:rPr>
          <w:rFonts w:ascii="Times New Roman" w:hAnsi="Times New Roman" w:cs="Times New Roman"/>
          <w:sz w:val="24"/>
          <w:szCs w:val="24"/>
        </w:rPr>
      </w:pPr>
      <w:r w:rsidRPr="00581B3B">
        <w:rPr>
          <w:rFonts w:ascii="Times New Roman" w:hAnsi="Times New Roman" w:cs="Times New Roman"/>
          <w:sz w:val="24"/>
          <w:szCs w:val="24"/>
        </w:rPr>
        <w:t>В този смисъл, се предлага индексация на компенсаторните плащания за земеделските стопани по мярка 14 „Хуманно отношение към животните“ от Програмата за развитие на селските райони за периода 2014 – 2020 г., което ще допринесе за съхраняване на производствения потенциал на агрохранителния сектор и за осигуряване на неговото нормално функциониране през следващите месеци.</w:t>
      </w:r>
    </w:p>
    <w:p w:rsidR="006129A2" w:rsidRDefault="00EA2206" w:rsidP="006129A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cs="Times New Roman"/>
          <w:sz w:val="24"/>
          <w:szCs w:val="24"/>
        </w:rPr>
      </w:pPr>
      <w:r w:rsidRPr="00581B3B">
        <w:rPr>
          <w:rFonts w:ascii="Times New Roman" w:hAnsi="Times New Roman" w:cs="Times New Roman"/>
          <w:sz w:val="24"/>
          <w:szCs w:val="24"/>
        </w:rPr>
        <w:t xml:space="preserve">Актуализираният размер на компенсаторните плащания по трите мерки е </w:t>
      </w:r>
      <w:r w:rsidR="001D683F" w:rsidRPr="00581B3B">
        <w:rPr>
          <w:rFonts w:ascii="Times New Roman" w:hAnsi="Times New Roman" w:cs="Times New Roman"/>
          <w:sz w:val="24"/>
          <w:szCs w:val="24"/>
        </w:rPr>
        <w:t>посочен в съответните приложения за техните изменения.</w:t>
      </w:r>
    </w:p>
    <w:p w:rsidR="00E622BC" w:rsidRPr="00581B3B" w:rsidRDefault="006129A2" w:rsidP="006129A2">
      <w:pPr>
        <w:jc w:val="both"/>
        <w:rPr>
          <w:rFonts w:ascii="Times New Roman" w:hAnsi="Times New Roman" w:cs="Times New Roman"/>
          <w:sz w:val="24"/>
          <w:szCs w:val="24"/>
        </w:rPr>
      </w:pPr>
      <w:r>
        <w:rPr>
          <w:rFonts w:ascii="Times New Roman" w:hAnsi="Times New Roman" w:cs="Times New Roman"/>
          <w:sz w:val="24"/>
          <w:szCs w:val="24"/>
        </w:rPr>
        <w:t>В допълнение,</w:t>
      </w:r>
      <w:r w:rsidR="00EF4030">
        <w:rPr>
          <w:rFonts w:ascii="Times New Roman" w:hAnsi="Times New Roman" w:cs="Times New Roman"/>
          <w:sz w:val="24"/>
          <w:szCs w:val="24"/>
        </w:rPr>
        <w:t xml:space="preserve"> с цел гарантиране на устойчивост и предвидимост на продължаващите по ПРСР 2014-2020 г. ангажименти по направления „</w:t>
      </w:r>
      <w:r w:rsidR="00EF4030" w:rsidRPr="00EF4030">
        <w:rPr>
          <w:rFonts w:ascii="Times New Roman" w:hAnsi="Times New Roman" w:cs="Times New Roman"/>
          <w:sz w:val="24"/>
          <w:szCs w:val="24"/>
        </w:rPr>
        <w:t>Опазване на застрашени от изчезване местни породи</w:t>
      </w:r>
      <w:r w:rsidR="00EF4030">
        <w:rPr>
          <w:rFonts w:ascii="Times New Roman" w:hAnsi="Times New Roman" w:cs="Times New Roman"/>
          <w:sz w:val="24"/>
          <w:szCs w:val="24"/>
        </w:rPr>
        <w:t>“ и „</w:t>
      </w:r>
      <w:r w:rsidR="00EF4030" w:rsidRPr="00EF4030">
        <w:rPr>
          <w:rFonts w:ascii="Times New Roman" w:hAnsi="Times New Roman" w:cs="Times New Roman"/>
          <w:sz w:val="24"/>
          <w:szCs w:val="24"/>
        </w:rPr>
        <w:t>Опазване на застрашени от изчезване местни сортове, важни за селското стопанство</w:t>
      </w:r>
      <w:r w:rsidR="00EF4030">
        <w:rPr>
          <w:rFonts w:ascii="Times New Roman" w:hAnsi="Times New Roman" w:cs="Times New Roman"/>
          <w:sz w:val="24"/>
          <w:szCs w:val="24"/>
        </w:rPr>
        <w:t xml:space="preserve">“ от мярка 10 „Агроекология и климат“, в </w:t>
      </w:r>
      <w:r w:rsidR="00EF4030">
        <w:rPr>
          <w:rFonts w:ascii="Times New Roman" w:hAnsi="Times New Roman" w:cs="Times New Roman"/>
          <w:sz w:val="24"/>
          <w:szCs w:val="24"/>
        </w:rPr>
        <w:lastRenderedPageBreak/>
        <w:t xml:space="preserve">текста на мярката се уточнява, че съответните списъци по направленията са </w:t>
      </w:r>
      <w:r w:rsidR="00EF4030" w:rsidRPr="00EF4030">
        <w:rPr>
          <w:rFonts w:ascii="Times New Roman" w:hAnsi="Times New Roman" w:cs="Times New Roman"/>
          <w:sz w:val="24"/>
          <w:szCs w:val="24"/>
        </w:rPr>
        <w:t>приложим</w:t>
      </w:r>
      <w:r w:rsidR="00F760BD">
        <w:rPr>
          <w:rFonts w:ascii="Times New Roman" w:hAnsi="Times New Roman" w:cs="Times New Roman"/>
          <w:sz w:val="24"/>
          <w:szCs w:val="24"/>
        </w:rPr>
        <w:t>и</w:t>
      </w:r>
      <w:r w:rsidR="00EF4030" w:rsidRPr="00EF4030">
        <w:rPr>
          <w:rFonts w:ascii="Times New Roman" w:hAnsi="Times New Roman" w:cs="Times New Roman"/>
          <w:sz w:val="24"/>
          <w:szCs w:val="24"/>
        </w:rPr>
        <w:t xml:space="preserve"> до изтичане на изпълняваните </w:t>
      </w:r>
      <w:r w:rsidR="00EF4030">
        <w:rPr>
          <w:rFonts w:ascii="Times New Roman" w:hAnsi="Times New Roman" w:cs="Times New Roman"/>
          <w:sz w:val="24"/>
          <w:szCs w:val="24"/>
        </w:rPr>
        <w:t xml:space="preserve">от кандидатите </w:t>
      </w:r>
      <w:r w:rsidR="00EF4030" w:rsidRPr="00EF4030">
        <w:rPr>
          <w:rFonts w:ascii="Times New Roman" w:hAnsi="Times New Roman" w:cs="Times New Roman"/>
          <w:sz w:val="24"/>
          <w:szCs w:val="24"/>
        </w:rPr>
        <w:t>многогодишни ангажименти</w:t>
      </w:r>
      <w:r w:rsidR="00EF4030">
        <w:rPr>
          <w:rFonts w:ascii="Times New Roman" w:hAnsi="Times New Roman" w:cs="Times New Roman"/>
          <w:sz w:val="24"/>
          <w:szCs w:val="24"/>
        </w:rPr>
        <w:t>.</w:t>
      </w:r>
      <w:r>
        <w:rPr>
          <w:rFonts w:ascii="Times New Roman" w:hAnsi="Times New Roman" w:cs="Times New Roman"/>
          <w:sz w:val="24"/>
          <w:szCs w:val="24"/>
        </w:rPr>
        <w:t xml:space="preserve"> </w:t>
      </w:r>
    </w:p>
    <w:p w:rsidR="002C308C" w:rsidRPr="00581B3B" w:rsidRDefault="00E622BC" w:rsidP="00B35E6D">
      <w:pPr>
        <w:pStyle w:val="Heading2"/>
      </w:pPr>
      <w:bookmarkStart w:id="13" w:name="_Toc130370318"/>
      <w:r w:rsidRPr="00581B3B">
        <w:t xml:space="preserve">Промени в мярка 20 „Техническа помощ“ от ПРСР (2014-2020), свързани с уточняване обхвата на допустимост на </w:t>
      </w:r>
      <w:r w:rsidR="00AC20FB" w:rsidRPr="00581B3B">
        <w:t>дейности/</w:t>
      </w:r>
      <w:r w:rsidRPr="00581B3B">
        <w:t>разход</w:t>
      </w:r>
      <w:r w:rsidR="00AC20FB" w:rsidRPr="00581B3B">
        <w:t>и</w:t>
      </w:r>
      <w:bookmarkEnd w:id="13"/>
    </w:p>
    <w:p w:rsidR="00270BB3" w:rsidRPr="00581B3B" w:rsidRDefault="00270BB3" w:rsidP="001D683F">
      <w:pPr>
        <w:jc w:val="both"/>
        <w:rPr>
          <w:rFonts w:ascii="Times New Roman" w:hAnsi="Times New Roman" w:cs="Times New Roman"/>
          <w:b/>
          <w:sz w:val="24"/>
          <w:szCs w:val="24"/>
        </w:rPr>
      </w:pPr>
      <w:r w:rsidRPr="00581B3B">
        <w:rPr>
          <w:rFonts w:ascii="Times New Roman" w:hAnsi="Times New Roman" w:cs="Times New Roman"/>
          <w:b/>
          <w:sz w:val="24"/>
          <w:szCs w:val="24"/>
        </w:rPr>
        <w:t>По отношение на подпомаганите дейности</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УО предлага допълване/разширяване на обхвата на допустимата за подпомагане дейност, свързана със следващия програмен период („Дейности, свързани с подготовката на следващия програмен период (след 2020)“), като се добави възможност за финансиране на действия, свързани с прилагането </w:t>
      </w:r>
      <w:r w:rsidR="00BC73EF" w:rsidRPr="00581B3B">
        <w:rPr>
          <w:rFonts w:ascii="Times New Roman" w:hAnsi="Times New Roman" w:cs="Times New Roman"/>
          <w:sz w:val="24"/>
          <w:szCs w:val="24"/>
        </w:rPr>
        <w:t xml:space="preserve">(управлението и изпълнението) </w:t>
      </w:r>
      <w:r w:rsidRPr="00581B3B">
        <w:rPr>
          <w:rFonts w:ascii="Times New Roman" w:hAnsi="Times New Roman" w:cs="Times New Roman"/>
          <w:sz w:val="24"/>
          <w:szCs w:val="24"/>
        </w:rPr>
        <w:t xml:space="preserve">на </w:t>
      </w:r>
      <w:r w:rsidR="00BC73EF" w:rsidRPr="00581B3B">
        <w:rPr>
          <w:rFonts w:ascii="Times New Roman" w:hAnsi="Times New Roman" w:cs="Times New Roman"/>
          <w:sz w:val="24"/>
          <w:szCs w:val="24"/>
        </w:rPr>
        <w:t>Стратегическия план (</w:t>
      </w:r>
      <w:r w:rsidRPr="00581B3B">
        <w:rPr>
          <w:rFonts w:ascii="Times New Roman" w:hAnsi="Times New Roman" w:cs="Times New Roman"/>
          <w:sz w:val="24"/>
          <w:szCs w:val="24"/>
        </w:rPr>
        <w:t>СП</w:t>
      </w:r>
      <w:r w:rsidR="00BC73EF" w:rsidRPr="00581B3B">
        <w:rPr>
          <w:rFonts w:ascii="Times New Roman" w:hAnsi="Times New Roman" w:cs="Times New Roman"/>
          <w:sz w:val="24"/>
          <w:szCs w:val="24"/>
        </w:rPr>
        <w:t>)</w:t>
      </w:r>
      <w:r w:rsidRPr="00581B3B">
        <w:rPr>
          <w:rFonts w:ascii="Times New Roman" w:hAnsi="Times New Roman" w:cs="Times New Roman"/>
          <w:sz w:val="24"/>
          <w:szCs w:val="24"/>
        </w:rPr>
        <w:t xml:space="preserve">, а не само с неговата подготовка. </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Предложението </w:t>
      </w:r>
      <w:r w:rsidR="00BC73EF" w:rsidRPr="00581B3B">
        <w:rPr>
          <w:rFonts w:ascii="Times New Roman" w:hAnsi="Times New Roman" w:cs="Times New Roman"/>
          <w:sz w:val="24"/>
          <w:szCs w:val="24"/>
        </w:rPr>
        <w:t>на УО</w:t>
      </w:r>
      <w:r w:rsidRPr="00581B3B">
        <w:rPr>
          <w:rFonts w:ascii="Times New Roman" w:hAnsi="Times New Roman" w:cs="Times New Roman"/>
          <w:sz w:val="24"/>
          <w:szCs w:val="24"/>
        </w:rPr>
        <w:t xml:space="preserve"> е продиктувано от факта, че към настоящия момент </w:t>
      </w:r>
      <w:r w:rsidR="00BC73EF" w:rsidRPr="00581B3B">
        <w:rPr>
          <w:rFonts w:ascii="Times New Roman" w:hAnsi="Times New Roman" w:cs="Times New Roman"/>
          <w:sz w:val="24"/>
          <w:szCs w:val="24"/>
        </w:rPr>
        <w:t>Министерство на земеделието</w:t>
      </w:r>
      <w:r w:rsidRPr="00581B3B">
        <w:rPr>
          <w:rFonts w:ascii="Times New Roman" w:hAnsi="Times New Roman" w:cs="Times New Roman"/>
          <w:sz w:val="24"/>
          <w:szCs w:val="24"/>
        </w:rPr>
        <w:t xml:space="preserve"> </w:t>
      </w:r>
      <w:r w:rsidR="00BC73EF" w:rsidRPr="00581B3B">
        <w:rPr>
          <w:rFonts w:ascii="Times New Roman" w:hAnsi="Times New Roman" w:cs="Times New Roman"/>
          <w:sz w:val="24"/>
          <w:szCs w:val="24"/>
        </w:rPr>
        <w:t>е</w:t>
      </w:r>
      <w:r w:rsidRPr="00581B3B">
        <w:rPr>
          <w:rFonts w:ascii="Times New Roman" w:hAnsi="Times New Roman" w:cs="Times New Roman"/>
          <w:sz w:val="24"/>
          <w:szCs w:val="24"/>
        </w:rPr>
        <w:t xml:space="preserve"> в интензивна подготовка за стартиране на интервенциите от СП и в тази връзка възниква необходимост и от стартиране на определени съпътстващи дейности – информационни кампании, срещи със земеделски производители, възлагане на договори за изготвяне на анализи, свързани с някои интервенции. </w:t>
      </w:r>
    </w:p>
    <w:p w:rsidR="00270BB3" w:rsidRPr="00581B3B" w:rsidRDefault="00BC73EF" w:rsidP="001D683F">
      <w:pPr>
        <w:jc w:val="both"/>
        <w:rPr>
          <w:rFonts w:ascii="Times New Roman" w:hAnsi="Times New Roman" w:cs="Times New Roman"/>
          <w:sz w:val="24"/>
          <w:szCs w:val="24"/>
        </w:rPr>
      </w:pPr>
      <w:r w:rsidRPr="00581B3B">
        <w:rPr>
          <w:rFonts w:ascii="Times New Roman" w:hAnsi="Times New Roman" w:cs="Times New Roman"/>
          <w:sz w:val="24"/>
          <w:szCs w:val="24"/>
        </w:rPr>
        <w:t>Също така,</w:t>
      </w:r>
      <w:r w:rsidR="00270BB3" w:rsidRPr="00581B3B">
        <w:rPr>
          <w:rFonts w:ascii="Times New Roman" w:hAnsi="Times New Roman" w:cs="Times New Roman"/>
          <w:sz w:val="24"/>
          <w:szCs w:val="24"/>
        </w:rPr>
        <w:t xml:space="preserve"> в чл. 59 на Регламент (ЕС) № 1303/2013 е указано, че: </w:t>
      </w:r>
      <w:r w:rsidR="00270BB3" w:rsidRPr="00581B3B">
        <w:rPr>
          <w:rFonts w:ascii="Times New Roman" w:hAnsi="Times New Roman" w:cs="Times New Roman"/>
          <w:i/>
          <w:sz w:val="24"/>
          <w:szCs w:val="24"/>
        </w:rPr>
        <w:t>„………Действията, посочени в предходния параграф, могат да се отнасят до предходни и последващи програмни периоди</w:t>
      </w:r>
      <w:r w:rsidR="00270BB3" w:rsidRPr="00581B3B">
        <w:rPr>
          <w:rFonts w:ascii="Times New Roman" w:hAnsi="Times New Roman" w:cs="Times New Roman"/>
          <w:sz w:val="24"/>
          <w:szCs w:val="24"/>
        </w:rPr>
        <w:t xml:space="preserve">“, а именно </w:t>
      </w:r>
      <w:r w:rsidRPr="00581B3B">
        <w:rPr>
          <w:rFonts w:ascii="Times New Roman" w:hAnsi="Times New Roman" w:cs="Times New Roman"/>
          <w:sz w:val="24"/>
          <w:szCs w:val="24"/>
        </w:rPr>
        <w:t>на</w:t>
      </w:r>
      <w:r w:rsidR="00270BB3" w:rsidRPr="00581B3B">
        <w:rPr>
          <w:rFonts w:ascii="Times New Roman" w:hAnsi="Times New Roman" w:cs="Times New Roman"/>
          <w:sz w:val="24"/>
          <w:szCs w:val="24"/>
        </w:rPr>
        <w:t xml:space="preserve"> финансира</w:t>
      </w:r>
      <w:r w:rsidRPr="00581B3B">
        <w:rPr>
          <w:rFonts w:ascii="Times New Roman" w:hAnsi="Times New Roman" w:cs="Times New Roman"/>
          <w:sz w:val="24"/>
          <w:szCs w:val="24"/>
        </w:rPr>
        <w:t>не подлежат</w:t>
      </w:r>
      <w:r w:rsidR="00270BB3" w:rsidRPr="00581B3B">
        <w:rPr>
          <w:rFonts w:ascii="Times New Roman" w:hAnsi="Times New Roman" w:cs="Times New Roman"/>
          <w:sz w:val="24"/>
          <w:szCs w:val="24"/>
        </w:rPr>
        <w:t xml:space="preserve"> всички допустими дейности/разходи по управлението и изпълнението на СП. </w:t>
      </w:r>
    </w:p>
    <w:p w:rsidR="00270BB3" w:rsidRPr="00581B3B" w:rsidRDefault="00BC73EF"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УО с</w:t>
      </w:r>
      <w:r w:rsidR="00270BB3" w:rsidRPr="00581B3B">
        <w:rPr>
          <w:rFonts w:ascii="Times New Roman" w:hAnsi="Times New Roman" w:cs="Times New Roman"/>
          <w:sz w:val="24"/>
          <w:szCs w:val="24"/>
        </w:rPr>
        <w:t xml:space="preserve">чита, че допълването на обхвата на въпросната дейност е логично и по този начин ще се осигури плавен преход между мярка 20 „Техническа помощ“ от ПРСР и „Техническа помощ“ от СП, както и значително ще се оптимизира текущия процес по стартиране и изпълнение на действия, свързани с прилагането на СП. Допълнението на обхвата на дейността ще даде зелена светлина за изпълнението на действия, чието стартиране е наложително към настоящия момент, като организирането и провеждането на информационни срещи със </w:t>
      </w:r>
      <w:r w:rsidRPr="00581B3B">
        <w:rPr>
          <w:rFonts w:ascii="Times New Roman" w:hAnsi="Times New Roman" w:cs="Times New Roman"/>
          <w:sz w:val="24"/>
          <w:szCs w:val="24"/>
        </w:rPr>
        <w:t xml:space="preserve">заинтересованите страни от </w:t>
      </w:r>
      <w:r w:rsidR="00270BB3" w:rsidRPr="00581B3B">
        <w:rPr>
          <w:rFonts w:ascii="Times New Roman" w:hAnsi="Times New Roman" w:cs="Times New Roman"/>
          <w:sz w:val="24"/>
          <w:szCs w:val="24"/>
        </w:rPr>
        <w:t xml:space="preserve">сектор „Земеделие“ на територията на цялата страна, провеждане на публични събития с </w:t>
      </w:r>
      <w:r w:rsidRPr="00581B3B">
        <w:rPr>
          <w:rFonts w:ascii="Times New Roman" w:hAnsi="Times New Roman" w:cs="Times New Roman"/>
          <w:sz w:val="24"/>
          <w:szCs w:val="24"/>
        </w:rPr>
        <w:t xml:space="preserve">тяхно </w:t>
      </w:r>
      <w:r w:rsidR="00270BB3" w:rsidRPr="00581B3B">
        <w:rPr>
          <w:rFonts w:ascii="Times New Roman" w:hAnsi="Times New Roman" w:cs="Times New Roman"/>
          <w:sz w:val="24"/>
          <w:szCs w:val="24"/>
        </w:rPr>
        <w:t xml:space="preserve">участие и т.н. </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Направена е и техническа корекция относно годината „2020“ в наименованието на дейността, като същата е коригирана на „2023“. </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Второто предложение на УО е за допълване на обхвата на допустимите дейности, свързани с:</w:t>
      </w:r>
    </w:p>
    <w:p w:rsidR="00270BB3" w:rsidRPr="00581B3B" w:rsidRDefault="00270BB3" w:rsidP="00270BB3">
      <w:pPr>
        <w:pStyle w:val="ListParagraph"/>
        <w:numPr>
          <w:ilvl w:val="0"/>
          <w:numId w:val="13"/>
        </w:numPr>
        <w:ind w:left="567"/>
        <w:jc w:val="both"/>
        <w:rPr>
          <w:rFonts w:ascii="Times New Roman" w:hAnsi="Times New Roman" w:cs="Times New Roman"/>
          <w:sz w:val="24"/>
          <w:szCs w:val="24"/>
        </w:rPr>
      </w:pPr>
      <w:r w:rsidRPr="00581B3B">
        <w:rPr>
          <w:rFonts w:ascii="Times New Roman" w:hAnsi="Times New Roman" w:cs="Times New Roman"/>
          <w:sz w:val="24"/>
          <w:szCs w:val="24"/>
        </w:rPr>
        <w:t>„</w:t>
      </w:r>
      <w:r w:rsidRPr="00581B3B">
        <w:rPr>
          <w:rFonts w:ascii="Times New Roman" w:hAnsi="Times New Roman" w:cs="Times New Roman"/>
          <w:i/>
          <w:sz w:val="24"/>
          <w:szCs w:val="24"/>
        </w:rPr>
        <w:t xml:space="preserve">Разходи в размер до 80% от индивидуалните брутни месечни заплати на персонала, изпълняващ дейности, пряко свързани с управлението, наблюдението, оценката и контрола на ПРСР и разписани в длъжностните им характеристики, на месечна база (вкл. разходи за заплата, данък общ доход и дължими от работодателя осигуровки и възнаграждения за платен отпуск)“; </w:t>
      </w:r>
      <w:r w:rsidRPr="00581B3B">
        <w:rPr>
          <w:rFonts w:ascii="Times New Roman" w:hAnsi="Times New Roman" w:cs="Times New Roman"/>
          <w:sz w:val="24"/>
          <w:szCs w:val="24"/>
        </w:rPr>
        <w:t xml:space="preserve">и </w:t>
      </w:r>
    </w:p>
    <w:p w:rsidR="00270BB3" w:rsidRPr="00581B3B" w:rsidRDefault="00270BB3" w:rsidP="00270BB3">
      <w:pPr>
        <w:pStyle w:val="ListParagraph"/>
        <w:numPr>
          <w:ilvl w:val="0"/>
          <w:numId w:val="13"/>
        </w:numPr>
        <w:ind w:left="567"/>
        <w:jc w:val="both"/>
        <w:rPr>
          <w:rFonts w:ascii="Times New Roman" w:hAnsi="Times New Roman" w:cs="Times New Roman"/>
          <w:sz w:val="24"/>
          <w:szCs w:val="24"/>
        </w:rPr>
      </w:pPr>
      <w:r w:rsidRPr="00581B3B">
        <w:rPr>
          <w:rFonts w:ascii="Times New Roman" w:hAnsi="Times New Roman" w:cs="Times New Roman"/>
          <w:sz w:val="24"/>
          <w:szCs w:val="24"/>
        </w:rPr>
        <w:t>„</w:t>
      </w:r>
      <w:r w:rsidRPr="00581B3B">
        <w:rPr>
          <w:rFonts w:ascii="Times New Roman" w:hAnsi="Times New Roman" w:cs="Times New Roman"/>
          <w:i/>
          <w:sz w:val="24"/>
          <w:szCs w:val="24"/>
        </w:rPr>
        <w:t>Наемане на допълнителен персонал, необходим с оглед засилване на капацитета на администрацията, ангажирана в управлението, изпълнението, контрола, наблюдението и оценката на ПРСР към УО и РА и разходи за възнагражденията за този персонал“</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Предложението е продиктувано от следните обстоятелства:</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1. Служителите (щатен персонал и служители по реда на ПМС 209/2015) в УО и Държавен фонд „Земеделие“ – Разплащателна агенция (ДФЗ-РА) към настоящия момент са ангажирани не само със заключителната фаза на прилагане на ПРСР, но вече и със СП и свързаните с него процеси (разработване на самия СП, правила, наредби за прилагане и др.), а в бъдеще заетостта им ще покрива и действия по изпълнение на П</w:t>
      </w:r>
      <w:r w:rsidR="00BC73EF" w:rsidRPr="00581B3B">
        <w:rPr>
          <w:rFonts w:ascii="Times New Roman" w:hAnsi="Times New Roman" w:cs="Times New Roman"/>
          <w:sz w:val="24"/>
          <w:szCs w:val="24"/>
        </w:rPr>
        <w:t>лана за възстановяване и устойчивост</w:t>
      </w:r>
      <w:r w:rsidRPr="00581B3B">
        <w:rPr>
          <w:rFonts w:ascii="Times New Roman" w:hAnsi="Times New Roman" w:cs="Times New Roman"/>
          <w:sz w:val="24"/>
          <w:szCs w:val="24"/>
        </w:rPr>
        <w:t xml:space="preserve"> (подробна информация за това е представена в т. 2). Подобно на предложението за разширяване на обхвата на дейността, свързана със „следващия програмен период“, така и тук </w:t>
      </w:r>
      <w:r w:rsidR="00BC73EF" w:rsidRPr="00581B3B">
        <w:rPr>
          <w:rFonts w:ascii="Times New Roman" w:hAnsi="Times New Roman" w:cs="Times New Roman"/>
          <w:sz w:val="24"/>
          <w:szCs w:val="24"/>
        </w:rPr>
        <w:t xml:space="preserve">УО </w:t>
      </w:r>
      <w:r w:rsidRPr="00581B3B">
        <w:rPr>
          <w:rFonts w:ascii="Times New Roman" w:hAnsi="Times New Roman" w:cs="Times New Roman"/>
          <w:sz w:val="24"/>
          <w:szCs w:val="24"/>
        </w:rPr>
        <w:t xml:space="preserve">счита за необходимо допълването на обхвата на горецитираните две допустими дейности със СП и ПВУ от гледна точка на заетостта на служителите. </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2. На основание Постановление № 157 на Министерския съвет на Р. България и във връзка с Регламент (ЕС) № 2021/241 на Европейския парламент и на Съвета от 12 февруари 2021 година за създаване на Механизъм за възстановяване и устойчивост, дирекция „Развитие на селските райони“ е определена за Структура за наблюдение и докладване (СНД) за инвестиция „Фонд за насърчаване на технологичния и екологичен преход на селското стопанство“ от Плана за възстановяване и устойчивост (ПВУ). В качеството си на СНД дирекция РСР следва да разработи условията за кандидатстване и условията за изпълнение на одобрените проекти по четирите направления от Фонда за насърчаване на технологичния и екологичен преход на селското стопанство, както и да обяви приемите по тях. В същото време, дирекция РСР е УО на ПРСР. Освен това, на ДФЗ-РА, </w:t>
      </w:r>
      <w:r w:rsidRPr="00581B3B">
        <w:rPr>
          <w:rFonts w:ascii="Times New Roman" w:hAnsi="Times New Roman" w:cs="Times New Roman"/>
          <w:sz w:val="24"/>
          <w:szCs w:val="24"/>
        </w:rPr>
        <w:lastRenderedPageBreak/>
        <w:t>който прилага ПРСР, ще бъдат делегирани и функции по обработка, договаряне и разплащане на одобрените проекти по ПВУ.</w:t>
      </w:r>
    </w:p>
    <w:p w:rsidR="00270BB3" w:rsidRPr="00581B3B" w:rsidRDefault="00270BB3" w:rsidP="001D683F">
      <w:pPr>
        <w:jc w:val="both"/>
        <w:rPr>
          <w:rFonts w:ascii="Times New Roman" w:hAnsi="Times New Roman" w:cs="Times New Roman"/>
          <w:b/>
          <w:sz w:val="24"/>
          <w:szCs w:val="24"/>
        </w:rPr>
      </w:pPr>
      <w:r w:rsidRPr="00581B3B">
        <w:rPr>
          <w:rFonts w:ascii="Times New Roman" w:hAnsi="Times New Roman" w:cs="Times New Roman"/>
          <w:b/>
          <w:sz w:val="24"/>
          <w:szCs w:val="24"/>
        </w:rPr>
        <w:t>По отношение на Национална селска мрежа</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Предложението на УО е за премахване на ограничението „</w:t>
      </w:r>
      <w:r w:rsidRPr="00581B3B">
        <w:rPr>
          <w:rFonts w:ascii="Times New Roman" w:hAnsi="Times New Roman" w:cs="Times New Roman"/>
          <w:i/>
          <w:sz w:val="24"/>
          <w:szCs w:val="24"/>
        </w:rPr>
        <w:t>размерът на текущите разходи на НСМ не трябва да надвишава 25 % от общия бюджет на Мрежата</w:t>
      </w:r>
      <w:r w:rsidRPr="00581B3B">
        <w:rPr>
          <w:rFonts w:ascii="Times New Roman" w:hAnsi="Times New Roman" w:cs="Times New Roman"/>
          <w:sz w:val="24"/>
          <w:szCs w:val="24"/>
        </w:rPr>
        <w:t>“ поради следните причини:</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Съгласно разпоредбите на чл. 54 от Регламент (ЕС) 1305/2013, всяка държава членка създава Национална селска мрежа, като нейна основната функция е да подпомага УО при определянето и реализирането на приоритетите в развитието на селските райони и промените, които трябва да се направят в действащата политика, с оглед подобряване на ефекта от нейното провеждане; подобряването на диалога със заинтересованите страни, разширяване на участието във вземането на решения и в процеса на планиране, програмиране, наблюдение и изпълнение на политиката за развитие на селските райони; информирането на широката общественост и потенциалните бенефициенти за политиката за развитие на селските райони и възможностите за финансиране; насърчаването на иновациите в селското стопанство, производството на храни, горското стопанство и селските райони.</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През 2017-2018 г. с решение на УО е проведена процедура за избор на изпълнител на обществена поръчка за поддържане и укрепване на Звеното за управление на Национална селска мрежа на ПРСР 2014-2020 г. Поръчката е възложена с договор № РД51-51 от 10.04.2018 г. и включва част от дейностите с цел изпълнение на </w:t>
      </w:r>
      <w:r w:rsidRPr="00581B3B">
        <w:rPr>
          <w:rFonts w:ascii="Times New Roman" w:hAnsi="Times New Roman" w:cs="Times New Roman"/>
          <w:sz w:val="24"/>
          <w:szCs w:val="24"/>
        </w:rPr>
        <w:lastRenderedPageBreak/>
        <w:t>ролята, заложена за Звеното в ПРСР, а именно: да създаде условия за успешна комуникация и насърчаване на сътрудничеството между заинтересованите лица на местно, регионално, национално и европейско ниво. Техническото подпомагане, оперативна и информационна координация между участниците в Националната селска мрежа се осъществява от това Звено, което осигурява и необходимия човешки ресурс и експертни изисквания.</w:t>
      </w:r>
    </w:p>
    <w:p w:rsidR="00270BB3" w:rsidRPr="00581B3B"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В периода 2018-2022 г. Звеното организира над 100 големи събития (кръгли маси, работни срещи, конференции, обучения и др.). Чрез изпълнението на въпросния договор Звеното за управление на НСМ успя без съмнение да постигне голям успех в подобряването на диалога и сътрудничеството между заинтересованите страни на местно, регионално, национално и европейско ниво, което доприн</w:t>
      </w:r>
      <w:r w:rsidR="00BC73EF" w:rsidRPr="00581B3B">
        <w:rPr>
          <w:rFonts w:ascii="Times New Roman" w:hAnsi="Times New Roman" w:cs="Times New Roman"/>
          <w:sz w:val="24"/>
          <w:szCs w:val="24"/>
        </w:rPr>
        <w:t>есе</w:t>
      </w:r>
      <w:r w:rsidRPr="00581B3B">
        <w:rPr>
          <w:rFonts w:ascii="Times New Roman" w:hAnsi="Times New Roman" w:cs="Times New Roman"/>
          <w:sz w:val="24"/>
          <w:szCs w:val="24"/>
        </w:rPr>
        <w:t xml:space="preserve"> за ефективното и ефикасно изпълнение на Програмата. </w:t>
      </w:r>
    </w:p>
    <w:p w:rsidR="005C1022" w:rsidRDefault="00270BB3" w:rsidP="001D683F">
      <w:pPr>
        <w:jc w:val="both"/>
        <w:rPr>
          <w:rFonts w:ascii="Times New Roman" w:hAnsi="Times New Roman" w:cs="Times New Roman"/>
          <w:sz w:val="24"/>
          <w:szCs w:val="24"/>
        </w:rPr>
      </w:pPr>
      <w:r w:rsidRPr="00581B3B">
        <w:rPr>
          <w:rFonts w:ascii="Times New Roman" w:hAnsi="Times New Roman" w:cs="Times New Roman"/>
          <w:sz w:val="24"/>
          <w:szCs w:val="24"/>
        </w:rPr>
        <w:t xml:space="preserve">Сключеният договор РД51-51/10.04.2018 г. е на стойност 2 522 400 лв. и е в рамките на максималния допустим разход от 5.97 млн. лв. (до 5.5% от общия бюджет на М20), заделен за дейности, свързани с Мрежата. Функционирането на Звеното и по-конкретно изпълнението на възложения му договор зависи от извършването основно на текущи разходи, като: възнаграждения; наем на офис; комунални услуги (ток, вода и др.); командировки. </w:t>
      </w:r>
    </w:p>
    <w:p w:rsidR="005C1022" w:rsidRPr="005C1022" w:rsidRDefault="005C1022" w:rsidP="005C1022">
      <w:pPr>
        <w:jc w:val="both"/>
        <w:rPr>
          <w:rFonts w:ascii="Times New Roman" w:hAnsi="Times New Roman" w:cs="Times New Roman"/>
          <w:sz w:val="24"/>
          <w:szCs w:val="24"/>
        </w:rPr>
      </w:pPr>
      <w:r w:rsidRPr="005C1022">
        <w:rPr>
          <w:rFonts w:ascii="Times New Roman" w:hAnsi="Times New Roman" w:cs="Times New Roman"/>
          <w:sz w:val="24"/>
          <w:szCs w:val="24"/>
        </w:rPr>
        <w:lastRenderedPageBreak/>
        <w:t>В европейското законодателство, указващо функциите на НСМ на страните-членки, няма разписано изискване за размер на текущите разходи на НСМ. Освен ограничението, представено в частта на НСМ на ПРСР, няма правно основание или процедурно изискване размер</w:t>
      </w:r>
      <w:r>
        <w:rPr>
          <w:rFonts w:ascii="Times New Roman" w:hAnsi="Times New Roman" w:cs="Times New Roman"/>
          <w:sz w:val="24"/>
          <w:szCs w:val="24"/>
        </w:rPr>
        <w:t>ът</w:t>
      </w:r>
      <w:r w:rsidRPr="005C1022">
        <w:rPr>
          <w:rFonts w:ascii="Times New Roman" w:hAnsi="Times New Roman" w:cs="Times New Roman"/>
          <w:sz w:val="24"/>
          <w:szCs w:val="24"/>
        </w:rPr>
        <w:t xml:space="preserve"> на текущите разходи да бъде ограничаван. </w:t>
      </w:r>
    </w:p>
    <w:p w:rsidR="00270BB3" w:rsidRPr="00581B3B" w:rsidRDefault="005D4B17" w:rsidP="005C1022">
      <w:pPr>
        <w:jc w:val="both"/>
        <w:rPr>
          <w:rFonts w:ascii="Times New Roman" w:hAnsi="Times New Roman" w:cs="Times New Roman"/>
          <w:sz w:val="24"/>
          <w:szCs w:val="24"/>
        </w:rPr>
      </w:pPr>
      <w:r>
        <w:rPr>
          <w:rFonts w:ascii="Times New Roman" w:hAnsi="Times New Roman" w:cs="Times New Roman"/>
          <w:sz w:val="24"/>
          <w:szCs w:val="24"/>
        </w:rPr>
        <w:t xml:space="preserve">Управляващият орган счита, че </w:t>
      </w:r>
      <w:r w:rsidR="005C1022" w:rsidRPr="005C1022">
        <w:rPr>
          <w:rFonts w:ascii="Times New Roman" w:hAnsi="Times New Roman" w:cs="Times New Roman"/>
          <w:sz w:val="24"/>
          <w:szCs w:val="24"/>
        </w:rPr>
        <w:t>ограничението на размера за текущи разходи, заложено в началото на програмния период, е нерелевантно, нефункционално и е пречка за ефективното и ефикасно изпълнение на целите и дейностите на НСМ.</w:t>
      </w:r>
      <w:r w:rsidR="00270BB3" w:rsidRPr="00581B3B">
        <w:rPr>
          <w:rFonts w:ascii="Times New Roman" w:hAnsi="Times New Roman" w:cs="Times New Roman"/>
          <w:sz w:val="24"/>
          <w:szCs w:val="24"/>
        </w:rPr>
        <w:t xml:space="preserve"> </w:t>
      </w:r>
    </w:p>
    <w:p w:rsidR="00E622BC" w:rsidRPr="00581B3B" w:rsidRDefault="00E622BC" w:rsidP="00B35E6D">
      <w:pPr>
        <w:pStyle w:val="Heading2"/>
      </w:pPr>
      <w:bookmarkStart w:id="14" w:name="_Toc130370319"/>
      <w:r w:rsidRPr="00581B3B">
        <w:t>Пром</w:t>
      </w:r>
      <w:r w:rsidR="00581B3B">
        <w:t>е</w:t>
      </w:r>
      <w:r w:rsidRPr="00581B3B">
        <w:t>н</w:t>
      </w:r>
      <w:r w:rsidR="00581B3B">
        <w:t>и</w:t>
      </w:r>
      <w:r w:rsidRPr="00581B3B">
        <w:t xml:space="preserve"> в текста на подраздел 8.1. „Описание на общите условия, прилагани за повече от една мярка“ от ПРСР (2014-2020)</w:t>
      </w:r>
      <w:bookmarkEnd w:id="14"/>
      <w:r w:rsidRPr="00581B3B">
        <w:t xml:space="preserve"> </w:t>
      </w:r>
    </w:p>
    <w:p w:rsidR="009B526C" w:rsidRPr="00581B3B" w:rsidRDefault="00581B3B" w:rsidP="001D683F">
      <w:pPr>
        <w:jc w:val="both"/>
        <w:rPr>
          <w:rFonts w:ascii="Times New Roman" w:hAnsi="Times New Roman" w:cs="Times New Roman"/>
          <w:sz w:val="24"/>
          <w:szCs w:val="24"/>
        </w:rPr>
      </w:pPr>
      <w:r>
        <w:rPr>
          <w:rFonts w:ascii="Times New Roman" w:hAnsi="Times New Roman" w:cs="Times New Roman"/>
          <w:sz w:val="24"/>
          <w:szCs w:val="24"/>
        </w:rPr>
        <w:t>9.</w:t>
      </w:r>
      <w:r w:rsidR="009B526C" w:rsidRPr="00581B3B">
        <w:rPr>
          <w:rFonts w:ascii="Times New Roman" w:hAnsi="Times New Roman" w:cs="Times New Roman"/>
          <w:sz w:val="24"/>
          <w:szCs w:val="24"/>
        </w:rPr>
        <w:t>1. Комитетът за наблюдение на ПРСР 2014-2020 г., на своето заседание, проведено на 11.11.2022 г. одобри предложението на Управляващия орган за промяна в текста в Раздел 8 „Описание на избраните мерки“ по Програмата за развитие на селските райони 2014-2020 г.:</w:t>
      </w:r>
    </w:p>
    <w:p w:rsidR="009B526C" w:rsidRPr="00581B3B" w:rsidRDefault="009B526C" w:rsidP="009B526C">
      <w:pPr>
        <w:ind w:firstLine="567"/>
        <w:jc w:val="both"/>
        <w:rPr>
          <w:rFonts w:ascii="Times New Roman" w:hAnsi="Times New Roman" w:cs="Times New Roman"/>
          <w:sz w:val="24"/>
          <w:szCs w:val="24"/>
        </w:rPr>
      </w:pPr>
      <w:r w:rsidRPr="00581B3B">
        <w:rPr>
          <w:rFonts w:ascii="Times New Roman" w:hAnsi="Times New Roman" w:cs="Times New Roman"/>
          <w:sz w:val="24"/>
          <w:szCs w:val="24"/>
        </w:rPr>
        <w:t>Таблица 5.1:</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2"/>
        <w:gridCol w:w="2615"/>
        <w:gridCol w:w="2760"/>
      </w:tblGrid>
      <w:tr w:rsidR="009B526C" w:rsidRPr="00581B3B" w:rsidTr="00B75093">
        <w:trPr>
          <w:jc w:val="center"/>
        </w:trPr>
        <w:tc>
          <w:tcPr>
            <w:tcW w:w="35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B526C" w:rsidRPr="00581B3B" w:rsidRDefault="009B526C" w:rsidP="009B526C">
            <w:pPr>
              <w:spacing w:after="0" w:line="240" w:lineRule="auto"/>
              <w:jc w:val="center"/>
              <w:rPr>
                <w:rFonts w:ascii="Times New Roman" w:eastAsia="Calibri" w:hAnsi="Times New Roman" w:cs="Times New Roman"/>
                <w:b/>
                <w:bCs/>
                <w:sz w:val="18"/>
                <w:szCs w:val="18"/>
              </w:rPr>
            </w:pPr>
            <w:r w:rsidRPr="00581B3B">
              <w:rPr>
                <w:rFonts w:ascii="Times New Roman" w:eastAsia="Calibri" w:hAnsi="Times New Roman" w:cs="Times New Roman"/>
                <w:b/>
                <w:bCs/>
                <w:sz w:val="18"/>
                <w:szCs w:val="18"/>
              </w:rPr>
              <w:t>Част от ПРСР, в която се прави предложение за промяна</w:t>
            </w:r>
          </w:p>
        </w:tc>
        <w:tc>
          <w:tcPr>
            <w:tcW w:w="25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B526C" w:rsidRPr="00581B3B" w:rsidRDefault="009B526C" w:rsidP="009B526C">
            <w:pPr>
              <w:spacing w:after="0" w:line="240" w:lineRule="auto"/>
              <w:jc w:val="center"/>
              <w:rPr>
                <w:rFonts w:ascii="Times New Roman" w:eastAsia="Calibri" w:hAnsi="Times New Roman" w:cs="Times New Roman"/>
                <w:b/>
                <w:bCs/>
                <w:sz w:val="18"/>
                <w:szCs w:val="18"/>
              </w:rPr>
            </w:pPr>
            <w:r w:rsidRPr="00581B3B">
              <w:rPr>
                <w:rFonts w:ascii="Times New Roman" w:eastAsia="Calibri" w:hAnsi="Times New Roman" w:cs="Times New Roman"/>
                <w:b/>
                <w:bCs/>
                <w:sz w:val="18"/>
                <w:szCs w:val="18"/>
              </w:rPr>
              <w:t>Настоящ текст от Раздел 8 „Описание на избраните мерки“ от ПРСР</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B526C" w:rsidRPr="00581B3B" w:rsidRDefault="009B526C" w:rsidP="009B526C">
            <w:pPr>
              <w:spacing w:after="0" w:line="240" w:lineRule="auto"/>
              <w:jc w:val="center"/>
              <w:rPr>
                <w:rFonts w:ascii="Times New Roman" w:eastAsia="Calibri" w:hAnsi="Times New Roman" w:cs="Times New Roman"/>
                <w:b/>
                <w:bCs/>
                <w:sz w:val="18"/>
                <w:szCs w:val="18"/>
              </w:rPr>
            </w:pPr>
            <w:r w:rsidRPr="00581B3B">
              <w:rPr>
                <w:rFonts w:ascii="Times New Roman" w:eastAsia="Calibri" w:hAnsi="Times New Roman" w:cs="Times New Roman"/>
                <w:b/>
                <w:bCs/>
                <w:sz w:val="18"/>
                <w:szCs w:val="18"/>
              </w:rPr>
              <w:t>Предложение за нов текст в Раздел 8 „Описание на избраните мерки“ от ПРСР</w:t>
            </w:r>
          </w:p>
        </w:tc>
      </w:tr>
      <w:tr w:rsidR="009B526C" w:rsidRPr="00581B3B" w:rsidTr="00B75093">
        <w:trPr>
          <w:trHeight w:val="589"/>
          <w:jc w:val="center"/>
        </w:trPr>
        <w:tc>
          <w:tcPr>
            <w:tcW w:w="35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9B526C" w:rsidRPr="00581B3B" w:rsidRDefault="009B526C" w:rsidP="009B526C">
            <w:pPr>
              <w:spacing w:after="0" w:line="240" w:lineRule="auto"/>
              <w:jc w:val="center"/>
              <w:rPr>
                <w:rFonts w:ascii="Times New Roman" w:eastAsia="Calibri" w:hAnsi="Times New Roman" w:cs="Times New Roman"/>
                <w:b/>
                <w:sz w:val="18"/>
                <w:szCs w:val="18"/>
              </w:rPr>
            </w:pPr>
            <w:r w:rsidRPr="00581B3B">
              <w:rPr>
                <w:rFonts w:ascii="Times New Roman" w:eastAsia="Calibri" w:hAnsi="Times New Roman" w:cs="Times New Roman"/>
                <w:b/>
                <w:sz w:val="18"/>
                <w:szCs w:val="18"/>
              </w:rPr>
              <w:t>8. Описание на избраните мерки</w:t>
            </w:r>
          </w:p>
        </w:tc>
        <w:tc>
          <w:tcPr>
            <w:tcW w:w="2551" w:type="dxa"/>
            <w:tcBorders>
              <w:top w:val="single" w:sz="4" w:space="0" w:color="auto"/>
              <w:left w:val="single" w:sz="4" w:space="0" w:color="auto"/>
              <w:bottom w:val="single" w:sz="4" w:space="0" w:color="auto"/>
              <w:right w:val="single" w:sz="4" w:space="0" w:color="auto"/>
            </w:tcBorders>
            <w:shd w:val="clear" w:color="auto" w:fill="D9D9D9"/>
          </w:tcPr>
          <w:p w:rsidR="009B526C" w:rsidRPr="00581B3B" w:rsidRDefault="009B526C" w:rsidP="009B526C">
            <w:pPr>
              <w:spacing w:after="0" w:line="240" w:lineRule="auto"/>
              <w:jc w:val="both"/>
              <w:rPr>
                <w:rFonts w:ascii="Times New Roman" w:eastAsia="Calibri" w:hAnsi="Times New Roman" w:cs="Times New Roman"/>
                <w:b/>
                <w:bCs/>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D9D9D9"/>
          </w:tcPr>
          <w:p w:rsidR="009B526C" w:rsidRPr="00581B3B" w:rsidRDefault="009B526C" w:rsidP="009B526C">
            <w:pPr>
              <w:tabs>
                <w:tab w:val="left" w:pos="12"/>
              </w:tabs>
              <w:spacing w:after="0" w:line="240" w:lineRule="auto"/>
              <w:jc w:val="both"/>
              <w:rPr>
                <w:rFonts w:ascii="Times New Roman" w:eastAsia="Calibri" w:hAnsi="Times New Roman" w:cs="Times New Roman"/>
                <w:b/>
                <w:bCs/>
                <w:sz w:val="18"/>
                <w:szCs w:val="18"/>
              </w:rPr>
            </w:pPr>
          </w:p>
        </w:tc>
      </w:tr>
      <w:tr w:rsidR="009B526C" w:rsidRPr="00581B3B" w:rsidTr="00B75093">
        <w:trPr>
          <w:trHeight w:val="64"/>
          <w:jc w:val="center"/>
        </w:trPr>
        <w:tc>
          <w:tcPr>
            <w:tcW w:w="3573" w:type="dxa"/>
            <w:tcBorders>
              <w:top w:val="single" w:sz="4" w:space="0" w:color="auto"/>
              <w:left w:val="single" w:sz="4" w:space="0" w:color="auto"/>
              <w:bottom w:val="single" w:sz="4" w:space="0" w:color="auto"/>
              <w:right w:val="single" w:sz="4" w:space="0" w:color="auto"/>
            </w:tcBorders>
            <w:vAlign w:val="center"/>
          </w:tcPr>
          <w:p w:rsidR="009B526C" w:rsidRPr="00581B3B" w:rsidRDefault="009B526C" w:rsidP="009B526C">
            <w:pPr>
              <w:jc w:val="both"/>
              <w:rPr>
                <w:rFonts w:ascii="Times New Roman" w:eastAsia="Times New Roman" w:hAnsi="Times New Roman" w:cs="Times New Roman"/>
                <w:sz w:val="18"/>
                <w:szCs w:val="18"/>
              </w:rPr>
            </w:pPr>
            <w:r w:rsidRPr="00581B3B">
              <w:rPr>
                <w:rFonts w:ascii="Times New Roman" w:hAnsi="Times New Roman" w:cs="Times New Roman"/>
                <w:sz w:val="18"/>
                <w:szCs w:val="18"/>
              </w:rPr>
              <w:t xml:space="preserve">8.1. </w:t>
            </w:r>
            <w:bookmarkStart w:id="15" w:name="_Toc256000116"/>
            <w:r w:rsidRPr="00581B3B">
              <w:rPr>
                <w:rFonts w:ascii="Times New Roman" w:hAnsi="Times New Roman" w:cs="Times New Roman"/>
                <w:sz w:val="18"/>
                <w:szCs w:val="18"/>
              </w:rPr>
              <w:t>Описание на общите условия, прилагани за повече от една мярка, включително и, когато е приложимо, определение на селски район, основни параметри, кръстосано съответствие, предназначение на финансовите инструменти, предназначение на авансите и общи разпоредби за инвестиции, включително разпоредбите на членове 45 и 46 от Регламент (ЕС) № 1305/2013</w:t>
            </w:r>
            <w:bookmarkEnd w:id="15"/>
          </w:p>
        </w:tc>
        <w:tc>
          <w:tcPr>
            <w:tcW w:w="2551" w:type="dxa"/>
            <w:tcBorders>
              <w:top w:val="single" w:sz="4" w:space="0" w:color="auto"/>
              <w:left w:val="single" w:sz="4" w:space="0" w:color="auto"/>
              <w:bottom w:val="single" w:sz="4" w:space="0" w:color="auto"/>
              <w:right w:val="single" w:sz="4" w:space="0" w:color="auto"/>
            </w:tcBorders>
          </w:tcPr>
          <w:p w:rsidR="009B526C" w:rsidRPr="00581B3B" w:rsidRDefault="009B526C" w:rsidP="009B526C">
            <w:pPr>
              <w:numPr>
                <w:ilvl w:val="0"/>
                <w:numId w:val="5"/>
              </w:numPr>
              <w:spacing w:after="0" w:line="240" w:lineRule="auto"/>
              <w:ind w:left="9" w:hanging="2"/>
              <w:jc w:val="both"/>
              <w:rPr>
                <w:rFonts w:ascii="Times New Roman" w:eastAsia="Calibri" w:hAnsi="Times New Roman" w:cs="Times New Roman"/>
                <w:sz w:val="18"/>
                <w:szCs w:val="18"/>
              </w:rPr>
            </w:pPr>
            <w:r w:rsidRPr="00581B3B">
              <w:rPr>
                <w:rFonts w:ascii="Times New Roman" w:eastAsia="Calibri" w:hAnsi="Times New Roman" w:cs="Times New Roman"/>
                <w:sz w:val="18"/>
                <w:szCs w:val="18"/>
              </w:rPr>
              <w:t>Капацитетът на инсталациите в проекти за производства на енергия от ВЕИ, които са обект на подпомагане не трябва да надвишават мощност от 1 мегават.</w:t>
            </w:r>
          </w:p>
          <w:p w:rsidR="009B526C" w:rsidRPr="00581B3B" w:rsidRDefault="009B526C" w:rsidP="009B526C">
            <w:pPr>
              <w:spacing w:after="0" w:line="240" w:lineRule="auto"/>
              <w:ind w:left="720"/>
              <w:jc w:val="both"/>
              <w:rPr>
                <w:rFonts w:ascii="Times New Roman" w:eastAsia="Calibri" w:hAnsi="Times New Roman"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tcPr>
          <w:p w:rsidR="009B526C" w:rsidRPr="00581B3B" w:rsidRDefault="009B526C" w:rsidP="009B526C">
            <w:pPr>
              <w:numPr>
                <w:ilvl w:val="0"/>
                <w:numId w:val="5"/>
              </w:numPr>
              <w:spacing w:after="0" w:line="240" w:lineRule="auto"/>
              <w:ind w:left="-1" w:firstLine="0"/>
              <w:jc w:val="both"/>
              <w:rPr>
                <w:rFonts w:ascii="Times New Roman" w:eastAsia="Calibri" w:hAnsi="Times New Roman" w:cs="Times New Roman"/>
                <w:sz w:val="18"/>
                <w:szCs w:val="18"/>
              </w:rPr>
            </w:pPr>
            <w:r w:rsidRPr="00581B3B">
              <w:rPr>
                <w:rFonts w:ascii="Times New Roman" w:eastAsia="Calibri" w:hAnsi="Times New Roman" w:cs="Times New Roman"/>
                <w:sz w:val="18"/>
                <w:szCs w:val="18"/>
              </w:rPr>
              <w:t xml:space="preserve">Капацитетът на инсталациите в проекти </w:t>
            </w:r>
            <w:r w:rsidRPr="00581B3B">
              <w:rPr>
                <w:rFonts w:ascii="Times New Roman" w:eastAsia="Calibri" w:hAnsi="Times New Roman" w:cs="Times New Roman"/>
                <w:color w:val="FF0000"/>
                <w:sz w:val="18"/>
                <w:szCs w:val="18"/>
              </w:rPr>
              <w:t>по мярка 4 „Инвестиции в материални активи“ и мярка 6 „Развитие на стопанства и предприятия“</w:t>
            </w:r>
            <w:r w:rsidRPr="00581B3B">
              <w:rPr>
                <w:rFonts w:ascii="Times New Roman" w:eastAsia="Calibri" w:hAnsi="Times New Roman" w:cs="Times New Roman"/>
                <w:sz w:val="18"/>
                <w:szCs w:val="18"/>
              </w:rPr>
              <w:t xml:space="preserve"> за производства на енергия от ВЕИ, които са обект на подпомагане не трябва да надвишават мощност от 1 мегават.</w:t>
            </w:r>
          </w:p>
        </w:tc>
      </w:tr>
    </w:tbl>
    <w:p w:rsidR="009B526C" w:rsidRPr="00581B3B" w:rsidRDefault="009B526C" w:rsidP="009B526C">
      <w:pPr>
        <w:spacing w:after="0" w:line="240" w:lineRule="auto"/>
        <w:jc w:val="both"/>
        <w:rPr>
          <w:rFonts w:ascii="Times New Roman" w:eastAsia="Calibri" w:hAnsi="Times New Roman" w:cs="Times New Roman"/>
          <w:sz w:val="24"/>
          <w:szCs w:val="24"/>
          <w:lang w:eastAsia="bg-BG"/>
        </w:rPr>
      </w:pPr>
    </w:p>
    <w:p w:rsidR="009B526C" w:rsidRPr="00581B3B" w:rsidRDefault="00581B3B" w:rsidP="001D683F">
      <w:pPr>
        <w:jc w:val="both"/>
        <w:rPr>
          <w:rFonts w:ascii="Times New Roman" w:hAnsi="Times New Roman" w:cs="Times New Roman"/>
          <w:sz w:val="24"/>
          <w:szCs w:val="24"/>
        </w:rPr>
      </w:pPr>
      <w:r>
        <w:rPr>
          <w:rFonts w:ascii="Times New Roman" w:hAnsi="Times New Roman" w:cs="Times New Roman"/>
          <w:sz w:val="24"/>
          <w:szCs w:val="24"/>
        </w:rPr>
        <w:lastRenderedPageBreak/>
        <w:t>9.</w:t>
      </w:r>
      <w:r w:rsidR="009B526C" w:rsidRPr="00581B3B">
        <w:rPr>
          <w:rFonts w:ascii="Times New Roman" w:hAnsi="Times New Roman" w:cs="Times New Roman"/>
          <w:sz w:val="24"/>
          <w:szCs w:val="24"/>
        </w:rPr>
        <w:t>2. Във връзка с етапа на изпълнение на ПРСР 2014-2020 г. се извършва корекция в крайният срок за изпълнение на проекти по инвестиционните мерки, както следва:</w:t>
      </w:r>
    </w:p>
    <w:p w:rsidR="009B526C" w:rsidRPr="00581B3B" w:rsidRDefault="009B526C" w:rsidP="009B526C">
      <w:pPr>
        <w:ind w:firstLine="567"/>
        <w:jc w:val="both"/>
        <w:rPr>
          <w:rFonts w:ascii="Times New Roman" w:hAnsi="Times New Roman" w:cs="Times New Roman"/>
          <w:sz w:val="24"/>
          <w:szCs w:val="24"/>
        </w:rPr>
      </w:pPr>
      <w:r w:rsidRPr="00581B3B">
        <w:rPr>
          <w:rFonts w:ascii="Times New Roman" w:hAnsi="Times New Roman" w:cs="Times New Roman"/>
          <w:sz w:val="24"/>
          <w:szCs w:val="24"/>
        </w:rPr>
        <w:t>Таблица 5.2:</w:t>
      </w:r>
    </w:p>
    <w:tbl>
      <w:tblPr>
        <w:tblStyle w:val="TableGrid"/>
        <w:tblW w:w="8788" w:type="dxa"/>
        <w:jc w:val="center"/>
        <w:tblLook w:val="04A0" w:firstRow="1" w:lastRow="0" w:firstColumn="1" w:lastColumn="0" w:noHBand="0" w:noVBand="1"/>
      </w:tblPr>
      <w:tblGrid>
        <w:gridCol w:w="2126"/>
        <w:gridCol w:w="3260"/>
        <w:gridCol w:w="3402"/>
      </w:tblGrid>
      <w:tr w:rsidR="009B526C" w:rsidRPr="00581B3B" w:rsidTr="00B75093">
        <w:trPr>
          <w:jc w:val="center"/>
        </w:trPr>
        <w:tc>
          <w:tcPr>
            <w:tcW w:w="2126" w:type="dxa"/>
            <w:shd w:val="clear" w:color="auto" w:fill="D9D9D9" w:themeFill="background1" w:themeFillShade="D9"/>
            <w:vAlign w:val="center"/>
          </w:tcPr>
          <w:p w:rsidR="009B526C" w:rsidRPr="00581B3B" w:rsidRDefault="009B526C" w:rsidP="009B526C">
            <w:pPr>
              <w:jc w:val="center"/>
              <w:rPr>
                <w:rFonts w:ascii="Times New Roman" w:eastAsia="Calibri" w:hAnsi="Times New Roman" w:cs="Times New Roman"/>
                <w:sz w:val="18"/>
                <w:szCs w:val="18"/>
                <w:lang w:eastAsia="bg-BG"/>
              </w:rPr>
            </w:pPr>
            <w:r w:rsidRPr="00581B3B">
              <w:rPr>
                <w:rFonts w:ascii="Times New Roman" w:hAnsi="Times New Roman" w:cs="Times New Roman"/>
                <w:sz w:val="18"/>
                <w:szCs w:val="18"/>
              </w:rPr>
              <w:t>Част от ПРСР, в която се прави предложение за промяна</w:t>
            </w:r>
          </w:p>
        </w:tc>
        <w:tc>
          <w:tcPr>
            <w:tcW w:w="3260" w:type="dxa"/>
            <w:shd w:val="clear" w:color="auto" w:fill="D9D9D9" w:themeFill="background1" w:themeFillShade="D9"/>
            <w:vAlign w:val="center"/>
          </w:tcPr>
          <w:p w:rsidR="009B526C" w:rsidRPr="00581B3B" w:rsidRDefault="009B526C" w:rsidP="009B526C">
            <w:pPr>
              <w:jc w:val="center"/>
              <w:rPr>
                <w:rFonts w:ascii="Times New Roman" w:eastAsia="Calibri" w:hAnsi="Times New Roman" w:cs="Times New Roman"/>
                <w:sz w:val="18"/>
                <w:szCs w:val="18"/>
                <w:lang w:eastAsia="bg-BG"/>
              </w:rPr>
            </w:pPr>
            <w:r w:rsidRPr="00581B3B">
              <w:rPr>
                <w:rFonts w:ascii="Times New Roman" w:hAnsi="Times New Roman" w:cs="Times New Roman"/>
                <w:sz w:val="18"/>
                <w:szCs w:val="18"/>
              </w:rPr>
              <w:t>Настоящ текст от Раздел 8 „Описание на избраните мерки“ от ПРСР</w:t>
            </w:r>
          </w:p>
        </w:tc>
        <w:tc>
          <w:tcPr>
            <w:tcW w:w="3402" w:type="dxa"/>
            <w:shd w:val="clear" w:color="auto" w:fill="D9D9D9" w:themeFill="background1" w:themeFillShade="D9"/>
            <w:vAlign w:val="center"/>
          </w:tcPr>
          <w:p w:rsidR="009B526C" w:rsidRPr="00581B3B" w:rsidRDefault="009B526C" w:rsidP="009B526C">
            <w:pPr>
              <w:jc w:val="center"/>
              <w:rPr>
                <w:rFonts w:ascii="Times New Roman" w:eastAsia="Calibri" w:hAnsi="Times New Roman" w:cs="Times New Roman"/>
                <w:sz w:val="18"/>
                <w:szCs w:val="18"/>
                <w:lang w:eastAsia="bg-BG"/>
              </w:rPr>
            </w:pPr>
            <w:r w:rsidRPr="00581B3B">
              <w:rPr>
                <w:rFonts w:ascii="Times New Roman" w:hAnsi="Times New Roman" w:cs="Times New Roman"/>
                <w:sz w:val="18"/>
                <w:szCs w:val="18"/>
              </w:rPr>
              <w:t>Предложение за нов текст в Раздел 8 „Описание на избраните мерки“ от ПРСР</w:t>
            </w:r>
          </w:p>
        </w:tc>
      </w:tr>
      <w:tr w:rsidR="009B526C" w:rsidRPr="00581B3B" w:rsidTr="00B75093">
        <w:trPr>
          <w:jc w:val="center"/>
        </w:trPr>
        <w:tc>
          <w:tcPr>
            <w:tcW w:w="2126" w:type="dxa"/>
            <w:vAlign w:val="center"/>
          </w:tcPr>
          <w:p w:rsidR="009B526C" w:rsidRPr="00581B3B" w:rsidRDefault="009B526C" w:rsidP="009B526C">
            <w:pPr>
              <w:spacing w:before="240" w:after="240"/>
              <w:rPr>
                <w:sz w:val="18"/>
                <w:szCs w:val="18"/>
              </w:rPr>
            </w:pPr>
            <w:r w:rsidRPr="00581B3B">
              <w:rPr>
                <w:rFonts w:ascii="Times New Roman" w:eastAsia="Times New Roman" w:hAnsi="Times New Roman" w:cs="Times New Roman"/>
                <w:bCs/>
                <w:sz w:val="18"/>
                <w:szCs w:val="18"/>
              </w:rPr>
              <w:t>Правила за допустимост на проекти за инвестиционна подкрепа</w:t>
            </w:r>
          </w:p>
          <w:p w:rsidR="009B526C" w:rsidRPr="00581B3B" w:rsidRDefault="009B526C" w:rsidP="009B526C">
            <w:pPr>
              <w:rPr>
                <w:rFonts w:ascii="Times New Roman" w:eastAsia="Calibri" w:hAnsi="Times New Roman" w:cs="Times New Roman"/>
                <w:sz w:val="18"/>
                <w:szCs w:val="18"/>
                <w:lang w:eastAsia="bg-BG"/>
              </w:rPr>
            </w:pPr>
          </w:p>
        </w:tc>
        <w:tc>
          <w:tcPr>
            <w:tcW w:w="3260" w:type="dxa"/>
          </w:tcPr>
          <w:p w:rsidR="009B526C" w:rsidRPr="00581B3B" w:rsidRDefault="009B526C" w:rsidP="009B526C">
            <w:pPr>
              <w:jc w:val="both"/>
              <w:rPr>
                <w:rFonts w:ascii="Times New Roman" w:eastAsia="Calibri" w:hAnsi="Times New Roman" w:cs="Times New Roman"/>
                <w:sz w:val="18"/>
                <w:szCs w:val="18"/>
                <w:lang w:eastAsia="bg-BG"/>
              </w:rPr>
            </w:pPr>
            <w:r w:rsidRPr="00581B3B">
              <w:rPr>
                <w:rFonts w:ascii="Times New Roman" w:eastAsia="Calibri" w:hAnsi="Times New Roman" w:cs="Times New Roman"/>
                <w:sz w:val="18"/>
                <w:szCs w:val="18"/>
                <w:lang w:eastAsia="bg-BG"/>
              </w:rPr>
              <w:t>Крайният срок за изпълнение на проекти по инвестиционните мерки е не по-късно от 1 октомври 2023 г., освен ако не е предвидено друго в насоките за кандидатстване по конкретната процедура или в европейското законодателство.</w:t>
            </w:r>
          </w:p>
          <w:p w:rsidR="009B526C" w:rsidRPr="00581B3B" w:rsidRDefault="009B526C" w:rsidP="009B526C">
            <w:pPr>
              <w:rPr>
                <w:rFonts w:ascii="Times New Roman" w:eastAsia="Calibri" w:hAnsi="Times New Roman" w:cs="Times New Roman"/>
                <w:sz w:val="18"/>
                <w:szCs w:val="18"/>
                <w:lang w:eastAsia="bg-BG"/>
              </w:rPr>
            </w:pPr>
          </w:p>
        </w:tc>
        <w:tc>
          <w:tcPr>
            <w:tcW w:w="3402" w:type="dxa"/>
          </w:tcPr>
          <w:p w:rsidR="009B526C" w:rsidRPr="00581B3B" w:rsidRDefault="009B526C" w:rsidP="009B526C">
            <w:pPr>
              <w:jc w:val="both"/>
              <w:rPr>
                <w:rFonts w:ascii="Times New Roman" w:eastAsia="Calibri" w:hAnsi="Times New Roman" w:cs="Times New Roman"/>
                <w:sz w:val="18"/>
                <w:szCs w:val="18"/>
                <w:lang w:eastAsia="bg-BG"/>
              </w:rPr>
            </w:pPr>
            <w:r w:rsidRPr="00581B3B">
              <w:rPr>
                <w:rFonts w:ascii="Times New Roman" w:eastAsia="Calibri" w:hAnsi="Times New Roman" w:cs="Times New Roman"/>
                <w:sz w:val="18"/>
                <w:szCs w:val="18"/>
                <w:lang w:eastAsia="bg-BG"/>
              </w:rPr>
              <w:t xml:space="preserve">Крайният срок за изпълнение на проекти по инвестиционните мерки е не по-късно от 1 октомври </w:t>
            </w:r>
            <w:r w:rsidRPr="00581B3B">
              <w:rPr>
                <w:rFonts w:ascii="Times New Roman" w:eastAsia="Calibri" w:hAnsi="Times New Roman" w:cs="Times New Roman"/>
                <w:color w:val="FF0000"/>
                <w:sz w:val="18"/>
                <w:szCs w:val="18"/>
                <w:lang w:eastAsia="bg-BG"/>
              </w:rPr>
              <w:t>2025 г.</w:t>
            </w:r>
            <w:r w:rsidRPr="00581B3B">
              <w:rPr>
                <w:rFonts w:ascii="Times New Roman" w:eastAsia="Calibri" w:hAnsi="Times New Roman" w:cs="Times New Roman"/>
                <w:sz w:val="18"/>
                <w:szCs w:val="18"/>
                <w:lang w:eastAsia="bg-BG"/>
              </w:rPr>
              <w:t>, освен ако не е предвидено друго в насоките за кандидатстване по конкретната процедура или в европейското законодателство.</w:t>
            </w:r>
          </w:p>
          <w:p w:rsidR="009B526C" w:rsidRPr="00581B3B" w:rsidRDefault="009B526C" w:rsidP="009B526C">
            <w:pPr>
              <w:rPr>
                <w:rFonts w:ascii="Times New Roman" w:eastAsia="Calibri" w:hAnsi="Times New Roman" w:cs="Times New Roman"/>
                <w:sz w:val="18"/>
                <w:szCs w:val="18"/>
                <w:lang w:eastAsia="bg-BG"/>
              </w:rPr>
            </w:pPr>
          </w:p>
        </w:tc>
      </w:tr>
    </w:tbl>
    <w:p w:rsidR="009B526C" w:rsidRPr="00581B3B" w:rsidRDefault="009B526C" w:rsidP="009B526C">
      <w:pPr>
        <w:spacing w:after="0" w:line="240" w:lineRule="auto"/>
        <w:rPr>
          <w:rFonts w:ascii="Times New Roman" w:eastAsia="Calibri" w:hAnsi="Times New Roman" w:cs="Times New Roman"/>
          <w:sz w:val="24"/>
          <w:szCs w:val="24"/>
          <w:lang w:eastAsia="bg-BG"/>
        </w:rPr>
      </w:pPr>
    </w:p>
    <w:p w:rsidR="00E622BC" w:rsidRPr="00C03FF4" w:rsidRDefault="00C03FF4" w:rsidP="00C03FF4">
      <w:pPr>
        <w:jc w:val="both"/>
        <w:rPr>
          <w:rFonts w:ascii="Times New Roman" w:hAnsi="Times New Roman" w:cs="Times New Roman"/>
          <w:sz w:val="24"/>
          <w:szCs w:val="24"/>
          <w:u w:val="single"/>
        </w:rPr>
      </w:pPr>
      <w:r w:rsidRPr="00C03FF4">
        <w:rPr>
          <w:rFonts w:ascii="Times New Roman" w:hAnsi="Times New Roman" w:cs="Times New Roman"/>
          <w:sz w:val="24"/>
          <w:szCs w:val="24"/>
          <w:u w:val="single"/>
          <w:lang w:val="en-GB"/>
        </w:rPr>
        <w:t>9</w:t>
      </w:r>
      <w:r w:rsidRPr="00C03FF4">
        <w:rPr>
          <w:rFonts w:ascii="Times New Roman" w:hAnsi="Times New Roman" w:cs="Times New Roman"/>
          <w:sz w:val="24"/>
          <w:szCs w:val="24"/>
          <w:u w:val="single"/>
        </w:rPr>
        <w:t>.3. Включване на текст в</w:t>
      </w:r>
      <w:r w:rsidR="00E622BC" w:rsidRPr="00C03FF4">
        <w:rPr>
          <w:rFonts w:ascii="Times New Roman" w:hAnsi="Times New Roman" w:cs="Times New Roman"/>
          <w:sz w:val="24"/>
          <w:szCs w:val="24"/>
          <w:u w:val="single"/>
        </w:rPr>
        <w:t xml:space="preserve"> </w:t>
      </w:r>
      <w:r w:rsidR="000728C6" w:rsidRPr="000728C6">
        <w:rPr>
          <w:rFonts w:ascii="Times New Roman" w:hAnsi="Times New Roman" w:cs="Times New Roman"/>
          <w:sz w:val="24"/>
          <w:szCs w:val="24"/>
          <w:u w:val="single"/>
        </w:rPr>
        <w:t>подраздел 8.1.</w:t>
      </w:r>
      <w:r w:rsidR="00E622BC" w:rsidRPr="00C03FF4">
        <w:rPr>
          <w:rFonts w:ascii="Times New Roman" w:hAnsi="Times New Roman" w:cs="Times New Roman"/>
          <w:sz w:val="24"/>
          <w:szCs w:val="24"/>
          <w:u w:val="single"/>
        </w:rPr>
        <w:t>, свързан с предвиждане на възможност за индексация на разходи по мерки и подмерки от ПРСР (2014-2020)</w:t>
      </w:r>
    </w:p>
    <w:p w:rsidR="001D683F"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 xml:space="preserve">Редица фактори в Европа в последните две години, включително икономическата криза като последствие от глобалната пандемия от COVID-SARS-2 и конфликта в Украйна, доведоха до прогресираща инфлация в цените на целия промишлен комплекс. </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В тази връзка, не може да не се спомене и един от най-засегнатите сектори от инфлацията, а именно строителството, което се формира от разходите за строителни материали, доставки и услуги. Съгласно индексите на строителна продукция, обявени на официалната страница на Националния статистически институт, индексът на инфлация за последното тримесечие на 2022 г. е 231,2 пункта спрямо 107,8 пункта за първото тримесечие на 2021 г., което показва инфлация от над 123 % за посочения период.</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Аналогично за посочения период, разходите за труд в строителството и разходите по доставки (транспорт) са се повишили с над 30 на сто, което формира още по-голям ръст на цените на крайния продукт – строителство.</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Това обстоятелство наложи предприемането на методически и регулаторни мерки на национално ниво за преодоляване на последиците от прогресивната инфлация в цените на строителна продукция, доставки и услуги с оглед обезпечаване изпълнението и завършването на възложени дейности по реда на Закона за обществени поръчки.</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По-конкретно, със Закон за изменение и допълнение на Закона за обществените поръчки се въведе нов чл. 117а (Нов - ДВ, бр. 62 от 2022 г., в сила от 05.08.2022 г.)</w:t>
      </w:r>
      <w:r w:rsidRPr="00581B3B">
        <w:rPr>
          <w:rStyle w:val="FootnoteReference"/>
          <w:rFonts w:ascii="Times New Roman" w:hAnsi="Times New Roman" w:cs="Times New Roman"/>
          <w:sz w:val="24"/>
          <w:szCs w:val="24"/>
        </w:rPr>
        <w:footnoteReference w:id="1"/>
      </w:r>
      <w:r w:rsidRPr="00581B3B">
        <w:rPr>
          <w:rFonts w:ascii="Times New Roman" w:hAnsi="Times New Roman" w:cs="Times New Roman"/>
          <w:sz w:val="24"/>
          <w:szCs w:val="24"/>
        </w:rPr>
        <w:t xml:space="preserve">, с което се дава възможност за изменение на цената на договор за обществена поръчка в резултат на инфлация, при която съществено са увеличени цените на </w:t>
      </w:r>
      <w:r w:rsidRPr="00581B3B">
        <w:rPr>
          <w:rFonts w:ascii="Times New Roman" w:hAnsi="Times New Roman" w:cs="Times New Roman"/>
          <w:sz w:val="24"/>
          <w:szCs w:val="24"/>
        </w:rPr>
        <w:lastRenderedPageBreak/>
        <w:t>основни стоки и материали, които формират стойността на договора. Съгласно разпоредбите на ал. 1 от посочения чл. 117а от ЗОП е разработена и одобрена с акт на Министерски съвет на РБ – „Методика за изменение на цената на договор за обществена поръчка в резултат на инфлация“</w:t>
      </w:r>
      <w:r w:rsidRPr="00581B3B">
        <w:rPr>
          <w:rStyle w:val="FootnoteReference"/>
          <w:rFonts w:ascii="Times New Roman" w:hAnsi="Times New Roman" w:cs="Times New Roman"/>
          <w:sz w:val="24"/>
          <w:szCs w:val="24"/>
        </w:rPr>
        <w:footnoteReference w:id="2"/>
      </w:r>
      <w:r w:rsidRPr="00581B3B">
        <w:rPr>
          <w:rFonts w:ascii="Times New Roman" w:hAnsi="Times New Roman" w:cs="Times New Roman"/>
          <w:sz w:val="24"/>
          <w:szCs w:val="24"/>
        </w:rPr>
        <w:t>.</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С посочената Методика е регламентиран начинът за изменение на цената по договори за обществени поръчки в резултат на инфлация, при която съществено са увеличени цените на основни стоки и материали, формиращи стойността на договора за строителство. При изменение на цената на договора във връзка с гореописаното, в методиката е предвидено, както прилагането на коефициент на тежест на строителните материали в себестойността на различните видове строежи, така и прилагане на индекс на цени на производител на вътрешния пазар на строителни материали за съответното тримесечие, в което са приети извършените строителни дейности.</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 xml:space="preserve">С оглед на това, че бенефициенти възложители по реда на Закона за обществените поръчки, одобрени за подпомагане по ПРСР, са за дейности основно свързани със строителство (строителство, ремонт и реконструкция) на публична инфраструктура в селските райони на страната. Одобрението на заявени разходи и сключването на административни договори с кандидати, с подготвени проектни предложения преди настъпването на инфлацията и изпълнението на дейностите по тях в периода на прогресираща инфлация, поставя под голям риск </w:t>
      </w:r>
      <w:r w:rsidRPr="00581B3B">
        <w:rPr>
          <w:rFonts w:ascii="Times New Roman" w:hAnsi="Times New Roman" w:cs="Times New Roman"/>
          <w:sz w:val="24"/>
          <w:szCs w:val="24"/>
        </w:rPr>
        <w:lastRenderedPageBreak/>
        <w:t>или в невъзможност изпълнението на одобрените дейности</w:t>
      </w:r>
      <w:r w:rsidR="0084301A">
        <w:rPr>
          <w:rFonts w:ascii="Times New Roman" w:hAnsi="Times New Roman" w:cs="Times New Roman"/>
          <w:sz w:val="24"/>
          <w:szCs w:val="24"/>
        </w:rPr>
        <w:t>,</w:t>
      </w:r>
      <w:r w:rsidRPr="00581B3B">
        <w:rPr>
          <w:rFonts w:ascii="Times New Roman" w:hAnsi="Times New Roman" w:cs="Times New Roman"/>
          <w:sz w:val="24"/>
          <w:szCs w:val="24"/>
        </w:rPr>
        <w:t xml:space="preserve"> свързани със строителство, ремонт или реконструкция на публична инфраструктура.</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Към настоящия момент в риск или в невъзможност за изпълнение са над 300 договора с кандидати възложители по ЗОП (основно общини) с обща стойност на одобрените разходи в размер на малко над 83 млн. евро.</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В тази връзка, е предвидено по ПРСР да бъдат взети мерки за преодоляване на последиците от прогресивната инфлация в цените на строителна продукция, засегнала най-съществено инвестиции</w:t>
      </w:r>
      <w:r w:rsidR="00F76C2A">
        <w:rPr>
          <w:rFonts w:ascii="Times New Roman" w:hAnsi="Times New Roman" w:cs="Times New Roman"/>
          <w:sz w:val="24"/>
          <w:szCs w:val="24"/>
        </w:rPr>
        <w:t>,</w:t>
      </w:r>
      <w:r w:rsidRPr="00581B3B">
        <w:rPr>
          <w:rFonts w:ascii="Times New Roman" w:hAnsi="Times New Roman" w:cs="Times New Roman"/>
          <w:sz w:val="24"/>
          <w:szCs w:val="24"/>
        </w:rPr>
        <w:t xml:space="preserve"> свързани със строителни дейности, чрез индексация на вече одобрени разходи по проектни предложения засегнати от инфлацията.</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 xml:space="preserve">За предвиденото индексиране на разходи по одобрени проектни предложения в процес на изпълнение на административните си договори е разработен Проект на </w:t>
      </w:r>
      <w:r w:rsidRPr="00581B3B">
        <w:rPr>
          <w:rFonts w:ascii="Times New Roman" w:hAnsi="Times New Roman" w:cs="Times New Roman"/>
          <w:i/>
          <w:sz w:val="24"/>
          <w:szCs w:val="24"/>
        </w:rPr>
        <w:t>„Указания относно възможностите за увеличение размера на безвъзмездна финансова помощ по Програмата за развитие на селските райони 2014-2020 г. на основание индексиране на разходите по договори, сключени при условията на закона за обществените поръчки, при инфлационни процеси“</w:t>
      </w:r>
      <w:r w:rsidRPr="00581B3B">
        <w:rPr>
          <w:rFonts w:ascii="Times New Roman" w:hAnsi="Times New Roman" w:cs="Times New Roman"/>
          <w:sz w:val="24"/>
          <w:szCs w:val="24"/>
        </w:rPr>
        <w:t>. Същите са съобразно разписаните правила в ПРСР и в съответствие с националната методика, одобрена с акт на Министерския съвет.</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 xml:space="preserve">Разписаните в методиката механизми за индексация, описани по-горе, ще гарантират обективно и справедливо третиране на всички кандидати, като в същото време ще се гарантира индивидуален подход за всеки един кандидат. За тази цел всеки разход или етап от извършване на разхода, индивидуално за всеки проект, ще бъде обследван в кой период е извършен и към кой тип строителство попада, и в тази връзка ще бъде </w:t>
      </w:r>
      <w:r w:rsidRPr="00581B3B">
        <w:rPr>
          <w:rFonts w:ascii="Times New Roman" w:hAnsi="Times New Roman" w:cs="Times New Roman"/>
          <w:sz w:val="24"/>
          <w:szCs w:val="24"/>
        </w:rPr>
        <w:lastRenderedPageBreak/>
        <w:t>индексиран със съответния коефициент на тежест за вида строеж и индекс на цени на материали с инфлацията за съответното тримесечие, в което е приет разхода.</w:t>
      </w:r>
    </w:p>
    <w:p w:rsidR="00E87702" w:rsidRPr="00581B3B" w:rsidRDefault="00E87702" w:rsidP="000728C6">
      <w:pPr>
        <w:jc w:val="both"/>
        <w:rPr>
          <w:rFonts w:ascii="Times New Roman" w:hAnsi="Times New Roman" w:cs="Times New Roman"/>
          <w:sz w:val="24"/>
          <w:szCs w:val="24"/>
        </w:rPr>
      </w:pPr>
      <w:r w:rsidRPr="00581B3B">
        <w:rPr>
          <w:rFonts w:ascii="Times New Roman" w:hAnsi="Times New Roman" w:cs="Times New Roman"/>
          <w:sz w:val="24"/>
          <w:szCs w:val="24"/>
        </w:rPr>
        <w:t>За целите на прилагане на индексацията за проекти по ПРСР ще се съпоставят данни, по отношение на наличните остатъчни средства от прилаганите мерки и подмерки по ПРСР за периода 2014-2020, спрямо общия</w:t>
      </w:r>
      <w:r w:rsidR="005D4B17">
        <w:rPr>
          <w:rFonts w:ascii="Times New Roman" w:hAnsi="Times New Roman" w:cs="Times New Roman"/>
          <w:sz w:val="24"/>
          <w:szCs w:val="24"/>
        </w:rPr>
        <w:t>т</w:t>
      </w:r>
      <w:r w:rsidRPr="00581B3B">
        <w:rPr>
          <w:rFonts w:ascii="Times New Roman" w:hAnsi="Times New Roman" w:cs="Times New Roman"/>
          <w:sz w:val="24"/>
          <w:szCs w:val="24"/>
        </w:rPr>
        <w:t xml:space="preserve"> размер на ангажирания бюджет по сключени договор за предоставяне на безвъзмездна финансова помощ, по които не са разплатени средства от страна на Разплащателна агенция, с оглед на това да бъде определен максимален процент, с който да могат да се индексират разходи.</w:t>
      </w:r>
    </w:p>
    <w:p w:rsidR="00C03FF4" w:rsidRDefault="00E622BC" w:rsidP="00B35E6D">
      <w:pPr>
        <w:pStyle w:val="Heading2"/>
        <w:numPr>
          <w:ilvl w:val="0"/>
          <w:numId w:val="0"/>
        </w:numPr>
      </w:pPr>
      <w:bookmarkStart w:id="16" w:name="_Toc130370320"/>
      <w:r w:rsidRPr="00581B3B">
        <w:t>II</w:t>
      </w:r>
      <w:r w:rsidR="009425E5" w:rsidRPr="00581B3B">
        <w:t xml:space="preserve">. </w:t>
      </w:r>
      <w:r w:rsidRPr="00581B3B">
        <w:t>Прехвърляне на средства между мeрки, подмерки и фокус области от ПРСР (2014-2020)</w:t>
      </w:r>
      <w:bookmarkEnd w:id="16"/>
    </w:p>
    <w:p w:rsidR="00AC20FB" w:rsidRPr="00C03FF4" w:rsidRDefault="00AC20FB" w:rsidP="00B35E6D">
      <w:pPr>
        <w:pStyle w:val="Heading2"/>
      </w:pPr>
      <w:bookmarkStart w:id="17" w:name="_Toc130370321"/>
      <w:r w:rsidRPr="00C03FF4">
        <w:t xml:space="preserve">Прехвърляне на средства между </w:t>
      </w:r>
      <w:r w:rsidR="00362338" w:rsidRPr="00C03FF4">
        <w:t>мeрки</w:t>
      </w:r>
      <w:r w:rsidRPr="00C03FF4">
        <w:t xml:space="preserve"> и подмерки от ПРСР 2014-2020 г.</w:t>
      </w:r>
      <w:bookmarkEnd w:id="17"/>
    </w:p>
    <w:p w:rsidR="0081075B" w:rsidRPr="00581B3B" w:rsidRDefault="0081075B" w:rsidP="00362338">
      <w:pPr>
        <w:jc w:val="both"/>
        <w:rPr>
          <w:rFonts w:ascii="Times New Roman" w:hAnsi="Times New Roman" w:cs="Times New Roman"/>
          <w:sz w:val="24"/>
          <w:szCs w:val="24"/>
        </w:rPr>
      </w:pPr>
      <w:r w:rsidRPr="00581B3B">
        <w:rPr>
          <w:rFonts w:ascii="Times New Roman" w:hAnsi="Times New Roman" w:cs="Times New Roman"/>
          <w:sz w:val="24"/>
          <w:szCs w:val="24"/>
        </w:rPr>
        <w:t>С текущото, шес</w:t>
      </w:r>
      <w:r w:rsidR="005302EB" w:rsidRPr="00581B3B">
        <w:rPr>
          <w:rFonts w:ascii="Times New Roman" w:hAnsi="Times New Roman" w:cs="Times New Roman"/>
          <w:sz w:val="24"/>
          <w:szCs w:val="24"/>
        </w:rPr>
        <w:t>т</w:t>
      </w:r>
      <w:r w:rsidRPr="00581B3B">
        <w:rPr>
          <w:rFonts w:ascii="Times New Roman" w:hAnsi="Times New Roman" w:cs="Times New Roman"/>
          <w:sz w:val="24"/>
          <w:szCs w:val="24"/>
        </w:rPr>
        <w:t>надесето изменение на ПРСР 2014-2020</w:t>
      </w:r>
      <w:r w:rsidR="00362338" w:rsidRPr="00581B3B">
        <w:rPr>
          <w:rFonts w:ascii="Times New Roman" w:hAnsi="Times New Roman" w:cs="Times New Roman"/>
          <w:sz w:val="24"/>
          <w:szCs w:val="24"/>
        </w:rPr>
        <w:t xml:space="preserve"> г.</w:t>
      </w:r>
      <w:r w:rsidRPr="00581B3B">
        <w:rPr>
          <w:rFonts w:ascii="Times New Roman" w:hAnsi="Times New Roman" w:cs="Times New Roman"/>
          <w:sz w:val="24"/>
          <w:szCs w:val="24"/>
        </w:rPr>
        <w:t>, освен промени в дизайна на Програмата, се предлага и прехвърляне на остатъчни средства</w:t>
      </w:r>
      <w:r w:rsidR="00A14E06" w:rsidRPr="00581B3B">
        <w:rPr>
          <w:rFonts w:ascii="Times New Roman" w:hAnsi="Times New Roman" w:cs="Times New Roman"/>
          <w:sz w:val="24"/>
          <w:szCs w:val="24"/>
        </w:rPr>
        <w:t xml:space="preserve"> </w:t>
      </w:r>
      <w:r w:rsidRPr="00581B3B">
        <w:rPr>
          <w:rFonts w:ascii="Times New Roman" w:hAnsi="Times New Roman" w:cs="Times New Roman"/>
          <w:sz w:val="24"/>
          <w:szCs w:val="24"/>
        </w:rPr>
        <w:t>между мерки и подмерки на ПРСР 2014-2020, както следва:</w:t>
      </w:r>
    </w:p>
    <w:p w:rsidR="005302EB" w:rsidRPr="00581B3B" w:rsidRDefault="005302EB" w:rsidP="00CD4ACA">
      <w:pPr>
        <w:ind w:firstLine="567"/>
        <w:jc w:val="both"/>
        <w:rPr>
          <w:rFonts w:ascii="Times New Roman" w:hAnsi="Times New Roman" w:cs="Times New Roman"/>
          <w:sz w:val="24"/>
          <w:szCs w:val="24"/>
        </w:rPr>
      </w:pPr>
      <w:r w:rsidRPr="00581B3B">
        <w:rPr>
          <w:rFonts w:ascii="Times New Roman" w:hAnsi="Times New Roman" w:cs="Times New Roman"/>
          <w:sz w:val="24"/>
          <w:szCs w:val="24"/>
        </w:rPr>
        <w:t xml:space="preserve">Таблица </w:t>
      </w:r>
      <w:r w:rsidR="007616BE" w:rsidRPr="00581B3B">
        <w:rPr>
          <w:rFonts w:ascii="Times New Roman" w:hAnsi="Times New Roman" w:cs="Times New Roman"/>
          <w:sz w:val="24"/>
          <w:szCs w:val="24"/>
        </w:rPr>
        <w:t>6</w:t>
      </w:r>
      <w:r w:rsidRPr="00581B3B">
        <w:rPr>
          <w:rFonts w:ascii="Times New Roman" w:hAnsi="Times New Roman" w:cs="Times New Roman"/>
          <w:sz w:val="24"/>
          <w:szCs w:val="24"/>
        </w:rPr>
        <w:t>:</w:t>
      </w:r>
    </w:p>
    <w:tbl>
      <w:tblPr>
        <w:tblW w:w="563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0"/>
        <w:gridCol w:w="1163"/>
        <w:gridCol w:w="1017"/>
        <w:gridCol w:w="1015"/>
        <w:gridCol w:w="1017"/>
        <w:gridCol w:w="1017"/>
        <w:gridCol w:w="1163"/>
      </w:tblGrid>
      <w:tr w:rsidR="00A53BD1" w:rsidRPr="00581B3B" w:rsidTr="006129A2">
        <w:trPr>
          <w:trHeight w:val="1434"/>
        </w:trPr>
        <w:tc>
          <w:tcPr>
            <w:tcW w:w="1945"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Предложение за прехвърляне на средства между мерки/подмерки от ПРСР 2014-2020</w:t>
            </w:r>
          </w:p>
        </w:tc>
        <w:tc>
          <w:tcPr>
            <w:tcW w:w="556"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xml:space="preserve">Текущ индикативен бюджет, евро </w:t>
            </w:r>
            <w:r w:rsidRPr="00581B3B">
              <w:rPr>
                <w:rFonts w:ascii="Times New Roman" w:eastAsia="Times New Roman" w:hAnsi="Times New Roman" w:cs="Times New Roman"/>
                <w:color w:val="FF0000"/>
                <w:sz w:val="14"/>
                <w:szCs w:val="14"/>
              </w:rPr>
              <w:t>публични средства</w:t>
            </w:r>
            <w:r w:rsidRPr="00581B3B">
              <w:rPr>
                <w:rFonts w:ascii="Times New Roman" w:eastAsia="Times New Roman" w:hAnsi="Times New Roman" w:cs="Times New Roman"/>
                <w:color w:val="000000"/>
                <w:sz w:val="14"/>
                <w:szCs w:val="14"/>
              </w:rPr>
              <w:t xml:space="preserve"> (15то изменение)</w:t>
            </w:r>
          </w:p>
        </w:tc>
        <w:tc>
          <w:tcPr>
            <w:tcW w:w="486"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Преразпределяне вътре в подмерки, евро ЕЗФРСР</w:t>
            </w:r>
          </w:p>
        </w:tc>
        <w:tc>
          <w:tcPr>
            <w:tcW w:w="485"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Преразпределяне вътре в подмерки, евро публични средства</w:t>
            </w:r>
          </w:p>
        </w:tc>
        <w:tc>
          <w:tcPr>
            <w:tcW w:w="486"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Предложение за извеждане/добавяне евро ЕЗФРСР</w:t>
            </w:r>
          </w:p>
        </w:tc>
        <w:tc>
          <w:tcPr>
            <w:tcW w:w="486"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Предложение за извеждане/добавяне, евро публични средства</w:t>
            </w:r>
          </w:p>
        </w:tc>
        <w:tc>
          <w:tcPr>
            <w:tcW w:w="556" w:type="pct"/>
            <w:shd w:val="clear" w:color="000000" w:fill="E2EFDA"/>
            <w:vAlign w:val="center"/>
            <w:hideMark/>
          </w:tcPr>
          <w:p w:rsidR="00A53BD1" w:rsidRPr="00581B3B" w:rsidRDefault="00A53BD1" w:rsidP="006129A2">
            <w:pPr>
              <w:spacing w:after="0" w:line="240" w:lineRule="auto"/>
              <w:jc w:val="center"/>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xml:space="preserve">Oбщо индикативен бюджет на подмерките, </w:t>
            </w:r>
            <w:r w:rsidRPr="00581B3B">
              <w:rPr>
                <w:rFonts w:ascii="Times New Roman" w:eastAsia="Times New Roman" w:hAnsi="Times New Roman" w:cs="Times New Roman"/>
                <w:color w:val="FF0000"/>
                <w:sz w:val="14"/>
                <w:szCs w:val="14"/>
              </w:rPr>
              <w:t xml:space="preserve">публични средства </w:t>
            </w:r>
            <w:r w:rsidRPr="00581B3B">
              <w:rPr>
                <w:rFonts w:ascii="Times New Roman" w:eastAsia="Times New Roman" w:hAnsi="Times New Roman" w:cs="Times New Roman"/>
                <w:color w:val="000000"/>
                <w:sz w:val="14"/>
                <w:szCs w:val="14"/>
              </w:rPr>
              <w:t xml:space="preserve"> - след добавяне</w:t>
            </w:r>
          </w:p>
        </w:tc>
      </w:tr>
      <w:tr w:rsidR="00A53BD1" w:rsidRPr="00581B3B" w:rsidTr="006129A2">
        <w:trPr>
          <w:trHeight w:val="179"/>
        </w:trPr>
        <w:tc>
          <w:tcPr>
            <w:tcW w:w="5000" w:type="pct"/>
            <w:gridSpan w:val="7"/>
            <w:shd w:val="clear" w:color="000000" w:fill="DDEBF7"/>
            <w:vAlign w:val="bottom"/>
            <w:hideMark/>
          </w:tcPr>
          <w:p w:rsidR="00A53BD1" w:rsidRPr="00581B3B" w:rsidRDefault="00A53BD1" w:rsidP="006129A2">
            <w:pPr>
              <w:spacing w:after="0" w:line="240" w:lineRule="auto"/>
              <w:jc w:val="center"/>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I. Извеждане на средства</w:t>
            </w:r>
          </w:p>
        </w:tc>
      </w:tr>
      <w:tr w:rsidR="00A53BD1" w:rsidRPr="00581B3B" w:rsidTr="006129A2">
        <w:trPr>
          <w:trHeight w:val="97"/>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 Трансфер на знания и действия за осведомяване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23 000 000</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-13 330 000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-14 811 111</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8 188 889</w:t>
            </w:r>
          </w:p>
        </w:tc>
      </w:tr>
      <w:tr w:rsidR="00A53BD1" w:rsidRPr="00581B3B" w:rsidTr="006129A2">
        <w:trPr>
          <w:trHeight w:val="233"/>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1.1. Професионално обучение и придобиване на умения</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8 000 000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-2 300 000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-2 555 556</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5 444 444</w:t>
            </w:r>
          </w:p>
        </w:tc>
      </w:tr>
      <w:tr w:rsidR="00A53BD1" w:rsidRPr="00581B3B" w:rsidTr="006129A2">
        <w:trPr>
          <w:trHeight w:val="185"/>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1.2. Демонстрационни дейности и действия по осведомяване</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15 000 000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-11 030 000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-12 255 556</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2 744 444</w:t>
            </w:r>
          </w:p>
        </w:tc>
      </w:tr>
      <w:tr w:rsidR="00A53BD1" w:rsidRPr="00581B3B" w:rsidTr="006129A2">
        <w:trPr>
          <w:trHeight w:val="64"/>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6.1 Стартова помощ за млади земеделски стопани</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107 713 021</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-11 300 000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-12 555 556</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95 157 466</w:t>
            </w:r>
          </w:p>
        </w:tc>
      </w:tr>
      <w:tr w:rsidR="00A53BD1" w:rsidRPr="00581B3B" w:rsidTr="006129A2">
        <w:trPr>
          <w:trHeight w:val="221"/>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6.3 „Стартова помощ за развитието на малки стопанства“(ТПП)</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83 945 294</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-2 800 000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-3 294 118</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80 651 176</w:t>
            </w:r>
          </w:p>
        </w:tc>
      </w:tr>
      <w:tr w:rsidR="00A53BD1" w:rsidRPr="00581B3B" w:rsidTr="006129A2">
        <w:trPr>
          <w:trHeight w:val="269"/>
        </w:trPr>
        <w:tc>
          <w:tcPr>
            <w:tcW w:w="1945" w:type="pct"/>
            <w:shd w:val="clear" w:color="000000" w:fill="EDEDED"/>
            <w:vAlign w:val="bottom"/>
            <w:hideMark/>
          </w:tcPr>
          <w:p w:rsidR="00A53BD1" w:rsidRPr="00581B3B" w:rsidRDefault="00A53BD1" w:rsidP="00A53BD1">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6.4.1 Инвестиционна подкрепа за неземеделски дейности</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72 798 654</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-11 100 000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-13 058 824</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59 739 831</w:t>
            </w:r>
          </w:p>
        </w:tc>
      </w:tr>
      <w:tr w:rsidR="00A53BD1" w:rsidRPr="00581B3B" w:rsidTr="006129A2">
        <w:trPr>
          <w:trHeight w:val="290"/>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6.4.2 Инвестиции в подкрепа на неземеделски дейности по Тематичната подпрограма за развитието на малки стопанства(ТПП)</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5 257 548</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-4 468 916</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-5 257 548</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0</w:t>
            </w:r>
          </w:p>
        </w:tc>
      </w:tr>
      <w:tr w:rsidR="00A53BD1" w:rsidRPr="00581B3B" w:rsidTr="006129A2">
        <w:trPr>
          <w:trHeight w:val="319"/>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lastRenderedPageBreak/>
              <w:t>Подмярка 7.3. Широколентова инфраструктура, включително нейното създаване, подобрение и разширяване.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42 000 000</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-35 700 000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-42 000 000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0</w:t>
            </w:r>
          </w:p>
        </w:tc>
      </w:tr>
      <w:tr w:rsidR="00A53BD1" w:rsidRPr="00581B3B" w:rsidTr="006129A2">
        <w:trPr>
          <w:trHeight w:val="109"/>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8.1. Залесяване и поддръжка</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1 631 112</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-640 000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-853 333</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777 779</w:t>
            </w:r>
          </w:p>
        </w:tc>
      </w:tr>
      <w:tr w:rsidR="00A53BD1" w:rsidRPr="00581B3B" w:rsidTr="006129A2">
        <w:trPr>
          <w:trHeight w:val="183"/>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xml:space="preserve">Подмярка 8.3. Предотвратяване на щети  </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20 474 302</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-3 130 000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-3 682 353</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16 791 949</w:t>
            </w:r>
          </w:p>
        </w:tc>
      </w:tr>
      <w:tr w:rsidR="00A53BD1" w:rsidRPr="00581B3B" w:rsidTr="006129A2">
        <w:trPr>
          <w:trHeight w:val="270"/>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8.6. Инвестиции в преработката, мобилизирането и търговията на горски продукти</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18 500 000</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-1 050 000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-1 235 294</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17 264 706</w:t>
            </w:r>
          </w:p>
        </w:tc>
      </w:tr>
      <w:tr w:rsidR="00A53BD1" w:rsidRPr="00581B3B" w:rsidTr="006129A2">
        <w:trPr>
          <w:trHeight w:val="177"/>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9 Учредяване на групи и организации на производителите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9 316 503</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-2 500 000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-2 777 778</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6 538 725</w:t>
            </w:r>
          </w:p>
        </w:tc>
      </w:tr>
      <w:tr w:rsidR="00A53BD1" w:rsidRPr="00581B3B" w:rsidTr="006129A2">
        <w:trPr>
          <w:trHeight w:val="225"/>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10  Агроекология и климат</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282 384 616</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-7 000 000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-9 333 333</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273 051 283</w:t>
            </w:r>
          </w:p>
        </w:tc>
      </w:tr>
      <w:tr w:rsidR="00A53BD1" w:rsidRPr="00581B3B" w:rsidTr="006129A2">
        <w:trPr>
          <w:trHeight w:val="64"/>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11 Биологично земеделие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233 943 439</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-15 000 000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-20 000 000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213 943 439</w:t>
            </w:r>
          </w:p>
        </w:tc>
      </w:tr>
      <w:tr w:rsidR="00A53BD1" w:rsidRPr="00581B3B" w:rsidTr="006129A2">
        <w:trPr>
          <w:trHeight w:val="373"/>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12  Плащания по „Натура-2000” и Рамковата директива  за водите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204 676 037</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-4 800 000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-6 400 000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198 276 037</w:t>
            </w:r>
          </w:p>
        </w:tc>
      </w:tr>
      <w:tr w:rsidR="00A53BD1" w:rsidRPr="00581B3B" w:rsidTr="006129A2">
        <w:trPr>
          <w:trHeight w:val="183"/>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14  Хуманно отношение към животните</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24 802 125</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-2 100 000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-2 470 588</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22 331 536</w:t>
            </w:r>
          </w:p>
        </w:tc>
      </w:tr>
      <w:tr w:rsidR="00A53BD1" w:rsidRPr="00581B3B" w:rsidTr="006129A2">
        <w:trPr>
          <w:trHeight w:val="243"/>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16  Сътрудничество</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28 000 000</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-13 488 000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-14 986 667</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13 013 333</w:t>
            </w:r>
          </w:p>
        </w:tc>
      </w:tr>
      <w:tr w:rsidR="00A53BD1" w:rsidRPr="00581B3B" w:rsidTr="006129A2">
        <w:trPr>
          <w:trHeight w:val="147"/>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16.1. Оперативни групи в рамките на ЕПИ.</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26 680 000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-12 549 000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-13 943 333</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12 736 667</w:t>
            </w:r>
          </w:p>
        </w:tc>
      </w:tr>
      <w:tr w:rsidR="00A53BD1" w:rsidRPr="00581B3B" w:rsidTr="006129A2">
        <w:trPr>
          <w:trHeight w:val="64"/>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16.4. Сътрудничество между участниците във веригата на доставки.</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1 320 000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-939 000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-1 043 333</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276 667</w:t>
            </w:r>
          </w:p>
        </w:tc>
      </w:tr>
      <w:tr w:rsidR="00A53BD1" w:rsidRPr="00581B3B" w:rsidTr="006129A2">
        <w:trPr>
          <w:trHeight w:val="335"/>
        </w:trPr>
        <w:tc>
          <w:tcPr>
            <w:tcW w:w="1945" w:type="pct"/>
            <w:shd w:val="clear" w:color="000000" w:fill="DDEBF7"/>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Общо изведени средства (без преразпределението вътре в подмерки)</w:t>
            </w:r>
          </w:p>
        </w:tc>
        <w:tc>
          <w:tcPr>
            <w:tcW w:w="55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xml:space="preserve"> </w:t>
            </w:r>
          </w:p>
        </w:tc>
        <w:tc>
          <w:tcPr>
            <w:tcW w:w="48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w:t>
            </w:r>
          </w:p>
        </w:tc>
        <w:tc>
          <w:tcPr>
            <w:tcW w:w="485"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-128 406 916</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-152 716 502</w:t>
            </w:r>
          </w:p>
        </w:tc>
        <w:tc>
          <w:tcPr>
            <w:tcW w:w="55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FF0000"/>
                <w:sz w:val="14"/>
                <w:szCs w:val="14"/>
              </w:rPr>
            </w:pPr>
            <w:r w:rsidRPr="00581B3B">
              <w:rPr>
                <w:rFonts w:ascii="Times New Roman" w:eastAsia="Times New Roman" w:hAnsi="Times New Roman" w:cs="Times New Roman"/>
                <w:b/>
                <w:bCs/>
                <w:color w:val="FF0000"/>
                <w:sz w:val="14"/>
                <w:szCs w:val="14"/>
              </w:rPr>
              <w:t> </w:t>
            </w:r>
          </w:p>
        </w:tc>
      </w:tr>
      <w:tr w:rsidR="00A53BD1" w:rsidRPr="00581B3B" w:rsidTr="006129A2">
        <w:trPr>
          <w:trHeight w:val="242"/>
        </w:trPr>
        <w:tc>
          <w:tcPr>
            <w:tcW w:w="5000" w:type="pct"/>
            <w:gridSpan w:val="7"/>
            <w:shd w:val="clear" w:color="000000" w:fill="DDEBF7"/>
            <w:vAlign w:val="bottom"/>
            <w:hideMark/>
          </w:tcPr>
          <w:p w:rsidR="00A53BD1" w:rsidRPr="00581B3B" w:rsidRDefault="00A53BD1" w:rsidP="006129A2">
            <w:pPr>
              <w:spacing w:after="0" w:line="240" w:lineRule="auto"/>
              <w:jc w:val="center"/>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II.  Добавяне на средства</w:t>
            </w:r>
          </w:p>
        </w:tc>
      </w:tr>
      <w:tr w:rsidR="00A53BD1" w:rsidRPr="00581B3B" w:rsidTr="006129A2">
        <w:trPr>
          <w:trHeight w:val="131"/>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4.2 Инвестиции в преработка/маркетинг на селскостопански продукти</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507 586 273</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15 000 000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20 000 000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527 586 273</w:t>
            </w:r>
          </w:p>
        </w:tc>
      </w:tr>
      <w:tr w:rsidR="00A53BD1" w:rsidRPr="00581B3B" w:rsidTr="006129A2">
        <w:trPr>
          <w:trHeight w:val="271"/>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Създаването, подобряването или разширяването на малка по мащаби инфраструктура.</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620 295 322</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104 906 916</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123 419 901</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743 715 223</w:t>
            </w:r>
          </w:p>
        </w:tc>
      </w:tr>
      <w:tr w:rsidR="00A53BD1" w:rsidRPr="00581B3B" w:rsidTr="006129A2">
        <w:trPr>
          <w:trHeight w:val="414"/>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xml:space="preserve">Подмярка 7.2. Инвестиции в създаването, подобряването или разширяването на всички видове малка по мащаби инфраструктура - за Решение МС № 437 от 5 юли 2022 </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70 928 921</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83 445 789</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 </w:t>
            </w:r>
          </w:p>
        </w:tc>
      </w:tr>
      <w:tr w:rsidR="00A53BD1" w:rsidRPr="00581B3B" w:rsidTr="006129A2">
        <w:trPr>
          <w:trHeight w:val="498"/>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Инвестиции в създаването, подобряването или разширяването на всички видове малка по мащаби инфраструктура - за наводнения и индексация</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14 450 000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17 000 000</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 </w:t>
            </w:r>
          </w:p>
        </w:tc>
      </w:tr>
      <w:tr w:rsidR="00A53BD1" w:rsidRPr="00581B3B" w:rsidTr="006129A2">
        <w:trPr>
          <w:trHeight w:val="337"/>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Инвестиции в създаването, подобряването или разширяването на всички видове малка по мащаби инфраструктура - за увеличение приема от 150 млн. Е</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19 527 995</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22 974 112</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 </w:t>
            </w:r>
          </w:p>
        </w:tc>
      </w:tr>
      <w:tr w:rsidR="00A53BD1" w:rsidRPr="00581B3B" w:rsidTr="006129A2">
        <w:trPr>
          <w:trHeight w:val="163"/>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20 - Техническа помощ</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55 477 734</w:t>
            </w:r>
          </w:p>
        </w:tc>
        <w:tc>
          <w:tcPr>
            <w:tcW w:w="486"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5" w:type="pct"/>
            <w:shd w:val="clear" w:color="000000" w:fill="EDEDED"/>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8 500 000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10 000 000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65 477 734</w:t>
            </w:r>
          </w:p>
        </w:tc>
      </w:tr>
      <w:tr w:rsidR="00A53BD1" w:rsidRPr="00581B3B" w:rsidTr="006129A2">
        <w:trPr>
          <w:trHeight w:val="110"/>
        </w:trPr>
        <w:tc>
          <w:tcPr>
            <w:tcW w:w="1945" w:type="pct"/>
            <w:shd w:val="clear" w:color="000000" w:fill="DDEBF7"/>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Общо добавени средства (без преразпределението вътре в подмерки)</w:t>
            </w:r>
          </w:p>
        </w:tc>
        <w:tc>
          <w:tcPr>
            <w:tcW w:w="55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w:t>
            </w:r>
          </w:p>
        </w:tc>
        <w:tc>
          <w:tcPr>
            <w:tcW w:w="48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w:t>
            </w:r>
          </w:p>
        </w:tc>
        <w:tc>
          <w:tcPr>
            <w:tcW w:w="485"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 </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128 406 916</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153 419 901</w:t>
            </w:r>
          </w:p>
        </w:tc>
        <w:tc>
          <w:tcPr>
            <w:tcW w:w="55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FF0000"/>
                <w:sz w:val="14"/>
                <w:szCs w:val="14"/>
              </w:rPr>
            </w:pPr>
            <w:r w:rsidRPr="00581B3B">
              <w:rPr>
                <w:rFonts w:ascii="Times New Roman" w:eastAsia="Times New Roman" w:hAnsi="Times New Roman" w:cs="Times New Roman"/>
                <w:b/>
                <w:bCs/>
                <w:color w:val="FF0000"/>
                <w:sz w:val="14"/>
                <w:szCs w:val="14"/>
              </w:rPr>
              <w:t> </w:t>
            </w:r>
          </w:p>
        </w:tc>
      </w:tr>
      <w:tr w:rsidR="00A53BD1" w:rsidRPr="00581B3B" w:rsidTr="006129A2">
        <w:trPr>
          <w:trHeight w:val="64"/>
        </w:trPr>
        <w:tc>
          <w:tcPr>
            <w:tcW w:w="5000" w:type="pct"/>
            <w:gridSpan w:val="7"/>
            <w:shd w:val="clear" w:color="000000" w:fill="DDEBF7"/>
            <w:vAlign w:val="bottom"/>
            <w:hideMark/>
          </w:tcPr>
          <w:p w:rsidR="00A53BD1" w:rsidRPr="00581B3B" w:rsidRDefault="00A53BD1" w:rsidP="006129A2">
            <w:pPr>
              <w:spacing w:after="0" w:line="240" w:lineRule="auto"/>
              <w:jc w:val="center"/>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III.  Преразпределяне вътре в подмерки, между фокус области</w:t>
            </w:r>
          </w:p>
        </w:tc>
      </w:tr>
      <w:tr w:rsidR="00A53BD1" w:rsidRPr="00581B3B" w:rsidTr="006129A2">
        <w:trPr>
          <w:trHeight w:val="245"/>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Мярка 2 Консултантски услуги,управление на стопанството и услуги по заместване в стопанството</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20 828 609</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5"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20 828 609</w:t>
            </w:r>
          </w:p>
        </w:tc>
      </w:tr>
      <w:tr w:rsidR="00A53BD1" w:rsidRPr="00581B3B" w:rsidTr="006129A2">
        <w:trPr>
          <w:trHeight w:val="253"/>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2.1.1. Консултантски услуги за земеделски и горски стопани</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3 254 532</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-535 102</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-629 532</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2 625 000</w:t>
            </w:r>
          </w:p>
        </w:tc>
      </w:tr>
      <w:tr w:rsidR="00A53BD1" w:rsidRPr="00581B3B" w:rsidTr="006129A2">
        <w:trPr>
          <w:trHeight w:val="159"/>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2.1.2 Консултантски услуги за малки земеделски стопани(TПП)</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11 574 078</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1 109 978</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1 305 857</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12 879 935</w:t>
            </w:r>
          </w:p>
        </w:tc>
      </w:tr>
      <w:tr w:rsidR="00A53BD1" w:rsidRPr="00581B3B" w:rsidTr="006129A2">
        <w:trPr>
          <w:trHeight w:val="169"/>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2.2 Създаване на консултантски услуги(ТПП)</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6 000 000</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-574 877</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-676 326</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5 323 674</w:t>
            </w:r>
          </w:p>
        </w:tc>
      </w:tr>
      <w:tr w:rsidR="00A53BD1" w:rsidRPr="00581B3B" w:rsidTr="006129A2">
        <w:trPr>
          <w:trHeight w:val="231"/>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4.1 Инвестиции в земеделски стопанства</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632 757 453</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5"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-4 274 967</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628 482 486</w:t>
            </w:r>
          </w:p>
        </w:tc>
      </w:tr>
      <w:tr w:rsidR="00A53BD1" w:rsidRPr="00581B3B" w:rsidTr="006129A2">
        <w:trPr>
          <w:trHeight w:val="204"/>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Извеждане в рамките на подмярка 4.1 от ФО 2Б,5Б</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-63 152 193</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-74 177 997</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xml:space="preserve"> </w:t>
            </w:r>
          </w:p>
        </w:tc>
      </w:tr>
      <w:tr w:rsidR="00A53BD1" w:rsidRPr="00581B3B" w:rsidTr="006129A2">
        <w:trPr>
          <w:trHeight w:val="195"/>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Добавяне в рамките на подмярка 4.1 във ФО 2А, П4, 5А</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63 152 193</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69 903 031</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xml:space="preserve"> </w:t>
            </w:r>
          </w:p>
        </w:tc>
      </w:tr>
      <w:tr w:rsidR="00A53BD1" w:rsidRPr="00581B3B" w:rsidTr="006129A2">
        <w:trPr>
          <w:trHeight w:val="64"/>
        </w:trPr>
        <w:tc>
          <w:tcPr>
            <w:tcW w:w="1945" w:type="pct"/>
            <w:shd w:val="clear" w:color="000000" w:fill="EDEDED"/>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Създаването, подобряването или разширяването на малка по мащаби инфраструктура.</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620 295 322</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5"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556" w:type="pct"/>
            <w:shd w:val="clear" w:color="000000" w:fill="EDEDED"/>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620 295 322</w:t>
            </w:r>
          </w:p>
        </w:tc>
      </w:tr>
      <w:tr w:rsidR="00A53BD1" w:rsidRPr="00581B3B" w:rsidTr="006129A2">
        <w:trPr>
          <w:trHeight w:val="136"/>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Инвестиции в създаването, подобряването или разширяването на всички видове малка по мащаби инфраструктура.- ФО 5Б</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-46 750 000</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-55 000 000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w:t>
            </w:r>
          </w:p>
        </w:tc>
      </w:tr>
      <w:tr w:rsidR="00A53BD1" w:rsidRPr="00581B3B" w:rsidTr="006129A2">
        <w:trPr>
          <w:trHeight w:val="158"/>
        </w:trPr>
        <w:tc>
          <w:tcPr>
            <w:tcW w:w="1945" w:type="pct"/>
            <w:shd w:val="clear" w:color="auto" w:fill="auto"/>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Подмярка 7.2. Инвестиции в създаването, подобряването или разширяването на всички видове малка по мащаби инфраструктура. ФО 6В</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46 750 000</w:t>
            </w:r>
          </w:p>
        </w:tc>
        <w:tc>
          <w:tcPr>
            <w:tcW w:w="485" w:type="pct"/>
            <w:shd w:val="clear" w:color="auto" w:fill="auto"/>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55 000 000</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48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 </w:t>
            </w:r>
          </w:p>
        </w:tc>
        <w:tc>
          <w:tcPr>
            <w:tcW w:w="556" w:type="pct"/>
            <w:shd w:val="clear" w:color="auto" w:fill="auto"/>
            <w:noWrap/>
            <w:vAlign w:val="bottom"/>
            <w:hideMark/>
          </w:tcPr>
          <w:p w:rsidR="00A53BD1" w:rsidRPr="00581B3B" w:rsidRDefault="00A53BD1" w:rsidP="006129A2">
            <w:pPr>
              <w:spacing w:after="0" w:line="240" w:lineRule="auto"/>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 </w:t>
            </w:r>
          </w:p>
        </w:tc>
      </w:tr>
      <w:tr w:rsidR="00A53BD1" w:rsidRPr="00581B3B" w:rsidTr="006129A2">
        <w:trPr>
          <w:trHeight w:val="64"/>
        </w:trPr>
        <w:tc>
          <w:tcPr>
            <w:tcW w:w="1945" w:type="pct"/>
            <w:shd w:val="clear" w:color="000000" w:fill="DDEBF7"/>
            <w:vAlign w:val="bottom"/>
            <w:hideMark/>
          </w:tcPr>
          <w:p w:rsidR="00A53BD1" w:rsidRPr="00581B3B" w:rsidRDefault="00A53BD1" w:rsidP="006129A2">
            <w:pPr>
              <w:spacing w:after="0" w:line="240" w:lineRule="auto"/>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Общо баланс  - изведени средства(-)/добавени средства ()</w:t>
            </w:r>
          </w:p>
        </w:tc>
        <w:tc>
          <w:tcPr>
            <w:tcW w:w="556"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b/>
                <w:bCs/>
                <w:i/>
                <w:iCs/>
                <w:color w:val="000000"/>
                <w:sz w:val="14"/>
                <w:szCs w:val="14"/>
              </w:rPr>
            </w:pPr>
            <w:r w:rsidRPr="00581B3B">
              <w:rPr>
                <w:rFonts w:ascii="Times New Roman" w:eastAsia="Times New Roman" w:hAnsi="Times New Roman" w:cs="Times New Roman"/>
                <w:b/>
                <w:bCs/>
                <w:i/>
                <w:iCs/>
                <w:color w:val="000000"/>
                <w:sz w:val="14"/>
                <w:szCs w:val="14"/>
              </w:rPr>
              <w:t> </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5"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-4 274 967</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703 398</w:t>
            </w:r>
          </w:p>
        </w:tc>
        <w:tc>
          <w:tcPr>
            <w:tcW w:w="55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color w:val="000000"/>
                <w:sz w:val="14"/>
                <w:szCs w:val="14"/>
              </w:rPr>
            </w:pPr>
            <w:r w:rsidRPr="00581B3B">
              <w:rPr>
                <w:rFonts w:ascii="Times New Roman" w:eastAsia="Times New Roman" w:hAnsi="Times New Roman" w:cs="Times New Roman"/>
                <w:b/>
                <w:bCs/>
                <w:color w:val="000000"/>
                <w:sz w:val="14"/>
                <w:szCs w:val="14"/>
              </w:rPr>
              <w:t>-3 571 569</w:t>
            </w:r>
          </w:p>
        </w:tc>
      </w:tr>
      <w:tr w:rsidR="00A53BD1" w:rsidRPr="00581B3B" w:rsidTr="006129A2">
        <w:trPr>
          <w:trHeight w:val="315"/>
        </w:trPr>
        <w:tc>
          <w:tcPr>
            <w:tcW w:w="1945" w:type="pct"/>
            <w:shd w:val="clear" w:color="000000" w:fill="DDEBF7"/>
            <w:noWrap/>
            <w:vAlign w:val="bottom"/>
            <w:hideMark/>
          </w:tcPr>
          <w:p w:rsidR="00A53BD1" w:rsidRPr="00581B3B" w:rsidRDefault="00A53BD1" w:rsidP="006129A2">
            <w:pPr>
              <w:spacing w:after="0" w:line="240" w:lineRule="auto"/>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Общо</w:t>
            </w:r>
          </w:p>
        </w:tc>
        <w:tc>
          <w:tcPr>
            <w:tcW w:w="55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i/>
                <w:iCs/>
                <w:sz w:val="14"/>
                <w:szCs w:val="14"/>
              </w:rPr>
            </w:pPr>
            <w:r w:rsidRPr="00581B3B">
              <w:rPr>
                <w:rFonts w:ascii="Times New Roman" w:eastAsia="Times New Roman" w:hAnsi="Times New Roman" w:cs="Times New Roman"/>
                <w:b/>
                <w:bCs/>
                <w:i/>
                <w:iCs/>
                <w:sz w:val="14"/>
                <w:szCs w:val="14"/>
              </w:rPr>
              <w:t>2 995 388 044</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0</w:t>
            </w:r>
          </w:p>
        </w:tc>
        <w:tc>
          <w:tcPr>
            <w:tcW w:w="485"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-4 274 967</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0</w:t>
            </w:r>
          </w:p>
        </w:tc>
        <w:tc>
          <w:tcPr>
            <w:tcW w:w="48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703 398</w:t>
            </w:r>
          </w:p>
        </w:tc>
        <w:tc>
          <w:tcPr>
            <w:tcW w:w="556" w:type="pct"/>
            <w:shd w:val="clear" w:color="000000" w:fill="DDEBF7"/>
            <w:noWrap/>
            <w:vAlign w:val="bottom"/>
            <w:hideMark/>
          </w:tcPr>
          <w:p w:rsidR="00A53BD1" w:rsidRPr="00581B3B" w:rsidRDefault="00A53BD1" w:rsidP="006129A2">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2 991 816 475</w:t>
            </w:r>
          </w:p>
        </w:tc>
      </w:tr>
      <w:tr w:rsidR="00A53BD1" w:rsidRPr="00581B3B" w:rsidTr="006129A2">
        <w:trPr>
          <w:trHeight w:val="315"/>
        </w:trPr>
        <w:tc>
          <w:tcPr>
            <w:tcW w:w="1945" w:type="pct"/>
            <w:shd w:val="clear" w:color="000000" w:fill="E2EFDA"/>
            <w:noWrap/>
            <w:vAlign w:val="bottom"/>
            <w:hideMark/>
          </w:tcPr>
          <w:p w:rsidR="00A53BD1" w:rsidRPr="00581B3B" w:rsidRDefault="00A53BD1" w:rsidP="006129A2">
            <w:pPr>
              <w:spacing w:after="0" w:line="240" w:lineRule="auto"/>
              <w:rPr>
                <w:rFonts w:ascii="Times New Roman" w:eastAsia="Times New Roman" w:hAnsi="Times New Roman" w:cs="Times New Roman"/>
                <w:color w:val="000000"/>
                <w:sz w:val="14"/>
                <w:szCs w:val="14"/>
              </w:rPr>
            </w:pPr>
            <w:r w:rsidRPr="00581B3B">
              <w:rPr>
                <w:rFonts w:ascii="Times New Roman" w:eastAsia="Times New Roman" w:hAnsi="Times New Roman" w:cs="Times New Roman"/>
                <w:color w:val="000000"/>
                <w:sz w:val="14"/>
                <w:szCs w:val="14"/>
              </w:rPr>
              <w:t>Общо ПРСР 2014-2020</w:t>
            </w:r>
          </w:p>
        </w:tc>
        <w:tc>
          <w:tcPr>
            <w:tcW w:w="556"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3 793 119 534</w:t>
            </w:r>
          </w:p>
        </w:tc>
        <w:tc>
          <w:tcPr>
            <w:tcW w:w="486"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5"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-4 274 967</w:t>
            </w:r>
          </w:p>
        </w:tc>
        <w:tc>
          <w:tcPr>
            <w:tcW w:w="486"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0</w:t>
            </w:r>
          </w:p>
        </w:tc>
        <w:tc>
          <w:tcPr>
            <w:tcW w:w="486"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703 398</w:t>
            </w:r>
          </w:p>
        </w:tc>
        <w:tc>
          <w:tcPr>
            <w:tcW w:w="556" w:type="pct"/>
            <w:shd w:val="clear" w:color="000000" w:fill="E2EFDA"/>
            <w:noWrap/>
            <w:vAlign w:val="bottom"/>
            <w:hideMark/>
          </w:tcPr>
          <w:p w:rsidR="00A53BD1" w:rsidRPr="00581B3B" w:rsidRDefault="00A53BD1" w:rsidP="006129A2">
            <w:pPr>
              <w:spacing w:after="0" w:line="240" w:lineRule="auto"/>
              <w:jc w:val="right"/>
              <w:rPr>
                <w:rFonts w:ascii="Times New Roman" w:eastAsia="Times New Roman" w:hAnsi="Times New Roman" w:cs="Times New Roman"/>
                <w:i/>
                <w:iCs/>
                <w:color w:val="000000"/>
                <w:sz w:val="14"/>
                <w:szCs w:val="14"/>
              </w:rPr>
            </w:pPr>
            <w:r w:rsidRPr="00581B3B">
              <w:rPr>
                <w:rFonts w:ascii="Times New Roman" w:eastAsia="Times New Roman" w:hAnsi="Times New Roman" w:cs="Times New Roman"/>
                <w:i/>
                <w:iCs/>
                <w:color w:val="000000"/>
                <w:sz w:val="14"/>
                <w:szCs w:val="14"/>
              </w:rPr>
              <w:t>3 789 547 966</w:t>
            </w:r>
          </w:p>
        </w:tc>
      </w:tr>
    </w:tbl>
    <w:p w:rsidR="00AC20FB" w:rsidRPr="00581B3B" w:rsidRDefault="00AC20FB" w:rsidP="00AC20FB">
      <w:pPr>
        <w:jc w:val="both"/>
        <w:rPr>
          <w:rFonts w:ascii="Times New Roman" w:hAnsi="Times New Roman" w:cs="Times New Roman"/>
          <w:sz w:val="24"/>
          <w:szCs w:val="24"/>
        </w:rPr>
      </w:pPr>
    </w:p>
    <w:p w:rsidR="005302EB" w:rsidRPr="00581B3B" w:rsidRDefault="005302EB" w:rsidP="001D683F">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Като цяло за изменението, са отчетени и съобразени и изискванията на чл. 59, ал. 6 от Регламент 1305/2013, както и т.нар „backslide principle”</w:t>
      </w:r>
      <w:r w:rsidRPr="00581B3B">
        <w:t xml:space="preserve"> </w:t>
      </w:r>
      <w:r w:rsidRPr="00581B3B">
        <w:rPr>
          <w:rFonts w:ascii="Times New Roman" w:eastAsia="Times New Roman" w:hAnsi="Times New Roman" w:cs="Times New Roman"/>
          <w:sz w:val="24"/>
          <w:szCs w:val="24"/>
          <w:lang w:eastAsia="bg-BG"/>
        </w:rPr>
        <w:t>(съгласно който тази сума трябва да бъде като съотношение над 35.7%). След всички планирани за прехвърляне суми между мерки и подмерки на ПРСР 2014-2020, по така направените изчисления, съотношението все още е в размер на 35.7</w:t>
      </w:r>
      <w:r w:rsidR="00C47BB1">
        <w:rPr>
          <w:rFonts w:ascii="Times New Roman" w:eastAsia="Times New Roman" w:hAnsi="Times New Roman" w:cs="Times New Roman"/>
          <w:sz w:val="24"/>
          <w:szCs w:val="24"/>
          <w:lang w:eastAsia="bg-BG"/>
        </w:rPr>
        <w:t>3</w:t>
      </w:r>
      <w:r w:rsidRPr="00581B3B">
        <w:rPr>
          <w:rFonts w:ascii="Times New Roman" w:eastAsia="Times New Roman" w:hAnsi="Times New Roman" w:cs="Times New Roman"/>
          <w:sz w:val="24"/>
          <w:szCs w:val="24"/>
          <w:lang w:eastAsia="bg-BG"/>
        </w:rPr>
        <w:t>%.</w:t>
      </w:r>
    </w:p>
    <w:p w:rsidR="005302EB" w:rsidRPr="00581B3B" w:rsidRDefault="005302EB" w:rsidP="00392D11">
      <w:pPr>
        <w:jc w:val="both"/>
        <w:rPr>
          <w:rFonts w:ascii="Times New Roman" w:hAnsi="Times New Roman" w:cs="Times New Roman"/>
          <w:sz w:val="24"/>
          <w:szCs w:val="24"/>
        </w:rPr>
      </w:pPr>
      <w:r w:rsidRPr="00581B3B">
        <w:rPr>
          <w:rFonts w:ascii="Times New Roman" w:hAnsi="Times New Roman" w:cs="Times New Roman"/>
          <w:sz w:val="24"/>
          <w:szCs w:val="24"/>
        </w:rPr>
        <w:t>По-долу е представена детайлна обосновка на предлаганите промени.</w:t>
      </w:r>
    </w:p>
    <w:p w:rsidR="00DC159F" w:rsidRPr="00581B3B" w:rsidRDefault="005105C9" w:rsidP="00B35E6D">
      <w:pPr>
        <w:pStyle w:val="Heading2"/>
      </w:pPr>
      <w:bookmarkStart w:id="18" w:name="_Toc130370322"/>
      <w:r w:rsidRPr="00581B3B">
        <w:lastRenderedPageBreak/>
        <w:t>Извеждане на средства с цел осигуряване на ресурс</w:t>
      </w:r>
      <w:bookmarkEnd w:id="18"/>
    </w:p>
    <w:p w:rsidR="00A90AB6" w:rsidRPr="00581B3B" w:rsidRDefault="00B35E6D" w:rsidP="00B35E6D">
      <w:pPr>
        <w:pStyle w:val="Heading2"/>
        <w:numPr>
          <w:ilvl w:val="0"/>
          <w:numId w:val="0"/>
        </w:numPr>
      </w:pPr>
      <w:bookmarkStart w:id="19" w:name="_Toc130370323"/>
      <w:r>
        <w:t xml:space="preserve">11.1. </w:t>
      </w:r>
      <w:r w:rsidR="00A90AB6" w:rsidRPr="00581B3B">
        <w:t>Из</w:t>
      </w:r>
      <w:r w:rsidR="0061170D" w:rsidRPr="00581B3B">
        <w:t>веждане на средства от мярка 1</w:t>
      </w:r>
      <w:r w:rsidR="00A90AB6" w:rsidRPr="00581B3B">
        <w:t xml:space="preserve"> „Трансфер на знания и действия за осведомяване“</w:t>
      </w:r>
      <w:bookmarkEnd w:id="19"/>
    </w:p>
    <w:p w:rsidR="00A90AB6" w:rsidRPr="00581B3B" w:rsidRDefault="00A90AB6"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Мярката допринася основно към реализирането на приоритетни области 1А, 1Б и1В. На основата на определените нужди мярката допринася чрез съответните подмерки и дейности за приоритетни области 2А, 2Б, 3А, 3Б, 4А, 4Б, 4В, 5А, 5Б, 5В, 5Г и 5Д по-конкретно чрез предвидените дейности по подмярка 1.1 „Подкрепа за дейности за професионално обучение и придобиване на умения“, и подмярка 1.2 „Подпомагане за демонстрационни дейности и действия за осведомяване“.</w:t>
      </w:r>
    </w:p>
    <w:p w:rsidR="0043510A" w:rsidRPr="00581B3B" w:rsidRDefault="0043510A" w:rsidP="00362338">
      <w:pPr>
        <w:spacing w:after="0" w:line="240" w:lineRule="auto"/>
        <w:contextualSpacing/>
        <w:jc w:val="both"/>
        <w:rPr>
          <w:rFonts w:ascii="Times New Roman" w:hAnsi="Times New Roman" w:cs="Times New Roman"/>
          <w:b/>
          <w:sz w:val="24"/>
          <w:szCs w:val="24"/>
        </w:rPr>
      </w:pPr>
      <w:r w:rsidRPr="00581B3B">
        <w:rPr>
          <w:rFonts w:ascii="Times New Roman" w:hAnsi="Times New Roman" w:cs="Times New Roman"/>
          <w:b/>
          <w:sz w:val="24"/>
          <w:szCs w:val="24"/>
        </w:rPr>
        <w:t>Подмярка 1.1 „Професионално обучение и придобиване на умения“</w:t>
      </w:r>
    </w:p>
    <w:p w:rsidR="0043510A" w:rsidRPr="00581B3B" w:rsidRDefault="0043510A" w:rsidP="0043510A">
      <w:pPr>
        <w:spacing w:after="0" w:line="240" w:lineRule="auto"/>
        <w:contextualSpacing/>
        <w:jc w:val="both"/>
        <w:rPr>
          <w:rFonts w:ascii="Times New Roman" w:hAnsi="Times New Roman" w:cs="Times New Roman"/>
          <w:b/>
          <w:sz w:val="24"/>
          <w:szCs w:val="24"/>
        </w:rPr>
      </w:pP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Подмярка 1.1 „Професионално обучение и придобиване на умения“ от мярка 1 „Трансфер на знания и действия за осведомяване“ предоставя възможност за подпомагане на дейности, свързани с провеждане на специализирани курсове за обучение на земеделски стопани и заетите лица в техните стопанства, както и участие в информационни семинари и специализирани курсове за придобиване на правоспособност за работа със земеделска и горска техника. В периода 16 декември 2019 г. – 16 март 2020 г. е проведен прием на проектни предложения по подмярката, като за съответния прием е обявен целия наличен разпределен бюджет, а именно 8 млн. евро.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В периода на прием са постъпили 77 проектни предложения, подлежащи на обработка, по които е заявена БФП в размер на над 13 млн. евро. През месец февруари 2021 г.</w:t>
      </w:r>
      <w:r w:rsidR="00545701">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след приключване на оценителния процес, са сключени са общо 47 договора за предоставяне на БФП на стойност 6.3 млн. евро с центрове за професионално обучение (ЦПО), висши училища в сферата на селско стопанското обучение, Национална служба за съвети в земеделието (НССЗ), Българска агенция по безопасност на храните (БАБХ) и др.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По одобрените проекти е предвидено да бъдат проведени над 250 обучителни и информационни дейности, в които е планирано да участват над 30 000 обучаеми, като по този начин е създадена предпоставка за успешното прилагане на подмярката и постигане на целта й.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За съжаление, периода на стартиране </w:t>
      </w:r>
      <w:r w:rsidR="00545701">
        <w:rPr>
          <w:rFonts w:ascii="Times New Roman" w:eastAsia="Times New Roman" w:hAnsi="Times New Roman" w:cs="Times New Roman"/>
          <w:sz w:val="24"/>
          <w:szCs w:val="24"/>
          <w:lang w:eastAsia="bg-BG"/>
        </w:rPr>
        <w:t xml:space="preserve">и </w:t>
      </w:r>
      <w:r w:rsidRPr="00581B3B">
        <w:rPr>
          <w:rFonts w:ascii="Times New Roman" w:eastAsia="Times New Roman" w:hAnsi="Times New Roman" w:cs="Times New Roman"/>
          <w:sz w:val="24"/>
          <w:szCs w:val="24"/>
          <w:lang w:eastAsia="bg-BG"/>
        </w:rPr>
        <w:t xml:space="preserve">изпълнение на одобрените проектни предложения съвпада с периода на масовото разпространение на COVID-19 в България и наложените ограничителни мерки значително затрудняват процеса на изпълнение на сключените договори. Това е така защото на първо място, подмярката предвижда възможност само за присъствени форми на обучение във връзка с което кандидатите следва да осигурят възможност за провеждане на обучение в помещения с осигурена мултимедия, прехрана, кафе паузи и нощувки.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Това</w:t>
      </w:r>
      <w:r w:rsidR="00362338" w:rsidRPr="00581B3B">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от своя страна съгласно българското законодателство е свързано с провеждане на процедура за избор на изпълнител в случаите когато бенефициентите не могат да осигурят сами тази възможност (ПМС № </w:t>
      </w:r>
      <w:r w:rsidRPr="00581B3B">
        <w:rPr>
          <w:rFonts w:ascii="Times New Roman" w:eastAsia="Times New Roman" w:hAnsi="Times New Roman" w:cs="Times New Roman"/>
          <w:sz w:val="24"/>
          <w:szCs w:val="24"/>
          <w:lang w:eastAsia="bg-BG"/>
        </w:rPr>
        <w:lastRenderedPageBreak/>
        <w:t xml:space="preserve">160/2016 г./ЗОП). Този процес, особено в случаите когато бенефициентите са възложители по ЗОП отнема значителен период от време.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Поради наложените забрани в следващите месеци, бенефициентите бяха изправени пред трудности да изберат изпълнители, които да осигурят възможности за провеждане на обученията</w:t>
      </w:r>
      <w:r w:rsidR="00B37274">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тъй като голяма част от хотелите, фирмите за предоставяне на кетъринг, транспортни фирми и различните агенции, предоставящи услуги в сферата на туризма, не можеха да прогнозират предстоящата ситуация и отказваха да предоставят оферти по обявените обяви/поръчки от страна на бенефициентите.</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Паралелно с това, усилията на обучаващите организации да привлекат желаещи за провеждане на специализирани обучения или участие в информационни събития към 2021/2022 не бяха свързани с големи успехи, тъй като процентът на ваксинираните в страна остава на едно от най-ниските нива в ЕС, поради което една част от земеделските стопани, които </w:t>
      </w:r>
      <w:r w:rsidR="00BF12C4">
        <w:rPr>
          <w:rFonts w:ascii="Times New Roman" w:eastAsia="Times New Roman" w:hAnsi="Times New Roman" w:cs="Times New Roman"/>
          <w:sz w:val="24"/>
          <w:szCs w:val="24"/>
          <w:lang w:eastAsia="bg-BG"/>
        </w:rPr>
        <w:t>желаеха</w:t>
      </w:r>
      <w:r w:rsidRPr="00581B3B">
        <w:rPr>
          <w:rFonts w:ascii="Times New Roman" w:eastAsia="Times New Roman" w:hAnsi="Times New Roman" w:cs="Times New Roman"/>
          <w:sz w:val="24"/>
          <w:szCs w:val="24"/>
          <w:lang w:eastAsia="bg-BG"/>
        </w:rPr>
        <w:t xml:space="preserve"> да получат обучение </w:t>
      </w:r>
      <w:r w:rsidR="00BF12C4">
        <w:rPr>
          <w:rFonts w:ascii="Times New Roman" w:eastAsia="Times New Roman" w:hAnsi="Times New Roman" w:cs="Times New Roman"/>
          <w:sz w:val="24"/>
          <w:szCs w:val="24"/>
          <w:lang w:eastAsia="bg-BG"/>
        </w:rPr>
        <w:t>бяха поставени</w:t>
      </w:r>
      <w:r w:rsidRPr="00581B3B">
        <w:rPr>
          <w:rFonts w:ascii="Times New Roman" w:eastAsia="Times New Roman" w:hAnsi="Times New Roman" w:cs="Times New Roman"/>
          <w:sz w:val="24"/>
          <w:szCs w:val="24"/>
          <w:lang w:eastAsia="bg-BG"/>
        </w:rPr>
        <w:t xml:space="preserve"> в невъзможност поради издадените ограничителни заповеди за масови събития от Министерство на здравеопазването.</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Тези фактори принудиха една част от бенефициентите да прекратят своите договори. След постепенното отминаване на пандемията COVID-19, обучаващите организации не могат да наваксат отминалото време, за да изпълнят в цялост своите проекти, поради първоначално предвидените сроковете за изпълнение на предвидените дейности.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В тази връзка УО на ПРСР предостави възможност за сключване на анекси и удължаване на сроковете за изпълнение на дейностите. Също така, бенефициентите са поели ангажименти в своите одобрени проектни предложения да обучават като определена част от обучаемите лица - млади фермери, малки стопанства, бенефициенти по мярка 10 „Агроекология и климат“ и мярка 11 „Биологично земеделие“. Това от своя страна гарантира по голям брой точки по критериите за подбор на проекти съгласно приоритетите по подмярката. Оставащото кратко време за изпълнение на проектите и най-вече нежеланието на земеделските стопани да участват в обучителни мероприятия в активния сезон, когато са заети с дейности в стопанствата им</w:t>
      </w:r>
      <w:r w:rsidR="00592EF2">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възпрепятства възможността обучаващите организации да предоставят обучения на тези целеви групи, поради което</w:t>
      </w:r>
      <w:r w:rsidR="00BF12C4">
        <w:rPr>
          <w:rFonts w:ascii="Times New Roman" w:eastAsia="Times New Roman" w:hAnsi="Times New Roman" w:cs="Times New Roman"/>
          <w:sz w:val="24"/>
          <w:szCs w:val="24"/>
          <w:lang w:eastAsia="bg-BG"/>
        </w:rPr>
        <w:t xml:space="preserve"> </w:t>
      </w:r>
      <w:r w:rsidRPr="00581B3B">
        <w:rPr>
          <w:rFonts w:ascii="Times New Roman" w:eastAsia="Times New Roman" w:hAnsi="Times New Roman" w:cs="Times New Roman"/>
          <w:sz w:val="24"/>
          <w:szCs w:val="24"/>
          <w:lang w:eastAsia="bg-BG"/>
        </w:rPr>
        <w:t>УО на ПРСР извърши промяна в насоките за прилагане на подмярката, позволяваща бенефициентите да се откажат от първоначалните си намерение при условие, че одобрените проекти не падат под минималния брой точки</w:t>
      </w:r>
      <w:r w:rsidR="00BF12C4">
        <w:rPr>
          <w:rFonts w:ascii="Times New Roman" w:eastAsia="Times New Roman" w:hAnsi="Times New Roman" w:cs="Times New Roman"/>
          <w:sz w:val="24"/>
          <w:szCs w:val="24"/>
          <w:lang w:eastAsia="bg-BG"/>
        </w:rPr>
        <w:t xml:space="preserve"> </w:t>
      </w:r>
      <w:r w:rsidR="00BF12C4" w:rsidRPr="00BF12C4">
        <w:rPr>
          <w:rFonts w:ascii="Times New Roman" w:eastAsia="Times New Roman" w:hAnsi="Times New Roman" w:cs="Times New Roman"/>
          <w:sz w:val="24"/>
          <w:szCs w:val="24"/>
          <w:lang w:eastAsia="bg-BG"/>
        </w:rPr>
        <w:t>за финансиране на всички проекти, в рамките на проведения прием</w:t>
      </w:r>
      <w:r w:rsidRPr="00581B3B">
        <w:rPr>
          <w:rFonts w:ascii="Times New Roman" w:eastAsia="Times New Roman" w:hAnsi="Times New Roman" w:cs="Times New Roman"/>
          <w:sz w:val="24"/>
          <w:szCs w:val="24"/>
          <w:lang w:eastAsia="bg-BG"/>
        </w:rPr>
        <w:t>.</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Тъй като помощта по подмярката се предоставя под формата на опростени разходи, чиито стойности са посочени в одобрената ПРСР 2014-2020 г., от страна на УО на ПРСР са извършени промени в нормативната уредба, свързани с опростяване на условията, при които бенефициентите подават заявки за плащане за вече изпълнени дейности.</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Въпреки предприетите усилия от страна на УО на ПРСР, ДФ „Земеделие“ и </w:t>
      </w:r>
      <w:r w:rsidR="00BF12C4">
        <w:rPr>
          <w:rFonts w:ascii="Times New Roman" w:eastAsia="Times New Roman" w:hAnsi="Times New Roman" w:cs="Times New Roman"/>
          <w:sz w:val="24"/>
          <w:szCs w:val="24"/>
          <w:lang w:eastAsia="bg-BG"/>
        </w:rPr>
        <w:t>З</w:t>
      </w:r>
      <w:r w:rsidRPr="00581B3B">
        <w:rPr>
          <w:rFonts w:ascii="Times New Roman" w:eastAsia="Times New Roman" w:hAnsi="Times New Roman" w:cs="Times New Roman"/>
          <w:sz w:val="24"/>
          <w:szCs w:val="24"/>
          <w:lang w:eastAsia="bg-BG"/>
        </w:rPr>
        <w:t xml:space="preserve">веното за управление към Националната селска мрежа, свързани с популяризиране на възможността за получаване на безплатни обучения </w:t>
      </w:r>
      <w:r w:rsidR="00BF12C4" w:rsidRPr="00BF12C4">
        <w:rPr>
          <w:rFonts w:ascii="Times New Roman" w:eastAsia="Times New Roman" w:hAnsi="Times New Roman" w:cs="Times New Roman"/>
          <w:sz w:val="24"/>
          <w:szCs w:val="24"/>
          <w:lang w:eastAsia="bg-BG"/>
        </w:rPr>
        <w:t xml:space="preserve">и </w:t>
      </w:r>
      <w:r w:rsidR="00BF12C4" w:rsidRPr="00BF12C4">
        <w:rPr>
          <w:rFonts w:ascii="Times New Roman" w:eastAsia="Times New Roman" w:hAnsi="Times New Roman" w:cs="Times New Roman"/>
          <w:sz w:val="24"/>
          <w:szCs w:val="24"/>
          <w:lang w:eastAsia="bg-BG"/>
        </w:rPr>
        <w:lastRenderedPageBreak/>
        <w:t>участие в информационни семинари</w:t>
      </w:r>
      <w:r w:rsidR="00BF12C4">
        <w:rPr>
          <w:rFonts w:ascii="Times New Roman" w:eastAsia="Times New Roman" w:hAnsi="Times New Roman" w:cs="Times New Roman"/>
          <w:sz w:val="24"/>
          <w:szCs w:val="24"/>
          <w:lang w:eastAsia="bg-BG"/>
        </w:rPr>
        <w:t>,</w:t>
      </w:r>
      <w:r w:rsidR="00BF12C4" w:rsidRPr="00BF12C4">
        <w:rPr>
          <w:rFonts w:ascii="Times New Roman" w:eastAsia="Times New Roman" w:hAnsi="Times New Roman" w:cs="Times New Roman"/>
          <w:sz w:val="24"/>
          <w:szCs w:val="24"/>
          <w:lang w:eastAsia="bg-BG"/>
        </w:rPr>
        <w:t xml:space="preserve"> и </w:t>
      </w:r>
      <w:r w:rsidR="00BF12C4">
        <w:rPr>
          <w:rFonts w:ascii="Times New Roman" w:eastAsia="Times New Roman" w:hAnsi="Times New Roman" w:cs="Times New Roman"/>
          <w:sz w:val="24"/>
          <w:szCs w:val="24"/>
          <w:lang w:eastAsia="bg-BG"/>
        </w:rPr>
        <w:t>въведените</w:t>
      </w:r>
      <w:r w:rsidR="00BF12C4" w:rsidRPr="00BF12C4">
        <w:rPr>
          <w:rFonts w:ascii="Times New Roman" w:eastAsia="Times New Roman" w:hAnsi="Times New Roman" w:cs="Times New Roman"/>
          <w:sz w:val="24"/>
          <w:szCs w:val="24"/>
          <w:lang w:eastAsia="bg-BG"/>
        </w:rPr>
        <w:t xml:space="preserve"> мерки</w:t>
      </w:r>
      <w:r w:rsidRPr="00581B3B">
        <w:rPr>
          <w:rFonts w:ascii="Times New Roman" w:eastAsia="Times New Roman" w:hAnsi="Times New Roman" w:cs="Times New Roman"/>
          <w:sz w:val="24"/>
          <w:szCs w:val="24"/>
          <w:lang w:eastAsia="bg-BG"/>
        </w:rPr>
        <w:t xml:space="preserve"> за оптимизиране на прилагането</w:t>
      </w:r>
      <w:r w:rsidR="00BF12C4">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изпълнението на подмярката към днешна дата е </w:t>
      </w:r>
      <w:r w:rsidR="00BF12C4">
        <w:rPr>
          <w:rFonts w:ascii="Times New Roman" w:eastAsia="Times New Roman" w:hAnsi="Times New Roman" w:cs="Times New Roman"/>
          <w:sz w:val="24"/>
          <w:szCs w:val="24"/>
          <w:lang w:eastAsia="bg-BG"/>
        </w:rPr>
        <w:t>незадоволително</w:t>
      </w:r>
      <w:r w:rsidRPr="00581B3B">
        <w:rPr>
          <w:rFonts w:ascii="Times New Roman" w:eastAsia="Times New Roman" w:hAnsi="Times New Roman" w:cs="Times New Roman"/>
          <w:sz w:val="24"/>
          <w:szCs w:val="24"/>
          <w:lang w:eastAsia="bg-BG"/>
        </w:rPr>
        <w:t>.</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обобщение на гореизложеното</w:t>
      </w:r>
      <w:r w:rsidR="00B75093" w:rsidRPr="00581B3B">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основните мотиви, които УО на ПРСР излага в подкрепа на необходимостта от освобождаване на ресурс от бюджета на подмярката в размер на 2.3 млн. евро ЕЗФРСР са както следва:</w:t>
      </w:r>
    </w:p>
    <w:p w:rsidR="0043510A" w:rsidRPr="00581B3B" w:rsidRDefault="0043510A" w:rsidP="0043510A">
      <w:pPr>
        <w:pStyle w:val="ListParagraph"/>
        <w:numPr>
          <w:ilvl w:val="0"/>
          <w:numId w:val="20"/>
        </w:numPr>
        <w:spacing w:before="120" w:after="120"/>
        <w:ind w:left="714" w:hanging="357"/>
        <w:contextualSpacing w:val="0"/>
        <w:jc w:val="both"/>
        <w:rPr>
          <w:rFonts w:ascii="Times New Roman" w:hAnsi="Times New Roman" w:cs="Times New Roman"/>
          <w:sz w:val="24"/>
          <w:szCs w:val="24"/>
        </w:rPr>
      </w:pPr>
      <w:r w:rsidRPr="00581B3B">
        <w:rPr>
          <w:rFonts w:ascii="Times New Roman" w:hAnsi="Times New Roman" w:cs="Times New Roman"/>
          <w:sz w:val="24"/>
          <w:szCs w:val="24"/>
        </w:rPr>
        <w:t>Оставащото време до края на 2025 г. е недостатъчно за отваряне на нов прием на проектни предложения от гледна точка сроковете за тяхната оценка, договориране, подготовка за изпълнение, същинско изпълнение и подаване на заявки за окончателно плащане на база на опита от прилагане на подмярката до сега;</w:t>
      </w:r>
    </w:p>
    <w:p w:rsidR="0043510A" w:rsidRPr="00581B3B" w:rsidRDefault="0043510A" w:rsidP="0043510A">
      <w:pPr>
        <w:pStyle w:val="ListParagraph"/>
        <w:numPr>
          <w:ilvl w:val="0"/>
          <w:numId w:val="20"/>
        </w:numPr>
        <w:spacing w:before="120" w:after="120"/>
        <w:ind w:left="714" w:hanging="357"/>
        <w:contextualSpacing w:val="0"/>
        <w:jc w:val="both"/>
        <w:rPr>
          <w:rFonts w:ascii="Times New Roman" w:hAnsi="Times New Roman" w:cs="Times New Roman"/>
          <w:sz w:val="24"/>
          <w:szCs w:val="24"/>
        </w:rPr>
      </w:pPr>
      <w:r w:rsidRPr="00581B3B">
        <w:rPr>
          <w:rFonts w:ascii="Times New Roman" w:hAnsi="Times New Roman" w:cs="Times New Roman"/>
          <w:sz w:val="24"/>
          <w:szCs w:val="24"/>
        </w:rPr>
        <w:t>Остатъчния</w:t>
      </w:r>
      <w:r w:rsidR="00592EF2">
        <w:rPr>
          <w:rFonts w:ascii="Times New Roman" w:hAnsi="Times New Roman" w:cs="Times New Roman"/>
          <w:sz w:val="24"/>
          <w:szCs w:val="24"/>
        </w:rPr>
        <w:t>т</w:t>
      </w:r>
      <w:r w:rsidRPr="00581B3B">
        <w:rPr>
          <w:rFonts w:ascii="Times New Roman" w:hAnsi="Times New Roman" w:cs="Times New Roman"/>
          <w:sz w:val="24"/>
          <w:szCs w:val="24"/>
        </w:rPr>
        <w:t xml:space="preserve"> финансов ресурс, който е на разположение в бюджета на подмярката</w:t>
      </w:r>
      <w:r w:rsidR="00BF12C4">
        <w:rPr>
          <w:rFonts w:ascii="Times New Roman" w:hAnsi="Times New Roman" w:cs="Times New Roman"/>
          <w:sz w:val="24"/>
          <w:szCs w:val="24"/>
        </w:rPr>
        <w:t xml:space="preserve"> след предложеното прехвърляне</w:t>
      </w:r>
      <w:r w:rsidRPr="00581B3B">
        <w:rPr>
          <w:rFonts w:ascii="Times New Roman" w:hAnsi="Times New Roman" w:cs="Times New Roman"/>
          <w:sz w:val="24"/>
          <w:szCs w:val="24"/>
        </w:rPr>
        <w:t xml:space="preserve"> може да послужи за евентуално индексиране на цените по одобрените дейности в случай, че такава методика бъде изготвена;</w:t>
      </w:r>
    </w:p>
    <w:p w:rsidR="0043510A" w:rsidRPr="00581B3B" w:rsidRDefault="0043510A" w:rsidP="0043510A">
      <w:pPr>
        <w:pStyle w:val="ListParagraph"/>
        <w:numPr>
          <w:ilvl w:val="0"/>
          <w:numId w:val="20"/>
        </w:numPr>
        <w:spacing w:before="120" w:after="120"/>
        <w:ind w:left="714" w:hanging="357"/>
        <w:contextualSpacing w:val="0"/>
        <w:jc w:val="both"/>
        <w:rPr>
          <w:rFonts w:ascii="Times New Roman" w:hAnsi="Times New Roman" w:cs="Times New Roman"/>
          <w:sz w:val="24"/>
          <w:szCs w:val="24"/>
        </w:rPr>
      </w:pPr>
      <w:r w:rsidRPr="00581B3B">
        <w:rPr>
          <w:rFonts w:ascii="Times New Roman" w:hAnsi="Times New Roman" w:cs="Times New Roman"/>
          <w:sz w:val="24"/>
          <w:szCs w:val="24"/>
        </w:rPr>
        <w:t>Предвидената идентична интервенция II.И.2. „Професионално обучение и придобиване на знания“ в рамките на СПРЗСР 2023-2027 г. при навременно стартиране ще осигури възможност за по-успешно прилагане на дейности по обучение и информираност от гледна точка на актуализираните цени на включените в опростените разходи елементи, гъвкавостта във формите на обучения (хибридно/онлайн, присъствено), като по този начин ще се отговори на очакванията както на обучаващите организации, така и на обучаемите лица;</w:t>
      </w:r>
    </w:p>
    <w:p w:rsidR="0043510A" w:rsidRPr="00581B3B" w:rsidRDefault="0043510A" w:rsidP="0043510A">
      <w:pPr>
        <w:pStyle w:val="ListParagraph"/>
        <w:numPr>
          <w:ilvl w:val="0"/>
          <w:numId w:val="20"/>
        </w:numPr>
        <w:spacing w:before="120" w:after="120"/>
        <w:ind w:left="714" w:hanging="357"/>
        <w:contextualSpacing w:val="0"/>
        <w:jc w:val="both"/>
        <w:rPr>
          <w:rFonts w:ascii="Times New Roman" w:hAnsi="Times New Roman" w:cs="Times New Roman"/>
          <w:sz w:val="24"/>
          <w:szCs w:val="24"/>
        </w:rPr>
      </w:pPr>
      <w:r w:rsidRPr="00581B3B">
        <w:rPr>
          <w:rFonts w:ascii="Times New Roman" w:hAnsi="Times New Roman" w:cs="Times New Roman"/>
          <w:sz w:val="24"/>
          <w:szCs w:val="24"/>
        </w:rPr>
        <w:lastRenderedPageBreak/>
        <w:t>Необходимост от актуализация на стойностите на опростените разходи по подмярката в ПРСР 2014-2020 г. от гледна точка на нивото на инфлация спрямо първоначално предвидените стойности през 2019 г. при вземане на решение за отваряне на нов прием е процес, който също отнема време и следва да бъде отразен в ПРСР 2014-2020 г.</w:t>
      </w:r>
    </w:p>
    <w:p w:rsidR="0043510A" w:rsidRPr="00581B3B" w:rsidRDefault="0043510A" w:rsidP="0043510A">
      <w:pPr>
        <w:spacing w:before="120" w:after="120" w:line="240" w:lineRule="auto"/>
        <w:jc w:val="both"/>
        <w:rPr>
          <w:rFonts w:ascii="Times New Roman" w:hAnsi="Times New Roman" w:cs="Times New Roman"/>
          <w:b/>
          <w:sz w:val="24"/>
          <w:szCs w:val="24"/>
        </w:rPr>
      </w:pPr>
      <w:r w:rsidRPr="00581B3B">
        <w:rPr>
          <w:rFonts w:ascii="Times New Roman" w:hAnsi="Times New Roman" w:cs="Times New Roman"/>
          <w:b/>
          <w:sz w:val="24"/>
          <w:szCs w:val="24"/>
        </w:rPr>
        <w:t>Подмярка 1.2 „Демонстрационни дейности“</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Подмярката предоставя възможност за провеждане на практически информационни занятия по определена тема с цел придобиване на информация и запознаване в реални практически условия на земеделските и горски стопани и заетите лица в техните стопанства с: представяне на технологии и специализирана техника за извършване на различни земеделски дейности, като обработване на почвата, прибиране на реколтата, напояване, торене, използване на препарати за растителна защита; техники, методи и оборудване за определяне на качеството на продукцията; нови сортове (хибриди) растения или подобрена порода животни; специални практики, техники и технологии или съоръжения.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Допустимите бенефициенти съгласно одобрената ПРСР 2014-2020 г. са висши учебни заведения</w:t>
      </w:r>
      <w:r w:rsidR="0092195C">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предоставящи обучение в сферата на селското стопанство, институти и опитни станции от структурите на селскостопанска академия (ССА) и Българска академия на науките (БАН) и професионални гимназии в сферата на горското и селското стопанство.</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 xml:space="preserve">Макар и на един по-късен етап тази дългоочаквана подмярка бе стартирана с провеждане на прием на проектни предложения в периода 18 юли – 30 октомври 2022 г.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Със съдействието на Национална селска мрежа, Национална служба за съвети в земеделието и медии в сферата на селското стопанство, Министерство на земеделието проведе информационна кампания, </w:t>
      </w:r>
      <w:r w:rsidR="00BF12C4" w:rsidRPr="00BF12C4">
        <w:rPr>
          <w:rFonts w:ascii="Times New Roman" w:eastAsia="Times New Roman" w:hAnsi="Times New Roman" w:cs="Times New Roman"/>
          <w:sz w:val="24"/>
          <w:szCs w:val="24"/>
          <w:lang w:eastAsia="bg-BG"/>
        </w:rPr>
        <w:t>за което свидетелстват множеството публикации в интернет пространството,</w:t>
      </w:r>
      <w:r w:rsidR="00BF12C4">
        <w:rPr>
          <w:rFonts w:ascii="Times New Roman" w:eastAsia="Times New Roman" w:hAnsi="Times New Roman" w:cs="Times New Roman"/>
          <w:sz w:val="24"/>
          <w:szCs w:val="24"/>
          <w:lang w:eastAsia="bg-BG"/>
        </w:rPr>
        <w:t xml:space="preserve"> </w:t>
      </w:r>
      <w:r w:rsidRPr="00581B3B">
        <w:rPr>
          <w:rFonts w:ascii="Times New Roman" w:eastAsia="Times New Roman" w:hAnsi="Times New Roman" w:cs="Times New Roman"/>
          <w:sz w:val="24"/>
          <w:szCs w:val="24"/>
          <w:lang w:eastAsia="bg-BG"/>
        </w:rPr>
        <w:t>имаща за цел да провокира интереса на потенциалните кандидати. Бе проведено и информационно събитие под формата на кръгла маса със съдействието на НСМ, на което на представителите на науката бяха запознати в детайли с правилата за прилагане на подмярката и целите, които се преследват с нея.</w:t>
      </w:r>
    </w:p>
    <w:p w:rsidR="0043510A" w:rsidRPr="00581B3B" w:rsidRDefault="0043510A" w:rsidP="00BF12C4">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Въпреки проявения интерес и декларираното желание за участие от страна на заинтересованите страни, в рамките на периода на прием постъпиха общо 14 проектни предложения, подлежащи на обработка, по които е заявен бюджет в размер на около 3.5 млн. евро, при обявен бюджет за приема в размер  на 15 млн. евро (целият наличен бюджет по подмярката). Следва да се отбележи, че във връзка с възможностите предвидени в българското законодателство периода на прием бе удължен с един месец, за да се гарантира, това не е пречка за окомплектоване и подаване на проектните предложения от потенциалните кандидати.</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Средният размер на едно подадено проектно предложение по процедурата е 127 хил. евро заявени разходи, респективно 127 хил. евро заявена БФП (при 100 % интензитет на финансовата помощ) при положение, че </w:t>
      </w:r>
      <w:r w:rsidRPr="00581B3B">
        <w:rPr>
          <w:rFonts w:ascii="Times New Roman" w:eastAsia="Times New Roman" w:hAnsi="Times New Roman" w:cs="Times New Roman"/>
          <w:sz w:val="24"/>
          <w:szCs w:val="24"/>
          <w:lang w:eastAsia="bg-BG"/>
        </w:rPr>
        <w:lastRenderedPageBreak/>
        <w:t>максималния</w:t>
      </w:r>
      <w:r w:rsidR="0001540E">
        <w:rPr>
          <w:rFonts w:ascii="Times New Roman" w:eastAsia="Times New Roman" w:hAnsi="Times New Roman" w:cs="Times New Roman"/>
          <w:sz w:val="24"/>
          <w:szCs w:val="24"/>
          <w:lang w:eastAsia="bg-BG"/>
        </w:rPr>
        <w:t>т</w:t>
      </w:r>
      <w:r w:rsidRPr="00581B3B">
        <w:rPr>
          <w:rFonts w:ascii="Times New Roman" w:eastAsia="Times New Roman" w:hAnsi="Times New Roman" w:cs="Times New Roman"/>
          <w:sz w:val="24"/>
          <w:szCs w:val="24"/>
          <w:lang w:eastAsia="bg-BG"/>
        </w:rPr>
        <w:t xml:space="preserve"> размер на допустимите разходи за един проект, представен от един кандидат възлиза на 500 000 евро съгласно насоките.</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Към настоящия момент, в резултат на оценка на постъпилите проектни предложения, общо 13 проекта с одобрен бюджет в размер на около 2.5 млн. евро са преминали успешно етап административно съответствие и допустимост. В кратки срокове предстои финализиране на етап Техническа и финансова оценка и пристъпване към сключване на договори с одобрените кандидати.</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Предвидените срокове за изпълнение на одобрените проекти са 30 месеца, считано от датата на сключване на договора за предоставяне на БФП, но не по-късно от октомври 2025 г. Следва да се има предвид, че всички бенефициенти са възложители по ЗОП, което от своя страна </w:t>
      </w:r>
      <w:r w:rsidR="00BF12C4">
        <w:rPr>
          <w:rFonts w:ascii="Times New Roman" w:eastAsia="Times New Roman" w:hAnsi="Times New Roman" w:cs="Times New Roman"/>
          <w:sz w:val="24"/>
          <w:szCs w:val="24"/>
          <w:lang w:eastAsia="bg-BG"/>
        </w:rPr>
        <w:t xml:space="preserve">в повечето случаи </w:t>
      </w:r>
      <w:r w:rsidRPr="00581B3B">
        <w:rPr>
          <w:rFonts w:ascii="Times New Roman" w:eastAsia="Times New Roman" w:hAnsi="Times New Roman" w:cs="Times New Roman"/>
          <w:sz w:val="24"/>
          <w:szCs w:val="24"/>
          <w:lang w:eastAsia="bg-BG"/>
        </w:rPr>
        <w:t xml:space="preserve">налага провеждане на процедури за избор на изпълнители преди реалното стартиране на демонстрациите. </w:t>
      </w:r>
    </w:p>
    <w:p w:rsidR="0043510A" w:rsidRPr="00581B3B" w:rsidRDefault="0043510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Една от вероятните основни причини за ниския интерес е необходимостта от префинансиране на одобрените дейности по проектите, като предвид ограничения финансов ресурс, с който научните институти и опитни станции разполагат това вероятно се е оказа основна пречка за кандидатстване и/или заявяване на по-амбициозни цели за демонстрации за повече лица в проектните предложения.</w:t>
      </w:r>
    </w:p>
    <w:p w:rsidR="0043510A" w:rsidRPr="00581B3B" w:rsidRDefault="0043510A" w:rsidP="00392D11">
      <w:pPr>
        <w:jc w:val="both"/>
        <w:rPr>
          <w:rFonts w:ascii="Times New Roman" w:hAnsi="Times New Roman" w:cs="Times New Roman"/>
          <w:sz w:val="24"/>
          <w:szCs w:val="24"/>
        </w:rPr>
      </w:pPr>
      <w:r w:rsidRPr="00581B3B">
        <w:rPr>
          <w:rFonts w:ascii="Times New Roman" w:eastAsia="Times New Roman" w:hAnsi="Times New Roman" w:cs="Times New Roman"/>
          <w:sz w:val="24"/>
          <w:szCs w:val="24"/>
          <w:lang w:eastAsia="bg-BG"/>
        </w:rPr>
        <w:t>Във връзка с гореизложеното, предвид проведената целенасочена информационна кампания, наличие на предвидена идентична дейност в рамките на интервенция II.И.2. „Професионално обучение и придобиване на зна</w:t>
      </w:r>
      <w:r w:rsidRPr="00581B3B">
        <w:rPr>
          <w:rFonts w:ascii="Times New Roman" w:eastAsia="Times New Roman" w:hAnsi="Times New Roman" w:cs="Times New Roman"/>
          <w:sz w:val="24"/>
          <w:szCs w:val="24"/>
          <w:lang w:eastAsia="bg-BG"/>
        </w:rPr>
        <w:lastRenderedPageBreak/>
        <w:t>ния“ в рамките на СПРЗСР 2023-2027 г., във връзка с времето, необходимо за оценка на проектни предложения и сроковете за изпълнение на одобрените проекти</w:t>
      </w:r>
      <w:r w:rsidR="00BF12C4">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w:t>
      </w:r>
      <w:r w:rsidR="00BF12C4" w:rsidRPr="00BF12C4">
        <w:rPr>
          <w:rFonts w:ascii="Times New Roman" w:eastAsia="Times New Roman" w:hAnsi="Times New Roman" w:cs="Times New Roman"/>
          <w:sz w:val="24"/>
          <w:szCs w:val="24"/>
          <w:lang w:eastAsia="bg-BG"/>
        </w:rPr>
        <w:t>както и във връзка с оставащото време до края на програмния период</w:t>
      </w:r>
      <w:r w:rsidRPr="00581B3B">
        <w:rPr>
          <w:rFonts w:ascii="Times New Roman" w:eastAsia="Times New Roman" w:hAnsi="Times New Roman" w:cs="Times New Roman"/>
          <w:sz w:val="24"/>
          <w:szCs w:val="24"/>
          <w:lang w:eastAsia="bg-BG"/>
        </w:rPr>
        <w:t>, УО на ПРСР счита за целесъобразно финансов ресурс</w:t>
      </w:r>
      <w:r w:rsidRPr="00581B3B">
        <w:rPr>
          <w:rFonts w:ascii="Times New Roman" w:hAnsi="Times New Roman" w:cs="Times New Roman"/>
          <w:sz w:val="24"/>
          <w:szCs w:val="24"/>
        </w:rPr>
        <w:t xml:space="preserve"> в размер на </w:t>
      </w:r>
      <w:r w:rsidRPr="00581B3B">
        <w:rPr>
          <w:rFonts w:ascii="Times New Roman" w:hAnsi="Times New Roman" w:cs="Times New Roman"/>
          <w:b/>
          <w:sz w:val="24"/>
          <w:szCs w:val="24"/>
        </w:rPr>
        <w:t>12 млн. евро ЕЗФРСР</w:t>
      </w:r>
      <w:r w:rsidRPr="00581B3B">
        <w:rPr>
          <w:rFonts w:ascii="Times New Roman" w:hAnsi="Times New Roman" w:cs="Times New Roman"/>
          <w:sz w:val="24"/>
          <w:szCs w:val="24"/>
        </w:rPr>
        <w:t xml:space="preserve"> да бъде изведен от бюджета на подмярката и пренасочен в други мерки/подмерки.</w:t>
      </w:r>
    </w:p>
    <w:p w:rsidR="00A90AB6" w:rsidRPr="00581B3B" w:rsidRDefault="00A90AB6"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Прогнозният остатък </w:t>
      </w:r>
      <w:r w:rsidR="0043510A" w:rsidRPr="00581B3B">
        <w:rPr>
          <w:rFonts w:ascii="Times New Roman" w:eastAsia="Times New Roman" w:hAnsi="Times New Roman" w:cs="Times New Roman"/>
          <w:sz w:val="24"/>
          <w:szCs w:val="24"/>
          <w:lang w:eastAsia="bg-BG"/>
        </w:rPr>
        <w:t xml:space="preserve">общо </w:t>
      </w:r>
      <w:r w:rsidRPr="00581B3B">
        <w:rPr>
          <w:rFonts w:ascii="Times New Roman" w:eastAsia="Times New Roman" w:hAnsi="Times New Roman" w:cs="Times New Roman"/>
          <w:sz w:val="24"/>
          <w:szCs w:val="24"/>
          <w:lang w:eastAsia="bg-BG"/>
        </w:rPr>
        <w:t xml:space="preserve">по </w:t>
      </w:r>
      <w:r w:rsidR="00BF12C4" w:rsidRPr="00BF12C4">
        <w:rPr>
          <w:rFonts w:ascii="Times New Roman" w:eastAsia="Times New Roman" w:hAnsi="Times New Roman" w:cs="Times New Roman"/>
          <w:sz w:val="24"/>
          <w:szCs w:val="24"/>
          <w:lang w:eastAsia="bg-BG"/>
        </w:rPr>
        <w:t>мярка 1 „Трансфер на знания и действия за осведомяване“</w:t>
      </w:r>
      <w:r w:rsidR="00BF12C4">
        <w:rPr>
          <w:rFonts w:ascii="Times New Roman" w:eastAsia="Times New Roman" w:hAnsi="Times New Roman" w:cs="Times New Roman"/>
          <w:sz w:val="24"/>
          <w:szCs w:val="24"/>
          <w:lang w:eastAsia="bg-BG"/>
        </w:rPr>
        <w:t xml:space="preserve"> </w:t>
      </w:r>
      <w:r w:rsidRPr="00581B3B">
        <w:rPr>
          <w:rFonts w:ascii="Times New Roman" w:eastAsia="Times New Roman" w:hAnsi="Times New Roman" w:cs="Times New Roman"/>
          <w:sz w:val="24"/>
          <w:szCs w:val="24"/>
          <w:lang w:eastAsia="bg-BG"/>
        </w:rPr>
        <w:t xml:space="preserve">е приблизително 15 млн. евро </w:t>
      </w:r>
      <w:r w:rsidR="00BF12C4">
        <w:rPr>
          <w:rFonts w:ascii="Times New Roman" w:eastAsia="Times New Roman" w:hAnsi="Times New Roman" w:cs="Times New Roman"/>
          <w:sz w:val="24"/>
          <w:szCs w:val="24"/>
          <w:lang w:eastAsia="bg-BG"/>
        </w:rPr>
        <w:t xml:space="preserve">публични разходи </w:t>
      </w:r>
      <w:r w:rsidRPr="00581B3B">
        <w:rPr>
          <w:rFonts w:ascii="Times New Roman" w:eastAsia="Times New Roman" w:hAnsi="Times New Roman" w:cs="Times New Roman"/>
          <w:sz w:val="24"/>
          <w:szCs w:val="24"/>
          <w:lang w:eastAsia="bg-BG"/>
        </w:rPr>
        <w:t>(Таблица № 7), които се предвижда да бъдат пренасочени съответно към мерки, допринасящи към Приоритет № 6, или към Техническа помощ на ПРСР 2014-2020 г.</w:t>
      </w:r>
    </w:p>
    <w:p w:rsidR="000C451A" w:rsidRPr="00581B3B" w:rsidRDefault="00B37FB8" w:rsidP="00A90AB6">
      <w:pPr>
        <w:ind w:firstLine="567"/>
        <w:jc w:val="both"/>
        <w:rPr>
          <w:rFonts w:ascii="Times New Roman" w:eastAsia="Times New Roman" w:hAnsi="Times New Roman" w:cs="Times New Roman"/>
          <w:b/>
          <w:sz w:val="24"/>
          <w:szCs w:val="24"/>
          <w:lang w:eastAsia="bg-BG"/>
        </w:rPr>
      </w:pPr>
      <w:r w:rsidRPr="00581B3B">
        <w:rPr>
          <w:rFonts w:ascii="Times New Roman" w:eastAsia="Times New Roman" w:hAnsi="Times New Roman" w:cs="Times New Roman"/>
          <w:b/>
          <w:sz w:val="24"/>
          <w:szCs w:val="24"/>
          <w:lang w:eastAsia="bg-BG"/>
        </w:rPr>
        <w:t xml:space="preserve">Таблица </w:t>
      </w:r>
      <w:r w:rsidR="007616BE" w:rsidRPr="00581B3B">
        <w:rPr>
          <w:rFonts w:ascii="Times New Roman" w:eastAsia="Times New Roman" w:hAnsi="Times New Roman" w:cs="Times New Roman"/>
          <w:b/>
          <w:sz w:val="24"/>
          <w:szCs w:val="24"/>
          <w:lang w:eastAsia="bg-BG"/>
        </w:rPr>
        <w:t>7</w:t>
      </w:r>
      <w:r w:rsidRPr="00581B3B">
        <w:rPr>
          <w:rFonts w:ascii="Times New Roman" w:eastAsia="Times New Roman" w:hAnsi="Times New Roman" w:cs="Times New Roman"/>
          <w:b/>
          <w:sz w:val="24"/>
          <w:szCs w:val="24"/>
          <w:lang w:eastAsia="bg-BG"/>
        </w:rPr>
        <w:t>:</w:t>
      </w:r>
    </w:p>
    <w:tbl>
      <w:tblPr>
        <w:tblW w:w="5496" w:type="pct"/>
        <w:tblInd w:w="-431" w:type="dxa"/>
        <w:tblLook w:val="04A0" w:firstRow="1" w:lastRow="0" w:firstColumn="1" w:lastColumn="0" w:noHBand="0" w:noVBand="1"/>
      </w:tblPr>
      <w:tblGrid>
        <w:gridCol w:w="1557"/>
        <w:gridCol w:w="797"/>
        <w:gridCol w:w="796"/>
        <w:gridCol w:w="688"/>
        <w:gridCol w:w="843"/>
        <w:gridCol w:w="796"/>
        <w:gridCol w:w="796"/>
        <w:gridCol w:w="796"/>
        <w:gridCol w:w="688"/>
        <w:gridCol w:w="796"/>
        <w:gridCol w:w="796"/>
        <w:gridCol w:w="860"/>
      </w:tblGrid>
      <w:tr w:rsidR="00B37FB8" w:rsidRPr="00581B3B" w:rsidTr="00A90AB6">
        <w:trPr>
          <w:trHeight w:val="780"/>
        </w:trPr>
        <w:tc>
          <w:tcPr>
            <w:tcW w:w="762"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bottom"/>
            <w:hideMark/>
          </w:tcPr>
          <w:p w:rsidR="00B37FB8" w:rsidRPr="00581B3B" w:rsidRDefault="00B37FB8"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Mярка 1 – „Трансфер на знания и действия за осведомяване“/Фокус област</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2A</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w:t>
            </w:r>
            <w:r w:rsidR="00A90AB6" w:rsidRPr="00581B3B">
              <w:rPr>
                <w:rFonts w:ascii="Times New Roman" w:eastAsia="Times New Roman" w:hAnsi="Times New Roman" w:cs="Times New Roman"/>
                <w:sz w:val="14"/>
                <w:szCs w:val="14"/>
              </w:rPr>
              <w:t>Б</w:t>
            </w:r>
          </w:p>
        </w:tc>
        <w:tc>
          <w:tcPr>
            <w:tcW w:w="337"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3A</w:t>
            </w:r>
          </w:p>
        </w:tc>
        <w:tc>
          <w:tcPr>
            <w:tcW w:w="413"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w:t>
            </w:r>
            <w:r w:rsidR="00A90AB6" w:rsidRPr="00581B3B">
              <w:rPr>
                <w:rFonts w:ascii="Times New Roman" w:eastAsia="Times New Roman" w:hAnsi="Times New Roman" w:cs="Times New Roman"/>
                <w:sz w:val="14"/>
                <w:szCs w:val="14"/>
              </w:rPr>
              <w:t>Б</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A90AB6"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П</w:t>
            </w:r>
            <w:r w:rsidR="00B37FB8" w:rsidRPr="00581B3B">
              <w:rPr>
                <w:rFonts w:ascii="Times New Roman" w:eastAsia="Times New Roman" w:hAnsi="Times New Roman" w:cs="Times New Roman"/>
                <w:sz w:val="14"/>
                <w:szCs w:val="14"/>
              </w:rPr>
              <w:t>4</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5A</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w:t>
            </w:r>
            <w:r w:rsidR="00A90AB6" w:rsidRPr="00581B3B">
              <w:rPr>
                <w:rFonts w:ascii="Times New Roman" w:eastAsia="Times New Roman" w:hAnsi="Times New Roman" w:cs="Times New Roman"/>
                <w:sz w:val="14"/>
                <w:szCs w:val="14"/>
              </w:rPr>
              <w:t>Б</w:t>
            </w:r>
          </w:p>
        </w:tc>
        <w:tc>
          <w:tcPr>
            <w:tcW w:w="337"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w:t>
            </w:r>
            <w:r w:rsidR="00A90AB6" w:rsidRPr="00581B3B">
              <w:rPr>
                <w:rFonts w:ascii="Times New Roman" w:eastAsia="Times New Roman" w:hAnsi="Times New Roman" w:cs="Times New Roman"/>
                <w:sz w:val="14"/>
                <w:szCs w:val="14"/>
              </w:rPr>
              <w:t>В</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w:t>
            </w:r>
            <w:r w:rsidR="00A90AB6" w:rsidRPr="00581B3B">
              <w:rPr>
                <w:rFonts w:ascii="Times New Roman" w:eastAsia="Times New Roman" w:hAnsi="Times New Roman" w:cs="Times New Roman"/>
                <w:sz w:val="14"/>
                <w:szCs w:val="14"/>
              </w:rPr>
              <w:t>Г</w:t>
            </w:r>
          </w:p>
        </w:tc>
        <w:tc>
          <w:tcPr>
            <w:tcW w:w="390"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A90AB6">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w:t>
            </w:r>
            <w:r w:rsidR="00A90AB6" w:rsidRPr="00581B3B">
              <w:rPr>
                <w:rFonts w:ascii="Times New Roman" w:eastAsia="Times New Roman" w:hAnsi="Times New Roman" w:cs="Times New Roman"/>
                <w:sz w:val="14"/>
                <w:szCs w:val="14"/>
              </w:rPr>
              <w:t>Д</w:t>
            </w:r>
          </w:p>
        </w:tc>
        <w:tc>
          <w:tcPr>
            <w:tcW w:w="425" w:type="pct"/>
            <w:tcBorders>
              <w:top w:val="single" w:sz="4" w:space="0" w:color="auto"/>
              <w:left w:val="nil"/>
              <w:bottom w:val="single" w:sz="4" w:space="0" w:color="auto"/>
              <w:right w:val="single" w:sz="4" w:space="0" w:color="auto"/>
            </w:tcBorders>
            <w:shd w:val="clear" w:color="000000" w:fill="D9D9D9" w:themeFill="background1" w:themeFillShade="D9"/>
            <w:vAlign w:val="bottom"/>
            <w:hideMark/>
          </w:tcPr>
          <w:p w:rsidR="00B37FB8" w:rsidRPr="00581B3B" w:rsidRDefault="00B37FB8" w:rsidP="00B37FB8">
            <w:pPr>
              <w:spacing w:after="0" w:line="240" w:lineRule="auto"/>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Общо, евро публични средства</w:t>
            </w:r>
          </w:p>
        </w:tc>
      </w:tr>
      <w:tr w:rsidR="00B37FB8" w:rsidRPr="00581B3B" w:rsidTr="003E76CF">
        <w:trPr>
          <w:trHeight w:val="300"/>
        </w:trPr>
        <w:tc>
          <w:tcPr>
            <w:tcW w:w="762" w:type="pct"/>
            <w:tcBorders>
              <w:top w:val="nil"/>
              <w:left w:val="single" w:sz="4" w:space="0" w:color="auto"/>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Програмирани</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5 000 000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2 000 000</w:t>
            </w:r>
          </w:p>
        </w:tc>
        <w:tc>
          <w:tcPr>
            <w:tcW w:w="337"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200 000</w:t>
            </w:r>
          </w:p>
        </w:tc>
        <w:tc>
          <w:tcPr>
            <w:tcW w:w="413"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200 000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3 505 404</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4 000 000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2 550 000</w:t>
            </w:r>
          </w:p>
        </w:tc>
        <w:tc>
          <w:tcPr>
            <w:tcW w:w="337"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550 000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3 694 596</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1 300 000</w:t>
            </w:r>
          </w:p>
        </w:tc>
        <w:tc>
          <w:tcPr>
            <w:tcW w:w="425"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23 000 000</w:t>
            </w:r>
          </w:p>
        </w:tc>
      </w:tr>
      <w:tr w:rsidR="00B37FB8" w:rsidRPr="00581B3B" w:rsidTr="00A90AB6">
        <w:trPr>
          <w:trHeight w:val="435"/>
        </w:trPr>
        <w:tc>
          <w:tcPr>
            <w:tcW w:w="762" w:type="pct"/>
            <w:tcBorders>
              <w:top w:val="nil"/>
              <w:left w:val="single" w:sz="4" w:space="0" w:color="auto"/>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Договори</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2 228 723</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738 809</w:t>
            </w:r>
          </w:p>
        </w:tc>
        <w:tc>
          <w:tcPr>
            <w:tcW w:w="337"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151 073</w:t>
            </w:r>
          </w:p>
        </w:tc>
        <w:tc>
          <w:tcPr>
            <w:tcW w:w="413"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1 213 240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1 288 660</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1 027 842</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309 869</w:t>
            </w:r>
          </w:p>
        </w:tc>
        <w:tc>
          <w:tcPr>
            <w:tcW w:w="337"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120 859</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390 569</w:t>
            </w:r>
          </w:p>
        </w:tc>
        <w:tc>
          <w:tcPr>
            <w:tcW w:w="390"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649 270</w:t>
            </w:r>
          </w:p>
        </w:tc>
        <w:tc>
          <w:tcPr>
            <w:tcW w:w="425" w:type="pct"/>
            <w:tcBorders>
              <w:top w:val="nil"/>
              <w:left w:val="nil"/>
              <w:bottom w:val="single" w:sz="4" w:space="0" w:color="auto"/>
              <w:right w:val="single" w:sz="4" w:space="0" w:color="auto"/>
            </w:tcBorders>
            <w:shd w:val="clear" w:color="auto" w:fill="auto"/>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8 118 913</w:t>
            </w:r>
          </w:p>
        </w:tc>
      </w:tr>
      <w:tr w:rsidR="00B37FB8" w:rsidRPr="00581B3B" w:rsidTr="00A90AB6">
        <w:trPr>
          <w:trHeight w:val="300"/>
        </w:trPr>
        <w:tc>
          <w:tcPr>
            <w:tcW w:w="762"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Остатък</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2 771 277</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1 261 191</w:t>
            </w:r>
          </w:p>
        </w:tc>
        <w:tc>
          <w:tcPr>
            <w:tcW w:w="337"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48 927</w:t>
            </w:r>
          </w:p>
        </w:tc>
        <w:tc>
          <w:tcPr>
            <w:tcW w:w="413"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-1 013 240</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2 216 745</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2 972 158</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2 240 131</w:t>
            </w:r>
          </w:p>
        </w:tc>
        <w:tc>
          <w:tcPr>
            <w:tcW w:w="337"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429 141</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3 304 026</w:t>
            </w:r>
          </w:p>
        </w:tc>
        <w:tc>
          <w:tcPr>
            <w:tcW w:w="390"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650 730</w:t>
            </w:r>
          </w:p>
        </w:tc>
        <w:tc>
          <w:tcPr>
            <w:tcW w:w="425" w:type="pct"/>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B37FB8" w:rsidRPr="00581B3B" w:rsidRDefault="00B37FB8" w:rsidP="00B37FB8">
            <w:pPr>
              <w:spacing w:after="0" w:line="240" w:lineRule="auto"/>
              <w:jc w:val="right"/>
              <w:rPr>
                <w:rFonts w:ascii="Times New Roman" w:eastAsia="Times New Roman" w:hAnsi="Times New Roman" w:cs="Times New Roman"/>
                <w:b/>
                <w:bCs/>
                <w:sz w:val="14"/>
                <w:szCs w:val="14"/>
              </w:rPr>
            </w:pPr>
            <w:r w:rsidRPr="00581B3B">
              <w:rPr>
                <w:rFonts w:ascii="Times New Roman" w:eastAsia="Times New Roman" w:hAnsi="Times New Roman" w:cs="Times New Roman"/>
                <w:b/>
                <w:bCs/>
                <w:sz w:val="14"/>
                <w:szCs w:val="14"/>
              </w:rPr>
              <w:t>14 881 087</w:t>
            </w:r>
          </w:p>
        </w:tc>
      </w:tr>
    </w:tbl>
    <w:p w:rsidR="000C451A" w:rsidRPr="00581B3B" w:rsidRDefault="000C451A" w:rsidP="00B35E6D">
      <w:pPr>
        <w:pStyle w:val="Heading2"/>
        <w:numPr>
          <w:ilvl w:val="0"/>
          <w:numId w:val="0"/>
        </w:numPr>
        <w:ind w:left="567"/>
      </w:pPr>
    </w:p>
    <w:p w:rsidR="00C75C20" w:rsidRPr="00581B3B" w:rsidRDefault="00B35E6D" w:rsidP="00B35E6D">
      <w:pPr>
        <w:pStyle w:val="Heading2"/>
        <w:numPr>
          <w:ilvl w:val="0"/>
          <w:numId w:val="0"/>
        </w:numPr>
      </w:pPr>
      <w:bookmarkStart w:id="20" w:name="_Toc129857573"/>
      <w:bookmarkStart w:id="21" w:name="_Toc130370324"/>
      <w:r>
        <w:t xml:space="preserve">11.2. </w:t>
      </w:r>
      <w:r w:rsidR="00362338" w:rsidRPr="00581B3B">
        <w:t>Извеждане на средства от мярка</w:t>
      </w:r>
      <w:r w:rsidR="00C75C20" w:rsidRPr="00581B3B">
        <w:t xml:space="preserve"> 6 „Развитие на стопанства и предприятия“</w:t>
      </w:r>
      <w:bookmarkEnd w:id="20"/>
      <w:bookmarkEnd w:id="21"/>
    </w:p>
    <w:p w:rsidR="00EF32DD" w:rsidRPr="00581B3B" w:rsidRDefault="00C75C20" w:rsidP="00392D11">
      <w:pPr>
        <w:jc w:val="both"/>
        <w:rPr>
          <w:rFonts w:ascii="Times New Roman" w:hAnsi="Times New Roman"/>
          <w:sz w:val="24"/>
          <w:szCs w:val="24"/>
        </w:rPr>
      </w:pPr>
      <w:r w:rsidRPr="00581B3B">
        <w:rPr>
          <w:rFonts w:ascii="Times New Roman" w:hAnsi="Times New Roman"/>
          <w:sz w:val="24"/>
          <w:szCs w:val="24"/>
        </w:rPr>
        <w:t>Мярка 6 „Развитие на стопанства и предприятия“ към момента включва три стартирали</w:t>
      </w:r>
      <w:r w:rsidR="00362338" w:rsidRPr="00581B3B">
        <w:rPr>
          <w:rFonts w:ascii="Times New Roman" w:hAnsi="Times New Roman"/>
          <w:sz w:val="24"/>
          <w:szCs w:val="24"/>
        </w:rPr>
        <w:t xml:space="preserve"> подмерки - </w:t>
      </w:r>
      <w:r w:rsidRPr="00581B3B">
        <w:rPr>
          <w:rFonts w:ascii="Times New Roman" w:hAnsi="Times New Roman"/>
          <w:sz w:val="24"/>
          <w:szCs w:val="24"/>
        </w:rPr>
        <w:t>6.1</w:t>
      </w:r>
      <w:r w:rsidR="00362338" w:rsidRPr="00581B3B">
        <w:rPr>
          <w:rFonts w:ascii="Times New Roman" w:hAnsi="Times New Roman"/>
          <w:sz w:val="24"/>
          <w:szCs w:val="24"/>
        </w:rPr>
        <w:t xml:space="preserve"> </w:t>
      </w:r>
      <w:r w:rsidRPr="00581B3B">
        <w:rPr>
          <w:rFonts w:ascii="Times New Roman" w:hAnsi="Times New Roman"/>
          <w:sz w:val="24"/>
          <w:szCs w:val="24"/>
        </w:rPr>
        <w:t>„Стартова помощ за млади земеделски</w:t>
      </w:r>
      <w:r w:rsidR="006236FB" w:rsidRPr="00581B3B">
        <w:rPr>
          <w:rFonts w:ascii="Times New Roman" w:hAnsi="Times New Roman"/>
          <w:sz w:val="24"/>
          <w:szCs w:val="24"/>
        </w:rPr>
        <w:t xml:space="preserve"> </w:t>
      </w:r>
      <w:r w:rsidRPr="00581B3B">
        <w:rPr>
          <w:rFonts w:ascii="Times New Roman" w:hAnsi="Times New Roman"/>
          <w:sz w:val="24"/>
          <w:szCs w:val="24"/>
        </w:rPr>
        <w:t>стопани“, 6.3 „Стартова помощ за развитието на малки стопанства“</w:t>
      </w:r>
      <w:r w:rsidR="00362338" w:rsidRPr="00581B3B">
        <w:rPr>
          <w:rFonts w:ascii="Times New Roman" w:hAnsi="Times New Roman"/>
          <w:sz w:val="24"/>
          <w:szCs w:val="24"/>
        </w:rPr>
        <w:t xml:space="preserve"> и </w:t>
      </w:r>
      <w:r w:rsidRPr="00581B3B">
        <w:rPr>
          <w:rFonts w:ascii="Times New Roman" w:hAnsi="Times New Roman"/>
          <w:sz w:val="24"/>
          <w:szCs w:val="24"/>
        </w:rPr>
        <w:t xml:space="preserve">6.4.1 „Инвестиционна подкрепа за неземеделски дейности“, и една нестартирала подмярка </w:t>
      </w:r>
      <w:r w:rsidR="00B45B2A" w:rsidRPr="00581B3B">
        <w:rPr>
          <w:rFonts w:ascii="Times New Roman" w:hAnsi="Times New Roman"/>
          <w:sz w:val="24"/>
          <w:szCs w:val="24"/>
        </w:rPr>
        <w:t>–</w:t>
      </w:r>
      <w:r w:rsidRPr="00581B3B">
        <w:rPr>
          <w:rFonts w:ascii="Times New Roman" w:hAnsi="Times New Roman"/>
          <w:sz w:val="24"/>
          <w:szCs w:val="24"/>
        </w:rPr>
        <w:t xml:space="preserve"> 6.4.2 „Инвестиции в подкрепа на неземеделски дейности по Тематичната подпрограма за развитието на малки стопанства“.</w:t>
      </w:r>
    </w:p>
    <w:p w:rsidR="00C75C20" w:rsidRPr="000728C6" w:rsidRDefault="00EF32DD" w:rsidP="00392D11">
      <w:pPr>
        <w:jc w:val="both"/>
        <w:rPr>
          <w:rFonts w:ascii="Times New Roman" w:hAnsi="Times New Roman"/>
          <w:b/>
          <w:sz w:val="24"/>
          <w:szCs w:val="24"/>
        </w:rPr>
      </w:pPr>
      <w:r w:rsidRPr="000728C6">
        <w:rPr>
          <w:rFonts w:ascii="Times New Roman" w:hAnsi="Times New Roman"/>
          <w:b/>
          <w:sz w:val="24"/>
          <w:szCs w:val="24"/>
        </w:rPr>
        <w:lastRenderedPageBreak/>
        <w:t xml:space="preserve">Подмярка 6.1 </w:t>
      </w:r>
      <w:r w:rsidR="000728C6" w:rsidRPr="000728C6">
        <w:rPr>
          <w:rFonts w:ascii="Times New Roman" w:hAnsi="Times New Roman"/>
          <w:b/>
          <w:sz w:val="24"/>
          <w:szCs w:val="24"/>
        </w:rPr>
        <w:t>„Стартова помощ за млади земеделски стопани“</w:t>
      </w:r>
      <w:r w:rsidR="00C75C20" w:rsidRPr="000728C6">
        <w:rPr>
          <w:rFonts w:ascii="Times New Roman" w:hAnsi="Times New Roman"/>
          <w:b/>
          <w:sz w:val="24"/>
          <w:szCs w:val="24"/>
        </w:rPr>
        <w:t xml:space="preserve"> </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В периода на прилагане на програмата са проведени четири приема по подмярка 6.1 „Стартова помощ за млади земеделски стопани“. Първият е проведен през 2015 г. по реда на Наредба №</w:t>
      </w:r>
      <w:r w:rsidR="006236FB" w:rsidRPr="00581B3B">
        <w:rPr>
          <w:rFonts w:ascii="Times New Roman" w:hAnsi="Times New Roman"/>
          <w:sz w:val="24"/>
          <w:szCs w:val="24"/>
        </w:rPr>
        <w:t xml:space="preserve"> </w:t>
      </w:r>
      <w:r w:rsidRPr="00581B3B">
        <w:rPr>
          <w:rFonts w:ascii="Times New Roman" w:hAnsi="Times New Roman"/>
          <w:sz w:val="24"/>
          <w:szCs w:val="24"/>
        </w:rPr>
        <w:t>14 от 28.05.2015 г., като са подадени над 2 600 проектни предложения, от които са сключени малко над 1 100 договора за предоставяне на безвъзмездна финансова помощ.</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Проведеният през 2019 г. прием на проектни предложения е изцяло по електронен начин по правилата на ЗУСЕСИФ през ИСУН 2020. Подадени са над 1 600 проектни предложения, от които са сключени малко над 950 договора за предоставяне на безвъзмездна финансова помощ с млади земеделски стопани. </w:t>
      </w:r>
    </w:p>
    <w:p w:rsidR="006236FB"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На база опита от предходни приеми и с цел улесняване на кандидатите/бенефициенти по подмярката, условията за кандидатстване и условията за изпълнение са прецизирани, от тях са отпаднали част от изискуемите документи, предвидено е извършване на проверки по служебен път, когато обстоятелствата са достъпни чрез публичен регистър или компетентния орган има осигурен достъп до исканата информация или обстоятелства. </w:t>
      </w:r>
    </w:p>
    <w:p w:rsidR="00C75C20" w:rsidRPr="00F760BD" w:rsidRDefault="00C75C20" w:rsidP="00392D11">
      <w:pPr>
        <w:jc w:val="both"/>
        <w:rPr>
          <w:rFonts w:ascii="Times New Roman" w:hAnsi="Times New Roman"/>
          <w:sz w:val="24"/>
          <w:szCs w:val="24"/>
          <w:lang w:val="en-GB"/>
        </w:rPr>
      </w:pPr>
      <w:r w:rsidRPr="00581B3B">
        <w:rPr>
          <w:rFonts w:ascii="Times New Roman" w:hAnsi="Times New Roman"/>
          <w:sz w:val="24"/>
          <w:szCs w:val="24"/>
        </w:rPr>
        <w:t xml:space="preserve">Третият прием по подмярката е проведен в периода 25.11.2021 г. – 28.02.2022 г. като са подадени около 200 проектни предложения, от които са сключени малко над 160 </w:t>
      </w:r>
      <w:r w:rsidRPr="00F760BD">
        <w:rPr>
          <w:rFonts w:ascii="Times New Roman" w:hAnsi="Times New Roman"/>
          <w:sz w:val="24"/>
          <w:szCs w:val="24"/>
        </w:rPr>
        <w:t xml:space="preserve">договора за предоставяне на безвъзмездна финансова помощ с млади земеделски стопани. Последният прием приключи на 31.03.2023 г., с предвиден бюджет за подпомагане на около 600 млади земеделски стопани. В него освен облекчени условия за кандидатстване и условия за изпълнение, кандидатите имаха възможност да се възползват от безвъзмездно изготвяне </w:t>
      </w:r>
      <w:r w:rsidRPr="00F760BD">
        <w:rPr>
          <w:rFonts w:ascii="Times New Roman" w:hAnsi="Times New Roman"/>
          <w:sz w:val="24"/>
          <w:szCs w:val="24"/>
        </w:rPr>
        <w:lastRenderedPageBreak/>
        <w:t>на бизнес план и предостав</w:t>
      </w:r>
      <w:r w:rsidR="00F760BD" w:rsidRPr="00F760BD">
        <w:rPr>
          <w:rFonts w:ascii="Times New Roman" w:hAnsi="Times New Roman"/>
          <w:sz w:val="24"/>
          <w:szCs w:val="24"/>
        </w:rPr>
        <w:t>яне на консултантски услуги</w:t>
      </w:r>
      <w:r w:rsidR="00F760BD" w:rsidRPr="00F760BD">
        <w:rPr>
          <w:rFonts w:ascii="Times New Roman" w:hAnsi="Times New Roman"/>
          <w:sz w:val="24"/>
          <w:szCs w:val="24"/>
          <w:lang w:val="en-GB"/>
        </w:rPr>
        <w:t xml:space="preserve"> </w:t>
      </w:r>
      <w:r w:rsidR="00F760BD" w:rsidRPr="00F760BD">
        <w:rPr>
          <w:rFonts w:ascii="Times New Roman" w:hAnsi="Times New Roman"/>
          <w:sz w:val="24"/>
          <w:szCs w:val="24"/>
        </w:rPr>
        <w:t>от страна на Национална служба за съвети в земеделието, Научен център по животновъдство и земеделие – Смолян и „Академис“ ЕООД. Договорите с трите организации са сключени след проведена процедура по подмярка 2.1.1 „Консултантски услуги за земеделски и горски стопани“ за избор на съветнически организации, във връзка с предстоящ прием по подмярката.</w:t>
      </w:r>
      <w:r w:rsidR="00F760BD" w:rsidRPr="00F760BD">
        <w:rPr>
          <w:rFonts w:ascii="Times New Roman" w:hAnsi="Times New Roman"/>
          <w:sz w:val="24"/>
          <w:szCs w:val="24"/>
          <w:lang w:val="en-GB"/>
        </w:rPr>
        <w:t xml:space="preserve"> </w:t>
      </w:r>
      <w:r w:rsidRPr="00F760BD">
        <w:rPr>
          <w:rFonts w:ascii="Times New Roman" w:hAnsi="Times New Roman"/>
          <w:sz w:val="24"/>
          <w:szCs w:val="24"/>
        </w:rPr>
        <w:t>Въпреки, че срокът за подаване на документи беше удължен, са постъпили едва 480 проектни предложения, които са в процес на разглеждане от страна на ДФ „Земеделие“.</w:t>
      </w:r>
      <w:r w:rsidRPr="00581B3B">
        <w:rPr>
          <w:rFonts w:ascii="Times New Roman" w:hAnsi="Times New Roman"/>
          <w:sz w:val="24"/>
          <w:szCs w:val="24"/>
        </w:rPr>
        <w:t xml:space="preserve"> </w:t>
      </w:r>
    </w:p>
    <w:p w:rsidR="00F760BD" w:rsidRDefault="000728C6" w:rsidP="00392D11">
      <w:pPr>
        <w:jc w:val="both"/>
        <w:rPr>
          <w:rFonts w:ascii="Times New Roman" w:hAnsi="Times New Roman"/>
          <w:sz w:val="24"/>
          <w:szCs w:val="24"/>
          <w:lang w:val="en-GB"/>
        </w:rPr>
      </w:pPr>
      <w:r>
        <w:rPr>
          <w:rFonts w:ascii="Times New Roman" w:hAnsi="Times New Roman"/>
          <w:sz w:val="24"/>
          <w:szCs w:val="24"/>
        </w:rPr>
        <w:t>Предприетите от страна на УО мерки не постигнаха очаквания резултат, тъй като з</w:t>
      </w:r>
      <w:r w:rsidR="00C75C20" w:rsidRPr="00581B3B">
        <w:rPr>
          <w:rFonts w:ascii="Times New Roman" w:hAnsi="Times New Roman"/>
          <w:sz w:val="24"/>
          <w:szCs w:val="24"/>
        </w:rPr>
        <w:t>емеделските стопани са едни от най-засегнатите вследствие на влошената икономическата обстановка</w:t>
      </w:r>
      <w:r>
        <w:rPr>
          <w:rFonts w:ascii="Times New Roman" w:hAnsi="Times New Roman"/>
          <w:sz w:val="24"/>
          <w:szCs w:val="24"/>
        </w:rPr>
        <w:t>,</w:t>
      </w:r>
      <w:r w:rsidR="00C75C20" w:rsidRPr="00581B3B">
        <w:rPr>
          <w:rFonts w:ascii="Times New Roman" w:hAnsi="Times New Roman"/>
          <w:sz w:val="24"/>
          <w:szCs w:val="24"/>
        </w:rPr>
        <w:t xml:space="preserve"> възникнала след глобалната пандемия от COVID-19, конфликта в Украйна и покачващите се цени на основни суровини (горива, енергия, препарати за растителна защита и др.). От една страна това доведе до несигурност в сектора и младите хора не предприемат действия за стартиране и развитие на земеделск</w:t>
      </w:r>
      <w:r>
        <w:rPr>
          <w:rFonts w:ascii="Times New Roman" w:hAnsi="Times New Roman"/>
          <w:sz w:val="24"/>
          <w:szCs w:val="24"/>
        </w:rPr>
        <w:t>и</w:t>
      </w:r>
      <w:r w:rsidR="00C75C20" w:rsidRPr="00581B3B">
        <w:rPr>
          <w:rFonts w:ascii="Times New Roman" w:hAnsi="Times New Roman"/>
          <w:sz w:val="24"/>
          <w:szCs w:val="24"/>
        </w:rPr>
        <w:t xml:space="preserve"> </w:t>
      </w:r>
      <w:r>
        <w:rPr>
          <w:rFonts w:ascii="Times New Roman" w:hAnsi="Times New Roman"/>
          <w:sz w:val="24"/>
          <w:szCs w:val="24"/>
        </w:rPr>
        <w:t>бизнес</w:t>
      </w:r>
      <w:r w:rsidR="00C75C20" w:rsidRPr="00581B3B">
        <w:rPr>
          <w:rFonts w:ascii="Times New Roman" w:hAnsi="Times New Roman"/>
          <w:sz w:val="24"/>
          <w:szCs w:val="24"/>
        </w:rPr>
        <w:t xml:space="preserve">. От друга страна създаде редица затруднения при изпълнението на вече сключените договори за предоставяне на безвъзмездна финансова помощ и доведе до искане за тяхното прекратяване, поради невъзможност за спазване на поети задължения и ангажименти от страна на земеделските стопани. </w:t>
      </w:r>
      <w:r>
        <w:rPr>
          <w:rFonts w:ascii="Times New Roman" w:hAnsi="Times New Roman"/>
          <w:sz w:val="24"/>
          <w:szCs w:val="24"/>
        </w:rPr>
        <w:t>Също така,</w:t>
      </w:r>
      <w:r w:rsidR="00C75C20" w:rsidRPr="00581B3B">
        <w:rPr>
          <w:rFonts w:ascii="Times New Roman" w:hAnsi="Times New Roman"/>
          <w:sz w:val="24"/>
          <w:szCs w:val="24"/>
        </w:rPr>
        <w:t xml:space="preserve"> </w:t>
      </w:r>
      <w:r>
        <w:rPr>
          <w:rFonts w:ascii="Times New Roman" w:hAnsi="Times New Roman"/>
          <w:sz w:val="24"/>
          <w:szCs w:val="24"/>
        </w:rPr>
        <w:t xml:space="preserve">установени са редица случаи, в които бенефициентите </w:t>
      </w:r>
      <w:r w:rsidR="00C75C20" w:rsidRPr="00581B3B">
        <w:rPr>
          <w:rFonts w:ascii="Times New Roman" w:hAnsi="Times New Roman"/>
          <w:sz w:val="24"/>
          <w:szCs w:val="24"/>
        </w:rPr>
        <w:t xml:space="preserve">в периода </w:t>
      </w:r>
      <w:r>
        <w:rPr>
          <w:rFonts w:ascii="Times New Roman" w:hAnsi="Times New Roman"/>
          <w:sz w:val="24"/>
          <w:szCs w:val="24"/>
        </w:rPr>
        <w:t>н</w:t>
      </w:r>
      <w:r w:rsidR="00C75C20" w:rsidRPr="00581B3B">
        <w:rPr>
          <w:rFonts w:ascii="Times New Roman" w:hAnsi="Times New Roman"/>
          <w:sz w:val="24"/>
          <w:szCs w:val="24"/>
        </w:rPr>
        <w:t xml:space="preserve">а изпълнение на бизнес плана не изпълняват </w:t>
      </w:r>
      <w:r>
        <w:rPr>
          <w:rFonts w:ascii="Times New Roman" w:hAnsi="Times New Roman"/>
          <w:sz w:val="24"/>
          <w:szCs w:val="24"/>
        </w:rPr>
        <w:t>поетите</w:t>
      </w:r>
      <w:r w:rsidR="00C75C20" w:rsidRPr="00581B3B">
        <w:rPr>
          <w:rFonts w:ascii="Times New Roman" w:hAnsi="Times New Roman"/>
          <w:sz w:val="24"/>
          <w:szCs w:val="24"/>
        </w:rPr>
        <w:t xml:space="preserve"> ангажименти, посочени в административния договор и бизнес план</w:t>
      </w:r>
      <w:r>
        <w:rPr>
          <w:rFonts w:ascii="Times New Roman" w:hAnsi="Times New Roman"/>
          <w:sz w:val="24"/>
          <w:szCs w:val="24"/>
        </w:rPr>
        <w:t>а</w:t>
      </w:r>
      <w:r w:rsidR="00C75C20" w:rsidRPr="00581B3B">
        <w:rPr>
          <w:rFonts w:ascii="Times New Roman" w:hAnsi="Times New Roman"/>
          <w:sz w:val="24"/>
          <w:szCs w:val="24"/>
        </w:rPr>
        <w:t>, като от тях е изискано да възстановят получените финансови средства по подмярката.</w:t>
      </w:r>
    </w:p>
    <w:p w:rsidR="00C75C20" w:rsidRPr="00581B3B" w:rsidRDefault="00F760BD" w:rsidP="00392D11">
      <w:pPr>
        <w:jc w:val="both"/>
        <w:rPr>
          <w:rFonts w:ascii="Times New Roman" w:hAnsi="Times New Roman"/>
          <w:sz w:val="24"/>
          <w:szCs w:val="24"/>
        </w:rPr>
      </w:pPr>
      <w:r w:rsidRPr="00F760BD">
        <w:rPr>
          <w:rFonts w:ascii="Times New Roman" w:hAnsi="Times New Roman"/>
          <w:sz w:val="24"/>
          <w:szCs w:val="24"/>
        </w:rPr>
        <w:lastRenderedPageBreak/>
        <w:t>По подмярка</w:t>
      </w:r>
      <w:r>
        <w:rPr>
          <w:rFonts w:ascii="Times New Roman" w:hAnsi="Times New Roman"/>
          <w:sz w:val="24"/>
          <w:szCs w:val="24"/>
        </w:rPr>
        <w:t>та</w:t>
      </w:r>
      <w:r w:rsidRPr="00F760BD">
        <w:rPr>
          <w:rFonts w:ascii="Times New Roman" w:hAnsi="Times New Roman"/>
          <w:sz w:val="24"/>
          <w:szCs w:val="24"/>
        </w:rPr>
        <w:t xml:space="preserve"> към настоящия момент са подпомогнати малко над 2 200 земеделски стопани, като изплатената финансова помощ възлиза на малко над 72 800 000 евро, като същата включва и плащанията по продължаващи ангажименти от ПРСР 2007-2013.</w:t>
      </w:r>
      <w:r w:rsidR="00C75C20" w:rsidRPr="00581B3B">
        <w:rPr>
          <w:rFonts w:ascii="Times New Roman" w:hAnsi="Times New Roman"/>
          <w:sz w:val="24"/>
          <w:szCs w:val="24"/>
        </w:rPr>
        <w:t xml:space="preserve"> </w:t>
      </w:r>
    </w:p>
    <w:p w:rsidR="00EF32DD" w:rsidRPr="000728C6" w:rsidRDefault="00EF32DD" w:rsidP="00392D11">
      <w:pPr>
        <w:jc w:val="both"/>
        <w:rPr>
          <w:rFonts w:ascii="Times New Roman" w:eastAsia="Times New Roman" w:hAnsi="Times New Roman" w:cs="Times New Roman"/>
          <w:b/>
          <w:sz w:val="24"/>
          <w:szCs w:val="20"/>
        </w:rPr>
      </w:pPr>
      <w:r w:rsidRPr="000728C6">
        <w:rPr>
          <w:rFonts w:ascii="Times New Roman" w:eastAsia="Times New Roman" w:hAnsi="Times New Roman" w:cs="Times New Roman"/>
          <w:b/>
          <w:sz w:val="24"/>
          <w:szCs w:val="20"/>
        </w:rPr>
        <w:t xml:space="preserve">Подмярка </w:t>
      </w:r>
      <w:r w:rsidR="000728C6" w:rsidRPr="000728C6">
        <w:rPr>
          <w:rFonts w:ascii="Times New Roman" w:eastAsia="Times New Roman" w:hAnsi="Times New Roman" w:cs="Times New Roman"/>
          <w:b/>
          <w:sz w:val="24"/>
          <w:szCs w:val="20"/>
        </w:rPr>
        <w:t>6.3 „Стартова помощ за развитието на малки стопанства“</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В периода на прилагане на програмата са проведени четири приема по подмярка 6.3 „Стартова помощ за развитието на малки стопанства“.</w:t>
      </w:r>
      <w:r w:rsidR="00EF32DD" w:rsidRPr="00581B3B">
        <w:rPr>
          <w:rFonts w:ascii="Times New Roman" w:hAnsi="Times New Roman"/>
          <w:sz w:val="24"/>
          <w:szCs w:val="24"/>
        </w:rPr>
        <w:t xml:space="preserve"> </w:t>
      </w:r>
      <w:r w:rsidRPr="00581B3B">
        <w:rPr>
          <w:rFonts w:ascii="Times New Roman" w:hAnsi="Times New Roman"/>
          <w:sz w:val="24"/>
          <w:szCs w:val="24"/>
        </w:rPr>
        <w:t>Най-голям интерес от страна на земеделските стопани има към първия прием, проведен през 2016 г. по реда на Наредба № 10 от 10.06.2016 г., като са подадени малко над 3 800 проектни предложения, от които са сключени малко над 1 800 договора за предоставяне на безвъзмездна финансова помощ.</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Проведеният през 2019 г. прием на проектни предложения е изцяло по електронен начин по правилата на ЗУСЕСИФ през ИСУН 2020. Същевременно са направени значителни промени, свързани с намаляване броя на изискуемите документи с цел облекчаване на кандидатите и намаляване на административната тежест. По този прием е дадена възможност за предоставяне на безплатни консултации и изготвяне на проекти от страна на Национална служба за съвети в земеделието (НССЗ). Подадени са малко над 2 400 проектни предложения, от които са сключени договори за предоставяне на безвъзмездна финансова помощ с малко над 1 500 земеделски стопани. В процеса на изпълнение на проектните предложения, земеделските стопани изпитват затруднения при подаване на исканията за плащане, в резултат на което УО изменя условията за изпълнение, </w:t>
      </w:r>
      <w:r w:rsidRPr="00581B3B">
        <w:rPr>
          <w:rFonts w:ascii="Times New Roman" w:hAnsi="Times New Roman"/>
          <w:sz w:val="24"/>
          <w:szCs w:val="24"/>
        </w:rPr>
        <w:lastRenderedPageBreak/>
        <w:t xml:space="preserve">като отпада изискването за подписване с Квалифициран електронен подпис на искането за плащане на одобрените проекти. Това изменение дава възможност на бенефициентите да подават по-лесно исканията за плащане. </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През 2020 г. е проведен целеви прием, който е насочен към малки животновъдни стопанства, поради усложнената епизоотична обстановка през предходните две години в страната, свързана със заразни болести по домашните свине, птиците и дребните преживни животни. Отчитайки факта, че малките стопанства са едни от най-уязвимите УО предложи адаптиране на условията за допустимост за нуждите на целевия прием, като същите са съобразени и със загубите, които търпят малките земеделски стопанства в резултат на тази обстановка. Независимо от направените от страна на УО изменения в насоките за прием на проектни предложения по процедурата, с цел облекчаване на условията за кандидатстване и условията за изпълнение, интересът от страна на земеделските стопани е нисък. При отваряне на приема е предвиден бюджет за подпомагане на около 400 земеделски стопанства, но постъпилите проектни предложения са малко над 200, от които договори за предоставяне на безвъзмездна финансова помощ са сключени с малко над 100 земеделски стопани.</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Последният прием по подмярката е проведен в периода 30.11.2021 г. – 02.03.2022 г. Въпреки големия брой улеснения, които са предвидени на база опита от предходните приеми, възможността за предоставяне на безплатни консултации от страна на Национална служба за съвети в земеделието, се отчита значителен спад в интереса на малките земеделски стопани по подмярката. </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lastRenderedPageBreak/>
        <w:t>Редица фактори в Европа в последните две години, включително икономическата криза като последствие от глобалната пандемия от COVID-19 и конфликта в Украйна, доведоха до прогресираща инфлация в цените. Малките земеделски стопани са особено засегнати и въпреки значителните промени, целящи улеснения на земеделските стопани, както при кандидатстване по подмярката, така и при изпълнение на проектните предложения, последните два прима по подмярката показват занижен интерес от страна на малките стопанства към подмярката.</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По подмярка 6.3 „Стартова помощ за развитието на малки стопанства“ към настоящия момент са подпомогнати малко 4 600 земеделски стопани, като изплатената финансова помощ възлиза на малко над 72 000 000 евро, същата включва и плащанията по продължаващи ангажименти от ПРСР 2007-2013.</w:t>
      </w:r>
    </w:p>
    <w:p w:rsidR="00EF32DD" w:rsidRPr="00176BDC" w:rsidRDefault="000728C6" w:rsidP="00392D11">
      <w:pPr>
        <w:jc w:val="both"/>
        <w:rPr>
          <w:rFonts w:ascii="Times New Roman" w:hAnsi="Times New Roman"/>
          <w:b/>
          <w:sz w:val="24"/>
          <w:szCs w:val="24"/>
        </w:rPr>
      </w:pPr>
      <w:r w:rsidRPr="00176BDC">
        <w:rPr>
          <w:rFonts w:ascii="Times New Roman" w:hAnsi="Times New Roman"/>
          <w:b/>
          <w:sz w:val="24"/>
          <w:szCs w:val="24"/>
        </w:rPr>
        <w:t>Подмярка 6.4.1 „Инвестиции в подкрепа на неземеделски дейности“</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В периода на прилагане на програмата през 2018 г. е проведен един прием по подмярка 6.4.1 „Инвестиции в подкрепа на неземеделски дейности“, който включва три процедури за подбор на проектни предложения с цел гарантиране на бюджет за всички сектори. Процедура „Развитие на услуги във всички сектори и други неземеделски дейности“ представлява най-голям интерес от страна на кандидатите, </w:t>
      </w:r>
      <w:r w:rsidRPr="00581B3B">
        <w:rPr>
          <w:rFonts w:ascii="Times New Roman" w:hAnsi="Times New Roman" w:cs="Times New Roman"/>
          <w:sz w:val="24"/>
          <w:szCs w:val="24"/>
        </w:rPr>
        <w:t>в тази връзка с цел постигане на целите за насърчаване на заетостта, разкриване на нови и запазване на вече съществуващите работни места се увеличи бюджетът по процедурата</w:t>
      </w:r>
      <w:r w:rsidRPr="00581B3B">
        <w:rPr>
          <w:rFonts w:ascii="Times New Roman" w:hAnsi="Times New Roman"/>
          <w:sz w:val="24"/>
          <w:szCs w:val="24"/>
        </w:rPr>
        <w:t xml:space="preserve">. В процеса на изпълнение на проектните предложения към УО са постъпили множество сигнали от бенефициенти, свързани с последиците от пандемията от COVID-19, които </w:t>
      </w:r>
      <w:r w:rsidRPr="00581B3B">
        <w:rPr>
          <w:rFonts w:ascii="Times New Roman" w:hAnsi="Times New Roman"/>
          <w:sz w:val="24"/>
          <w:szCs w:val="24"/>
        </w:rPr>
        <w:lastRenderedPageBreak/>
        <w:t xml:space="preserve">водят до невъзможност от поддържане на някои от критериите за оценка, по които е било оценено проектното предложение. В тази връзка с цел улеснение при изпълнението на сключените административни договори, УО предприе редица изменения в насоките за кандидатстване, включително и увеличение на срока за изпълнение на проектните предложения. </w:t>
      </w:r>
    </w:p>
    <w:p w:rsidR="00C75C20" w:rsidRPr="00581B3B" w:rsidRDefault="00C75C20" w:rsidP="00176BDC">
      <w:pPr>
        <w:pBdr>
          <w:bottom w:val="single" w:sz="4" w:space="1" w:color="auto"/>
        </w:pBdr>
        <w:jc w:val="both"/>
        <w:rPr>
          <w:rFonts w:ascii="Times New Roman" w:hAnsi="Times New Roman"/>
          <w:sz w:val="24"/>
          <w:szCs w:val="24"/>
        </w:rPr>
      </w:pPr>
      <w:r w:rsidRPr="00581B3B">
        <w:rPr>
          <w:rFonts w:ascii="Times New Roman" w:hAnsi="Times New Roman"/>
          <w:sz w:val="24"/>
          <w:szCs w:val="24"/>
        </w:rPr>
        <w:t xml:space="preserve">Предвидено е през 2023 г. отваряне на нов прием по подмярка 6.4.1 „Инвестиции в подкрепа на неземеделски дейности“ с бюджет до 20 000 000 евро. </w:t>
      </w:r>
    </w:p>
    <w:p w:rsidR="00C75C20" w:rsidRPr="00581B3B" w:rsidRDefault="00C75C20" w:rsidP="00392D11">
      <w:pPr>
        <w:jc w:val="both"/>
        <w:rPr>
          <w:rFonts w:ascii="Times New Roman" w:hAnsi="Times New Roman"/>
          <w:sz w:val="24"/>
          <w:szCs w:val="24"/>
        </w:rPr>
      </w:pPr>
      <w:r w:rsidRPr="00581B3B">
        <w:rPr>
          <w:rFonts w:ascii="Times New Roman" w:hAnsi="Times New Roman"/>
          <w:sz w:val="24"/>
          <w:szCs w:val="24"/>
        </w:rPr>
        <w:t xml:space="preserve">Общият бюджет на четирите подмерки е в размер на 274 678 018 евро публични средства, като от стартиралите до момента общо девет приема и процедури през годините, са договорени, в процес на договаряне, и предвидени за следващи приеми почти 250 млн. евро публични средства: </w:t>
      </w:r>
    </w:p>
    <w:p w:rsidR="009E52EC" w:rsidRPr="00581B3B" w:rsidRDefault="009E52EC" w:rsidP="009E52EC">
      <w:pPr>
        <w:jc w:val="both"/>
        <w:rPr>
          <w:rFonts w:ascii="Times New Roman" w:hAnsi="Times New Roman"/>
          <w:sz w:val="24"/>
          <w:szCs w:val="24"/>
        </w:rPr>
      </w:pPr>
      <w:r w:rsidRPr="00176BDC">
        <w:rPr>
          <w:rFonts w:ascii="Times New Roman" w:eastAsia="Times New Roman" w:hAnsi="Times New Roman" w:cs="Times New Roman"/>
          <w:b/>
          <w:sz w:val="24"/>
          <w:szCs w:val="20"/>
        </w:rPr>
        <w:t>Подмярка 6.1 „Стартова помощ за млади земеделски стопани“</w:t>
      </w:r>
      <w:r w:rsidRPr="00176BDC">
        <w:rPr>
          <w:rFonts w:ascii="Times New Roman" w:hAnsi="Times New Roman"/>
          <w:sz w:val="24"/>
          <w:szCs w:val="24"/>
        </w:rPr>
        <w:t xml:space="preserve"> - </w:t>
      </w:r>
      <w:r>
        <w:rPr>
          <w:rFonts w:ascii="Times New Roman" w:hAnsi="Times New Roman"/>
          <w:sz w:val="24"/>
          <w:szCs w:val="24"/>
        </w:rPr>
        <w:t>57 500 000</w:t>
      </w:r>
      <w:r w:rsidRPr="00176BDC">
        <w:rPr>
          <w:rFonts w:ascii="Times New Roman" w:hAnsi="Times New Roman"/>
          <w:sz w:val="24"/>
          <w:szCs w:val="24"/>
        </w:rPr>
        <w:t xml:space="preserve"> евро </w:t>
      </w:r>
      <w:r w:rsidRPr="00581B3B">
        <w:rPr>
          <w:rFonts w:ascii="Times New Roman" w:hAnsi="Times New Roman"/>
          <w:sz w:val="24"/>
          <w:szCs w:val="24"/>
        </w:rPr>
        <w:t>публични средства действащи договори, 1</w:t>
      </w:r>
      <w:r>
        <w:rPr>
          <w:rFonts w:ascii="Times New Roman" w:hAnsi="Times New Roman"/>
          <w:sz w:val="24"/>
          <w:szCs w:val="24"/>
        </w:rPr>
        <w:t>7</w:t>
      </w:r>
      <w:r w:rsidRPr="00581B3B">
        <w:rPr>
          <w:rFonts w:ascii="Times New Roman" w:hAnsi="Times New Roman"/>
          <w:sz w:val="24"/>
          <w:szCs w:val="24"/>
        </w:rPr>
        <w:t> 000 000 евро изплатени по продължаващи ангажименти от ПРСР 2007-2013 и 15 500 000 евро заделени за текущата процедура, която приключи в края на м. януари 2023 г.;</w:t>
      </w:r>
    </w:p>
    <w:p w:rsidR="009E52EC" w:rsidRPr="00581B3B" w:rsidRDefault="009E52EC" w:rsidP="009E52EC">
      <w:pPr>
        <w:jc w:val="both"/>
        <w:rPr>
          <w:rFonts w:ascii="Times New Roman" w:hAnsi="Times New Roman"/>
          <w:sz w:val="24"/>
          <w:szCs w:val="24"/>
        </w:rPr>
      </w:pPr>
      <w:r w:rsidRPr="00176BDC">
        <w:rPr>
          <w:rFonts w:ascii="Times New Roman" w:eastAsia="Times New Roman" w:hAnsi="Times New Roman" w:cs="Times New Roman"/>
          <w:b/>
          <w:sz w:val="24"/>
          <w:szCs w:val="20"/>
        </w:rPr>
        <w:t>Подмярка 6.3 „Стартова помощ за развитието на малки стопанства“</w:t>
      </w:r>
      <w:r w:rsidRPr="00176BDC">
        <w:rPr>
          <w:rFonts w:ascii="Times New Roman" w:hAnsi="Times New Roman"/>
          <w:sz w:val="24"/>
          <w:szCs w:val="24"/>
        </w:rPr>
        <w:t xml:space="preserve"> - </w:t>
      </w:r>
      <w:r>
        <w:rPr>
          <w:rFonts w:ascii="Times New Roman" w:hAnsi="Times New Roman"/>
          <w:sz w:val="24"/>
          <w:szCs w:val="24"/>
        </w:rPr>
        <w:t>71 300 000</w:t>
      </w:r>
      <w:r w:rsidRPr="00176BDC">
        <w:rPr>
          <w:rFonts w:ascii="Times New Roman" w:hAnsi="Times New Roman"/>
          <w:sz w:val="24"/>
          <w:szCs w:val="24"/>
        </w:rPr>
        <w:t xml:space="preserve"> </w:t>
      </w:r>
      <w:r w:rsidRPr="00581B3B">
        <w:rPr>
          <w:rFonts w:ascii="Times New Roman" w:hAnsi="Times New Roman"/>
          <w:sz w:val="24"/>
          <w:szCs w:val="24"/>
        </w:rPr>
        <w:t>евро публични средства действащи договори</w:t>
      </w:r>
      <w:r>
        <w:rPr>
          <w:rFonts w:ascii="Times New Roman" w:hAnsi="Times New Roman"/>
          <w:sz w:val="24"/>
          <w:szCs w:val="24"/>
        </w:rPr>
        <w:t>,</w:t>
      </w:r>
      <w:r>
        <w:rPr>
          <w:rFonts w:ascii="Times New Roman" w:hAnsi="Times New Roman"/>
          <w:sz w:val="24"/>
          <w:szCs w:val="24"/>
          <w:lang w:val="en-GB"/>
        </w:rPr>
        <w:t xml:space="preserve"> </w:t>
      </w:r>
      <w:r>
        <w:rPr>
          <w:rFonts w:ascii="Times New Roman" w:hAnsi="Times New Roman"/>
          <w:sz w:val="24"/>
          <w:szCs w:val="24"/>
        </w:rPr>
        <w:t>8 000 000</w:t>
      </w:r>
      <w:r w:rsidRPr="00581B3B">
        <w:rPr>
          <w:rFonts w:ascii="Times New Roman" w:hAnsi="Times New Roman"/>
          <w:sz w:val="24"/>
          <w:szCs w:val="24"/>
        </w:rPr>
        <w:t xml:space="preserve"> евро изплатени по продължаващи ангажименти от ПРСР 2007-2013;</w:t>
      </w:r>
    </w:p>
    <w:p w:rsidR="00C75C20" w:rsidRPr="00581B3B" w:rsidRDefault="009E52EC" w:rsidP="009E52EC">
      <w:pPr>
        <w:jc w:val="both"/>
        <w:rPr>
          <w:rFonts w:ascii="Times New Roman" w:hAnsi="Times New Roman"/>
          <w:sz w:val="24"/>
          <w:szCs w:val="24"/>
        </w:rPr>
      </w:pPr>
      <w:r w:rsidRPr="00176BDC">
        <w:rPr>
          <w:rFonts w:ascii="Times New Roman" w:eastAsia="Times New Roman" w:hAnsi="Times New Roman" w:cs="Times New Roman"/>
          <w:b/>
          <w:sz w:val="24"/>
          <w:szCs w:val="20"/>
        </w:rPr>
        <w:t>Подмярка 6.4.1 „Инвестиционна подкрепа за неземеделски дейности“</w:t>
      </w:r>
      <w:r w:rsidRPr="00176BDC">
        <w:rPr>
          <w:rFonts w:ascii="Times New Roman" w:hAnsi="Times New Roman"/>
          <w:sz w:val="24"/>
          <w:szCs w:val="24"/>
        </w:rPr>
        <w:t xml:space="preserve"> - </w:t>
      </w:r>
      <w:r>
        <w:rPr>
          <w:rFonts w:ascii="Times New Roman" w:hAnsi="Times New Roman"/>
          <w:sz w:val="24"/>
          <w:szCs w:val="24"/>
        </w:rPr>
        <w:t>35 000 000</w:t>
      </w:r>
      <w:r w:rsidRPr="00176BDC">
        <w:rPr>
          <w:rFonts w:ascii="Times New Roman" w:hAnsi="Times New Roman"/>
          <w:sz w:val="24"/>
          <w:szCs w:val="24"/>
        </w:rPr>
        <w:t xml:space="preserve"> </w:t>
      </w:r>
      <w:r w:rsidRPr="00581B3B">
        <w:rPr>
          <w:rFonts w:ascii="Times New Roman" w:hAnsi="Times New Roman"/>
          <w:sz w:val="24"/>
          <w:szCs w:val="24"/>
        </w:rPr>
        <w:t xml:space="preserve">евро публични средства действащи договори, </w:t>
      </w:r>
      <w:r>
        <w:rPr>
          <w:rFonts w:ascii="Times New Roman" w:hAnsi="Times New Roman"/>
          <w:sz w:val="24"/>
          <w:szCs w:val="24"/>
        </w:rPr>
        <w:t>4 400 000</w:t>
      </w:r>
      <w:r w:rsidRPr="00581B3B">
        <w:rPr>
          <w:rFonts w:ascii="Times New Roman" w:hAnsi="Times New Roman"/>
          <w:sz w:val="24"/>
          <w:szCs w:val="24"/>
        </w:rPr>
        <w:t xml:space="preserve"> евро в процес на договаряне, и до 20 000 000 евро</w:t>
      </w:r>
      <w:r>
        <w:rPr>
          <w:rFonts w:ascii="Times New Roman" w:hAnsi="Times New Roman"/>
          <w:sz w:val="24"/>
          <w:szCs w:val="24"/>
        </w:rPr>
        <w:t>,</w:t>
      </w:r>
      <w:r w:rsidRPr="00581B3B">
        <w:rPr>
          <w:rFonts w:ascii="Times New Roman" w:hAnsi="Times New Roman"/>
          <w:sz w:val="24"/>
          <w:szCs w:val="24"/>
        </w:rPr>
        <w:t xml:space="preserve"> заделени за бъдеща процедура, която следва да се стартира през 2023 г.</w:t>
      </w:r>
    </w:p>
    <w:p w:rsidR="00DA0045" w:rsidRPr="00581B3B" w:rsidRDefault="00DA0045" w:rsidP="00176BDC">
      <w:pPr>
        <w:jc w:val="both"/>
        <w:rPr>
          <w:rFonts w:ascii="Times New Roman" w:hAnsi="Times New Roman"/>
          <w:sz w:val="24"/>
          <w:szCs w:val="24"/>
        </w:rPr>
      </w:pPr>
      <w:r w:rsidRPr="00176BDC">
        <w:rPr>
          <w:rFonts w:ascii="Times New Roman" w:eastAsia="Times New Roman" w:hAnsi="Times New Roman" w:cs="Times New Roman"/>
          <w:b/>
          <w:sz w:val="24"/>
          <w:szCs w:val="20"/>
        </w:rPr>
        <w:lastRenderedPageBreak/>
        <w:t>Подмярка 6.4.2 „Инвестиции в подкрепа на неземеделски дейности по Тематичната подпрограма за развитието на малки стопанства“</w:t>
      </w:r>
      <w:r w:rsidRPr="00176BDC">
        <w:rPr>
          <w:rFonts w:ascii="Times New Roman" w:hAnsi="Times New Roman"/>
          <w:sz w:val="24"/>
          <w:szCs w:val="24"/>
        </w:rPr>
        <w:t xml:space="preserve"> от ПРСР 2014-2020, </w:t>
      </w:r>
      <w:r w:rsidRPr="00581B3B">
        <w:rPr>
          <w:rFonts w:ascii="Times New Roman" w:hAnsi="Times New Roman"/>
          <w:sz w:val="24"/>
          <w:szCs w:val="24"/>
        </w:rPr>
        <w:t xml:space="preserve">по същество е разработена и насочена изцяло към кандидати – земеделски производители за дейности на територията на селските райони в страната. </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Опитът от прилагането на подмярка 6.4.1 „Инвестиции в подкрепа на неземеделски дейности“ през програмния период 2014-2020 г. за аналогични дейности</w:t>
      </w:r>
      <w:r w:rsidR="007447FF" w:rsidRPr="00581B3B">
        <w:rPr>
          <w:rFonts w:ascii="Times New Roman" w:hAnsi="Times New Roman"/>
          <w:sz w:val="24"/>
          <w:szCs w:val="24"/>
        </w:rPr>
        <w:t>,</w:t>
      </w:r>
      <w:r w:rsidRPr="00581B3B">
        <w:rPr>
          <w:rFonts w:ascii="Times New Roman" w:hAnsi="Times New Roman"/>
          <w:sz w:val="24"/>
          <w:szCs w:val="24"/>
        </w:rPr>
        <w:t xml:space="preserve"> допустими </w:t>
      </w:r>
      <w:r w:rsidR="007447FF" w:rsidRPr="00581B3B">
        <w:rPr>
          <w:rFonts w:ascii="Times New Roman" w:hAnsi="Times New Roman"/>
          <w:sz w:val="24"/>
          <w:szCs w:val="24"/>
        </w:rPr>
        <w:t>в</w:t>
      </w:r>
      <w:r w:rsidRPr="00581B3B">
        <w:rPr>
          <w:rFonts w:ascii="Times New Roman" w:hAnsi="Times New Roman"/>
          <w:sz w:val="24"/>
          <w:szCs w:val="24"/>
        </w:rPr>
        <w:t xml:space="preserve"> подмярка 6.4.2 за кандидати земеделски производители, показа следното:</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В края на 2018 г. се отвориха 3 процедури за подбор на проектни предложения по Подмярка 6.4.1, за дейности в сферата на услугите, производството и занаятите. По процедурите за дейности в сферата на услугите и производството бяха определени целеви бюджети за кандидати – земеделски стопани в следните размери:</w:t>
      </w:r>
    </w:p>
    <w:p w:rsidR="00DA0045" w:rsidRPr="00581B3B" w:rsidRDefault="00DA0045" w:rsidP="007447FF">
      <w:pPr>
        <w:pStyle w:val="ListParagraph"/>
        <w:numPr>
          <w:ilvl w:val="0"/>
          <w:numId w:val="24"/>
        </w:numPr>
        <w:jc w:val="both"/>
        <w:rPr>
          <w:rFonts w:ascii="Times New Roman" w:hAnsi="Times New Roman"/>
          <w:sz w:val="24"/>
          <w:szCs w:val="24"/>
        </w:rPr>
      </w:pPr>
      <w:r w:rsidRPr="00581B3B">
        <w:rPr>
          <w:rFonts w:ascii="Times New Roman" w:hAnsi="Times New Roman"/>
          <w:sz w:val="24"/>
          <w:szCs w:val="24"/>
        </w:rPr>
        <w:t>По процедура „Развитие на услуги във всички сектори и други неземеделски дейности“ по подмярка 6.4.1. от общият бюджет в размер на 38 млн. евро, е определен целеви бюджет за кандидати земеделски стопани в размер на 11,2 млн. евро;</w:t>
      </w:r>
    </w:p>
    <w:p w:rsidR="00DA0045" w:rsidRPr="00581B3B" w:rsidRDefault="00DA0045" w:rsidP="007447FF">
      <w:pPr>
        <w:pStyle w:val="ListParagraph"/>
        <w:numPr>
          <w:ilvl w:val="0"/>
          <w:numId w:val="24"/>
        </w:numPr>
        <w:jc w:val="both"/>
        <w:rPr>
          <w:rFonts w:ascii="Times New Roman" w:hAnsi="Times New Roman"/>
          <w:sz w:val="24"/>
          <w:szCs w:val="24"/>
        </w:rPr>
      </w:pPr>
      <w:r w:rsidRPr="00581B3B">
        <w:rPr>
          <w:rFonts w:ascii="Times New Roman" w:hAnsi="Times New Roman"/>
          <w:sz w:val="24"/>
          <w:szCs w:val="24"/>
        </w:rPr>
        <w:t>По процедура „Производство на продукти, които не са включени в Приложение 1 от Договора за функционирането на Европейския съюз“ по подмярка 6.4.1. от общият бюджет в размер на 38.6 млн. евро, е определен целеви бюджет за кандидати земеделски стопани в размер на 12 млн. евро.</w:t>
      </w:r>
    </w:p>
    <w:p w:rsidR="00DA0045" w:rsidRPr="00581B3B" w:rsidRDefault="009E52EC" w:rsidP="00392D11">
      <w:pPr>
        <w:jc w:val="both"/>
        <w:rPr>
          <w:rFonts w:ascii="Times New Roman" w:hAnsi="Times New Roman"/>
          <w:sz w:val="24"/>
          <w:szCs w:val="24"/>
        </w:rPr>
      </w:pPr>
      <w:r w:rsidRPr="009E52EC">
        <w:rPr>
          <w:rFonts w:ascii="Times New Roman" w:hAnsi="Times New Roman"/>
          <w:sz w:val="24"/>
          <w:szCs w:val="24"/>
        </w:rPr>
        <w:t xml:space="preserve">По процедурата за развитие на услуги постъпиха проектни предложения от кандидати земеделски стопани с общ размер на заявената субсидия в размер на 5 млн. евро, респективно по процедурата за производство на </w:t>
      </w:r>
      <w:r w:rsidRPr="009E52EC">
        <w:rPr>
          <w:rFonts w:ascii="Times New Roman" w:hAnsi="Times New Roman"/>
          <w:sz w:val="24"/>
          <w:szCs w:val="24"/>
        </w:rPr>
        <w:lastRenderedPageBreak/>
        <w:t>продукти постъпиха проектни предложения с обща стойност на заявената субсидия в размер на 3.7 млн.евро. От описаното по-горе е видно, че общо заявените разходи по описаните процедури възлизат на едва 38% от общо определеният бюджет.</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 xml:space="preserve">В допълнение, от опита по прилагане на мерките и подмерките от ПРСР 2014-2020 се забелязва предпочитанието като цяло за кандидати с малки проектни предложения по Тематичната подпрограма за развитието на малки стопанства, да подават своите проектни предложения по </w:t>
      </w:r>
      <w:r w:rsidR="007447FF" w:rsidRPr="00581B3B">
        <w:rPr>
          <w:rFonts w:ascii="Times New Roman" w:hAnsi="Times New Roman"/>
          <w:sz w:val="24"/>
          <w:szCs w:val="24"/>
        </w:rPr>
        <w:t>подхода ВОМР</w:t>
      </w:r>
      <w:r w:rsidRPr="00581B3B">
        <w:rPr>
          <w:rFonts w:ascii="Times New Roman" w:hAnsi="Times New Roman"/>
          <w:sz w:val="24"/>
          <w:szCs w:val="24"/>
        </w:rPr>
        <w:t xml:space="preserve"> през съответната Местна инициативна група (МИГ).</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Във връзка с гореописаното, УО на ПРСР 2014-2020 взе решение да не разработва и стартира прием по подмярка 6.4.2, и предлага разполагаемият бюджет в размер на 5,26 млн. евро, да бъде изведен от подмярката.</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 xml:space="preserve">Прогнозните остатъци, включително и бюджетът на неразработената и нестартирала подмярка 6.4.2 са в размер на около </w:t>
      </w:r>
      <w:r w:rsidR="009E52EC">
        <w:rPr>
          <w:rFonts w:ascii="Times New Roman" w:hAnsi="Times New Roman"/>
          <w:sz w:val="24"/>
          <w:szCs w:val="24"/>
        </w:rPr>
        <w:t>40</w:t>
      </w:r>
      <w:r w:rsidRPr="00581B3B">
        <w:rPr>
          <w:rFonts w:ascii="Times New Roman" w:hAnsi="Times New Roman"/>
          <w:sz w:val="24"/>
          <w:szCs w:val="24"/>
        </w:rPr>
        <w:t xml:space="preserve"> млн. евро публични средства, част от които УО на ПРСР предлага да бъдат прехвърлени за обезпечение на текущите процедури по подмярка 7.2.</w:t>
      </w:r>
    </w:p>
    <w:p w:rsidR="00A3256F" w:rsidRPr="00581B3B" w:rsidRDefault="00B35E6D" w:rsidP="00B35E6D">
      <w:pPr>
        <w:pStyle w:val="Heading2"/>
        <w:numPr>
          <w:ilvl w:val="0"/>
          <w:numId w:val="0"/>
        </w:numPr>
      </w:pPr>
      <w:bookmarkStart w:id="22" w:name="_Toc130370325"/>
      <w:r>
        <w:t>11</w:t>
      </w:r>
      <w:r w:rsidR="001D683F" w:rsidRPr="00581B3B">
        <w:t xml:space="preserve">.3. </w:t>
      </w:r>
      <w:r w:rsidR="007447FF" w:rsidRPr="00581B3B">
        <w:t>Извеждане на средства от п</w:t>
      </w:r>
      <w:r w:rsidR="00A3256F" w:rsidRPr="00581B3B">
        <w:t>одмярка 7.3. „Широколентова инфраструктура, включително нейното създаване, подобрение и разширяване“</w:t>
      </w:r>
      <w:bookmarkEnd w:id="22"/>
      <w:r w:rsidR="00A3256F" w:rsidRPr="00581B3B">
        <w:t xml:space="preserve"> </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 xml:space="preserve">В съответствие с Актуализираната Стратегия за развитие на електронното управление в Република България 2019 - 2023 г. и актуализирания Национален план за широколентова инфраструктура за достъп от следващо </w:t>
      </w:r>
      <w:r w:rsidRPr="00581B3B">
        <w:rPr>
          <w:rFonts w:ascii="Times New Roman" w:hAnsi="Times New Roman"/>
          <w:sz w:val="24"/>
          <w:szCs w:val="24"/>
        </w:rPr>
        <w:lastRenderedPageBreak/>
        <w:t>поколение Свързана България, през 2021 г. УО на ПРСР обяви прием за подаване на проектно/и предложение/я с краен срок 1 юни същата година, в който срок единственият определен в ПРСР като допустим кандидат – Държавна агенция „Електронно управление“ (ДАЕУ) е подала чрез Информационната система за управление и наблюдение на средствата от ЕС в България 2020 (ИСУН) до ДФЗ-РА проектно предложение със заявени разходи в размер на левовата равностойност на 42 млн. евро.</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В процеса на администриране на проектното предложение от назначената комисия в ДФ „Земеделие“ и преди сключване на договор с бенефициента ДАЕУ, кандидатът входира писмо, с което оттегли проектното си предложение поради следните мотиви:</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1. С Решение за приемане на структура на Министерския съвет на Република България, прието на 13.12.2021 г., българските власти приеха създаването на Министерство на електронното управление, което да изпълнява функциите като правоприемник на Държавна агенция „Електронно управление“. След изменението и допълнението на Закона за електронното управление, прието и обнародвано в Държавен вестник на 22.02.2022 г. (изм.</w:t>
      </w:r>
      <w:r w:rsidR="00B05005">
        <w:rPr>
          <w:rFonts w:ascii="Times New Roman" w:hAnsi="Times New Roman"/>
          <w:sz w:val="24"/>
          <w:szCs w:val="24"/>
        </w:rPr>
        <w:t xml:space="preserve"> </w:t>
      </w:r>
      <w:r w:rsidRPr="00581B3B">
        <w:rPr>
          <w:rFonts w:ascii="Times New Roman" w:hAnsi="Times New Roman"/>
          <w:sz w:val="24"/>
          <w:szCs w:val="24"/>
        </w:rPr>
        <w:t>и доп. ДВ. Бр. 15 от 22 февруари 2022 г.), е създадена ликвидационна комисия, която да уреди всички правоотношения във връзка със закриването на ДАЕУ.</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Именно закриването на агенцията поставя в невъзможност изпълнението на проекта, тъй като ДАЕУ е определен и като единствен допустим кандидат в ПРСР 2014-2020 г.</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lastRenderedPageBreak/>
        <w:t>2. В актуализирания Национален план за възстановяване и устойчивост (НПВУ) се посочва, че правоприемникът на ДАЕУ ще изпълнява проект в партньорство с Министерство на транспорта и съобщенията. Предвидените дейности по проекта по НПВУ по същество представляват изграждане на широколентова инфраструктура (включително изграждане на пасивна такава и инсталиране на активно оборудване) във всички общински центрове определени като „бели и сиви зони“, с което се припокриват интервенциите по подмярка 7.3.</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Така възникналите обстоятелства поставят в невъзможност единственият определен като допустим кандидат в ПРСР, а именно ДАЕУ, да изпълни проектното предложение по подмярка 7.3., тъй като:</w:t>
      </w:r>
    </w:p>
    <w:p w:rsidR="00A3256F" w:rsidRPr="00581B3B" w:rsidRDefault="00A3256F" w:rsidP="00A3256F">
      <w:pPr>
        <w:pStyle w:val="ListParagraph"/>
        <w:numPr>
          <w:ilvl w:val="0"/>
          <w:numId w:val="1"/>
        </w:numPr>
        <w:jc w:val="both"/>
        <w:rPr>
          <w:rFonts w:ascii="Times New Roman" w:hAnsi="Times New Roman" w:cs="Times New Roman"/>
          <w:sz w:val="24"/>
          <w:szCs w:val="24"/>
        </w:rPr>
      </w:pPr>
      <w:r w:rsidRPr="00581B3B">
        <w:rPr>
          <w:rFonts w:ascii="Times New Roman" w:hAnsi="Times New Roman" w:cs="Times New Roman"/>
          <w:sz w:val="24"/>
          <w:szCs w:val="24"/>
        </w:rPr>
        <w:t>кандидатът е в процедура по ликвидация;</w:t>
      </w:r>
    </w:p>
    <w:p w:rsidR="00A3256F" w:rsidRPr="00581B3B" w:rsidRDefault="00A3256F" w:rsidP="00A3256F">
      <w:pPr>
        <w:pStyle w:val="ListParagraph"/>
        <w:numPr>
          <w:ilvl w:val="0"/>
          <w:numId w:val="1"/>
        </w:numPr>
        <w:jc w:val="both"/>
        <w:rPr>
          <w:rFonts w:ascii="Times New Roman" w:hAnsi="Times New Roman" w:cs="Times New Roman"/>
          <w:sz w:val="24"/>
          <w:szCs w:val="24"/>
        </w:rPr>
      </w:pPr>
      <w:r w:rsidRPr="00581B3B">
        <w:rPr>
          <w:rFonts w:ascii="Times New Roman" w:hAnsi="Times New Roman" w:cs="Times New Roman"/>
          <w:sz w:val="24"/>
          <w:szCs w:val="24"/>
        </w:rPr>
        <w:t xml:space="preserve">заложените в проектното предложение по подмярка 7.3 разходи и дейности са предвидени за финансиране в актуализирания вариант на НПВУ. </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От друга страна, тъй като в Дейност 1 „Развитие на държавната опорна мрежа чрез увеличаване на преносния ѝ капацитет и осигуряване на свързаност до всички общински центрове“ и Дейност 2 „Подобряване на свързаността на периферните слабонаселени и селски райони и разгръщане на ММГК“ от Компонент 7 „Цифрова свързаност“, П18 „Широкомащабно разгръщане на цифрова инфраструктура на територията на България“ е предвидено свързване на всички общински центрове, вкл. и изграждане на трасета в „белите зони“, може да се счита, че чрез изпълнението на заложените дейности по НПВУ ще се осигури 100 % широколентова свързаност на територията на страната.</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lastRenderedPageBreak/>
        <w:t>В тази връзка, възможността за изпълнение на заложените дейности в подмярка 7.3 от ПРСР чрез разписаните приоритетни дейности в НПВУ освобождава финансов ресурс в размер на 42 млн. евро. С оглед на минимизиране риска от неусвояване и загуба на средства за преходния период на действие на ПРСР, УО предприема тези действия за преалокиране на тези средства.</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 xml:space="preserve">Тази част на изменението се предвижда да доведе до необходимост от промяна в целевите стойности на показателите за изпълнение, в т.ч. ключовите индикатори на ПРСР 2014-2020, тъй като средствата, разпределени за тази подмярка са единствените такива в област с поставен акцент 6В) „Подобряване на достъпа до информационни и комуникационни технологии (ИКТ), използването и качеството им в селските райони“. </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Изменението не се очаква да повлияе негативно на държавния бюджет, тъй като за прехвърляните средства от ЕЗФРСР между приоритети вече е обезпечено национално финансиране при стартирането на ПРСР 2014-2020 г.</w:t>
      </w:r>
    </w:p>
    <w:p w:rsidR="00A3256F" w:rsidRPr="00581B3B" w:rsidRDefault="00B35E6D" w:rsidP="00B35E6D">
      <w:pPr>
        <w:pStyle w:val="Heading2"/>
        <w:numPr>
          <w:ilvl w:val="0"/>
          <w:numId w:val="0"/>
        </w:numPr>
      </w:pPr>
      <w:bookmarkStart w:id="23" w:name="_Toc130370326"/>
      <w:r>
        <w:t>11</w:t>
      </w:r>
      <w:r w:rsidR="001D683F" w:rsidRPr="00581B3B">
        <w:t xml:space="preserve">.4. </w:t>
      </w:r>
      <w:r w:rsidR="007447FF" w:rsidRPr="00581B3B">
        <w:t>Извеждане на о</w:t>
      </w:r>
      <w:r w:rsidR="00A3256F" w:rsidRPr="00581B3B">
        <w:t>статъчни средства</w:t>
      </w:r>
      <w:r w:rsidR="003E76CF" w:rsidRPr="00581B3B">
        <w:t xml:space="preserve"> от мерки с плащане на площ</w:t>
      </w:r>
      <w:r w:rsidR="007447FF" w:rsidRPr="00581B3B">
        <w:t xml:space="preserve"> </w:t>
      </w:r>
      <w:r w:rsidR="00A3256F" w:rsidRPr="00581B3B">
        <w:t>- Мярка 10 „Агроекология и климат“, Мярка 11 „Б</w:t>
      </w:r>
      <w:r w:rsidR="009F04C9">
        <w:t>иологично земеделие“, Мярка 12 „</w:t>
      </w:r>
      <w:r w:rsidR="00A3256F" w:rsidRPr="00581B3B">
        <w:t>Плащания по „Нату</w:t>
      </w:r>
      <w:r w:rsidR="009F04C9">
        <w:t xml:space="preserve">ра-2000” и Рамковата </w:t>
      </w:r>
      <w:r w:rsidR="009F04C9">
        <w:lastRenderedPageBreak/>
        <w:t>директива за водите“ и Мярка 13 „</w:t>
      </w:r>
      <w:r w:rsidR="00A3256F" w:rsidRPr="00581B3B">
        <w:t>Плащания за райони,</w:t>
      </w:r>
      <w:r w:rsidR="007447FF" w:rsidRPr="00581B3B">
        <w:t xml:space="preserve"> </w:t>
      </w:r>
      <w:r w:rsidR="00A3256F" w:rsidRPr="00581B3B">
        <w:t>изправени пред природни или други специфични ограничения“</w:t>
      </w:r>
      <w:bookmarkEnd w:id="23"/>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След получена информация от ДФЗ-РА, съдържаща подробен прогнозен разчет на средствата, необходими за покриване на всички текущи ангажименти, включително до края на 2025 календарна година, когато приключва разплащането по програмен период 2014-2020, са налице средства, които е възможно да не бъдат усвоени при сегашните нива на заявяване. Следва да се има предвид, че в случай на недостиг на средства в следващите 2 г., такива ще бъдат прехвърлени към съответните мерки с плащане на площ. В допълнение, промяната във финансовите параметри на тези мерки не се предвижда да повлияе на заложените стратегически цели за площ – т.е. показателите за площ не се предвижда да бъдат променяни, тъй като цяло са постигнати в задоволителна степен, а и не се предвижда заявяване на площи много над текущо заявяваните по тези мерки.</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Остатъчните средства, предложени за извеждане от мерките с плащане на площ - Мярка 10 „Агроекология и климат“ (М10), Мярка 11 „Биологи</w:t>
      </w:r>
      <w:r w:rsidR="00D8585C">
        <w:rPr>
          <w:rFonts w:ascii="Times New Roman" w:hAnsi="Times New Roman"/>
          <w:sz w:val="24"/>
          <w:szCs w:val="24"/>
        </w:rPr>
        <w:t>чно земеделие“ (М11), Мярка 12 „</w:t>
      </w:r>
      <w:r w:rsidRPr="00581B3B">
        <w:rPr>
          <w:rFonts w:ascii="Times New Roman" w:hAnsi="Times New Roman"/>
          <w:sz w:val="24"/>
          <w:szCs w:val="24"/>
        </w:rPr>
        <w:t>Плащания по „Нату</w:t>
      </w:r>
      <w:r w:rsidR="00D8585C">
        <w:rPr>
          <w:rFonts w:ascii="Times New Roman" w:hAnsi="Times New Roman"/>
          <w:sz w:val="24"/>
          <w:szCs w:val="24"/>
        </w:rPr>
        <w:t>ра-2000” и Рамковата директива за водите“ (М12), и Мярка 13 „</w:t>
      </w:r>
      <w:r w:rsidRPr="00581B3B">
        <w:rPr>
          <w:rFonts w:ascii="Times New Roman" w:hAnsi="Times New Roman"/>
          <w:sz w:val="24"/>
          <w:szCs w:val="24"/>
        </w:rPr>
        <w:t>Плащания за райони,</w:t>
      </w:r>
      <w:r w:rsidR="00D8585C">
        <w:rPr>
          <w:rFonts w:ascii="Times New Roman" w:hAnsi="Times New Roman"/>
          <w:sz w:val="24"/>
          <w:szCs w:val="24"/>
        </w:rPr>
        <w:t xml:space="preserve"> </w:t>
      </w:r>
      <w:r w:rsidRPr="00581B3B">
        <w:rPr>
          <w:rFonts w:ascii="Times New Roman" w:hAnsi="Times New Roman"/>
          <w:sz w:val="24"/>
          <w:szCs w:val="24"/>
        </w:rPr>
        <w:t xml:space="preserve">изправени пред природни или други специфични </w:t>
      </w:r>
      <w:r w:rsidR="00D8585C">
        <w:rPr>
          <w:rFonts w:ascii="Times New Roman" w:hAnsi="Times New Roman"/>
          <w:sz w:val="24"/>
          <w:szCs w:val="24"/>
        </w:rPr>
        <w:t>ограничения“ (М13), и Мярка 14 „</w:t>
      </w:r>
      <w:r w:rsidRPr="00581B3B">
        <w:rPr>
          <w:rFonts w:ascii="Times New Roman" w:hAnsi="Times New Roman"/>
          <w:sz w:val="24"/>
          <w:szCs w:val="24"/>
        </w:rPr>
        <w:t>Хуманно отношение към животните</w:t>
      </w:r>
      <w:r w:rsidR="00D8585C">
        <w:rPr>
          <w:rFonts w:ascii="Times New Roman" w:hAnsi="Times New Roman"/>
          <w:sz w:val="24"/>
          <w:szCs w:val="24"/>
        </w:rPr>
        <w:t xml:space="preserve">“ </w:t>
      </w:r>
      <w:r w:rsidRPr="00581B3B">
        <w:rPr>
          <w:rFonts w:ascii="Times New Roman" w:hAnsi="Times New Roman"/>
          <w:sz w:val="24"/>
          <w:szCs w:val="24"/>
        </w:rPr>
        <w:t xml:space="preserve">(M14) са налични след специално изискана, и получена информация от ДФЗ-РА, съдържаща подробен прогнозен разчет на средствата, необходими за покриване на всички текущи ангажименти, включително до края на 2025 календарна година, когато приключва разплащането по програмен период 2014-2020. </w:t>
      </w:r>
    </w:p>
    <w:p w:rsidR="00A3256F" w:rsidRPr="00581B3B" w:rsidRDefault="00A3256F" w:rsidP="00392D11">
      <w:pPr>
        <w:jc w:val="both"/>
        <w:rPr>
          <w:rFonts w:ascii="Times New Roman" w:hAnsi="Times New Roman"/>
          <w:sz w:val="24"/>
          <w:szCs w:val="24"/>
        </w:rPr>
      </w:pPr>
      <w:r w:rsidRPr="00581B3B">
        <w:rPr>
          <w:rFonts w:ascii="Times New Roman" w:eastAsia="Times New Roman" w:hAnsi="Times New Roman" w:cs="Times New Roman"/>
          <w:color w:val="000000"/>
          <w:sz w:val="24"/>
          <w:szCs w:val="24"/>
          <w:lang w:eastAsia="bg-BG"/>
        </w:rPr>
        <w:lastRenderedPageBreak/>
        <w:t>В резултат на този анализ</w:t>
      </w:r>
      <w:r w:rsidR="00212E93">
        <w:rPr>
          <w:rFonts w:ascii="Times New Roman" w:eastAsia="Times New Roman" w:hAnsi="Times New Roman" w:cs="Times New Roman"/>
          <w:color w:val="000000"/>
          <w:sz w:val="24"/>
          <w:szCs w:val="24"/>
          <w:lang w:eastAsia="bg-BG"/>
        </w:rPr>
        <w:t xml:space="preserve"> </w:t>
      </w:r>
      <w:r w:rsidRPr="00581B3B">
        <w:rPr>
          <w:rFonts w:ascii="Times New Roman" w:eastAsia="Times New Roman" w:hAnsi="Times New Roman" w:cs="Times New Roman"/>
          <w:color w:val="000000"/>
          <w:sz w:val="24"/>
          <w:szCs w:val="24"/>
          <w:lang w:eastAsia="bg-BG"/>
        </w:rPr>
        <w:t>-</w:t>
      </w:r>
      <w:r w:rsidR="00212E93">
        <w:rPr>
          <w:rFonts w:ascii="Times New Roman" w:eastAsia="Times New Roman" w:hAnsi="Times New Roman" w:cs="Times New Roman"/>
          <w:color w:val="000000"/>
          <w:sz w:val="24"/>
          <w:szCs w:val="24"/>
          <w:lang w:eastAsia="bg-BG"/>
        </w:rPr>
        <w:t xml:space="preserve"> </w:t>
      </w:r>
      <w:r w:rsidRPr="00581B3B">
        <w:rPr>
          <w:rFonts w:ascii="Times New Roman" w:eastAsia="Times New Roman" w:hAnsi="Times New Roman" w:cs="Times New Roman"/>
          <w:color w:val="000000"/>
          <w:sz w:val="24"/>
          <w:szCs w:val="24"/>
          <w:lang w:eastAsia="bg-BG"/>
        </w:rPr>
        <w:t xml:space="preserve">прогноза, от УО на ПРСР 2014-2020 бе отчетен факта, че </w:t>
      </w:r>
      <w:r w:rsidRPr="00581B3B">
        <w:rPr>
          <w:rFonts w:ascii="Times New Roman" w:eastAsia="Times New Roman" w:hAnsi="Times New Roman" w:cs="Times New Roman"/>
          <w:b/>
          <w:color w:val="000000"/>
          <w:sz w:val="24"/>
          <w:szCs w:val="24"/>
          <w:lang w:eastAsia="bg-BG"/>
        </w:rPr>
        <w:t>са налице средства, които не е възможно да бъдат усвоени</w:t>
      </w:r>
      <w:r w:rsidRPr="00581B3B">
        <w:rPr>
          <w:rFonts w:ascii="Times New Roman" w:eastAsia="Times New Roman" w:hAnsi="Times New Roman" w:cs="Times New Roman"/>
          <w:color w:val="000000"/>
          <w:sz w:val="24"/>
          <w:szCs w:val="24"/>
          <w:lang w:eastAsia="bg-BG"/>
        </w:rPr>
        <w:t xml:space="preserve"> с</w:t>
      </w:r>
      <w:r w:rsidRPr="00581B3B">
        <w:rPr>
          <w:rFonts w:ascii="Times New Roman" w:hAnsi="Times New Roman"/>
          <w:sz w:val="24"/>
          <w:szCs w:val="24"/>
        </w:rPr>
        <w:t xml:space="preserve">лед стартирането на Стратегическия план от 01.01.2023 г. В съответствие с чл. 28, параграф 5 по отношение на новите ангажименти поети през 2021 г. и 2022 г., е определен по-кратък период на ангажиментите </w:t>
      </w:r>
      <w:r w:rsidR="007447FF" w:rsidRPr="00581B3B">
        <w:rPr>
          <w:rFonts w:ascii="Times New Roman" w:hAnsi="Times New Roman"/>
          <w:sz w:val="24"/>
          <w:szCs w:val="24"/>
        </w:rPr>
        <w:t xml:space="preserve">– </w:t>
      </w:r>
      <w:r w:rsidRPr="00581B3B">
        <w:rPr>
          <w:rFonts w:ascii="Times New Roman" w:hAnsi="Times New Roman"/>
          <w:sz w:val="24"/>
          <w:szCs w:val="24"/>
        </w:rPr>
        <w:t>от</w:t>
      </w:r>
      <w:r w:rsidR="007447FF" w:rsidRPr="00581B3B">
        <w:rPr>
          <w:rFonts w:ascii="Times New Roman" w:hAnsi="Times New Roman"/>
          <w:sz w:val="24"/>
          <w:szCs w:val="24"/>
        </w:rPr>
        <w:t xml:space="preserve"> </w:t>
      </w:r>
      <w:r w:rsidRPr="00581B3B">
        <w:rPr>
          <w:rFonts w:ascii="Times New Roman" w:hAnsi="Times New Roman"/>
          <w:sz w:val="24"/>
          <w:szCs w:val="24"/>
        </w:rPr>
        <w:t>една до три години, като не се предвижда поемане на нови ангажименти или удължаване на текущите през 2023 г.</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Към датата на изготвяне на изменението, са отчетени почти 60 млн. евро публични средства по мерките с плащане на площ от ПРСР 2014-2020, които няма как да бъд</w:t>
      </w:r>
      <w:r w:rsidR="00E00D70" w:rsidRPr="00581B3B">
        <w:rPr>
          <w:rFonts w:ascii="Times New Roman" w:hAnsi="Times New Roman"/>
          <w:sz w:val="24"/>
          <w:szCs w:val="24"/>
        </w:rPr>
        <w:t>ат разплатени дори при взета пре</w:t>
      </w:r>
      <w:r w:rsidRPr="00581B3B">
        <w:rPr>
          <w:rFonts w:ascii="Times New Roman" w:hAnsi="Times New Roman"/>
          <w:sz w:val="24"/>
          <w:szCs w:val="24"/>
        </w:rPr>
        <w:t>двид оптимистична прогноза:</w:t>
      </w:r>
    </w:p>
    <w:p w:rsidR="00A3256F" w:rsidRPr="00581B3B" w:rsidRDefault="00A3256F" w:rsidP="00A3256F">
      <w:pPr>
        <w:ind w:firstLine="567"/>
        <w:jc w:val="both"/>
        <w:rPr>
          <w:rFonts w:ascii="Times New Roman" w:eastAsia="Times New Roman" w:hAnsi="Times New Roman" w:cs="Times New Roman"/>
          <w:b/>
          <w:color w:val="000000"/>
          <w:sz w:val="24"/>
          <w:szCs w:val="24"/>
          <w:lang w:eastAsia="bg-BG"/>
        </w:rPr>
      </w:pPr>
      <w:r w:rsidRPr="00581B3B">
        <w:rPr>
          <w:rFonts w:ascii="Times New Roman" w:eastAsia="Times New Roman" w:hAnsi="Times New Roman" w:cs="Times New Roman"/>
          <w:b/>
          <w:color w:val="000000"/>
          <w:sz w:val="24"/>
          <w:szCs w:val="24"/>
          <w:lang w:eastAsia="bg-BG"/>
        </w:rPr>
        <w:t xml:space="preserve">Таблица </w:t>
      </w:r>
      <w:r w:rsidR="007616BE" w:rsidRPr="00581B3B">
        <w:rPr>
          <w:rFonts w:ascii="Times New Roman" w:eastAsia="Times New Roman" w:hAnsi="Times New Roman" w:cs="Times New Roman"/>
          <w:b/>
          <w:color w:val="000000"/>
          <w:sz w:val="24"/>
          <w:szCs w:val="24"/>
          <w:lang w:eastAsia="bg-BG"/>
        </w:rPr>
        <w:t>8</w:t>
      </w:r>
      <w:r w:rsidRPr="00581B3B">
        <w:rPr>
          <w:rFonts w:ascii="Times New Roman" w:eastAsia="Times New Roman" w:hAnsi="Times New Roman" w:cs="Times New Roman"/>
          <w:b/>
          <w:color w:val="000000"/>
          <w:sz w:val="24"/>
          <w:szCs w:val="24"/>
          <w:lang w:eastAsia="bg-BG"/>
        </w:rPr>
        <w:t>:</w:t>
      </w:r>
    </w:p>
    <w:tbl>
      <w:tblPr>
        <w:tblW w:w="5000" w:type="pct"/>
        <w:tblCellMar>
          <w:left w:w="70" w:type="dxa"/>
          <w:right w:w="70" w:type="dxa"/>
        </w:tblCellMar>
        <w:tblLook w:val="04A0" w:firstRow="1" w:lastRow="0" w:firstColumn="1" w:lastColumn="0" w:noHBand="0" w:noVBand="1"/>
      </w:tblPr>
      <w:tblGrid>
        <w:gridCol w:w="2865"/>
        <w:gridCol w:w="2152"/>
        <w:gridCol w:w="2636"/>
        <w:gridCol w:w="1559"/>
      </w:tblGrid>
      <w:tr w:rsidR="00A3256F" w:rsidRPr="00581B3B" w:rsidTr="00A90AB6">
        <w:trPr>
          <w:trHeight w:val="960"/>
        </w:trPr>
        <w:tc>
          <w:tcPr>
            <w:tcW w:w="1555" w:type="pct"/>
            <w:tcBorders>
              <w:top w:val="nil"/>
              <w:left w:val="single" w:sz="8" w:space="0" w:color="BFBFBF"/>
              <w:bottom w:val="single" w:sz="8" w:space="0" w:color="BFBFBF"/>
              <w:right w:val="single" w:sz="8" w:space="0" w:color="BFBFBF"/>
            </w:tcBorders>
            <w:shd w:val="clear" w:color="000000" w:fill="D9D9D9" w:themeFill="background1" w:themeFillShade="D9"/>
            <w:vAlign w:val="center"/>
            <w:hideMark/>
          </w:tcPr>
          <w:p w:rsidR="00A3256F" w:rsidRPr="00581B3B" w:rsidRDefault="00A3256F" w:rsidP="006E19AF">
            <w:pPr>
              <w:spacing w:after="0" w:line="240" w:lineRule="auto"/>
              <w:jc w:val="center"/>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Мерки с плащане на площ/компенсаторен характер от ПРСР 2014-2020</w:t>
            </w:r>
          </w:p>
        </w:tc>
        <w:tc>
          <w:tcPr>
            <w:tcW w:w="1168" w:type="pct"/>
            <w:tcBorders>
              <w:top w:val="nil"/>
              <w:left w:val="nil"/>
              <w:bottom w:val="single" w:sz="8" w:space="0" w:color="BFBFBF"/>
              <w:right w:val="single" w:sz="8" w:space="0" w:color="BFBFBF"/>
            </w:tcBorders>
            <w:shd w:val="clear" w:color="000000" w:fill="D9D9D9" w:themeFill="background1" w:themeFillShade="D9"/>
            <w:vAlign w:val="center"/>
            <w:hideMark/>
          </w:tcPr>
          <w:p w:rsidR="00A3256F" w:rsidRPr="00581B3B" w:rsidRDefault="00A3256F" w:rsidP="00A90AB6">
            <w:pPr>
              <w:spacing w:after="0" w:line="240" w:lineRule="auto"/>
              <w:jc w:val="center"/>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Oбщо индикативен бюджет на мерките след 1</w:t>
            </w:r>
            <w:r w:rsidR="00A90AB6" w:rsidRPr="00581B3B">
              <w:rPr>
                <w:rFonts w:ascii="Times New Roman" w:eastAsia="Times New Roman" w:hAnsi="Times New Roman" w:cs="Times New Roman"/>
                <w:bCs/>
                <w:color w:val="000000"/>
                <w:sz w:val="18"/>
                <w:szCs w:val="18"/>
                <w:lang w:eastAsia="bg-BG"/>
              </w:rPr>
              <w:t>5</w:t>
            </w:r>
            <w:r w:rsidRPr="00581B3B">
              <w:rPr>
                <w:rFonts w:ascii="Times New Roman" w:eastAsia="Times New Roman" w:hAnsi="Times New Roman" w:cs="Times New Roman"/>
                <w:bCs/>
                <w:color w:val="000000"/>
                <w:sz w:val="18"/>
                <w:szCs w:val="18"/>
                <w:lang w:eastAsia="bg-BG"/>
              </w:rPr>
              <w:t>-то изменение</w:t>
            </w:r>
          </w:p>
        </w:tc>
        <w:tc>
          <w:tcPr>
            <w:tcW w:w="1431" w:type="pct"/>
            <w:tcBorders>
              <w:top w:val="nil"/>
              <w:left w:val="nil"/>
              <w:bottom w:val="single" w:sz="8" w:space="0" w:color="BFBFBF"/>
              <w:right w:val="single" w:sz="8" w:space="0" w:color="BFBFBF"/>
            </w:tcBorders>
            <w:shd w:val="clear" w:color="000000" w:fill="D9D9D9" w:themeFill="background1" w:themeFillShade="D9"/>
            <w:vAlign w:val="center"/>
            <w:hideMark/>
          </w:tcPr>
          <w:p w:rsidR="00A3256F" w:rsidRPr="00581B3B" w:rsidRDefault="00A3256F" w:rsidP="006E19AF">
            <w:pPr>
              <w:spacing w:after="0" w:line="240" w:lineRule="auto"/>
              <w:jc w:val="center"/>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Средства, които се предвижда от ДФЗ-РА да бъдат усвоени до края на 2025 г., евро, публични средства</w:t>
            </w:r>
          </w:p>
        </w:tc>
        <w:tc>
          <w:tcPr>
            <w:tcW w:w="847" w:type="pct"/>
            <w:tcBorders>
              <w:top w:val="nil"/>
              <w:left w:val="nil"/>
              <w:bottom w:val="single" w:sz="8" w:space="0" w:color="BFBFBF"/>
              <w:right w:val="single" w:sz="8" w:space="0" w:color="BFBFBF"/>
            </w:tcBorders>
            <w:shd w:val="clear" w:color="000000" w:fill="D9D9D9" w:themeFill="background1" w:themeFillShade="D9"/>
            <w:vAlign w:val="center"/>
            <w:hideMark/>
          </w:tcPr>
          <w:p w:rsidR="00A3256F" w:rsidRPr="00581B3B" w:rsidRDefault="00A3256F" w:rsidP="006E19AF">
            <w:pPr>
              <w:spacing w:after="0" w:line="240" w:lineRule="auto"/>
              <w:jc w:val="center"/>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Остатък, който не може да бъде усвоен, евро, публични средства</w:t>
            </w:r>
          </w:p>
        </w:tc>
      </w:tr>
      <w:tr w:rsidR="00A3256F" w:rsidRPr="00581B3B" w:rsidTr="006E19AF">
        <w:trPr>
          <w:trHeight w:val="315"/>
        </w:trPr>
        <w:tc>
          <w:tcPr>
            <w:tcW w:w="1555" w:type="pct"/>
            <w:tcBorders>
              <w:top w:val="nil"/>
              <w:left w:val="single" w:sz="8" w:space="0" w:color="BFBFBF"/>
              <w:bottom w:val="single" w:sz="8" w:space="0" w:color="BFBFBF"/>
              <w:right w:val="single" w:sz="8" w:space="0" w:color="BFBFBF"/>
            </w:tcBorders>
            <w:shd w:val="clear" w:color="000000" w:fill="F2F2F2"/>
            <w:vAlign w:val="center"/>
            <w:hideMark/>
          </w:tcPr>
          <w:p w:rsidR="00A3256F" w:rsidRPr="00581B3B" w:rsidRDefault="00A3256F" w:rsidP="007447FF">
            <w:pPr>
              <w:spacing w:after="0" w:line="240" w:lineRule="auto"/>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Мярка 10 "Агроекология и климат"</w:t>
            </w:r>
          </w:p>
        </w:tc>
        <w:tc>
          <w:tcPr>
            <w:tcW w:w="1168"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282 384 616</w:t>
            </w:r>
          </w:p>
        </w:tc>
        <w:tc>
          <w:tcPr>
            <w:tcW w:w="1431"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267 863 043</w:t>
            </w:r>
          </w:p>
        </w:tc>
        <w:tc>
          <w:tcPr>
            <w:tcW w:w="847"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14 521 573</w:t>
            </w:r>
          </w:p>
        </w:tc>
      </w:tr>
      <w:tr w:rsidR="00A3256F" w:rsidRPr="00581B3B" w:rsidTr="006E19AF">
        <w:trPr>
          <w:trHeight w:val="510"/>
        </w:trPr>
        <w:tc>
          <w:tcPr>
            <w:tcW w:w="1555" w:type="pct"/>
            <w:tcBorders>
              <w:top w:val="nil"/>
              <w:left w:val="single" w:sz="8" w:space="0" w:color="BFBFBF"/>
              <w:bottom w:val="single" w:sz="8" w:space="0" w:color="BFBFBF"/>
              <w:right w:val="single" w:sz="8" w:space="0" w:color="BFBFBF"/>
            </w:tcBorders>
            <w:shd w:val="clear" w:color="auto" w:fill="auto"/>
            <w:vAlign w:val="center"/>
            <w:hideMark/>
          </w:tcPr>
          <w:p w:rsidR="00A3256F" w:rsidRPr="00581B3B" w:rsidRDefault="00A3256F" w:rsidP="007447FF">
            <w:pPr>
              <w:spacing w:after="0" w:line="240" w:lineRule="auto"/>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Мярка 11 "Биологично земеделие"</w:t>
            </w:r>
          </w:p>
        </w:tc>
        <w:tc>
          <w:tcPr>
            <w:tcW w:w="1168" w:type="pct"/>
            <w:tcBorders>
              <w:top w:val="nil"/>
              <w:left w:val="nil"/>
              <w:bottom w:val="single" w:sz="8" w:space="0" w:color="BFBFBF"/>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233 943 439</w:t>
            </w:r>
          </w:p>
        </w:tc>
        <w:tc>
          <w:tcPr>
            <w:tcW w:w="1431" w:type="pct"/>
            <w:tcBorders>
              <w:top w:val="nil"/>
              <w:left w:val="nil"/>
              <w:bottom w:val="single" w:sz="8" w:space="0" w:color="BFBFBF"/>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195 656 670</w:t>
            </w:r>
          </w:p>
        </w:tc>
        <w:tc>
          <w:tcPr>
            <w:tcW w:w="847" w:type="pct"/>
            <w:tcBorders>
              <w:top w:val="nil"/>
              <w:left w:val="nil"/>
              <w:bottom w:val="single" w:sz="8" w:space="0" w:color="BFBFBF"/>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38 286 770</w:t>
            </w:r>
          </w:p>
        </w:tc>
      </w:tr>
      <w:tr w:rsidR="00A3256F" w:rsidRPr="00581B3B" w:rsidTr="006E19AF">
        <w:trPr>
          <w:trHeight w:val="495"/>
        </w:trPr>
        <w:tc>
          <w:tcPr>
            <w:tcW w:w="1555" w:type="pct"/>
            <w:tcBorders>
              <w:top w:val="nil"/>
              <w:left w:val="single" w:sz="8" w:space="0" w:color="BFBFBF"/>
              <w:bottom w:val="single" w:sz="8" w:space="0" w:color="BFBFBF"/>
              <w:right w:val="single" w:sz="8" w:space="0" w:color="BFBFBF"/>
            </w:tcBorders>
            <w:shd w:val="clear" w:color="000000" w:fill="F2F2F2"/>
            <w:vAlign w:val="center"/>
            <w:hideMark/>
          </w:tcPr>
          <w:p w:rsidR="00A3256F" w:rsidRPr="00581B3B" w:rsidRDefault="00A3256F" w:rsidP="007447FF">
            <w:pPr>
              <w:spacing w:after="0" w:line="240" w:lineRule="auto"/>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Мярка 12 "Плащания по „Натура-2000” и Рамковата директива  за водите"</w:t>
            </w:r>
          </w:p>
        </w:tc>
        <w:tc>
          <w:tcPr>
            <w:tcW w:w="1168"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204 676 037</w:t>
            </w:r>
          </w:p>
        </w:tc>
        <w:tc>
          <w:tcPr>
            <w:tcW w:w="1431"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198 246 681</w:t>
            </w:r>
          </w:p>
        </w:tc>
        <w:tc>
          <w:tcPr>
            <w:tcW w:w="847" w:type="pct"/>
            <w:tcBorders>
              <w:top w:val="nil"/>
              <w:left w:val="nil"/>
              <w:bottom w:val="single" w:sz="8" w:space="0" w:color="BFBFBF"/>
              <w:right w:val="single" w:sz="8" w:space="0" w:color="BFBFBF"/>
            </w:tcBorders>
            <w:shd w:val="clear" w:color="000000" w:fill="F2F2F2"/>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6 429 356</w:t>
            </w:r>
          </w:p>
        </w:tc>
      </w:tr>
      <w:tr w:rsidR="00A3256F" w:rsidRPr="00581B3B" w:rsidTr="00A90AB6">
        <w:trPr>
          <w:trHeight w:val="780"/>
        </w:trPr>
        <w:tc>
          <w:tcPr>
            <w:tcW w:w="1555" w:type="pct"/>
            <w:tcBorders>
              <w:top w:val="nil"/>
              <w:left w:val="single" w:sz="8" w:space="0" w:color="BFBFBF"/>
              <w:right w:val="single" w:sz="8" w:space="0" w:color="BFBFBF"/>
            </w:tcBorders>
            <w:shd w:val="clear" w:color="auto" w:fill="auto"/>
            <w:vAlign w:val="center"/>
            <w:hideMark/>
          </w:tcPr>
          <w:p w:rsidR="00A3256F" w:rsidRPr="00581B3B" w:rsidRDefault="00A3256F" w:rsidP="007447FF">
            <w:pPr>
              <w:spacing w:after="0" w:line="240" w:lineRule="auto"/>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Мярка 13</w:t>
            </w:r>
            <w:r w:rsidR="007447FF" w:rsidRPr="00581B3B">
              <w:rPr>
                <w:rFonts w:ascii="Times New Roman" w:eastAsia="Times New Roman" w:hAnsi="Times New Roman" w:cs="Times New Roman"/>
                <w:bCs/>
                <w:color w:val="000000"/>
                <w:sz w:val="18"/>
                <w:szCs w:val="18"/>
                <w:lang w:eastAsia="bg-BG"/>
              </w:rPr>
              <w:t xml:space="preserve"> „</w:t>
            </w:r>
            <w:r w:rsidRPr="00581B3B">
              <w:rPr>
                <w:rFonts w:ascii="Times New Roman" w:eastAsia="Times New Roman" w:hAnsi="Times New Roman" w:cs="Times New Roman"/>
                <w:bCs/>
                <w:color w:val="000000"/>
                <w:sz w:val="18"/>
                <w:szCs w:val="18"/>
                <w:lang w:eastAsia="bg-BG"/>
              </w:rPr>
              <w:t>Плащания за райони,</w:t>
            </w:r>
            <w:r w:rsidR="007447FF" w:rsidRPr="00581B3B">
              <w:rPr>
                <w:rFonts w:ascii="Times New Roman" w:eastAsia="Times New Roman" w:hAnsi="Times New Roman" w:cs="Times New Roman"/>
                <w:bCs/>
                <w:color w:val="000000"/>
                <w:sz w:val="18"/>
                <w:szCs w:val="18"/>
                <w:lang w:eastAsia="bg-BG"/>
              </w:rPr>
              <w:t xml:space="preserve"> </w:t>
            </w:r>
            <w:r w:rsidRPr="00581B3B">
              <w:rPr>
                <w:rFonts w:ascii="Times New Roman" w:eastAsia="Times New Roman" w:hAnsi="Times New Roman" w:cs="Times New Roman"/>
                <w:bCs/>
                <w:color w:val="000000"/>
                <w:sz w:val="18"/>
                <w:szCs w:val="18"/>
                <w:lang w:eastAsia="bg-BG"/>
              </w:rPr>
              <w:t>изправени пред природни или други специфични ограничения</w:t>
            </w:r>
            <w:r w:rsidR="007447FF" w:rsidRPr="00581B3B">
              <w:rPr>
                <w:rFonts w:ascii="Times New Roman" w:eastAsia="Times New Roman" w:hAnsi="Times New Roman" w:cs="Times New Roman"/>
                <w:bCs/>
                <w:color w:val="000000"/>
                <w:sz w:val="18"/>
                <w:szCs w:val="18"/>
                <w:lang w:eastAsia="bg-BG"/>
              </w:rPr>
              <w:t>“</w:t>
            </w:r>
          </w:p>
        </w:tc>
        <w:tc>
          <w:tcPr>
            <w:tcW w:w="1168" w:type="pct"/>
            <w:tcBorders>
              <w:top w:val="nil"/>
              <w:left w:val="nil"/>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383 814 675</w:t>
            </w:r>
          </w:p>
        </w:tc>
        <w:tc>
          <w:tcPr>
            <w:tcW w:w="1431" w:type="pct"/>
            <w:tcBorders>
              <w:top w:val="nil"/>
              <w:left w:val="nil"/>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383 698 395</w:t>
            </w:r>
          </w:p>
        </w:tc>
        <w:tc>
          <w:tcPr>
            <w:tcW w:w="847" w:type="pct"/>
            <w:tcBorders>
              <w:top w:val="nil"/>
              <w:left w:val="nil"/>
              <w:right w:val="single" w:sz="8" w:space="0" w:color="BFBFBF"/>
            </w:tcBorders>
            <w:shd w:val="clear" w:color="auto" w:fill="auto"/>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116 280</w:t>
            </w:r>
          </w:p>
        </w:tc>
      </w:tr>
      <w:tr w:rsidR="00A3256F" w:rsidRPr="00581B3B" w:rsidTr="00A90AB6">
        <w:trPr>
          <w:trHeight w:val="484"/>
        </w:trPr>
        <w:tc>
          <w:tcPr>
            <w:tcW w:w="1555" w:type="pct"/>
            <w:tcBorders>
              <w:top w:val="nil"/>
              <w:left w:val="single" w:sz="8" w:space="0" w:color="BFBFBF"/>
              <w:bottom w:val="single" w:sz="8" w:space="0" w:color="BFBFBF"/>
              <w:right w:val="single" w:sz="8" w:space="0" w:color="BFBFBF"/>
            </w:tcBorders>
            <w:shd w:val="clear" w:color="000000" w:fill="D9D9D9" w:themeFill="background1" w:themeFillShade="D9"/>
            <w:vAlign w:val="center"/>
            <w:hideMark/>
          </w:tcPr>
          <w:p w:rsidR="00A3256F" w:rsidRPr="00581B3B" w:rsidRDefault="00A3256F" w:rsidP="006E19AF">
            <w:pPr>
              <w:spacing w:after="0" w:line="240" w:lineRule="auto"/>
              <w:jc w:val="center"/>
              <w:rPr>
                <w:rFonts w:ascii="Times New Roman" w:eastAsia="Times New Roman" w:hAnsi="Times New Roman" w:cs="Times New Roman"/>
                <w:bCs/>
                <w:color w:val="000000"/>
                <w:sz w:val="18"/>
                <w:szCs w:val="18"/>
                <w:lang w:eastAsia="bg-BG"/>
              </w:rPr>
            </w:pPr>
            <w:r w:rsidRPr="00581B3B">
              <w:rPr>
                <w:rFonts w:ascii="Times New Roman" w:eastAsia="Times New Roman" w:hAnsi="Times New Roman" w:cs="Times New Roman"/>
                <w:bCs/>
                <w:color w:val="000000"/>
                <w:sz w:val="18"/>
                <w:szCs w:val="18"/>
                <w:lang w:eastAsia="bg-BG"/>
              </w:rPr>
              <w:t>Общо</w:t>
            </w:r>
          </w:p>
        </w:tc>
        <w:tc>
          <w:tcPr>
            <w:tcW w:w="1168" w:type="pct"/>
            <w:tcBorders>
              <w:top w:val="nil"/>
              <w:left w:val="nil"/>
              <w:bottom w:val="single" w:sz="8" w:space="0" w:color="BFBFBF"/>
              <w:right w:val="single" w:sz="8" w:space="0" w:color="BFBFBF"/>
            </w:tcBorders>
            <w:shd w:val="clear" w:color="000000" w:fill="D9D9D9" w:themeFill="background1" w:themeFillShade="D9"/>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1 104 818 767</w:t>
            </w:r>
          </w:p>
        </w:tc>
        <w:tc>
          <w:tcPr>
            <w:tcW w:w="1431" w:type="pct"/>
            <w:tcBorders>
              <w:top w:val="nil"/>
              <w:left w:val="nil"/>
              <w:bottom w:val="single" w:sz="8" w:space="0" w:color="BFBFBF"/>
              <w:right w:val="single" w:sz="8" w:space="0" w:color="BFBFBF"/>
            </w:tcBorders>
            <w:shd w:val="clear" w:color="000000" w:fill="D9D9D9" w:themeFill="background1" w:themeFillShade="D9"/>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1 045 464 789</w:t>
            </w:r>
          </w:p>
        </w:tc>
        <w:tc>
          <w:tcPr>
            <w:tcW w:w="847" w:type="pct"/>
            <w:tcBorders>
              <w:top w:val="nil"/>
              <w:left w:val="nil"/>
              <w:bottom w:val="single" w:sz="8" w:space="0" w:color="BFBFBF"/>
              <w:right w:val="single" w:sz="8" w:space="0" w:color="BFBFBF"/>
            </w:tcBorders>
            <w:shd w:val="clear" w:color="000000" w:fill="D9D9D9" w:themeFill="background1" w:themeFillShade="D9"/>
            <w:noWrap/>
            <w:vAlign w:val="center"/>
            <w:hideMark/>
          </w:tcPr>
          <w:p w:rsidR="00A3256F" w:rsidRPr="00581B3B" w:rsidRDefault="00A3256F" w:rsidP="006E19AF">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59 353 978</w:t>
            </w:r>
          </w:p>
        </w:tc>
      </w:tr>
    </w:tbl>
    <w:p w:rsidR="00A3256F" w:rsidRPr="00581B3B" w:rsidRDefault="00A3256F" w:rsidP="00A3256F">
      <w:pPr>
        <w:ind w:firstLine="567"/>
        <w:jc w:val="both"/>
        <w:rPr>
          <w:rFonts w:ascii="Times New Roman" w:eastAsia="Times New Roman" w:hAnsi="Times New Roman" w:cs="Times New Roman"/>
          <w:color w:val="000000"/>
          <w:sz w:val="24"/>
          <w:szCs w:val="24"/>
          <w:lang w:eastAsia="bg-BG"/>
        </w:rPr>
      </w:pP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 xml:space="preserve">Разчетите са направени както на база приключващи кампании за 2022 г. по мерките с едногодишни плащания, също така на база изцяло изплатени ангажименти по мерките с многогодишни ангажименти, за години 2022, </w:t>
      </w:r>
      <w:r w:rsidRPr="00581B3B">
        <w:rPr>
          <w:rFonts w:ascii="Times New Roman" w:hAnsi="Times New Roman"/>
          <w:sz w:val="24"/>
          <w:szCs w:val="24"/>
        </w:rPr>
        <w:lastRenderedPageBreak/>
        <w:t>2023, 2024, и 2025 г., като са отчетени максималните стойности на ангажиментите – т.е. остатъкът само може да се увеличава в случаи на каквито и да е санкции по заявени площи/ЖЕ.</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Отчетен е също така и факта, че като цяло предложената промяна във финансовите параметри на тези мерки не се предвижда да повлияе на заложените стратегически цели и таргетите за площ – т.е. показателите за площ не се предвижда да бъдат променяни конкретно с това прехвърляне на средства, тъй като цяло са постигнати в задоволителна степен (някои показатели, като таргетите от П4 - дори над 100%).</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 xml:space="preserve">В резултат, УО на ПРСР ще предложи индексиране на ставките за мерките с плащане на площ, в резултат на което е възможно да бъдат усвоени </w:t>
      </w:r>
      <w:r w:rsidR="003E76CF" w:rsidRPr="00581B3B">
        <w:rPr>
          <w:rFonts w:ascii="Times New Roman" w:hAnsi="Times New Roman"/>
          <w:sz w:val="24"/>
          <w:szCs w:val="24"/>
        </w:rPr>
        <w:t>между 15 и 20</w:t>
      </w:r>
      <w:r w:rsidRPr="00581B3B">
        <w:rPr>
          <w:rFonts w:ascii="Times New Roman" w:hAnsi="Times New Roman"/>
          <w:sz w:val="24"/>
          <w:szCs w:val="24"/>
        </w:rPr>
        <w:t xml:space="preserve"> млн. евро публични средства от остатъците, показани в Таблица </w:t>
      </w:r>
      <w:r w:rsidR="007616BE" w:rsidRPr="00581B3B">
        <w:rPr>
          <w:rFonts w:ascii="Times New Roman" w:hAnsi="Times New Roman"/>
          <w:sz w:val="24"/>
          <w:szCs w:val="24"/>
        </w:rPr>
        <w:t>8</w:t>
      </w:r>
      <w:r w:rsidRPr="00581B3B">
        <w:rPr>
          <w:rFonts w:ascii="Times New Roman" w:hAnsi="Times New Roman"/>
          <w:sz w:val="24"/>
          <w:szCs w:val="24"/>
        </w:rPr>
        <w:t xml:space="preserve"> – като най-много средства се предвижда да бъдат изразходвани именно в мерки 10 и 11.</w:t>
      </w:r>
    </w:p>
    <w:p w:rsidR="00A3256F" w:rsidRPr="00581B3B" w:rsidRDefault="003E76CF" w:rsidP="00392D11">
      <w:pPr>
        <w:jc w:val="both"/>
        <w:rPr>
          <w:rFonts w:ascii="Times New Roman" w:hAnsi="Times New Roman"/>
          <w:sz w:val="24"/>
          <w:szCs w:val="24"/>
        </w:rPr>
      </w:pPr>
      <w:r w:rsidRPr="00581B3B">
        <w:rPr>
          <w:rFonts w:ascii="Times New Roman" w:hAnsi="Times New Roman"/>
          <w:sz w:val="24"/>
          <w:szCs w:val="24"/>
        </w:rPr>
        <w:t>УО на ПРСР ще предложи също така и</w:t>
      </w:r>
      <w:r w:rsidR="00A3256F" w:rsidRPr="00581B3B">
        <w:rPr>
          <w:rFonts w:ascii="Times New Roman" w:hAnsi="Times New Roman"/>
          <w:sz w:val="24"/>
          <w:szCs w:val="24"/>
        </w:rPr>
        <w:t>звеждането на по-голямата част от останалите неусвояеми средства по мерките с плащане на площ, насочвайки ги към инвестиции</w:t>
      </w:r>
      <w:r w:rsidR="004D2124">
        <w:rPr>
          <w:rFonts w:ascii="Times New Roman" w:hAnsi="Times New Roman"/>
          <w:sz w:val="24"/>
          <w:szCs w:val="24"/>
        </w:rPr>
        <w:t xml:space="preserve"> за опазване на околната среда</w:t>
      </w:r>
      <w:r w:rsidR="00A3256F" w:rsidRPr="00581B3B">
        <w:rPr>
          <w:rFonts w:ascii="Times New Roman" w:hAnsi="Times New Roman"/>
          <w:sz w:val="24"/>
          <w:szCs w:val="24"/>
        </w:rPr>
        <w:t xml:space="preserve"> в подмярка 4.2. </w:t>
      </w:r>
    </w:p>
    <w:p w:rsidR="003E76CF" w:rsidRPr="00581B3B" w:rsidRDefault="00A3256F" w:rsidP="00392D11">
      <w:pPr>
        <w:jc w:val="both"/>
        <w:rPr>
          <w:rFonts w:ascii="Times New Roman" w:hAnsi="Times New Roman"/>
          <w:sz w:val="24"/>
          <w:szCs w:val="24"/>
        </w:rPr>
      </w:pPr>
      <w:r w:rsidRPr="00581B3B">
        <w:rPr>
          <w:rFonts w:ascii="Times New Roman" w:hAnsi="Times New Roman"/>
          <w:sz w:val="24"/>
          <w:szCs w:val="24"/>
        </w:rPr>
        <w:t>Като цяло за изменението, са отчетени и съобразени и изискванията на чл. 59, ал. 6 от Регламент 1305/2013, както и т.нар „backslide principle” (съгласно който тази сума трябва да бъде като съотношение над 35.7%).</w:t>
      </w:r>
      <w:r w:rsidR="003E76CF" w:rsidRPr="00581B3B">
        <w:rPr>
          <w:rFonts w:ascii="Times New Roman" w:hAnsi="Times New Roman"/>
          <w:sz w:val="24"/>
          <w:szCs w:val="24"/>
        </w:rPr>
        <w:t xml:space="preserve"> След всички планирани за прехвърляне суми между мерки и подмерки на ПРСР 2014-2020, по така направените изчисления, съотношението все още е в размер на 35.7</w:t>
      </w:r>
      <w:r w:rsidR="009E52EC">
        <w:rPr>
          <w:rFonts w:ascii="Times New Roman" w:hAnsi="Times New Roman"/>
          <w:sz w:val="24"/>
          <w:szCs w:val="24"/>
        </w:rPr>
        <w:t>3</w:t>
      </w:r>
      <w:r w:rsidR="003E76CF" w:rsidRPr="00581B3B">
        <w:rPr>
          <w:rFonts w:ascii="Times New Roman" w:hAnsi="Times New Roman"/>
          <w:sz w:val="24"/>
          <w:szCs w:val="24"/>
        </w:rPr>
        <w:t>%.</w:t>
      </w:r>
    </w:p>
    <w:p w:rsidR="00A3256F" w:rsidRPr="00581B3B" w:rsidRDefault="00A3256F" w:rsidP="00392D11">
      <w:pPr>
        <w:jc w:val="both"/>
        <w:rPr>
          <w:rFonts w:ascii="Times New Roman" w:hAnsi="Times New Roman"/>
          <w:sz w:val="24"/>
          <w:szCs w:val="24"/>
        </w:rPr>
      </w:pPr>
      <w:r w:rsidRPr="00581B3B">
        <w:rPr>
          <w:rFonts w:ascii="Times New Roman" w:hAnsi="Times New Roman"/>
          <w:sz w:val="24"/>
          <w:szCs w:val="24"/>
        </w:rPr>
        <w:t xml:space="preserve">На последно място, но не и последен по важност следва да се има предвид факта, че в момента УО на ПРСР е в обективна невъзможност за усвояване на средствата, представени в Таблица </w:t>
      </w:r>
      <w:r w:rsidR="0008374B" w:rsidRPr="00581B3B">
        <w:rPr>
          <w:rFonts w:ascii="Times New Roman" w:hAnsi="Times New Roman"/>
          <w:sz w:val="24"/>
          <w:szCs w:val="24"/>
        </w:rPr>
        <w:t>8</w:t>
      </w:r>
      <w:r w:rsidRPr="00581B3B">
        <w:rPr>
          <w:rFonts w:ascii="Times New Roman" w:hAnsi="Times New Roman"/>
          <w:sz w:val="24"/>
          <w:szCs w:val="24"/>
        </w:rPr>
        <w:t>, като в случай</w:t>
      </w:r>
      <w:r w:rsidR="007447FF" w:rsidRPr="00581B3B">
        <w:rPr>
          <w:rFonts w:ascii="Times New Roman" w:hAnsi="Times New Roman"/>
          <w:sz w:val="24"/>
          <w:szCs w:val="24"/>
        </w:rPr>
        <w:t>,</w:t>
      </w:r>
      <w:r w:rsidRPr="00581B3B">
        <w:rPr>
          <w:rFonts w:ascii="Times New Roman" w:hAnsi="Times New Roman"/>
          <w:sz w:val="24"/>
          <w:szCs w:val="24"/>
        </w:rPr>
        <w:t xml:space="preserve"> че не бъдат </w:t>
      </w:r>
      <w:r w:rsidRPr="00581B3B">
        <w:rPr>
          <w:rFonts w:ascii="Times New Roman" w:hAnsi="Times New Roman"/>
          <w:sz w:val="24"/>
          <w:szCs w:val="24"/>
        </w:rPr>
        <w:lastRenderedPageBreak/>
        <w:t>прехвърлени и усвоени по други мерки/подмерки, същите ще бъдат безвъзвратно отчислени - или чрез следващ декъмитмънт, или в края на програмата, като в случай на декъмитмънт те отново следва да бъдат предложени за намаление от гореописаните мерки, но вече при други обективни условия, със следващо изменение, без да е използвана възможността да се ползват за финансиране на други неотложни нужди по Програмата.</w:t>
      </w:r>
    </w:p>
    <w:p w:rsidR="00C75C20" w:rsidRPr="00581B3B" w:rsidRDefault="0028311C" w:rsidP="00B35E6D">
      <w:pPr>
        <w:pStyle w:val="Heading2"/>
        <w:numPr>
          <w:ilvl w:val="0"/>
          <w:numId w:val="0"/>
        </w:numPr>
      </w:pPr>
      <w:bookmarkStart w:id="24" w:name="_Toc130370327"/>
      <w:r>
        <w:t>Мярка 12 „</w:t>
      </w:r>
      <w:r w:rsidR="00C75C20" w:rsidRPr="00581B3B">
        <w:t>Плащания по „Натура-2000” и Рамковата директива за водите“ – извеждане на средства</w:t>
      </w:r>
      <w:bookmarkEnd w:id="24"/>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t>След приключване на прилагането на мярката са налице средства, които не е възможно да бъдат усвоени след стартирането на Стратегическия план за развитието на земеделието и селските райони на Република България за периода 2023 - 2027 г. През кампания 2023 се предв</w:t>
      </w:r>
      <w:r w:rsidR="006B41E2">
        <w:rPr>
          <w:rFonts w:ascii="Times New Roman" w:eastAsia="Times New Roman" w:hAnsi="Times New Roman" w:cs="Times New Roman"/>
          <w:color w:val="000000"/>
          <w:sz w:val="24"/>
          <w:szCs w:val="24"/>
          <w:lang w:eastAsia="bg-BG"/>
        </w:rPr>
        <w:t>ижда стартиране на интервенция „</w:t>
      </w:r>
      <w:r w:rsidRPr="00581B3B">
        <w:rPr>
          <w:rFonts w:ascii="Times New Roman" w:eastAsia="Times New Roman" w:hAnsi="Times New Roman" w:cs="Times New Roman"/>
          <w:color w:val="000000"/>
          <w:sz w:val="24"/>
          <w:szCs w:val="24"/>
          <w:lang w:eastAsia="bg-BG"/>
        </w:rPr>
        <w:t xml:space="preserve">Плащания за земеделски земи в зони от Натура 2000”, която е идентична с мярка 12 от ПРСР 2014-2020 г. </w:t>
      </w:r>
    </w:p>
    <w:p w:rsidR="00C75C20" w:rsidRPr="00581B3B" w:rsidRDefault="00C75C20" w:rsidP="00B35E6D">
      <w:pPr>
        <w:pStyle w:val="Heading2"/>
        <w:numPr>
          <w:ilvl w:val="0"/>
          <w:numId w:val="0"/>
        </w:numPr>
      </w:pPr>
      <w:bookmarkStart w:id="25" w:name="_Toc130370328"/>
      <w:r w:rsidRPr="00581B3B">
        <w:t>Мярка 14 „Хуманно отношение към животните“ – извеждане на средства</w:t>
      </w:r>
      <w:bookmarkEnd w:id="25"/>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t xml:space="preserve">На 11-то заседание на КН, проведено на 11.12.2018 г. е предложено и одобрено предложение за промяна на продължителността на ангажимента на земеделските стопани по мярката и прецизиране на текстове по отношение на изпълняваните ангажименти от страна на земеделските стопани по мярка 14 „Хуманно отношение към животните“ от ПРСР 2014-2020 г. </w:t>
      </w:r>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t xml:space="preserve">Взимайки предвид изпълняването на практиките и дейностите по мярката и съобразявайки се с действителното изпълнение на годишните дейности, е осигурена възможност за поемане на ангажименти с продължителност една година, без </w:t>
      </w:r>
      <w:r w:rsidR="006B41E2">
        <w:rPr>
          <w:rFonts w:ascii="Times New Roman" w:eastAsia="Times New Roman" w:hAnsi="Times New Roman" w:cs="Times New Roman"/>
          <w:color w:val="000000"/>
          <w:sz w:val="24"/>
          <w:szCs w:val="24"/>
          <w:lang w:eastAsia="bg-BG"/>
        </w:rPr>
        <w:t xml:space="preserve">да </w:t>
      </w:r>
      <w:r w:rsidRPr="00581B3B">
        <w:rPr>
          <w:rFonts w:ascii="Times New Roman" w:eastAsia="Times New Roman" w:hAnsi="Times New Roman" w:cs="Times New Roman"/>
          <w:color w:val="000000"/>
          <w:sz w:val="24"/>
          <w:szCs w:val="24"/>
          <w:lang w:eastAsia="bg-BG"/>
        </w:rPr>
        <w:t>бъде застрашен интереса към прилагането на мярката.</w:t>
      </w:r>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lastRenderedPageBreak/>
        <w:t>Също така</w:t>
      </w:r>
      <w:r w:rsidR="007447FF" w:rsidRPr="00581B3B">
        <w:rPr>
          <w:rFonts w:ascii="Times New Roman" w:eastAsia="Times New Roman" w:hAnsi="Times New Roman" w:cs="Times New Roman"/>
          <w:color w:val="000000"/>
          <w:sz w:val="24"/>
          <w:szCs w:val="24"/>
          <w:lang w:eastAsia="bg-BG"/>
        </w:rPr>
        <w:t>,</w:t>
      </w:r>
      <w:r w:rsidRPr="00581B3B">
        <w:rPr>
          <w:rFonts w:ascii="Times New Roman" w:eastAsia="Times New Roman" w:hAnsi="Times New Roman" w:cs="Times New Roman"/>
          <w:color w:val="000000"/>
          <w:sz w:val="24"/>
          <w:szCs w:val="24"/>
          <w:lang w:eastAsia="bg-BG"/>
        </w:rPr>
        <w:t xml:space="preserve"> следва да бъде отбелязано, че има значителен ръст на броя на одобрените заявления по мярката. При стартиране на мярката за кампания 2017 броя на одобрените и заявления е 395, в сравнение с кампания 2021, броя на одобрените заявления е 898. </w:t>
      </w:r>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t>Съобразявайки се с кризисната ситуация</w:t>
      </w:r>
      <w:r w:rsidR="007447FF" w:rsidRPr="00581B3B">
        <w:rPr>
          <w:rFonts w:ascii="Times New Roman" w:eastAsia="Times New Roman" w:hAnsi="Times New Roman" w:cs="Times New Roman"/>
          <w:color w:val="000000"/>
          <w:sz w:val="24"/>
          <w:szCs w:val="24"/>
          <w:lang w:eastAsia="bg-BG"/>
        </w:rPr>
        <w:t>,</w:t>
      </w:r>
      <w:r w:rsidRPr="00581B3B">
        <w:rPr>
          <w:rFonts w:ascii="Times New Roman" w:eastAsia="Times New Roman" w:hAnsi="Times New Roman" w:cs="Times New Roman"/>
          <w:color w:val="000000"/>
          <w:sz w:val="24"/>
          <w:szCs w:val="24"/>
          <w:lang w:eastAsia="bg-BG"/>
        </w:rPr>
        <w:t xml:space="preserve"> настъпила при разпространението на COVID-19 и предприеманите мерки за неговото ограничаване, от страна на УО са предприети действия за актуализиране на разходите, които се компенсират за изпълняване на дейностите по мярката. </w:t>
      </w:r>
    </w:p>
    <w:p w:rsidR="00C75C20" w:rsidRPr="00581B3B" w:rsidRDefault="00C75C20" w:rsidP="00C75C20">
      <w:pPr>
        <w:jc w:val="both"/>
        <w:rPr>
          <w:rFonts w:ascii="Times New Roman" w:eastAsia="Times New Roman" w:hAnsi="Times New Roman" w:cs="Times New Roman"/>
          <w:color w:val="000000"/>
          <w:sz w:val="24"/>
          <w:szCs w:val="24"/>
          <w:lang w:eastAsia="bg-BG"/>
        </w:rPr>
      </w:pPr>
      <w:r w:rsidRPr="00581B3B">
        <w:rPr>
          <w:rFonts w:ascii="Times New Roman" w:eastAsia="Times New Roman" w:hAnsi="Times New Roman" w:cs="Times New Roman"/>
          <w:color w:val="000000"/>
          <w:sz w:val="24"/>
          <w:szCs w:val="24"/>
          <w:lang w:eastAsia="bg-BG"/>
        </w:rPr>
        <w:t>Следва да се има предвид, че в Стратегическия план за развитието на земеделието и селските райони на Република България за периода 2023 - 2027 г. е предвидена интервенция „Хуманно отношение към животните и антимикробна резистентност“, по която са предвидени дейности идентични с прилаганата мярка 14 от ПРСР 2014-2020 г.</w:t>
      </w:r>
    </w:p>
    <w:p w:rsidR="005302EB" w:rsidRPr="00581B3B" w:rsidRDefault="00B35E6D" w:rsidP="00B35E6D">
      <w:pPr>
        <w:pStyle w:val="Heading2"/>
        <w:numPr>
          <w:ilvl w:val="0"/>
          <w:numId w:val="0"/>
        </w:numPr>
      </w:pPr>
      <w:bookmarkStart w:id="26" w:name="_Toc130370329"/>
      <w:r>
        <w:t>11</w:t>
      </w:r>
      <w:r w:rsidR="001D683F" w:rsidRPr="00581B3B">
        <w:t xml:space="preserve">.5. </w:t>
      </w:r>
      <w:r w:rsidR="005302EB" w:rsidRPr="00581B3B">
        <w:t>Извеждане на средства от Мярка 8 „Инвестиции в развитието на горските площи и подобряване на жизнеспособността на горите“</w:t>
      </w:r>
      <w:bookmarkEnd w:id="26"/>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 xml:space="preserve">По три от подмерките на Мярка 8 - Подмярка 8.1. „Залесяване и поддръжка“, Подмярка 8.3. „Предотвратяване на щети“, и Подмярка 8.6. „Инвестиции в преработката, мобилизирането и търговията на горски продукти“, в рамките на договорените вече </w:t>
      </w:r>
      <w:r w:rsidRPr="00CC36BA">
        <w:rPr>
          <w:rFonts w:ascii="Times New Roman" w:hAnsi="Times New Roman"/>
          <w:sz w:val="24"/>
          <w:szCs w:val="24"/>
        </w:rPr>
        <w:t xml:space="preserve">приеми са налични остатъчни средства в размер на общо </w:t>
      </w:r>
      <w:r w:rsidR="004D2124">
        <w:rPr>
          <w:rFonts w:ascii="Times New Roman" w:hAnsi="Times New Roman"/>
          <w:sz w:val="24"/>
          <w:szCs w:val="24"/>
          <w:lang w:val="en-GB"/>
        </w:rPr>
        <w:t>6</w:t>
      </w:r>
      <w:r w:rsidR="004D2124">
        <w:rPr>
          <w:rFonts w:ascii="Times New Roman" w:hAnsi="Times New Roman"/>
          <w:sz w:val="24"/>
          <w:szCs w:val="24"/>
        </w:rPr>
        <w:t>,</w:t>
      </w:r>
      <w:r w:rsidR="00CC36BA" w:rsidRPr="00CC36BA">
        <w:rPr>
          <w:rFonts w:ascii="Times New Roman" w:hAnsi="Times New Roman"/>
          <w:sz w:val="24"/>
          <w:szCs w:val="24"/>
          <w:lang w:val="en-GB"/>
        </w:rPr>
        <w:t>4</w:t>
      </w:r>
      <w:r w:rsidRPr="00CC36BA">
        <w:rPr>
          <w:rFonts w:ascii="Times New Roman" w:hAnsi="Times New Roman"/>
          <w:sz w:val="24"/>
          <w:szCs w:val="24"/>
        </w:rPr>
        <w:t xml:space="preserve"> млн. евро публични средства, както следва:</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lastRenderedPageBreak/>
        <w:t xml:space="preserve">По </w:t>
      </w:r>
      <w:r w:rsidRPr="00581B3B">
        <w:rPr>
          <w:rFonts w:ascii="Times New Roman" w:hAnsi="Times New Roman"/>
          <w:b/>
          <w:sz w:val="24"/>
          <w:szCs w:val="24"/>
        </w:rPr>
        <w:t>Подмярка 8.1. „Залесяване и поддръжка“</w:t>
      </w:r>
      <w:r w:rsidRPr="00581B3B">
        <w:rPr>
          <w:rFonts w:ascii="Times New Roman" w:hAnsi="Times New Roman"/>
          <w:sz w:val="24"/>
          <w:szCs w:val="24"/>
        </w:rPr>
        <w:t xml:space="preserve"> УО на ПРСР е провел един прием на проектни предложения в периода 16.07.2020 – 16.10.2</w:t>
      </w:r>
      <w:r w:rsidR="008661A8">
        <w:rPr>
          <w:rFonts w:ascii="Times New Roman" w:hAnsi="Times New Roman"/>
          <w:sz w:val="24"/>
          <w:szCs w:val="24"/>
        </w:rPr>
        <w:t>020 г. Вследствие на проведения</w:t>
      </w:r>
      <w:r w:rsidRPr="00581B3B">
        <w:rPr>
          <w:rFonts w:ascii="Times New Roman" w:hAnsi="Times New Roman"/>
          <w:sz w:val="24"/>
          <w:szCs w:val="24"/>
        </w:rPr>
        <w:t xml:space="preserve"> прием и след 14-</w:t>
      </w:r>
      <w:r w:rsidRPr="00581B3B">
        <w:rPr>
          <w:rFonts w:ascii="Times New Roman" w:hAnsi="Times New Roman"/>
          <w:sz w:val="24"/>
          <w:szCs w:val="24"/>
          <w:vertAlign w:val="superscript"/>
        </w:rPr>
        <w:t xml:space="preserve">то </w:t>
      </w:r>
      <w:r w:rsidRPr="00581B3B">
        <w:rPr>
          <w:rFonts w:ascii="Times New Roman" w:hAnsi="Times New Roman"/>
          <w:sz w:val="24"/>
          <w:szCs w:val="24"/>
        </w:rPr>
        <w:t xml:space="preserve">изменение на ПРСР 2014-2020, общо разполагаемият бюджет по подмярката към момента е </w:t>
      </w:r>
      <w:r w:rsidR="00EE153F">
        <w:rPr>
          <w:rFonts w:ascii="Times New Roman" w:hAnsi="Times New Roman"/>
          <w:sz w:val="24"/>
          <w:szCs w:val="24"/>
        </w:rPr>
        <w:t>0</w:t>
      </w:r>
      <w:r w:rsidRPr="00581B3B">
        <w:rPr>
          <w:rFonts w:ascii="Times New Roman" w:hAnsi="Times New Roman"/>
          <w:sz w:val="24"/>
          <w:szCs w:val="24"/>
        </w:rPr>
        <w:t>,</w:t>
      </w:r>
      <w:r w:rsidR="00EE153F">
        <w:rPr>
          <w:rFonts w:ascii="Times New Roman" w:hAnsi="Times New Roman"/>
          <w:sz w:val="24"/>
          <w:szCs w:val="24"/>
        </w:rPr>
        <w:t>9</w:t>
      </w:r>
      <w:r w:rsidRPr="00581B3B">
        <w:rPr>
          <w:rFonts w:ascii="Times New Roman" w:hAnsi="Times New Roman"/>
          <w:sz w:val="24"/>
          <w:szCs w:val="24"/>
        </w:rPr>
        <w:t xml:space="preserve"> млн. евро остатъчни средства. Тъй като посоченият остатъчен бюджет е твърде недостатъчен за отваряне на нова процедура за подбор на проектни предложения по Подмярка 8.1 „Залесяване и поддръжка“, </w:t>
      </w:r>
      <w:r w:rsidR="00740D02">
        <w:rPr>
          <w:rFonts w:ascii="Times New Roman" w:hAnsi="Times New Roman"/>
          <w:sz w:val="24"/>
          <w:szCs w:val="24"/>
        </w:rPr>
        <w:t xml:space="preserve">УО </w:t>
      </w:r>
      <w:r w:rsidRPr="00581B3B">
        <w:rPr>
          <w:rFonts w:ascii="Times New Roman" w:hAnsi="Times New Roman"/>
          <w:sz w:val="24"/>
          <w:szCs w:val="24"/>
        </w:rPr>
        <w:t xml:space="preserve">предлага </w:t>
      </w:r>
      <w:r w:rsidR="00EE153F">
        <w:rPr>
          <w:rFonts w:ascii="Times New Roman" w:hAnsi="Times New Roman"/>
          <w:sz w:val="24"/>
          <w:szCs w:val="24"/>
        </w:rPr>
        <w:t>0,9</w:t>
      </w:r>
      <w:r w:rsidRPr="00581B3B">
        <w:rPr>
          <w:rFonts w:ascii="Times New Roman" w:hAnsi="Times New Roman"/>
          <w:sz w:val="24"/>
          <w:szCs w:val="24"/>
        </w:rPr>
        <w:t xml:space="preserve"> млн. евро публични средства по подмярката да бъдат изведени от Мярка 8 „Инвестиции в развитието на горските площи и подобряване на жизнеспособността на горите“</w:t>
      </w:r>
      <w:r w:rsidR="00604978">
        <w:rPr>
          <w:rFonts w:ascii="Times New Roman" w:hAnsi="Times New Roman"/>
          <w:sz w:val="24"/>
          <w:szCs w:val="24"/>
        </w:rPr>
        <w:t>.</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 xml:space="preserve">По </w:t>
      </w:r>
      <w:r w:rsidRPr="00581B3B">
        <w:rPr>
          <w:rFonts w:ascii="Times New Roman" w:hAnsi="Times New Roman"/>
          <w:b/>
          <w:sz w:val="24"/>
          <w:szCs w:val="24"/>
        </w:rPr>
        <w:t>Подмярка 8.3. „Предотвратяване на щети“</w:t>
      </w:r>
      <w:r w:rsidRPr="00581B3B">
        <w:rPr>
          <w:rFonts w:ascii="Times New Roman" w:hAnsi="Times New Roman"/>
          <w:sz w:val="24"/>
          <w:szCs w:val="24"/>
        </w:rPr>
        <w:t xml:space="preserve"> са проведени два приема на проектни предложения.</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Първият прием за подбор на проектни предложения е стартиран на 17.05.2018 с краен срок за подаване на проектни предложения - 22.08.2018 г. В периода на приема и след провеждане на множество дебати с потенциални кандидати по подмярката, основно Държавни горски предприятия и Регионални дирекции по горите, бяха предприети действия от страна на УО на ПРСР 2014-2020 по прекратяване на текущата процедура с оглед на това, Условията за кандидатстване да бъдат изменени с цел облекчаване на изискванията към кандидати и ясно разпределение на бюджета между целеви кандидати – включващи инвестиции на територията на общини пострадали от катастрофични пожари, Лесозащитни станции и Регионални дирекции по горите и всички останали допустими кандидати.</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lastRenderedPageBreak/>
        <w:t xml:space="preserve">Във връзка с описаното по-горе, УО на ПРСР 2014-2020 стартира нова процедура за подбор на проектни предложения с период на прием 12.07.2018-15.10.2018 г., който впоследствие е удължен със Заповед на Ръководителя на УО на ПРСР до 21.12.2018 г., с оглед на малкото подадените проектни предложения в първоначално обявения период. </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Въз основа на предприетите действия от страна на УО на ПРСР, по обявената процедура по Подмярка 8.3 са класирани проектни предложения с обща стойност на заявените за подпомагане разходи в размер надв</w:t>
      </w:r>
      <w:r w:rsidR="00604978">
        <w:rPr>
          <w:rFonts w:ascii="Times New Roman" w:hAnsi="Times New Roman"/>
          <w:sz w:val="24"/>
          <w:szCs w:val="24"/>
        </w:rPr>
        <w:t>ишаващ първоначално определения</w:t>
      </w:r>
      <w:r w:rsidRPr="00581B3B">
        <w:rPr>
          <w:rFonts w:ascii="Times New Roman" w:hAnsi="Times New Roman"/>
          <w:sz w:val="24"/>
          <w:szCs w:val="24"/>
        </w:rPr>
        <w:t xml:space="preserve"> бюджет с малко над 3,4 млн. евро. С цел осигуряване на средства за всички класирани проектни предложения, към подмярка 8.3 са прехвърлени средства в размер на 3</w:t>
      </w:r>
      <w:r w:rsidR="009E52EC">
        <w:rPr>
          <w:rFonts w:ascii="Times New Roman" w:hAnsi="Times New Roman"/>
          <w:sz w:val="24"/>
          <w:szCs w:val="24"/>
        </w:rPr>
        <w:t>,</w:t>
      </w:r>
      <w:r w:rsidRPr="00581B3B">
        <w:rPr>
          <w:rFonts w:ascii="Times New Roman" w:hAnsi="Times New Roman"/>
          <w:sz w:val="24"/>
          <w:szCs w:val="24"/>
        </w:rPr>
        <w:t xml:space="preserve">4 </w:t>
      </w:r>
      <w:r w:rsidR="009E52EC">
        <w:rPr>
          <w:rFonts w:ascii="Times New Roman" w:hAnsi="Times New Roman"/>
          <w:sz w:val="24"/>
          <w:szCs w:val="24"/>
        </w:rPr>
        <w:t xml:space="preserve">млн. </w:t>
      </w:r>
      <w:r w:rsidRPr="00581B3B">
        <w:rPr>
          <w:rFonts w:ascii="Times New Roman" w:hAnsi="Times New Roman"/>
          <w:sz w:val="24"/>
          <w:szCs w:val="24"/>
        </w:rPr>
        <w:t>евро с 10 –то изменение на ПРСР 2014-2020 г.</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В резултат на описаните действия от страна на УО на ПРСР 2014-2020, по Подмярка 8.3 са сключени договори с всички одобрени кандидати с обща стойност на одобрените разходи в размер на 20</w:t>
      </w:r>
      <w:r w:rsidR="004936C3">
        <w:rPr>
          <w:rFonts w:ascii="Times New Roman" w:hAnsi="Times New Roman"/>
          <w:sz w:val="24"/>
          <w:szCs w:val="24"/>
        </w:rPr>
        <w:t>,5</w:t>
      </w:r>
      <w:r w:rsidRPr="00581B3B">
        <w:rPr>
          <w:rFonts w:ascii="Times New Roman" w:hAnsi="Times New Roman"/>
          <w:sz w:val="24"/>
          <w:szCs w:val="24"/>
        </w:rPr>
        <w:t> </w:t>
      </w:r>
      <w:r w:rsidR="004936C3">
        <w:rPr>
          <w:rFonts w:ascii="Times New Roman" w:hAnsi="Times New Roman"/>
          <w:sz w:val="24"/>
          <w:szCs w:val="24"/>
        </w:rPr>
        <w:t>млн.</w:t>
      </w:r>
      <w:r w:rsidRPr="00581B3B">
        <w:rPr>
          <w:rFonts w:ascii="Times New Roman" w:hAnsi="Times New Roman"/>
          <w:sz w:val="24"/>
          <w:szCs w:val="24"/>
        </w:rPr>
        <w:t xml:space="preserve"> евро, т.е. до размера на наличния определен бюджет по Подмярка </w:t>
      </w:r>
      <w:r w:rsidR="00674C6E" w:rsidRPr="00581B3B">
        <w:rPr>
          <w:rFonts w:ascii="Times New Roman" w:hAnsi="Times New Roman"/>
          <w:sz w:val="24"/>
          <w:szCs w:val="24"/>
        </w:rPr>
        <w:t>8</w:t>
      </w:r>
      <w:r w:rsidRPr="00581B3B">
        <w:rPr>
          <w:rFonts w:ascii="Times New Roman" w:hAnsi="Times New Roman"/>
          <w:sz w:val="24"/>
          <w:szCs w:val="24"/>
        </w:rPr>
        <w:t xml:space="preserve">.3. </w:t>
      </w:r>
    </w:p>
    <w:p w:rsidR="00DA0045" w:rsidRPr="00581B3B" w:rsidRDefault="00DA0045" w:rsidP="00392D11">
      <w:pPr>
        <w:jc w:val="both"/>
        <w:rPr>
          <w:rFonts w:ascii="Times New Roman" w:hAnsi="Times New Roman"/>
          <w:sz w:val="24"/>
          <w:szCs w:val="24"/>
        </w:rPr>
      </w:pPr>
      <w:r w:rsidRPr="00581B3B">
        <w:rPr>
          <w:rFonts w:ascii="Times New Roman" w:hAnsi="Times New Roman"/>
          <w:sz w:val="24"/>
          <w:szCs w:val="24"/>
        </w:rPr>
        <w:t xml:space="preserve">В периода на изпълнение на одобрените инвестиции, са постъпили три искания от кандидати за прекратяване на действащите договори, поради невъзможност за изпълнение с обща стойност на одобрените разходи в размер на над 2,3 млн. евро. По всички останали договори са постъпвали молби за изменение на договорите, част от които водещи до намаление на първоначално одобрените разходи, формиращи общо намаление на одобрените разходи по подмярката в размер на близо 1,4 млн. евро. В резултат на описаното е формиран и излишък </w:t>
      </w:r>
      <w:r w:rsidRPr="00581B3B">
        <w:rPr>
          <w:rFonts w:ascii="Times New Roman" w:hAnsi="Times New Roman"/>
          <w:sz w:val="24"/>
          <w:szCs w:val="24"/>
        </w:rPr>
        <w:lastRenderedPageBreak/>
        <w:t>на средства по подмярката в размер на около 3,7 млн. В тази връзка считаме, че остатъчните 3,7 млн. евро са крайно недостатъчни  за обявяване на нов прием по подмярката и предлагаме да бъдат изведени от Мярка 8 „Инвестиции в развитието на горските площи и подобряване на жизнеспособностт</w:t>
      </w:r>
      <w:r w:rsidR="00674C6E" w:rsidRPr="00581B3B">
        <w:rPr>
          <w:rFonts w:ascii="Times New Roman" w:hAnsi="Times New Roman"/>
          <w:sz w:val="24"/>
          <w:szCs w:val="24"/>
        </w:rPr>
        <w:t>а на горите“.</w:t>
      </w:r>
    </w:p>
    <w:p w:rsidR="00CC36BA" w:rsidRPr="00CC36BA" w:rsidRDefault="00DA0045" w:rsidP="00392D11">
      <w:pPr>
        <w:jc w:val="both"/>
        <w:rPr>
          <w:rFonts w:ascii="Times New Roman" w:hAnsi="Times New Roman"/>
          <w:sz w:val="24"/>
          <w:szCs w:val="24"/>
          <w:lang w:val="en-GB"/>
        </w:rPr>
      </w:pPr>
      <w:r w:rsidRPr="00CC36BA">
        <w:rPr>
          <w:rFonts w:ascii="Times New Roman" w:hAnsi="Times New Roman"/>
          <w:sz w:val="24"/>
          <w:szCs w:val="24"/>
        </w:rPr>
        <w:t xml:space="preserve">По </w:t>
      </w:r>
      <w:r w:rsidRPr="00CC36BA">
        <w:rPr>
          <w:rFonts w:ascii="Times New Roman" w:hAnsi="Times New Roman"/>
          <w:b/>
          <w:sz w:val="24"/>
          <w:szCs w:val="24"/>
        </w:rPr>
        <w:t>Подмярка 8.6. „Инвестиции в преработката, мобилизирането и търговията на горски продукти“</w:t>
      </w:r>
      <w:r w:rsidRPr="00CC36BA">
        <w:rPr>
          <w:rFonts w:ascii="Times New Roman" w:hAnsi="Times New Roman"/>
          <w:sz w:val="24"/>
          <w:szCs w:val="24"/>
        </w:rPr>
        <w:t xml:space="preserve"> е осъществен един прием на проектни предложения в периода 27.0</w:t>
      </w:r>
      <w:r w:rsidR="00CA5940">
        <w:rPr>
          <w:rFonts w:ascii="Times New Roman" w:hAnsi="Times New Roman"/>
          <w:sz w:val="24"/>
          <w:szCs w:val="24"/>
        </w:rPr>
        <w:t>4.2018 – 31.07.2018 г. за целия</w:t>
      </w:r>
      <w:r w:rsidRPr="00CC36BA">
        <w:rPr>
          <w:rFonts w:ascii="Times New Roman" w:hAnsi="Times New Roman"/>
          <w:sz w:val="24"/>
          <w:szCs w:val="24"/>
        </w:rPr>
        <w:t xml:space="preserve"> наличен бюджет по подмярката в размер на 18 млн. евро. С оглед на това, че по подмярката са постъпили 191 бр. проектни предложения със заявена стойност на субсидията, значително надвишаваща първоначално определеният бюджет от 18 млн. евро, същият беше увеличен с 500 000 евро с цел одобрението на всички проекти получили равен брой точки - 85 при оценката и застъпващи чертата на определеният бюджет. </w:t>
      </w:r>
    </w:p>
    <w:p w:rsidR="00CC36BA" w:rsidRPr="00CC36BA" w:rsidRDefault="00CC36BA" w:rsidP="00392D11">
      <w:pPr>
        <w:jc w:val="both"/>
        <w:rPr>
          <w:rFonts w:ascii="Times New Roman" w:hAnsi="Times New Roman"/>
          <w:sz w:val="24"/>
          <w:szCs w:val="24"/>
        </w:rPr>
      </w:pPr>
      <w:r w:rsidRPr="00CC36BA">
        <w:rPr>
          <w:rFonts w:ascii="Times New Roman" w:hAnsi="Times New Roman"/>
          <w:sz w:val="24"/>
          <w:szCs w:val="24"/>
        </w:rPr>
        <w:t>Към настоящия момент са сключени договори с допустими кандидати на обща стойност малко над 10 млн. евро, а в процес на обработка са проектни предложения на стойност близо 7,2 млн. евро, по които се очаква да бъдат сключени договори с одобрени кандидати.</w:t>
      </w:r>
    </w:p>
    <w:p w:rsidR="00DA0045" w:rsidRPr="00CC36BA" w:rsidRDefault="00DA0045" w:rsidP="00392D11">
      <w:pPr>
        <w:jc w:val="both"/>
        <w:rPr>
          <w:rFonts w:ascii="Times New Roman" w:hAnsi="Times New Roman"/>
          <w:sz w:val="24"/>
          <w:szCs w:val="24"/>
        </w:rPr>
      </w:pPr>
      <w:r w:rsidRPr="00CC36BA">
        <w:rPr>
          <w:rFonts w:ascii="Times New Roman" w:hAnsi="Times New Roman"/>
          <w:sz w:val="24"/>
          <w:szCs w:val="24"/>
        </w:rPr>
        <w:t xml:space="preserve">Наличните към момента средства </w:t>
      </w:r>
      <w:r w:rsidR="00CC36BA" w:rsidRPr="00CC36BA">
        <w:rPr>
          <w:rFonts w:ascii="Times New Roman" w:hAnsi="Times New Roman"/>
          <w:sz w:val="24"/>
          <w:szCs w:val="24"/>
        </w:rPr>
        <w:t>в размер на 1,</w:t>
      </w:r>
      <w:r w:rsidR="00EE153F">
        <w:rPr>
          <w:rFonts w:ascii="Times New Roman" w:hAnsi="Times New Roman"/>
          <w:sz w:val="24"/>
          <w:szCs w:val="24"/>
        </w:rPr>
        <w:t>2</w:t>
      </w:r>
      <w:r w:rsidR="00CC36BA" w:rsidRPr="00CC36BA">
        <w:rPr>
          <w:rFonts w:ascii="Times New Roman" w:hAnsi="Times New Roman"/>
          <w:sz w:val="24"/>
          <w:szCs w:val="24"/>
        </w:rPr>
        <w:t xml:space="preserve"> млн. евро </w:t>
      </w:r>
      <w:r w:rsidRPr="00CC36BA">
        <w:rPr>
          <w:rFonts w:ascii="Times New Roman" w:hAnsi="Times New Roman"/>
          <w:sz w:val="24"/>
          <w:szCs w:val="24"/>
        </w:rPr>
        <w:t>се предлага да бъдат пренасочени извън мярката, с цел усвояването им по мерки, по които все още е възможно такова.</w:t>
      </w:r>
    </w:p>
    <w:p w:rsidR="00DA0045" w:rsidRPr="00581B3B" w:rsidRDefault="00DA0045" w:rsidP="00392D11">
      <w:pPr>
        <w:jc w:val="both"/>
        <w:rPr>
          <w:rFonts w:ascii="Times New Roman" w:hAnsi="Times New Roman"/>
          <w:sz w:val="24"/>
          <w:szCs w:val="24"/>
        </w:rPr>
      </w:pPr>
      <w:r w:rsidRPr="00CC36BA">
        <w:rPr>
          <w:rFonts w:ascii="Times New Roman" w:hAnsi="Times New Roman"/>
          <w:sz w:val="24"/>
          <w:szCs w:val="24"/>
        </w:rPr>
        <w:t>Тъй като мярката попада в обхвата на чл. 59, ал. 6 от Регламент 1305/2013, при калкулациите за извеждането на средствата са отчетени и съобразени също така и изискванията както на този параграф, така и т.нар „backslide principle” (съгласно който тази сума трябва да бъде като съотношение над 35.7%).</w:t>
      </w:r>
      <w:r w:rsidRPr="00581B3B">
        <w:rPr>
          <w:rFonts w:ascii="Times New Roman" w:hAnsi="Times New Roman"/>
          <w:sz w:val="24"/>
          <w:szCs w:val="24"/>
        </w:rPr>
        <w:t xml:space="preserve"> </w:t>
      </w:r>
    </w:p>
    <w:p w:rsidR="005302EB" w:rsidRPr="00581B3B" w:rsidRDefault="00B35E6D" w:rsidP="00B35E6D">
      <w:pPr>
        <w:pStyle w:val="Heading2"/>
        <w:numPr>
          <w:ilvl w:val="0"/>
          <w:numId w:val="0"/>
        </w:numPr>
      </w:pPr>
      <w:bookmarkStart w:id="27" w:name="_Toc130370330"/>
      <w:r>
        <w:lastRenderedPageBreak/>
        <w:t>11</w:t>
      </w:r>
      <w:r w:rsidR="001D683F" w:rsidRPr="00581B3B">
        <w:t xml:space="preserve">.6. </w:t>
      </w:r>
      <w:r w:rsidR="005302EB" w:rsidRPr="00581B3B">
        <w:t>Извеждане на средства от Мярка 9 „Учредяване на групи и организации на производителите“</w:t>
      </w:r>
      <w:bookmarkEnd w:id="27"/>
    </w:p>
    <w:p w:rsidR="00A53BD1" w:rsidRPr="00581B3B" w:rsidRDefault="005302EB"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color w:val="000000"/>
          <w:sz w:val="24"/>
          <w:szCs w:val="24"/>
          <w:lang w:eastAsia="bg-BG"/>
        </w:rPr>
        <w:t>По мярката са налични остатъчни средства в размер на 2</w:t>
      </w:r>
      <w:r w:rsidR="00EE153F">
        <w:rPr>
          <w:rFonts w:ascii="Times New Roman" w:eastAsia="Times New Roman" w:hAnsi="Times New Roman" w:cs="Times New Roman"/>
          <w:color w:val="000000"/>
          <w:sz w:val="24"/>
          <w:szCs w:val="24"/>
          <w:lang w:eastAsia="bg-BG"/>
        </w:rPr>
        <w:t>,</w:t>
      </w:r>
      <w:r w:rsidR="004936C3">
        <w:rPr>
          <w:rFonts w:ascii="Times New Roman" w:eastAsia="Times New Roman" w:hAnsi="Times New Roman" w:cs="Times New Roman"/>
          <w:color w:val="000000"/>
          <w:sz w:val="24"/>
          <w:szCs w:val="24"/>
          <w:lang w:eastAsia="bg-BG"/>
        </w:rPr>
        <w:t>3</w:t>
      </w:r>
      <w:r w:rsidRPr="00581B3B">
        <w:rPr>
          <w:rFonts w:ascii="Times New Roman" w:eastAsia="Times New Roman" w:hAnsi="Times New Roman" w:cs="Times New Roman"/>
          <w:color w:val="000000"/>
          <w:sz w:val="24"/>
          <w:szCs w:val="24"/>
          <w:lang w:eastAsia="bg-BG"/>
        </w:rPr>
        <w:t xml:space="preserve"> млн. евро публични средства, които се </w:t>
      </w:r>
      <w:r w:rsidRPr="00581B3B">
        <w:rPr>
          <w:rFonts w:ascii="Times New Roman" w:eastAsia="Times New Roman" w:hAnsi="Times New Roman" w:cs="Times New Roman"/>
          <w:sz w:val="24"/>
          <w:szCs w:val="24"/>
          <w:lang w:eastAsia="bg-BG"/>
        </w:rPr>
        <w:t>предвижда да бъдат реалокирани в рамките на други приоритети на ПРСР 2014-2020.</w:t>
      </w:r>
    </w:p>
    <w:p w:rsidR="00A53BD1" w:rsidRPr="00581B3B" w:rsidRDefault="00A53BD1" w:rsidP="00A53BD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По мярката е отворен един прием през 2018 г., с бюджет в размер на общо 7</w:t>
      </w:r>
      <w:r w:rsidR="00EE153F">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6 млн. евро публични средства, за който допустимите кандидати са групи и организации на производители, които отговарят на определението „малки и средни предприятия“ и са признати със заповед на министъра на земеделието, храните и горите до края на 2020 г. Всички допустими кандидати са одобрени.</w:t>
      </w:r>
    </w:p>
    <w:p w:rsidR="00C75C20" w:rsidRPr="00581B3B" w:rsidRDefault="00C75C20"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Безвъзмездната финансова помощ се изплаща въз основа на представен бизнес план за период от 5 години под формата на фиксирана помощ на годишни вноски за не повече от пет години от датата, на която групата или организацията на производители е </w:t>
      </w:r>
      <w:r w:rsidRPr="00581B3B">
        <w:rPr>
          <w:rFonts w:ascii="Times New Roman" w:eastAsia="Times New Roman" w:hAnsi="Times New Roman" w:cs="Times New Roman"/>
          <w:bCs/>
          <w:sz w:val="24"/>
          <w:szCs w:val="24"/>
          <w:lang w:eastAsia="bg-BG"/>
        </w:rPr>
        <w:t xml:space="preserve">призната. В периода от 01.01.2020 г. до 31.12.2022 г. не са подавани заявление за признаване на групи или организации на производители на земеделски продукти. </w:t>
      </w:r>
      <w:r w:rsidRPr="00581B3B">
        <w:rPr>
          <w:rFonts w:ascii="Times New Roman" w:eastAsia="Times New Roman" w:hAnsi="Times New Roman" w:cs="Times New Roman"/>
          <w:sz w:val="24"/>
          <w:szCs w:val="24"/>
          <w:lang w:eastAsia="bg-BG"/>
        </w:rPr>
        <w:t xml:space="preserve">С оглед края на програмен период 2014-2020 и постигането на заложен планиран индикатор за изпълнение на мярката „Брой стопанства, които участват в получаващи подкрепа групи на производителите“, към настоящия момент броя на тези стопанства надхвърля 400, отварянето на нов прием е необосновано. </w:t>
      </w:r>
    </w:p>
    <w:p w:rsidR="005302EB" w:rsidRPr="00581B3B" w:rsidRDefault="0030685A"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От друга страна, в Стратегическия план за развитие на земеделието и селските райони на Република България за периода 2023 – 2027 г. е разработена аналогична интервенция „II.Ж.3 - Подкрепа на организации на производители или групи от производители“, по която е предвидено отваряне на прием.</w:t>
      </w:r>
    </w:p>
    <w:p w:rsidR="00A3256F" w:rsidRPr="00581B3B" w:rsidRDefault="00B35E6D" w:rsidP="00B35E6D">
      <w:pPr>
        <w:pStyle w:val="Heading2"/>
        <w:numPr>
          <w:ilvl w:val="0"/>
          <w:numId w:val="0"/>
        </w:numPr>
      </w:pPr>
      <w:bookmarkStart w:id="28" w:name="_Toc130370331"/>
      <w:r>
        <w:lastRenderedPageBreak/>
        <w:t>11</w:t>
      </w:r>
      <w:r w:rsidR="001D683F" w:rsidRPr="00581B3B">
        <w:t xml:space="preserve">.7. </w:t>
      </w:r>
      <w:r w:rsidR="00A3256F" w:rsidRPr="00581B3B">
        <w:t xml:space="preserve">Извеждане на средства от Mярка </w:t>
      </w:r>
      <w:r w:rsidR="00DC159F" w:rsidRPr="00581B3B">
        <w:t>16</w:t>
      </w:r>
      <w:r w:rsidR="00674C6E" w:rsidRPr="00581B3B">
        <w:t xml:space="preserve"> „</w:t>
      </w:r>
      <w:r w:rsidR="00DC159F" w:rsidRPr="00581B3B">
        <w:t>Сътрудничество</w:t>
      </w:r>
      <w:r w:rsidR="00674C6E" w:rsidRPr="00581B3B">
        <w:t>“</w:t>
      </w:r>
      <w:bookmarkEnd w:id="28"/>
    </w:p>
    <w:p w:rsidR="0061170D" w:rsidRPr="00581B3B" w:rsidRDefault="00A90AB6"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След промените, внесени чрез четиринадесето изменение на ПРСР 2014-2020 г., </w:t>
      </w:r>
      <w:r w:rsidR="00BF12C4">
        <w:rPr>
          <w:rFonts w:ascii="Times New Roman" w:eastAsia="Times New Roman" w:hAnsi="Times New Roman" w:cs="Times New Roman"/>
          <w:sz w:val="24"/>
          <w:szCs w:val="24"/>
          <w:lang w:eastAsia="bg-BG"/>
        </w:rPr>
        <w:t>в м</w:t>
      </w:r>
      <w:r w:rsidRPr="00581B3B">
        <w:rPr>
          <w:rFonts w:ascii="Times New Roman" w:eastAsia="Times New Roman" w:hAnsi="Times New Roman" w:cs="Times New Roman"/>
          <w:sz w:val="24"/>
          <w:szCs w:val="24"/>
          <w:lang w:eastAsia="bg-BG"/>
        </w:rPr>
        <w:t xml:space="preserve">ярка 16 </w:t>
      </w:r>
      <w:r w:rsidR="00BF12C4">
        <w:rPr>
          <w:rFonts w:ascii="Times New Roman" w:eastAsia="Times New Roman" w:hAnsi="Times New Roman" w:cs="Times New Roman"/>
          <w:sz w:val="24"/>
          <w:szCs w:val="24"/>
          <w:lang w:eastAsia="bg-BG"/>
        </w:rPr>
        <w:t xml:space="preserve">„Сътрудничество“ </w:t>
      </w:r>
      <w:r w:rsidR="00BF12C4" w:rsidRPr="00BF12C4">
        <w:rPr>
          <w:rFonts w:ascii="Times New Roman" w:eastAsia="Times New Roman" w:hAnsi="Times New Roman" w:cs="Times New Roman"/>
          <w:sz w:val="24"/>
          <w:szCs w:val="24"/>
          <w:lang w:eastAsia="bg-BG"/>
        </w:rPr>
        <w:t>са разпределени средства в размер на</w:t>
      </w:r>
      <w:r w:rsidRPr="00581B3B">
        <w:rPr>
          <w:rFonts w:ascii="Times New Roman" w:eastAsia="Times New Roman" w:hAnsi="Times New Roman" w:cs="Times New Roman"/>
          <w:sz w:val="24"/>
          <w:szCs w:val="24"/>
          <w:lang w:eastAsia="bg-BG"/>
        </w:rPr>
        <w:t xml:space="preserve"> 25 200 000 евро от ЕЗФРСР, или 28 000 000 евро публични средства, </w:t>
      </w:r>
      <w:r w:rsidR="00BF12C4">
        <w:rPr>
          <w:rFonts w:ascii="Times New Roman" w:eastAsia="Times New Roman" w:hAnsi="Times New Roman" w:cs="Times New Roman"/>
          <w:sz w:val="24"/>
          <w:szCs w:val="24"/>
          <w:lang w:eastAsia="bg-BG"/>
        </w:rPr>
        <w:t>отнесени</w:t>
      </w:r>
      <w:r w:rsidRPr="00581B3B">
        <w:rPr>
          <w:rFonts w:ascii="Times New Roman" w:eastAsia="Times New Roman" w:hAnsi="Times New Roman" w:cs="Times New Roman"/>
          <w:sz w:val="24"/>
          <w:szCs w:val="24"/>
          <w:lang w:eastAsia="bg-BG"/>
        </w:rPr>
        <w:t xml:space="preserve"> текущо в Подмярка 16.1. „Подкрепа за сформиране и функциониране на оперативни групи в рамките на ЕПИ“ и Подмярка 16.4. „Подкрепа за хоризонтално и вертикално сътрудничество между участниците във веригата на доставки“. Мярката допринася основно към реализирането на приоритетна област 1Б. На основата на определените нужди, мярката допринася чрез съответните подмерки и дейности за следните приоритетни области 2А, 3А, 4А, 4Б, 4В, 5А, 5Б, 5В, 5Г</w:t>
      </w:r>
      <w:r w:rsidR="00BF12C4">
        <w:rPr>
          <w:rFonts w:ascii="Times New Roman" w:eastAsia="Times New Roman" w:hAnsi="Times New Roman" w:cs="Times New Roman"/>
          <w:sz w:val="24"/>
          <w:szCs w:val="24"/>
          <w:lang w:eastAsia="bg-BG"/>
        </w:rPr>
        <w:t xml:space="preserve"> и </w:t>
      </w:r>
      <w:r w:rsidRPr="00581B3B">
        <w:rPr>
          <w:rFonts w:ascii="Times New Roman" w:eastAsia="Times New Roman" w:hAnsi="Times New Roman" w:cs="Times New Roman"/>
          <w:sz w:val="24"/>
          <w:szCs w:val="24"/>
          <w:lang w:eastAsia="bg-BG"/>
        </w:rPr>
        <w:t>5Д.</w:t>
      </w:r>
    </w:p>
    <w:p w:rsidR="0061170D" w:rsidRPr="00581B3B" w:rsidRDefault="0061170D" w:rsidP="00392D11">
      <w:pPr>
        <w:jc w:val="both"/>
        <w:rPr>
          <w:rFonts w:ascii="Times New Roman" w:eastAsia="Times New Roman" w:hAnsi="Times New Roman" w:cs="Times New Roman"/>
          <w:b/>
          <w:sz w:val="24"/>
          <w:szCs w:val="24"/>
          <w:lang w:eastAsia="bg-BG"/>
        </w:rPr>
      </w:pPr>
      <w:r w:rsidRPr="00581B3B">
        <w:rPr>
          <w:rFonts w:ascii="Times New Roman" w:eastAsia="Times New Roman" w:hAnsi="Times New Roman" w:cs="Times New Roman"/>
          <w:b/>
          <w:sz w:val="24"/>
          <w:szCs w:val="24"/>
          <w:lang w:eastAsia="bg-BG"/>
        </w:rPr>
        <w:t>Подмярка 16.1 „Подкрепа за сформиране и функциониране на оперативни групи в рамките на ЕПИ“</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Подмярката стартира на сравнително по-късен етап с прием, проведен в периода 17 октомври 2019 г. – 17 ноември 2020 г. При обявен прием с бюджет в размер на 20 млн. евро постъпиха 50 проектни предложения, по които е заявена БФП в размер на 15 млн. евро. Сключени са 19 договора с одобрени оперативни групи на обща стойност 5.5 млн. евро които към настоящия момент са в процес на изпълнение, навлизайки във финалния си етап. </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По подмярката бе стартиран и втори прием на проектни предложения в периода 16 октомври 2020 – 15 януари 2021 г., в рамките на който са подадени 34 проектни предложения, по които е заявена БФП в размер на приблизително 14 млн. евро, при обявен бюджет в размер на 10.5 млн. евро.</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Към настоящия момент постъпилите проектни предложения в рамките на втория прием все още са в процес на оценка, като един от основните мотиви за това е, че в рамките на втория прием е предвиден гарантиран бюджет в размер на 2 млн. евро за проектни предложения с потенциал за иновации в областта на превенцията и подобряването на здравословното състояние на животните в земеделските стопанства.</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Причината за обявения гарантиран бюджет са зачестилите в последните години случаи на Африканска чума по свинете, случаи на инфлуенца при птиците и зараза от ШАП, чума по дребните преживни животни (ЧДП), Шарка по овцете и козите (ШОК). </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Това от своя страна принуждава УО на ПРСР към съответния момент да търси варианти за иновативни подходи, свързани с преодоляване на тези проблеми, наред с обявените приеми по мярка 5 „Възстановяване на селскостопански производствен потенциал и въвеждане на подходящи превантивни мерки“ от ПРСР 2014-2020 г.</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рамките на приема, от общо 34 подадени проектни предложения, подлежащи на обработка</w:t>
      </w:r>
      <w:r w:rsidR="00D37073">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са подадени две предложения, в които участник е Националния диагностичен научноизследователски ветеринарномедицински институт (НДНИВМИ) с екипи, които работят съвместно със земеделски стопани в сектор „Животновъдство“ и фармацевтични компании. Тези проектни предложения по своята същност са по-сложни за оценка, което забавя оценителния процес във връзка с разпоредбите на българското законодателство, което изисква </w:t>
      </w:r>
      <w:r w:rsidRPr="00581B3B">
        <w:rPr>
          <w:rFonts w:ascii="Times New Roman" w:eastAsia="Times New Roman" w:hAnsi="Times New Roman" w:cs="Times New Roman"/>
          <w:sz w:val="24"/>
          <w:szCs w:val="24"/>
          <w:lang w:eastAsia="bg-BG"/>
        </w:rPr>
        <w:lastRenderedPageBreak/>
        <w:t>оценката на всички проектни предложения, постъпили в рамките на един прием да бъде финализирана едновременно.</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тази връзка, УО на ПРСР предприема действия за привличане на външни експерти в оценителния процес, които притежават необходимите знания и компетенции да извършат оценката на проектните предложения. Това от своя страна ще позволи да бъдат сключени договори по подмярката с одобрените кандидати в рамките на втория прием през настоящата година.</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Срокът за изпълнение на проектните предложения с потенциал за иновации, представени от оперативни групи съгласно утвърдените насоки е </w:t>
      </w:r>
      <w:r w:rsidR="00BF12C4" w:rsidRPr="00BF12C4">
        <w:rPr>
          <w:rFonts w:ascii="Times New Roman" w:eastAsia="Times New Roman" w:hAnsi="Times New Roman" w:cs="Times New Roman"/>
          <w:sz w:val="24"/>
          <w:szCs w:val="24"/>
          <w:lang w:eastAsia="bg-BG"/>
        </w:rPr>
        <w:t>36 месеца за първия прием и 30 месеца за втория прием</w:t>
      </w:r>
      <w:r w:rsidRPr="00581B3B">
        <w:rPr>
          <w:rFonts w:ascii="Times New Roman" w:eastAsia="Times New Roman" w:hAnsi="Times New Roman" w:cs="Times New Roman"/>
          <w:sz w:val="24"/>
          <w:szCs w:val="24"/>
          <w:lang w:eastAsia="bg-BG"/>
        </w:rPr>
        <w:t xml:space="preserve">. Управляващият орган има намерение да предвиди възможност за изпълнение на одобрените проекти </w:t>
      </w:r>
      <w:r w:rsidR="00BF12C4" w:rsidRPr="00BF12C4">
        <w:rPr>
          <w:rFonts w:ascii="Times New Roman" w:eastAsia="Times New Roman" w:hAnsi="Times New Roman" w:cs="Times New Roman"/>
          <w:sz w:val="24"/>
          <w:szCs w:val="24"/>
          <w:lang w:eastAsia="bg-BG"/>
        </w:rPr>
        <w:t xml:space="preserve">в рамките на втория прием </w:t>
      </w:r>
      <w:r w:rsidRPr="00581B3B">
        <w:rPr>
          <w:rFonts w:ascii="Times New Roman" w:eastAsia="Times New Roman" w:hAnsi="Times New Roman" w:cs="Times New Roman"/>
          <w:sz w:val="24"/>
          <w:szCs w:val="24"/>
          <w:lang w:eastAsia="bg-BG"/>
        </w:rPr>
        <w:t>чрез осигуряване на средства от бюджета на интервенция II.Ж.1. „Подкрепа за оперативни групи в рамките на ЕПИ“ от СПРЗСР 2023-2027 г. за тази част от разходите в рамките на 30-те месеца, които ще бъдат извършени след 31.12.2025 г. в случай, че законодателството позволява това действие.</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Въз основа на оценката на проектните предложения по предварителни данни се очаква да бъдат одобрени за финансиране около 20 проектни предложения на оперативни групи, които да изпълняват своите проекти.</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Така броят на одобрените оперативни групи, които изпълняват иновативни проекти в програмен период 2014-2020 г. ще нарасне до 39 при предвиден индикатор за резултат в ПРСР 2014-2020 г. – 20 оперативни групи.</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Управляващият орган счита, че към настоящия момент от гледна точка на времето, необходимо за оценка на проектни предложения с потенциал за иновации, пре</w:t>
      </w:r>
      <w:r w:rsidR="00542272">
        <w:rPr>
          <w:rFonts w:ascii="Times New Roman" w:eastAsia="Times New Roman" w:hAnsi="Times New Roman" w:cs="Times New Roman"/>
          <w:sz w:val="24"/>
          <w:szCs w:val="24"/>
          <w:lang w:eastAsia="bg-BG"/>
        </w:rPr>
        <w:t xml:space="preserve">дставени от оперативни групи и </w:t>
      </w:r>
      <w:r w:rsidRPr="00581B3B">
        <w:rPr>
          <w:rFonts w:ascii="Times New Roman" w:eastAsia="Times New Roman" w:hAnsi="Times New Roman" w:cs="Times New Roman"/>
          <w:sz w:val="24"/>
          <w:szCs w:val="24"/>
          <w:lang w:eastAsia="bg-BG"/>
        </w:rPr>
        <w:t>времето, необходимо за изпълнение на един такъв проект, което да гарантира, че проектът наистина е успешен, не е обосновано провеждане на трети прием на проектни предложения по ПРСР 2014-2020 г.</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допълнение, въз основа на научените уроци от прилагане на подхода за подпомагане на оперативни групи в рамките на Европейското партньорство за иновации (ЕПИ) в периода 2014-2020 г. в Стратегическия план е предвидена интервенция II.Ж.1. „Подкрепа за оперативни групи в рамките на ЕПИ“, която за разлика от предходния програмен период се предвижда да стартира на възможно най-ранен етап с подготвителна фаза. Интервенцията е предвидена като много по-гъвкава, атрактивна за потенциалните кандидати, като очакванията са интереса към нея да е значително по-голям в сравнение с инструмента, прилаган в периода 2014-2020 г. Това от своя страна ще гарантира, че очакванията на заинтересованите страни за реализация на новаторски проекти чрез финансиране от ЕЗФРСР ще се реализира.</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Ето защо, Управляващият орган предлага неангажиран бюджет в размер на 12,5 млн. евро ЕЗФРСР от бюджета на подмярка 16.1 „Подкрепа за сформиране и функциониране на оперативни групи в рамките на ЕПИ“ да бъдат прехвърлени към други мерки/подмерки от ПРСР 2014-2020 г.</w:t>
      </w:r>
    </w:p>
    <w:p w:rsidR="0061170D" w:rsidRPr="00581B3B" w:rsidRDefault="0061170D" w:rsidP="00392D11">
      <w:pPr>
        <w:jc w:val="both"/>
        <w:rPr>
          <w:rFonts w:ascii="Times New Roman" w:eastAsia="Times New Roman" w:hAnsi="Times New Roman" w:cs="Times New Roman"/>
          <w:b/>
          <w:sz w:val="24"/>
          <w:szCs w:val="24"/>
          <w:lang w:eastAsia="bg-BG"/>
        </w:rPr>
      </w:pPr>
      <w:r w:rsidRPr="00581B3B">
        <w:rPr>
          <w:rFonts w:ascii="Times New Roman" w:eastAsia="Times New Roman" w:hAnsi="Times New Roman" w:cs="Times New Roman"/>
          <w:b/>
          <w:sz w:val="24"/>
          <w:szCs w:val="24"/>
          <w:lang w:eastAsia="bg-BG"/>
        </w:rPr>
        <w:t>Подмярка 16.4 „Подкрепа за хоризонтално и вертикално сътрудничество“</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lastRenderedPageBreak/>
        <w:t xml:space="preserve">По подмярката са проведени два приема на проектни предложения съответно в периода: 13 юли – 14 септември 2020 г. и периода: 2 ноември 2020 г. – 01 януари 2021 г. В рамките на първия прием са подадени две проектни предложения, като съгласно условията за допустимост и двете проектни предложения са отхвърлени. </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рамките на втория прием, насоките за кандидатстване са променени и адаптирани въз основа на научени уроци от предходния прием, като на кандидатите е предоставена възможност за подпомагане на по-широк набор от дейности и разходи, в резултат на което се наблюдава по-голям интерес, като са подадени 11 проектни предложения със стойност на заявените разходи приблизително 2 млн. евро и заявена БФП в размер на 1 млн. евро, при разполагаем бюджет за приема, възлизащ на 7 млн. евро. Въз основа на оценка постъпилите проектни предложения са сключени 4 договора за предоставяне на БФП, като към настоящия момент 3 договора са в процес на изпълнение.</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Основните пречки, които възпрепятстват по-успешното прилагане на подмярката към настоящия момент са свързани на първо място с необходимостта от сътрудничество с цел да се инвестира съвместно в инвестиции, за които е нужно съфинансиране в размер на 50 %. На второ място националното </w:t>
      </w:r>
      <w:r w:rsidR="00D77AA0">
        <w:rPr>
          <w:rFonts w:ascii="Times New Roman" w:eastAsia="Times New Roman" w:hAnsi="Times New Roman" w:cs="Times New Roman"/>
          <w:sz w:val="24"/>
          <w:szCs w:val="24"/>
          <w:lang w:eastAsia="bg-BG"/>
        </w:rPr>
        <w:t>законодателство определя правила</w:t>
      </w:r>
      <w:r w:rsidRPr="00581B3B">
        <w:rPr>
          <w:rFonts w:ascii="Times New Roman" w:eastAsia="Times New Roman" w:hAnsi="Times New Roman" w:cs="Times New Roman"/>
          <w:sz w:val="24"/>
          <w:szCs w:val="24"/>
          <w:lang w:eastAsia="bg-BG"/>
        </w:rPr>
        <w:t>, свързани с директните доставки на продукти от животински произход, на които голяма част от земеделските стопани кандидати по подмярката не могат да отговорят. Също така определението за местен па</w:t>
      </w:r>
      <w:r w:rsidRPr="00581B3B">
        <w:rPr>
          <w:rFonts w:ascii="Times New Roman" w:eastAsia="Times New Roman" w:hAnsi="Times New Roman" w:cs="Times New Roman"/>
          <w:sz w:val="24"/>
          <w:szCs w:val="24"/>
          <w:lang w:eastAsia="bg-BG"/>
        </w:rPr>
        <w:lastRenderedPageBreak/>
        <w:t>зар, включено в ПРСР 2014-2020 г., а именно пазари в радиус от 75 км. от стопанството на произход на продукта, в който радиус трябва да се осъществяват както преработката, така и продажбата му на крайния потребител в много случаи ограничава участието на всички участници в дадена група или организация на производител в сектор мляко, месо или мед и пчелни продукти, които от друга страна са основни заинтересовани страни за реализация на проекти от такова естество.</w:t>
      </w:r>
    </w:p>
    <w:p w:rsidR="0061170D"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тази връзка, в рамките на стратегическия план е предвидена интервенция II.Ж.2. „Сътрудничество за къси вериги на доставки“, в която не се предвижда подпомагане на местни пазари. Тази интервенция също така предлага по-благоприятни финансови условия за администриране на дейността на късата верига, за разлика от мярка 16.4, като очакванията са по този начин интереса за участие да се повиши.</w:t>
      </w:r>
    </w:p>
    <w:p w:rsidR="00A90AB6" w:rsidRPr="00581B3B" w:rsidRDefault="0061170D"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В тази връзка, УО на ПРСР счита, за целесъобразно остатъчния бюджет по подмярка 16.4, възлизащ на 0.9 млн. евро ЕЗФРСР да бъде преразпределен в други мерки/подмерки от ПРСР.</w:t>
      </w:r>
      <w:r w:rsidR="00A90AB6" w:rsidRPr="00581B3B">
        <w:rPr>
          <w:rFonts w:ascii="Times New Roman" w:eastAsia="Times New Roman" w:hAnsi="Times New Roman" w:cs="Times New Roman"/>
          <w:sz w:val="24"/>
          <w:szCs w:val="24"/>
          <w:lang w:eastAsia="bg-BG"/>
        </w:rPr>
        <w:tab/>
        <w:t>По Мярка 16 не се предвиждат повече приеми до края на програмния период, включително и поради малкото оставащо време за евентуална реализация на проекти.</w:t>
      </w:r>
    </w:p>
    <w:p w:rsidR="00A90AB6" w:rsidRPr="00581B3B" w:rsidRDefault="00A90AB6"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 xml:space="preserve">Прогнозният остатък </w:t>
      </w:r>
      <w:r w:rsidR="00BF12C4" w:rsidRPr="00BF12C4">
        <w:rPr>
          <w:rFonts w:ascii="Times New Roman" w:eastAsia="Times New Roman" w:hAnsi="Times New Roman" w:cs="Times New Roman"/>
          <w:sz w:val="24"/>
          <w:szCs w:val="24"/>
          <w:lang w:eastAsia="bg-BG"/>
        </w:rPr>
        <w:t xml:space="preserve">по мярка 16 „Сътрудничество“ възлиза на </w:t>
      </w:r>
      <w:r w:rsidRPr="00581B3B">
        <w:rPr>
          <w:rFonts w:ascii="Times New Roman" w:eastAsia="Times New Roman" w:hAnsi="Times New Roman" w:cs="Times New Roman"/>
          <w:sz w:val="24"/>
          <w:szCs w:val="24"/>
          <w:lang w:eastAsia="bg-BG"/>
        </w:rPr>
        <w:t>15 млн. евро публични средства, които се предвижда да бъдат пренасочени съответно към мерки в Приоритет 6 на ПРСР 2014-2020</w:t>
      </w:r>
      <w:r w:rsidR="00CF1974">
        <w:rPr>
          <w:rFonts w:ascii="Times New Roman" w:eastAsia="Times New Roman" w:hAnsi="Times New Roman" w:cs="Times New Roman"/>
          <w:sz w:val="24"/>
          <w:szCs w:val="24"/>
          <w:lang w:eastAsia="bg-BG"/>
        </w:rPr>
        <w:t xml:space="preserve"> г.</w:t>
      </w:r>
    </w:p>
    <w:p w:rsidR="003E76CF" w:rsidRPr="00581B3B" w:rsidRDefault="003E76CF" w:rsidP="007E6400">
      <w:pPr>
        <w:ind w:firstLine="567"/>
        <w:jc w:val="both"/>
        <w:rPr>
          <w:rFonts w:ascii="Times New Roman" w:eastAsia="Times New Roman" w:hAnsi="Times New Roman" w:cs="Times New Roman"/>
          <w:b/>
          <w:sz w:val="24"/>
          <w:szCs w:val="24"/>
          <w:lang w:eastAsia="bg-BG"/>
        </w:rPr>
      </w:pPr>
      <w:r w:rsidRPr="00581B3B">
        <w:rPr>
          <w:rFonts w:ascii="Times New Roman" w:eastAsia="Times New Roman" w:hAnsi="Times New Roman" w:cs="Times New Roman"/>
          <w:b/>
          <w:sz w:val="24"/>
          <w:szCs w:val="24"/>
          <w:lang w:eastAsia="bg-BG"/>
        </w:rPr>
        <w:t xml:space="preserve">Таблица </w:t>
      </w:r>
      <w:r w:rsidR="001F7A3D" w:rsidRPr="00581B3B">
        <w:rPr>
          <w:rFonts w:ascii="Times New Roman" w:eastAsia="Times New Roman" w:hAnsi="Times New Roman" w:cs="Times New Roman"/>
          <w:b/>
          <w:sz w:val="24"/>
          <w:szCs w:val="24"/>
          <w:lang w:eastAsia="bg-BG"/>
        </w:rPr>
        <w:t>9</w:t>
      </w:r>
      <w:r w:rsidRPr="00581B3B">
        <w:rPr>
          <w:rFonts w:ascii="Times New Roman" w:eastAsia="Times New Roman" w:hAnsi="Times New Roman" w:cs="Times New Roman"/>
          <w:b/>
          <w:sz w:val="24"/>
          <w:szCs w:val="24"/>
          <w:lang w:eastAsia="bg-BG"/>
        </w:rPr>
        <w:t>:</w:t>
      </w:r>
    </w:p>
    <w:tbl>
      <w:tblPr>
        <w:tblW w:w="5240" w:type="pct"/>
        <w:tblInd w:w="-147" w:type="dxa"/>
        <w:tblLayout w:type="fixed"/>
        <w:tblLook w:val="04A0" w:firstRow="1" w:lastRow="0" w:firstColumn="1" w:lastColumn="0" w:noHBand="0" w:noVBand="1"/>
      </w:tblPr>
      <w:tblGrid>
        <w:gridCol w:w="1887"/>
        <w:gridCol w:w="872"/>
        <w:gridCol w:w="909"/>
        <w:gridCol w:w="853"/>
        <w:gridCol w:w="851"/>
        <w:gridCol w:w="849"/>
        <w:gridCol w:w="849"/>
        <w:gridCol w:w="849"/>
        <w:gridCol w:w="849"/>
        <w:gridCol w:w="966"/>
      </w:tblGrid>
      <w:tr w:rsidR="00411FD7" w:rsidRPr="00581B3B" w:rsidTr="00A90AB6">
        <w:trPr>
          <w:trHeight w:val="56"/>
        </w:trPr>
        <w:tc>
          <w:tcPr>
            <w:tcW w:w="97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63674" w:rsidRPr="00581B3B" w:rsidRDefault="00D63674" w:rsidP="00DC159F">
            <w:pPr>
              <w:spacing w:after="0" w:line="240" w:lineRule="auto"/>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Mярка 16 – Сътрудничество/Фокус област</w:t>
            </w:r>
          </w:p>
        </w:tc>
        <w:tc>
          <w:tcPr>
            <w:tcW w:w="44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D63674">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2A</w:t>
            </w:r>
          </w:p>
        </w:tc>
        <w:tc>
          <w:tcPr>
            <w:tcW w:w="46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D63674">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3A</w:t>
            </w:r>
          </w:p>
        </w:tc>
        <w:tc>
          <w:tcPr>
            <w:tcW w:w="438"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A90AB6" w:rsidP="00D63674">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П</w:t>
            </w:r>
            <w:r w:rsidR="00D63674" w:rsidRPr="00581B3B">
              <w:rPr>
                <w:rFonts w:ascii="Times New Roman" w:eastAsia="Times New Roman" w:hAnsi="Times New Roman" w:cs="Times New Roman"/>
                <w:b/>
                <w:sz w:val="16"/>
                <w:szCs w:val="16"/>
              </w:rPr>
              <w:t>4</w:t>
            </w:r>
          </w:p>
        </w:tc>
        <w:tc>
          <w:tcPr>
            <w:tcW w:w="43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D63674">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5A</w:t>
            </w:r>
          </w:p>
        </w:tc>
        <w:tc>
          <w:tcPr>
            <w:tcW w:w="43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A90AB6">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5</w:t>
            </w:r>
            <w:r w:rsidR="00A90AB6" w:rsidRPr="00581B3B">
              <w:rPr>
                <w:rFonts w:ascii="Times New Roman" w:eastAsia="Times New Roman" w:hAnsi="Times New Roman" w:cs="Times New Roman"/>
                <w:b/>
                <w:sz w:val="16"/>
                <w:szCs w:val="16"/>
              </w:rPr>
              <w:t>Б</w:t>
            </w:r>
          </w:p>
        </w:tc>
        <w:tc>
          <w:tcPr>
            <w:tcW w:w="43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A90AB6">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5</w:t>
            </w:r>
            <w:r w:rsidR="00A90AB6" w:rsidRPr="00581B3B">
              <w:rPr>
                <w:rFonts w:ascii="Times New Roman" w:eastAsia="Times New Roman" w:hAnsi="Times New Roman" w:cs="Times New Roman"/>
                <w:b/>
                <w:sz w:val="16"/>
                <w:szCs w:val="16"/>
              </w:rPr>
              <w:t>В</w:t>
            </w:r>
          </w:p>
        </w:tc>
        <w:tc>
          <w:tcPr>
            <w:tcW w:w="43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A90AB6">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5</w:t>
            </w:r>
            <w:r w:rsidR="00A90AB6" w:rsidRPr="00581B3B">
              <w:rPr>
                <w:rFonts w:ascii="Times New Roman" w:eastAsia="Times New Roman" w:hAnsi="Times New Roman" w:cs="Times New Roman"/>
                <w:b/>
                <w:sz w:val="16"/>
                <w:szCs w:val="16"/>
              </w:rPr>
              <w:t>Г</w:t>
            </w:r>
          </w:p>
        </w:tc>
        <w:tc>
          <w:tcPr>
            <w:tcW w:w="436"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D63674" w:rsidRPr="00581B3B" w:rsidRDefault="00D63674" w:rsidP="00A90AB6">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5</w:t>
            </w:r>
            <w:r w:rsidR="00A90AB6" w:rsidRPr="00581B3B">
              <w:rPr>
                <w:rFonts w:ascii="Times New Roman" w:eastAsia="Times New Roman" w:hAnsi="Times New Roman" w:cs="Times New Roman"/>
                <w:b/>
                <w:sz w:val="16"/>
                <w:szCs w:val="16"/>
              </w:rPr>
              <w:t>Д</w:t>
            </w:r>
          </w:p>
        </w:tc>
        <w:tc>
          <w:tcPr>
            <w:tcW w:w="49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63674" w:rsidRPr="00581B3B" w:rsidRDefault="00D63674" w:rsidP="00D63674">
            <w:pPr>
              <w:spacing w:after="0"/>
              <w:jc w:val="center"/>
              <w:rPr>
                <w:rFonts w:ascii="Times New Roman" w:eastAsia="Times New Roman" w:hAnsi="Times New Roman" w:cs="Times New Roman"/>
                <w:b/>
                <w:sz w:val="16"/>
                <w:szCs w:val="16"/>
              </w:rPr>
            </w:pPr>
            <w:r w:rsidRPr="00581B3B">
              <w:rPr>
                <w:rFonts w:ascii="Times New Roman" w:eastAsia="Times New Roman" w:hAnsi="Times New Roman" w:cs="Times New Roman"/>
                <w:b/>
                <w:sz w:val="16"/>
                <w:szCs w:val="16"/>
              </w:rPr>
              <w:t>Евро, публични средства</w:t>
            </w:r>
          </w:p>
        </w:tc>
      </w:tr>
      <w:tr w:rsidR="00411FD7" w:rsidRPr="00581B3B" w:rsidTr="003E76CF">
        <w:trPr>
          <w:trHeight w:val="600"/>
        </w:trPr>
        <w:tc>
          <w:tcPr>
            <w:tcW w:w="970" w:type="pct"/>
            <w:tcBorders>
              <w:top w:val="nil"/>
              <w:left w:val="single" w:sz="4" w:space="0" w:color="auto"/>
              <w:bottom w:val="single" w:sz="4" w:space="0" w:color="auto"/>
              <w:right w:val="single" w:sz="4" w:space="0" w:color="auto"/>
            </w:tcBorders>
            <w:shd w:val="clear" w:color="auto" w:fill="auto"/>
            <w:vAlign w:val="center"/>
            <w:hideMark/>
          </w:tcPr>
          <w:p w:rsidR="00DC159F" w:rsidRPr="00581B3B" w:rsidRDefault="00D63674" w:rsidP="00D63674">
            <w:pPr>
              <w:spacing w:after="0" w:line="240" w:lineRule="auto"/>
              <w:jc w:val="center"/>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lastRenderedPageBreak/>
              <w:t>Налични с</w:t>
            </w:r>
            <w:r w:rsidR="00DC159F" w:rsidRPr="00581B3B">
              <w:rPr>
                <w:rFonts w:ascii="Times New Roman" w:eastAsia="Times New Roman" w:hAnsi="Times New Roman" w:cs="Times New Roman"/>
                <w:sz w:val="16"/>
                <w:szCs w:val="16"/>
              </w:rPr>
              <w:t xml:space="preserve"> </w:t>
            </w:r>
            <w:r w:rsidRPr="00581B3B">
              <w:rPr>
                <w:rFonts w:ascii="Times New Roman" w:eastAsia="Times New Roman" w:hAnsi="Times New Roman" w:cs="Times New Roman"/>
                <w:sz w:val="16"/>
                <w:szCs w:val="16"/>
              </w:rPr>
              <w:t>15-то изменение</w:t>
            </w:r>
            <w:r w:rsidR="00DC159F" w:rsidRPr="00581B3B">
              <w:rPr>
                <w:rFonts w:ascii="Times New Roman" w:eastAsia="Times New Roman" w:hAnsi="Times New Roman" w:cs="Times New Roman"/>
                <w:sz w:val="16"/>
                <w:szCs w:val="16"/>
              </w:rPr>
              <w:t>, евро публични средства</w:t>
            </w:r>
          </w:p>
        </w:tc>
        <w:tc>
          <w:tcPr>
            <w:tcW w:w="448"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14 388 889</w:t>
            </w:r>
          </w:p>
        </w:tc>
        <w:tc>
          <w:tcPr>
            <w:tcW w:w="467"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2 055 556</w:t>
            </w:r>
          </w:p>
        </w:tc>
        <w:tc>
          <w:tcPr>
            <w:tcW w:w="438" w:type="pct"/>
            <w:tcBorders>
              <w:top w:val="single" w:sz="4" w:space="0" w:color="auto"/>
              <w:left w:val="nil"/>
              <w:bottom w:val="single" w:sz="4" w:space="0" w:color="auto"/>
              <w:right w:val="single" w:sz="4" w:space="0" w:color="000000"/>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6 000 000</w:t>
            </w:r>
          </w:p>
        </w:tc>
        <w:tc>
          <w:tcPr>
            <w:tcW w:w="437"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1 111 111</w:t>
            </w:r>
          </w:p>
        </w:tc>
        <w:tc>
          <w:tcPr>
            <w:tcW w:w="43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1 111 111</w:t>
            </w:r>
          </w:p>
        </w:tc>
        <w:tc>
          <w:tcPr>
            <w:tcW w:w="43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1 111 111</w:t>
            </w:r>
          </w:p>
        </w:tc>
        <w:tc>
          <w:tcPr>
            <w:tcW w:w="43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1 111 111</w:t>
            </w:r>
          </w:p>
        </w:tc>
        <w:tc>
          <w:tcPr>
            <w:tcW w:w="43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1 111 111</w:t>
            </w:r>
          </w:p>
        </w:tc>
        <w:tc>
          <w:tcPr>
            <w:tcW w:w="49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D63674">
            <w:pPr>
              <w:spacing w:after="0"/>
              <w:jc w:val="center"/>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28 000 000</w:t>
            </w:r>
          </w:p>
        </w:tc>
      </w:tr>
      <w:tr w:rsidR="00411FD7" w:rsidRPr="00581B3B" w:rsidTr="00A90AB6">
        <w:trPr>
          <w:trHeight w:val="291"/>
        </w:trPr>
        <w:tc>
          <w:tcPr>
            <w:tcW w:w="970" w:type="pct"/>
            <w:tcBorders>
              <w:top w:val="nil"/>
              <w:left w:val="single" w:sz="4" w:space="0" w:color="auto"/>
              <w:bottom w:val="single" w:sz="4" w:space="0" w:color="auto"/>
              <w:right w:val="single" w:sz="4" w:space="0" w:color="auto"/>
            </w:tcBorders>
            <w:shd w:val="clear" w:color="auto" w:fill="auto"/>
            <w:vAlign w:val="center"/>
            <w:hideMark/>
          </w:tcPr>
          <w:p w:rsidR="00DC159F" w:rsidRPr="00581B3B" w:rsidRDefault="00D63674" w:rsidP="00DC159F">
            <w:pPr>
              <w:spacing w:after="0" w:line="240" w:lineRule="auto"/>
              <w:jc w:val="right"/>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Д</w:t>
            </w:r>
            <w:r w:rsidR="00DC159F" w:rsidRPr="00581B3B">
              <w:rPr>
                <w:rFonts w:ascii="Times New Roman" w:eastAsia="Times New Roman" w:hAnsi="Times New Roman" w:cs="Times New Roman"/>
                <w:sz w:val="16"/>
                <w:szCs w:val="16"/>
              </w:rPr>
              <w:t xml:space="preserve">ействащи договори </w:t>
            </w:r>
          </w:p>
        </w:tc>
        <w:tc>
          <w:tcPr>
            <w:tcW w:w="448"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1 795 019</w:t>
            </w:r>
          </w:p>
        </w:tc>
        <w:tc>
          <w:tcPr>
            <w:tcW w:w="46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688 966</w:t>
            </w:r>
          </w:p>
        </w:tc>
        <w:tc>
          <w:tcPr>
            <w:tcW w:w="438" w:type="pct"/>
            <w:tcBorders>
              <w:top w:val="single" w:sz="4" w:space="0" w:color="auto"/>
              <w:left w:val="nil"/>
              <w:bottom w:val="single" w:sz="4" w:space="0" w:color="auto"/>
              <w:right w:val="single" w:sz="4" w:space="0" w:color="000000"/>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1 128 796</w:t>
            </w:r>
          </w:p>
        </w:tc>
        <w:tc>
          <w:tcPr>
            <w:tcW w:w="43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201 040</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101 074</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433 607</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227 790</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0</w:t>
            </w:r>
          </w:p>
        </w:tc>
        <w:tc>
          <w:tcPr>
            <w:tcW w:w="49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D63674">
            <w:pPr>
              <w:spacing w:after="0"/>
              <w:jc w:val="center"/>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4 576 293</w:t>
            </w:r>
          </w:p>
        </w:tc>
      </w:tr>
      <w:tr w:rsidR="00411FD7" w:rsidRPr="00581B3B" w:rsidTr="003E76CF">
        <w:trPr>
          <w:trHeight w:val="315"/>
        </w:trPr>
        <w:tc>
          <w:tcPr>
            <w:tcW w:w="970" w:type="pct"/>
            <w:tcBorders>
              <w:top w:val="nil"/>
              <w:left w:val="single" w:sz="4" w:space="0" w:color="auto"/>
              <w:bottom w:val="single" w:sz="4" w:space="0" w:color="auto"/>
              <w:right w:val="single" w:sz="4" w:space="0" w:color="auto"/>
            </w:tcBorders>
            <w:shd w:val="clear" w:color="auto" w:fill="auto"/>
            <w:vAlign w:val="center"/>
            <w:hideMark/>
          </w:tcPr>
          <w:p w:rsidR="00DC159F" w:rsidRPr="00581B3B" w:rsidRDefault="00D63674" w:rsidP="00DC159F">
            <w:pPr>
              <w:spacing w:after="0" w:line="240" w:lineRule="auto"/>
              <w:jc w:val="right"/>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Текущо</w:t>
            </w:r>
            <w:r w:rsidR="00DC159F" w:rsidRPr="00581B3B">
              <w:rPr>
                <w:rFonts w:ascii="Times New Roman" w:eastAsia="Times New Roman" w:hAnsi="Times New Roman" w:cs="Times New Roman"/>
                <w:sz w:val="16"/>
                <w:szCs w:val="16"/>
              </w:rPr>
              <w:t xml:space="preserve"> договаряне</w:t>
            </w:r>
          </w:p>
        </w:tc>
        <w:tc>
          <w:tcPr>
            <w:tcW w:w="448"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2 005 401</w:t>
            </w:r>
          </w:p>
        </w:tc>
        <w:tc>
          <w:tcPr>
            <w:tcW w:w="46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1 847 517</w:t>
            </w:r>
          </w:p>
        </w:tc>
        <w:tc>
          <w:tcPr>
            <w:tcW w:w="438" w:type="pct"/>
            <w:tcBorders>
              <w:top w:val="single" w:sz="4" w:space="0" w:color="auto"/>
              <w:left w:val="nil"/>
              <w:bottom w:val="single" w:sz="4" w:space="0" w:color="auto"/>
              <w:right w:val="single" w:sz="4" w:space="0" w:color="000000"/>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2 172 529</w:t>
            </w:r>
          </w:p>
        </w:tc>
        <w:tc>
          <w:tcPr>
            <w:tcW w:w="43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925 027</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321 210</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312 840</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559 172</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246 347</w:t>
            </w:r>
          </w:p>
        </w:tc>
        <w:tc>
          <w:tcPr>
            <w:tcW w:w="49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D63674">
            <w:pPr>
              <w:spacing w:after="0"/>
              <w:jc w:val="center"/>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8 390 044</w:t>
            </w:r>
          </w:p>
        </w:tc>
      </w:tr>
      <w:tr w:rsidR="00411FD7" w:rsidRPr="00581B3B" w:rsidTr="003E76CF">
        <w:trPr>
          <w:trHeight w:val="315"/>
        </w:trPr>
        <w:tc>
          <w:tcPr>
            <w:tcW w:w="970" w:type="pct"/>
            <w:tcBorders>
              <w:top w:val="nil"/>
              <w:left w:val="single" w:sz="4" w:space="0" w:color="auto"/>
              <w:bottom w:val="single" w:sz="4" w:space="0" w:color="auto"/>
              <w:right w:val="single" w:sz="4" w:space="0" w:color="auto"/>
            </w:tcBorders>
            <w:shd w:val="clear" w:color="auto" w:fill="auto"/>
            <w:vAlign w:val="center"/>
            <w:hideMark/>
          </w:tcPr>
          <w:p w:rsidR="00DC159F" w:rsidRPr="00581B3B" w:rsidRDefault="00D63674" w:rsidP="00DC159F">
            <w:pPr>
              <w:spacing w:after="0" w:line="240" w:lineRule="auto"/>
              <w:jc w:val="right"/>
              <w:rPr>
                <w:rFonts w:ascii="Times New Roman" w:eastAsia="Times New Roman" w:hAnsi="Times New Roman" w:cs="Times New Roman"/>
                <w:i/>
                <w:iCs/>
                <w:sz w:val="16"/>
                <w:szCs w:val="16"/>
              </w:rPr>
            </w:pPr>
            <w:r w:rsidRPr="00581B3B">
              <w:rPr>
                <w:rFonts w:ascii="Times New Roman" w:eastAsia="Times New Roman" w:hAnsi="Times New Roman" w:cs="Times New Roman"/>
                <w:i/>
                <w:iCs/>
                <w:sz w:val="16"/>
                <w:szCs w:val="16"/>
              </w:rPr>
              <w:t>О</w:t>
            </w:r>
            <w:r w:rsidR="00DC159F" w:rsidRPr="00581B3B">
              <w:rPr>
                <w:rFonts w:ascii="Times New Roman" w:eastAsia="Times New Roman" w:hAnsi="Times New Roman" w:cs="Times New Roman"/>
                <w:i/>
                <w:iCs/>
                <w:sz w:val="16"/>
                <w:szCs w:val="16"/>
              </w:rPr>
              <w:t>бщо остават в мярката</w:t>
            </w:r>
          </w:p>
        </w:tc>
        <w:tc>
          <w:tcPr>
            <w:tcW w:w="448"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3 800 420</w:t>
            </w:r>
          </w:p>
        </w:tc>
        <w:tc>
          <w:tcPr>
            <w:tcW w:w="46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2 536 483</w:t>
            </w:r>
          </w:p>
        </w:tc>
        <w:tc>
          <w:tcPr>
            <w:tcW w:w="438" w:type="pct"/>
            <w:tcBorders>
              <w:top w:val="single" w:sz="4" w:space="0" w:color="auto"/>
              <w:left w:val="nil"/>
              <w:bottom w:val="single" w:sz="4" w:space="0" w:color="auto"/>
              <w:right w:val="single" w:sz="4" w:space="0" w:color="000000"/>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3 301 325</w:t>
            </w:r>
          </w:p>
        </w:tc>
        <w:tc>
          <w:tcPr>
            <w:tcW w:w="43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1 126 067</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422 285</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746 447</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786 962</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i/>
                <w:iCs/>
                <w:sz w:val="14"/>
                <w:szCs w:val="14"/>
              </w:rPr>
            </w:pPr>
            <w:r w:rsidRPr="00581B3B">
              <w:rPr>
                <w:rFonts w:ascii="Times New Roman" w:eastAsia="Times New Roman" w:hAnsi="Times New Roman" w:cs="Times New Roman"/>
                <w:i/>
                <w:iCs/>
                <w:sz w:val="14"/>
                <w:szCs w:val="14"/>
              </w:rPr>
              <w:t>246 347</w:t>
            </w:r>
          </w:p>
        </w:tc>
        <w:tc>
          <w:tcPr>
            <w:tcW w:w="49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D63674">
            <w:pPr>
              <w:spacing w:after="0"/>
              <w:jc w:val="center"/>
              <w:rPr>
                <w:rFonts w:ascii="Times New Roman" w:eastAsia="Times New Roman" w:hAnsi="Times New Roman" w:cs="Times New Roman"/>
                <w:i/>
                <w:iCs/>
                <w:sz w:val="16"/>
                <w:szCs w:val="16"/>
              </w:rPr>
            </w:pPr>
            <w:r w:rsidRPr="00581B3B">
              <w:rPr>
                <w:rFonts w:ascii="Times New Roman" w:eastAsia="Times New Roman" w:hAnsi="Times New Roman" w:cs="Times New Roman"/>
                <w:i/>
                <w:iCs/>
                <w:sz w:val="16"/>
                <w:szCs w:val="16"/>
              </w:rPr>
              <w:t>12 966 336</w:t>
            </w:r>
          </w:p>
        </w:tc>
      </w:tr>
      <w:tr w:rsidR="00411FD7" w:rsidRPr="00581B3B" w:rsidTr="003E76CF">
        <w:trPr>
          <w:trHeight w:val="315"/>
        </w:trPr>
        <w:tc>
          <w:tcPr>
            <w:tcW w:w="970" w:type="pct"/>
            <w:tcBorders>
              <w:top w:val="nil"/>
              <w:left w:val="single" w:sz="4" w:space="0" w:color="auto"/>
              <w:bottom w:val="single" w:sz="4" w:space="0" w:color="auto"/>
              <w:right w:val="single" w:sz="4" w:space="0" w:color="auto"/>
            </w:tcBorders>
            <w:shd w:val="clear" w:color="auto" w:fill="auto"/>
            <w:vAlign w:val="center"/>
            <w:hideMark/>
          </w:tcPr>
          <w:p w:rsidR="00DC159F" w:rsidRPr="00581B3B" w:rsidRDefault="00DC159F" w:rsidP="00DC159F">
            <w:pPr>
              <w:spacing w:after="0" w:line="240" w:lineRule="auto"/>
              <w:jc w:val="right"/>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Остатък за извеждане извън мярката</w:t>
            </w:r>
          </w:p>
        </w:tc>
        <w:tc>
          <w:tcPr>
            <w:tcW w:w="448"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10 588 469</w:t>
            </w:r>
          </w:p>
        </w:tc>
        <w:tc>
          <w:tcPr>
            <w:tcW w:w="46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-480 928</w:t>
            </w:r>
          </w:p>
        </w:tc>
        <w:tc>
          <w:tcPr>
            <w:tcW w:w="438" w:type="pct"/>
            <w:tcBorders>
              <w:top w:val="single" w:sz="4" w:space="0" w:color="auto"/>
              <w:left w:val="nil"/>
              <w:bottom w:val="single" w:sz="4" w:space="0" w:color="auto"/>
              <w:right w:val="single" w:sz="4" w:space="0" w:color="000000"/>
            </w:tcBorders>
            <w:shd w:val="clear" w:color="auto" w:fill="auto"/>
            <w:vAlign w:val="center"/>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2 698 675</w:t>
            </w:r>
          </w:p>
        </w:tc>
        <w:tc>
          <w:tcPr>
            <w:tcW w:w="437"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-14 956</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688 826</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364 664</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324 149</w:t>
            </w:r>
          </w:p>
        </w:tc>
        <w:tc>
          <w:tcPr>
            <w:tcW w:w="436" w:type="pct"/>
            <w:tcBorders>
              <w:top w:val="nil"/>
              <w:left w:val="nil"/>
              <w:bottom w:val="single" w:sz="4" w:space="0" w:color="auto"/>
              <w:right w:val="single" w:sz="4" w:space="0" w:color="auto"/>
            </w:tcBorders>
            <w:shd w:val="clear" w:color="auto" w:fill="auto"/>
            <w:noWrap/>
            <w:vAlign w:val="bottom"/>
            <w:hideMark/>
          </w:tcPr>
          <w:p w:rsidR="00DC159F" w:rsidRPr="00581B3B" w:rsidRDefault="00DC159F" w:rsidP="00A90AB6">
            <w:pPr>
              <w:spacing w:after="0"/>
              <w:jc w:val="center"/>
              <w:rPr>
                <w:rFonts w:ascii="Times New Roman" w:eastAsia="Times New Roman" w:hAnsi="Times New Roman" w:cs="Times New Roman"/>
                <w:sz w:val="14"/>
                <w:szCs w:val="14"/>
              </w:rPr>
            </w:pPr>
            <w:r w:rsidRPr="00581B3B">
              <w:rPr>
                <w:rFonts w:ascii="Times New Roman" w:eastAsia="Times New Roman" w:hAnsi="Times New Roman" w:cs="Times New Roman"/>
                <w:sz w:val="14"/>
                <w:szCs w:val="14"/>
              </w:rPr>
              <w:t>864 764</w:t>
            </w:r>
          </w:p>
        </w:tc>
        <w:tc>
          <w:tcPr>
            <w:tcW w:w="496" w:type="pct"/>
            <w:tcBorders>
              <w:top w:val="nil"/>
              <w:left w:val="nil"/>
              <w:bottom w:val="single" w:sz="4" w:space="0" w:color="auto"/>
              <w:right w:val="single" w:sz="4" w:space="0" w:color="auto"/>
            </w:tcBorders>
            <w:shd w:val="clear" w:color="auto" w:fill="auto"/>
            <w:vAlign w:val="center"/>
            <w:hideMark/>
          </w:tcPr>
          <w:p w:rsidR="00DC159F" w:rsidRPr="00581B3B" w:rsidRDefault="00DC159F" w:rsidP="00D63674">
            <w:pPr>
              <w:spacing w:after="0"/>
              <w:jc w:val="center"/>
              <w:rPr>
                <w:rFonts w:ascii="Times New Roman" w:eastAsia="Times New Roman" w:hAnsi="Times New Roman" w:cs="Times New Roman"/>
                <w:sz w:val="16"/>
                <w:szCs w:val="16"/>
              </w:rPr>
            </w:pPr>
            <w:r w:rsidRPr="00581B3B">
              <w:rPr>
                <w:rFonts w:ascii="Times New Roman" w:eastAsia="Times New Roman" w:hAnsi="Times New Roman" w:cs="Times New Roman"/>
                <w:sz w:val="16"/>
                <w:szCs w:val="16"/>
              </w:rPr>
              <w:t>15 033 664</w:t>
            </w:r>
          </w:p>
        </w:tc>
      </w:tr>
    </w:tbl>
    <w:p w:rsidR="00CB5A2F" w:rsidRPr="00581B3B" w:rsidRDefault="00CB5A2F" w:rsidP="00B35E6D">
      <w:pPr>
        <w:pStyle w:val="Heading2"/>
      </w:pPr>
      <w:bookmarkStart w:id="29" w:name="_Toc130370332"/>
      <w:r w:rsidRPr="00581B3B">
        <w:t xml:space="preserve">Прехвърляне на средства </w:t>
      </w:r>
      <w:r w:rsidR="00AF669A" w:rsidRPr="00581B3B">
        <w:t>към подмерки 4.</w:t>
      </w:r>
      <w:r w:rsidR="0081075B" w:rsidRPr="00581B3B">
        <w:t>2</w:t>
      </w:r>
      <w:r w:rsidR="00452134" w:rsidRPr="00581B3B">
        <w:t xml:space="preserve">, </w:t>
      </w:r>
      <w:r w:rsidR="00AF669A" w:rsidRPr="00581B3B">
        <w:t>7.2</w:t>
      </w:r>
      <w:r w:rsidR="00674C6E" w:rsidRPr="00581B3B">
        <w:t xml:space="preserve"> и</w:t>
      </w:r>
      <w:r w:rsidR="00452134" w:rsidRPr="00581B3B">
        <w:t xml:space="preserve"> М20</w:t>
      </w:r>
      <w:bookmarkEnd w:id="29"/>
    </w:p>
    <w:p w:rsidR="0092130B" w:rsidRPr="00581B3B" w:rsidRDefault="00B35E6D" w:rsidP="00B35E6D">
      <w:pPr>
        <w:pStyle w:val="Heading2"/>
        <w:numPr>
          <w:ilvl w:val="0"/>
          <w:numId w:val="0"/>
        </w:numPr>
      </w:pPr>
      <w:bookmarkStart w:id="30" w:name="_Toc130370333"/>
      <w:r>
        <w:t>12</w:t>
      </w:r>
      <w:r w:rsidR="001D683F" w:rsidRPr="00581B3B">
        <w:t xml:space="preserve">.1. </w:t>
      </w:r>
      <w:r w:rsidR="0092130B" w:rsidRPr="00581B3B">
        <w:t>Прехвърляне на средства към подмярка 4.</w:t>
      </w:r>
      <w:r w:rsidR="0081075B" w:rsidRPr="00581B3B">
        <w:t>2</w:t>
      </w:r>
      <w:r w:rsidR="0092130B" w:rsidRPr="00581B3B">
        <w:t xml:space="preserve"> „Инвестиции в земеделски стопанства“</w:t>
      </w:r>
      <w:bookmarkEnd w:id="30"/>
    </w:p>
    <w:p w:rsidR="00226DD7" w:rsidRPr="00F03375" w:rsidRDefault="00226DD7" w:rsidP="00392D11">
      <w:pPr>
        <w:jc w:val="both"/>
        <w:rPr>
          <w:rFonts w:ascii="Times New Roman" w:eastAsia="Times New Roman" w:hAnsi="Times New Roman" w:cs="Times New Roman"/>
          <w:sz w:val="24"/>
          <w:szCs w:val="24"/>
          <w:lang w:val="en-GB" w:eastAsia="bg-BG"/>
        </w:rPr>
      </w:pPr>
      <w:r w:rsidRPr="00581B3B">
        <w:rPr>
          <w:rFonts w:ascii="Times New Roman" w:eastAsia="Times New Roman" w:hAnsi="Times New Roman" w:cs="Times New Roman"/>
          <w:sz w:val="24"/>
          <w:szCs w:val="24"/>
          <w:lang w:eastAsia="bg-BG"/>
        </w:rPr>
        <w:t xml:space="preserve">След индексиране на ставките за мерките с плащане на площ (подробно описано по-горе в гл. II), е възможно да бъдат усвоени до </w:t>
      </w:r>
      <w:r w:rsidR="0081075B" w:rsidRPr="00581B3B">
        <w:rPr>
          <w:rFonts w:ascii="Times New Roman" w:eastAsia="Times New Roman" w:hAnsi="Times New Roman" w:cs="Times New Roman"/>
          <w:sz w:val="24"/>
          <w:szCs w:val="24"/>
          <w:lang w:eastAsia="bg-BG"/>
        </w:rPr>
        <w:t>15</w:t>
      </w:r>
      <w:r w:rsidR="00095555" w:rsidRPr="00581B3B">
        <w:rPr>
          <w:rFonts w:ascii="Times New Roman" w:eastAsia="Times New Roman" w:hAnsi="Times New Roman" w:cs="Times New Roman"/>
          <w:sz w:val="24"/>
          <w:szCs w:val="24"/>
          <w:lang w:eastAsia="bg-BG"/>
        </w:rPr>
        <w:t>-2</w:t>
      </w:r>
      <w:r w:rsidR="0081075B" w:rsidRPr="00581B3B">
        <w:rPr>
          <w:rFonts w:ascii="Times New Roman" w:eastAsia="Times New Roman" w:hAnsi="Times New Roman" w:cs="Times New Roman"/>
          <w:sz w:val="24"/>
          <w:szCs w:val="24"/>
          <w:lang w:eastAsia="bg-BG"/>
        </w:rPr>
        <w:t>0</w:t>
      </w:r>
      <w:r w:rsidRPr="00581B3B">
        <w:rPr>
          <w:rFonts w:ascii="Times New Roman" w:eastAsia="Times New Roman" w:hAnsi="Times New Roman" w:cs="Times New Roman"/>
          <w:sz w:val="24"/>
          <w:szCs w:val="24"/>
          <w:lang w:eastAsia="bg-BG"/>
        </w:rPr>
        <w:t xml:space="preserve"> млн. евро публични средства от остатъците, показани в Таблица</w:t>
      </w:r>
      <w:r w:rsidR="00740D02">
        <w:rPr>
          <w:rFonts w:ascii="Times New Roman" w:eastAsia="Times New Roman" w:hAnsi="Times New Roman" w:cs="Times New Roman"/>
          <w:sz w:val="24"/>
          <w:szCs w:val="24"/>
          <w:lang w:eastAsia="bg-BG"/>
        </w:rPr>
        <w:t xml:space="preserve"> </w:t>
      </w:r>
      <w:r w:rsidR="0081075B" w:rsidRPr="00581B3B">
        <w:rPr>
          <w:rFonts w:ascii="Times New Roman" w:eastAsia="Times New Roman" w:hAnsi="Times New Roman" w:cs="Times New Roman"/>
          <w:sz w:val="24"/>
          <w:szCs w:val="24"/>
          <w:lang w:eastAsia="bg-BG"/>
        </w:rPr>
        <w:t>8</w:t>
      </w:r>
      <w:r w:rsidR="00740D02">
        <w:rPr>
          <w:rFonts w:ascii="Times New Roman" w:eastAsia="Times New Roman" w:hAnsi="Times New Roman" w:cs="Times New Roman"/>
          <w:sz w:val="24"/>
          <w:szCs w:val="24"/>
          <w:lang w:eastAsia="bg-BG"/>
        </w:rPr>
        <w:t>.</w:t>
      </w:r>
      <w:r w:rsidRPr="00581B3B">
        <w:rPr>
          <w:rFonts w:ascii="Times New Roman" w:eastAsia="Times New Roman" w:hAnsi="Times New Roman" w:cs="Times New Roman"/>
          <w:sz w:val="24"/>
          <w:szCs w:val="24"/>
          <w:lang w:eastAsia="bg-BG"/>
        </w:rPr>
        <w:t xml:space="preserve"> </w:t>
      </w:r>
      <w:r w:rsidR="00740D02">
        <w:rPr>
          <w:rFonts w:ascii="Times New Roman" w:eastAsia="Times New Roman" w:hAnsi="Times New Roman" w:cs="Times New Roman"/>
          <w:sz w:val="24"/>
          <w:szCs w:val="24"/>
          <w:lang w:eastAsia="bg-BG"/>
        </w:rPr>
        <w:t>Въпреки това,</w:t>
      </w:r>
      <w:r w:rsidRPr="00581B3B">
        <w:rPr>
          <w:rFonts w:ascii="Times New Roman" w:eastAsia="Times New Roman" w:hAnsi="Times New Roman" w:cs="Times New Roman"/>
          <w:sz w:val="24"/>
          <w:szCs w:val="24"/>
          <w:lang w:eastAsia="bg-BG"/>
        </w:rPr>
        <w:t xml:space="preserve"> ще са на разположение </w:t>
      </w:r>
      <w:r w:rsidR="00740D02">
        <w:rPr>
          <w:rFonts w:ascii="Times New Roman" w:eastAsia="Times New Roman" w:hAnsi="Times New Roman" w:cs="Times New Roman"/>
          <w:sz w:val="24"/>
          <w:szCs w:val="24"/>
          <w:lang w:eastAsia="bg-BG"/>
        </w:rPr>
        <w:t xml:space="preserve">още </w:t>
      </w:r>
      <w:r w:rsidRPr="00581B3B">
        <w:rPr>
          <w:rFonts w:ascii="Times New Roman" w:eastAsia="Times New Roman" w:hAnsi="Times New Roman" w:cs="Times New Roman"/>
          <w:sz w:val="24"/>
          <w:szCs w:val="24"/>
          <w:lang w:eastAsia="bg-BG"/>
        </w:rPr>
        <w:t xml:space="preserve">неусвояеми остатъци </w:t>
      </w:r>
      <w:r w:rsidR="00463E3B">
        <w:rPr>
          <w:rFonts w:ascii="Times New Roman" w:eastAsia="Times New Roman" w:hAnsi="Times New Roman" w:cs="Times New Roman"/>
          <w:sz w:val="24"/>
          <w:szCs w:val="24"/>
          <w:lang w:eastAsia="bg-BG"/>
        </w:rPr>
        <w:t>по тези мерки</w:t>
      </w:r>
      <w:r w:rsidRPr="00581B3B">
        <w:rPr>
          <w:rFonts w:ascii="Times New Roman" w:eastAsia="Times New Roman" w:hAnsi="Times New Roman" w:cs="Times New Roman"/>
          <w:sz w:val="24"/>
          <w:szCs w:val="24"/>
          <w:lang w:eastAsia="bg-BG"/>
        </w:rPr>
        <w:t>.</w:t>
      </w:r>
    </w:p>
    <w:p w:rsidR="005302EB" w:rsidRPr="00581B3B" w:rsidRDefault="00226DD7" w:rsidP="00392D11">
      <w:pPr>
        <w:jc w:val="both"/>
        <w:rPr>
          <w:rFonts w:ascii="Times New Roman" w:eastAsia="Times New Roman" w:hAnsi="Times New Roman" w:cs="Times New Roman"/>
          <w:sz w:val="24"/>
          <w:szCs w:val="24"/>
          <w:lang w:eastAsia="bg-BG"/>
        </w:rPr>
      </w:pPr>
      <w:r w:rsidRPr="00581B3B">
        <w:rPr>
          <w:rFonts w:ascii="Times New Roman" w:eastAsia="Times New Roman" w:hAnsi="Times New Roman" w:cs="Times New Roman"/>
          <w:sz w:val="24"/>
          <w:szCs w:val="24"/>
          <w:lang w:eastAsia="bg-BG"/>
        </w:rPr>
        <w:t>УО на ПРСР предл</w:t>
      </w:r>
      <w:r w:rsidR="00740D02">
        <w:rPr>
          <w:rFonts w:ascii="Times New Roman" w:eastAsia="Times New Roman" w:hAnsi="Times New Roman" w:cs="Times New Roman"/>
          <w:sz w:val="24"/>
          <w:szCs w:val="24"/>
          <w:lang w:eastAsia="bg-BG"/>
        </w:rPr>
        <w:t>ага</w:t>
      </w:r>
      <w:r w:rsidRPr="00581B3B">
        <w:rPr>
          <w:rFonts w:ascii="Times New Roman" w:eastAsia="Times New Roman" w:hAnsi="Times New Roman" w:cs="Times New Roman"/>
          <w:sz w:val="24"/>
          <w:szCs w:val="24"/>
          <w:lang w:eastAsia="bg-BG"/>
        </w:rPr>
        <w:t xml:space="preserve"> извеждането на </w:t>
      </w:r>
      <w:r w:rsidR="00740D02">
        <w:rPr>
          <w:rFonts w:ascii="Times New Roman" w:eastAsia="Times New Roman" w:hAnsi="Times New Roman" w:cs="Times New Roman"/>
          <w:sz w:val="24"/>
          <w:szCs w:val="24"/>
          <w:lang w:eastAsia="bg-BG"/>
        </w:rPr>
        <w:t>20</w:t>
      </w:r>
      <w:r w:rsidR="005302EB" w:rsidRPr="00581B3B">
        <w:rPr>
          <w:rFonts w:ascii="Times New Roman" w:eastAsia="Times New Roman" w:hAnsi="Times New Roman" w:cs="Times New Roman"/>
          <w:sz w:val="24"/>
          <w:szCs w:val="24"/>
          <w:lang w:eastAsia="bg-BG"/>
        </w:rPr>
        <w:t xml:space="preserve"> млн. евро публични средства от </w:t>
      </w:r>
      <w:r w:rsidRPr="00581B3B">
        <w:rPr>
          <w:rFonts w:ascii="Times New Roman" w:eastAsia="Times New Roman" w:hAnsi="Times New Roman" w:cs="Times New Roman"/>
          <w:sz w:val="24"/>
          <w:szCs w:val="24"/>
          <w:lang w:eastAsia="bg-BG"/>
        </w:rPr>
        <w:t>тези неусвояеми средства</w:t>
      </w:r>
      <w:r w:rsidR="000069CC">
        <w:rPr>
          <w:rFonts w:ascii="Times New Roman" w:eastAsia="Times New Roman" w:hAnsi="Times New Roman" w:cs="Times New Roman"/>
          <w:sz w:val="24"/>
          <w:szCs w:val="24"/>
          <w:lang w:eastAsia="bg-BG"/>
        </w:rPr>
        <w:t xml:space="preserve"> по мерките с плащане на площ, </w:t>
      </w:r>
      <w:r w:rsidRPr="00581B3B">
        <w:rPr>
          <w:rFonts w:ascii="Times New Roman" w:eastAsia="Times New Roman" w:hAnsi="Times New Roman" w:cs="Times New Roman"/>
          <w:sz w:val="24"/>
          <w:szCs w:val="24"/>
          <w:lang w:eastAsia="bg-BG"/>
        </w:rPr>
        <w:t>насочвайки ги към подобни по характер инвестиции в подмярка 4.</w:t>
      </w:r>
      <w:r w:rsidR="0081075B" w:rsidRPr="00581B3B">
        <w:rPr>
          <w:rFonts w:ascii="Times New Roman" w:eastAsia="Times New Roman" w:hAnsi="Times New Roman" w:cs="Times New Roman"/>
          <w:sz w:val="24"/>
          <w:szCs w:val="24"/>
          <w:lang w:eastAsia="bg-BG"/>
        </w:rPr>
        <w:t>2</w:t>
      </w:r>
      <w:r w:rsidR="007616BE" w:rsidRPr="00581B3B">
        <w:rPr>
          <w:rFonts w:ascii="Times New Roman" w:eastAsia="Times New Roman" w:hAnsi="Times New Roman" w:cs="Times New Roman"/>
          <w:sz w:val="24"/>
          <w:szCs w:val="24"/>
          <w:lang w:eastAsia="bg-BG"/>
        </w:rPr>
        <w:t>, изключително в приоритет</w:t>
      </w:r>
      <w:r w:rsidRPr="00581B3B">
        <w:rPr>
          <w:rFonts w:ascii="Times New Roman" w:eastAsia="Times New Roman" w:hAnsi="Times New Roman" w:cs="Times New Roman"/>
          <w:sz w:val="24"/>
          <w:szCs w:val="24"/>
          <w:lang w:eastAsia="bg-BG"/>
        </w:rPr>
        <w:t xml:space="preserve"> 5</w:t>
      </w:r>
      <w:r w:rsidR="005302EB" w:rsidRPr="00581B3B">
        <w:rPr>
          <w:rFonts w:ascii="Times New Roman" w:eastAsia="Times New Roman" w:hAnsi="Times New Roman" w:cs="Times New Roman"/>
          <w:sz w:val="24"/>
          <w:szCs w:val="24"/>
          <w:lang w:eastAsia="bg-BG"/>
        </w:rPr>
        <w:t xml:space="preserve"> – </w:t>
      </w:r>
      <w:r w:rsidR="00581B3B" w:rsidRPr="00581B3B">
        <w:rPr>
          <w:rFonts w:ascii="Times New Roman" w:eastAsia="Times New Roman" w:hAnsi="Times New Roman" w:cs="Times New Roman"/>
          <w:sz w:val="24"/>
          <w:szCs w:val="24"/>
          <w:lang w:eastAsia="bg-BG"/>
        </w:rPr>
        <w:t>20</w:t>
      </w:r>
      <w:r w:rsidR="005302EB" w:rsidRPr="00581B3B">
        <w:rPr>
          <w:rFonts w:ascii="Times New Roman" w:eastAsia="Times New Roman" w:hAnsi="Times New Roman" w:cs="Times New Roman"/>
          <w:sz w:val="24"/>
          <w:szCs w:val="24"/>
          <w:lang w:eastAsia="bg-BG"/>
        </w:rPr>
        <w:t xml:space="preserve"> млн. евро публични средства към фокус област</w:t>
      </w:r>
      <w:r w:rsidR="0081075B" w:rsidRPr="00581B3B">
        <w:rPr>
          <w:rFonts w:ascii="Times New Roman" w:eastAsia="Times New Roman" w:hAnsi="Times New Roman" w:cs="Times New Roman"/>
          <w:sz w:val="24"/>
          <w:szCs w:val="24"/>
          <w:lang w:eastAsia="bg-BG"/>
        </w:rPr>
        <w:t xml:space="preserve"> 5В</w:t>
      </w:r>
      <w:r w:rsidR="005302EB" w:rsidRPr="00581B3B">
        <w:rPr>
          <w:rFonts w:ascii="Times New Roman" w:eastAsia="Times New Roman" w:hAnsi="Times New Roman" w:cs="Times New Roman"/>
          <w:sz w:val="24"/>
          <w:szCs w:val="24"/>
          <w:lang w:eastAsia="bg-BG"/>
        </w:rPr>
        <w:t>)</w:t>
      </w:r>
      <w:r w:rsidR="005302EB" w:rsidRPr="00581B3B">
        <w:t xml:space="preserve"> </w:t>
      </w:r>
      <w:r w:rsidR="000069CC">
        <w:rPr>
          <w:rFonts w:ascii="Times New Roman" w:eastAsia="Times New Roman" w:hAnsi="Times New Roman" w:cs="Times New Roman"/>
          <w:sz w:val="24"/>
          <w:szCs w:val="24"/>
          <w:lang w:eastAsia="bg-BG"/>
        </w:rPr>
        <w:t>„</w:t>
      </w:r>
      <w:r w:rsidR="005302EB" w:rsidRPr="00581B3B">
        <w:rPr>
          <w:rFonts w:ascii="Times New Roman" w:eastAsia="Times New Roman" w:hAnsi="Times New Roman" w:cs="Times New Roman"/>
          <w:sz w:val="24"/>
          <w:szCs w:val="24"/>
          <w:lang w:eastAsia="bg-BG"/>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Pr="00581B3B">
        <w:rPr>
          <w:rFonts w:ascii="Times New Roman" w:eastAsia="Times New Roman" w:hAnsi="Times New Roman" w:cs="Times New Roman"/>
          <w:sz w:val="24"/>
          <w:szCs w:val="24"/>
          <w:lang w:eastAsia="bg-BG"/>
        </w:rPr>
        <w:t>, ко</w:t>
      </w:r>
      <w:r w:rsidR="007616BE" w:rsidRPr="00581B3B">
        <w:rPr>
          <w:rFonts w:ascii="Times New Roman" w:eastAsia="Times New Roman" w:hAnsi="Times New Roman" w:cs="Times New Roman"/>
          <w:sz w:val="24"/>
          <w:szCs w:val="24"/>
          <w:lang w:eastAsia="bg-BG"/>
        </w:rPr>
        <w:t>я</w:t>
      </w:r>
      <w:r w:rsidRPr="00581B3B">
        <w:rPr>
          <w:rFonts w:ascii="Times New Roman" w:eastAsia="Times New Roman" w:hAnsi="Times New Roman" w:cs="Times New Roman"/>
          <w:sz w:val="24"/>
          <w:szCs w:val="24"/>
          <w:lang w:eastAsia="bg-BG"/>
        </w:rPr>
        <w:t xml:space="preserve">то </w:t>
      </w:r>
      <w:r w:rsidR="0081075B" w:rsidRPr="00581B3B">
        <w:rPr>
          <w:rFonts w:ascii="Times New Roman" w:eastAsia="Times New Roman" w:hAnsi="Times New Roman" w:cs="Times New Roman"/>
          <w:sz w:val="24"/>
          <w:szCs w:val="24"/>
          <w:lang w:eastAsia="bg-BG"/>
        </w:rPr>
        <w:t xml:space="preserve">изцяло </w:t>
      </w:r>
      <w:r w:rsidR="007616BE" w:rsidRPr="00581B3B">
        <w:rPr>
          <w:rFonts w:ascii="Times New Roman" w:eastAsia="Times New Roman" w:hAnsi="Times New Roman" w:cs="Times New Roman"/>
          <w:sz w:val="24"/>
          <w:szCs w:val="24"/>
          <w:lang w:eastAsia="bg-BG"/>
        </w:rPr>
        <w:t>е</w:t>
      </w:r>
      <w:r w:rsidRPr="00581B3B">
        <w:rPr>
          <w:rFonts w:ascii="Times New Roman" w:eastAsia="Times New Roman" w:hAnsi="Times New Roman" w:cs="Times New Roman"/>
          <w:sz w:val="24"/>
          <w:szCs w:val="24"/>
          <w:lang w:eastAsia="bg-BG"/>
        </w:rPr>
        <w:t xml:space="preserve"> свързан</w:t>
      </w:r>
      <w:r w:rsidR="007616BE" w:rsidRPr="00581B3B">
        <w:rPr>
          <w:rFonts w:ascii="Times New Roman" w:eastAsia="Times New Roman" w:hAnsi="Times New Roman" w:cs="Times New Roman"/>
          <w:sz w:val="24"/>
          <w:szCs w:val="24"/>
          <w:lang w:eastAsia="bg-BG"/>
        </w:rPr>
        <w:t>а</w:t>
      </w:r>
      <w:r w:rsidRPr="00581B3B">
        <w:rPr>
          <w:rFonts w:ascii="Times New Roman" w:eastAsia="Times New Roman" w:hAnsi="Times New Roman" w:cs="Times New Roman"/>
          <w:sz w:val="24"/>
          <w:szCs w:val="24"/>
          <w:lang w:eastAsia="bg-BG"/>
        </w:rPr>
        <w:t xml:space="preserve"> с опазване на</w:t>
      </w:r>
      <w:r w:rsidR="005302EB" w:rsidRPr="00581B3B">
        <w:rPr>
          <w:rFonts w:ascii="Times New Roman" w:eastAsia="Times New Roman" w:hAnsi="Times New Roman" w:cs="Times New Roman"/>
          <w:sz w:val="24"/>
          <w:szCs w:val="24"/>
          <w:lang w:eastAsia="bg-BG"/>
        </w:rPr>
        <w:t xml:space="preserve"> компонентите на околната среда.</w:t>
      </w:r>
    </w:p>
    <w:p w:rsidR="00B35E6D" w:rsidRDefault="00B35E6D" w:rsidP="00B35E6D">
      <w:pPr>
        <w:pStyle w:val="Heading2"/>
        <w:numPr>
          <w:ilvl w:val="0"/>
          <w:numId w:val="0"/>
        </w:numPr>
      </w:pPr>
      <w:bookmarkStart w:id="31" w:name="_Toc130370334"/>
      <w:r>
        <w:lastRenderedPageBreak/>
        <w:t xml:space="preserve">12.2. </w:t>
      </w:r>
      <w:r w:rsidRPr="00B35E6D">
        <w:t xml:space="preserve">Прехвърляне на средства към подмярка </w:t>
      </w:r>
      <w:r>
        <w:t>7</w:t>
      </w:r>
      <w:r w:rsidRPr="00B35E6D">
        <w:t>.2</w:t>
      </w:r>
      <w:r>
        <w:t xml:space="preserve"> </w:t>
      </w:r>
      <w:r w:rsidRPr="00B35E6D">
        <w:t>„Инвестиции в създаването, подобряването или разширяването на всички видове малка по мащаби инфраструктура“</w:t>
      </w:r>
      <w:bookmarkEnd w:id="31"/>
    </w:p>
    <w:p w:rsidR="00452134" w:rsidRPr="006129A2" w:rsidRDefault="00AF669A" w:rsidP="00B35E6D">
      <w:pPr>
        <w:pStyle w:val="Heading2"/>
        <w:numPr>
          <w:ilvl w:val="0"/>
          <w:numId w:val="0"/>
        </w:numPr>
        <w:rPr>
          <w:rFonts w:eastAsiaTheme="minorHAnsi"/>
          <w:szCs w:val="24"/>
        </w:rPr>
      </w:pPr>
      <w:bookmarkStart w:id="32" w:name="_Toc130370335"/>
      <w:r w:rsidRPr="006129A2">
        <w:rPr>
          <w:rFonts w:eastAsiaTheme="minorHAnsi"/>
          <w:szCs w:val="24"/>
        </w:rPr>
        <w:t>Осигуряване на финансово обезпечение на 83 445 789 евро публични средства за покриване изцяло на стартиралите процедури по подмярка 7.2</w:t>
      </w:r>
      <w:r w:rsidR="00B35E6D" w:rsidRPr="006129A2">
        <w:rPr>
          <w:rFonts w:eastAsiaTheme="minorHAnsi"/>
          <w:szCs w:val="24"/>
        </w:rPr>
        <w:t xml:space="preserve"> през 2022 г.</w:t>
      </w:r>
      <w:bookmarkEnd w:id="32"/>
    </w:p>
    <w:p w:rsidR="00452134" w:rsidRDefault="00452134" w:rsidP="00392D11">
      <w:pPr>
        <w:jc w:val="both"/>
        <w:rPr>
          <w:rFonts w:ascii="Times New Roman" w:hAnsi="Times New Roman" w:cs="Times New Roman"/>
          <w:sz w:val="24"/>
          <w:szCs w:val="24"/>
        </w:rPr>
      </w:pPr>
      <w:r w:rsidRPr="00581B3B">
        <w:rPr>
          <w:rFonts w:ascii="Times New Roman" w:hAnsi="Times New Roman" w:cs="Times New Roman"/>
          <w:sz w:val="24"/>
          <w:szCs w:val="24"/>
        </w:rPr>
        <w:t xml:space="preserve">Осигуряването на финансово обезпечение на 83 445 789 евро публични средства (163 203 274 лв.), е </w:t>
      </w:r>
      <w:r w:rsidRPr="00581B3B">
        <w:rPr>
          <w:rFonts w:ascii="Times New Roman" w:hAnsi="Times New Roman" w:cs="Times New Roman"/>
          <w:b/>
          <w:sz w:val="24"/>
          <w:szCs w:val="24"/>
        </w:rPr>
        <w:t>за покриване изцяло на стартиралите процедури над финансовия ресурс</w:t>
      </w:r>
      <w:r w:rsidRPr="00581B3B">
        <w:rPr>
          <w:rFonts w:ascii="Times New Roman" w:hAnsi="Times New Roman" w:cs="Times New Roman"/>
          <w:sz w:val="24"/>
          <w:szCs w:val="24"/>
        </w:rPr>
        <w:t xml:space="preserve">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B35E6D" w:rsidRPr="00B35E6D" w:rsidRDefault="00B35E6D" w:rsidP="00B35E6D">
      <w:pPr>
        <w:jc w:val="both"/>
        <w:rPr>
          <w:rFonts w:ascii="Times New Roman" w:hAnsi="Times New Roman" w:cs="Times New Roman"/>
          <w:sz w:val="24"/>
          <w:szCs w:val="24"/>
        </w:rPr>
      </w:pPr>
      <w:r w:rsidRPr="00B35E6D">
        <w:rPr>
          <w:rFonts w:ascii="Times New Roman" w:hAnsi="Times New Roman" w:cs="Times New Roman"/>
          <w:sz w:val="24"/>
          <w:szCs w:val="24"/>
        </w:rPr>
        <w:t>През м. август 2022 г. Управляващият орган на ПРСР 2014 – 2020 г. откри процедури за предоставяне на безвъзмездна финансова помощ със средства в размер на общо 293 370 000 лв. (150 000 000 евро</w:t>
      </w:r>
      <w:r w:rsidRPr="00B35E6D">
        <w:rPr>
          <w:rStyle w:val="FootnoteReference"/>
          <w:rFonts w:ascii="Times New Roman" w:hAnsi="Times New Roman" w:cs="Times New Roman"/>
          <w:sz w:val="24"/>
          <w:szCs w:val="24"/>
        </w:rPr>
        <w:footnoteReference w:id="3"/>
      </w:r>
      <w:r w:rsidRPr="00B35E6D">
        <w:rPr>
          <w:rFonts w:ascii="Times New Roman" w:hAnsi="Times New Roman" w:cs="Times New Roman"/>
          <w:sz w:val="24"/>
          <w:szCs w:val="24"/>
        </w:rPr>
        <w:t xml:space="preserve">), от които до 163 203 274 лв. (83 445 789 евро) над финансовия ресурс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(ПРСР) 2014 – 2020 г. </w:t>
      </w:r>
    </w:p>
    <w:p w:rsidR="00B35E6D" w:rsidRPr="00B35E6D" w:rsidRDefault="00B35E6D" w:rsidP="00B35E6D">
      <w:pPr>
        <w:jc w:val="both"/>
        <w:rPr>
          <w:rFonts w:ascii="Times New Roman" w:hAnsi="Times New Roman"/>
          <w:sz w:val="24"/>
          <w:szCs w:val="24"/>
        </w:rPr>
      </w:pPr>
      <w:r w:rsidRPr="00B35E6D">
        <w:rPr>
          <w:rFonts w:ascii="Times New Roman" w:hAnsi="Times New Roman" w:cs="Times New Roman"/>
          <w:sz w:val="24"/>
          <w:szCs w:val="24"/>
        </w:rPr>
        <w:lastRenderedPageBreak/>
        <w:t xml:space="preserve">Министерският съвет на Република България прие Решение № 437 от 5 юли 2022 г., във основа на което беше разрешено на </w:t>
      </w:r>
      <w:r w:rsidRPr="00B35E6D">
        <w:rPr>
          <w:rFonts w:ascii="Times New Roman" w:hAnsi="Times New Roman"/>
          <w:bCs/>
          <w:sz w:val="24"/>
          <w:szCs w:val="24"/>
          <w:lang w:eastAsia="bg-BG"/>
        </w:rPr>
        <w:t xml:space="preserve">Управляващия орган на ПРСР 2014 – 2020 г. да открие процедура за предоставяне на безвъзмездна финансова помощ със средства в размер до 163 203 274 лева над финансовия ресурс по </w:t>
      </w:r>
      <w:r w:rsidRPr="00B35E6D">
        <w:rPr>
          <w:rFonts w:ascii="Times New Roman" w:hAnsi="Times New Roman"/>
          <w:sz w:val="24"/>
          <w:szCs w:val="24"/>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Съгласно т. 2 от РМС № </w:t>
      </w:r>
      <w:r w:rsidRPr="00B35E6D">
        <w:rPr>
          <w:rFonts w:ascii="Times New Roman" w:hAnsi="Times New Roman" w:cs="Times New Roman"/>
          <w:sz w:val="24"/>
          <w:szCs w:val="24"/>
        </w:rPr>
        <w:t>437 от 5 юли 2022 г. е поет ангажимент с изменение в ПРСР 2014 – 2020 г. да бъдат прехвърлени средства към подмярка 7.2, с цел да се осигурят средствата, които към момента на обявяване на приема не са били налични.</w:t>
      </w:r>
    </w:p>
    <w:p w:rsidR="00B35E6D" w:rsidRPr="00B35E6D" w:rsidRDefault="00B35E6D" w:rsidP="00B35E6D">
      <w:pPr>
        <w:jc w:val="both"/>
        <w:rPr>
          <w:rFonts w:ascii="Times New Roman" w:hAnsi="Times New Roman" w:cs="Times New Roman"/>
          <w:sz w:val="24"/>
          <w:szCs w:val="24"/>
        </w:rPr>
      </w:pPr>
      <w:r w:rsidRPr="00B35E6D">
        <w:rPr>
          <w:rFonts w:ascii="Times New Roman" w:hAnsi="Times New Roman" w:cs="Times New Roman"/>
          <w:sz w:val="24"/>
          <w:szCs w:val="24"/>
        </w:rPr>
        <w:t xml:space="preserve">Към момента на изготвяне на Решение № 437 от 5 юли 2022 г. остатъчните средства по подмярката са в размер на 66 554 211 евро публични средства, или 130 166 726 лв. </w:t>
      </w:r>
    </w:p>
    <w:p w:rsidR="00452134" w:rsidRPr="00581B3B" w:rsidRDefault="00B35E6D" w:rsidP="00392D11">
      <w:pPr>
        <w:jc w:val="both"/>
        <w:rPr>
          <w:rFonts w:ascii="Times New Roman" w:hAnsi="Times New Roman" w:cs="Times New Roman"/>
          <w:sz w:val="24"/>
          <w:szCs w:val="24"/>
        </w:rPr>
      </w:pPr>
      <w:r>
        <w:rPr>
          <w:rFonts w:ascii="Times New Roman" w:hAnsi="Times New Roman" w:cs="Times New Roman"/>
          <w:sz w:val="24"/>
          <w:szCs w:val="24"/>
        </w:rPr>
        <w:t xml:space="preserve">Решението на Министерския съвет е взето на база обективният фактор, че </w:t>
      </w:r>
      <w:r w:rsidR="00452134" w:rsidRPr="00581B3B">
        <w:rPr>
          <w:rFonts w:ascii="Times New Roman" w:hAnsi="Times New Roman" w:cs="Times New Roman"/>
          <w:sz w:val="24"/>
          <w:szCs w:val="24"/>
        </w:rPr>
        <w:t xml:space="preserve">Програмата за развитие на селските райони е ключов инструмент, чрез който се подпомага социално-икономическото развитие на селските райони в страната. За приема на проекти през 2022 г., по подмярка 7.2 се прилага новата националната дефиниция, която определя като „селски райони” общините, в които няма населено място с население над 15 000 души. Съгласно тази дефиниция, 215 общини от общо 265 общини в България са класифицирани като селски район и заемат 81% от територията и 39% от населението на страната. </w:t>
      </w:r>
    </w:p>
    <w:p w:rsidR="00AF669A" w:rsidRPr="00581B3B" w:rsidRDefault="00AF669A" w:rsidP="00392D11">
      <w:pPr>
        <w:jc w:val="both"/>
        <w:rPr>
          <w:rFonts w:ascii="Times New Roman" w:hAnsi="Times New Roman" w:cs="Times New Roman"/>
          <w:sz w:val="24"/>
          <w:szCs w:val="24"/>
        </w:rPr>
      </w:pPr>
      <w:r w:rsidRPr="00581B3B">
        <w:rPr>
          <w:rFonts w:ascii="Times New Roman" w:hAnsi="Times New Roman" w:cs="Times New Roman"/>
          <w:sz w:val="24"/>
          <w:szCs w:val="24"/>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Недостигът на </w:t>
      </w:r>
      <w:r w:rsidRPr="00581B3B">
        <w:rPr>
          <w:rFonts w:ascii="Times New Roman" w:hAnsi="Times New Roman" w:cs="Times New Roman"/>
          <w:sz w:val="24"/>
          <w:szCs w:val="24"/>
        </w:rPr>
        <w:lastRenderedPageBreak/>
        <w:t>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застрашават способността им да задържат населението и да привличат инвестиции, което ги поставя в социално-икономически спад.</w:t>
      </w:r>
    </w:p>
    <w:p w:rsidR="00AF669A" w:rsidRPr="00581B3B" w:rsidRDefault="00AF669A" w:rsidP="00392D11">
      <w:pPr>
        <w:jc w:val="both"/>
        <w:rPr>
          <w:rFonts w:ascii="Times New Roman" w:hAnsi="Times New Roman" w:cs="Times New Roman"/>
          <w:sz w:val="24"/>
          <w:szCs w:val="24"/>
        </w:rPr>
      </w:pPr>
      <w:r w:rsidRPr="00581B3B">
        <w:rPr>
          <w:rFonts w:ascii="Times New Roman" w:hAnsi="Times New Roman" w:cs="Times New Roman"/>
          <w:sz w:val="24"/>
          <w:szCs w:val="24"/>
        </w:rPr>
        <w:t>Подмярка 7.2 от Мярка 7 „Основни услуги и обновяване на селата в селските райони“ от ПРСР 2014 – 2020 г. е с определен индикативен бюджет от 620 295 322 евро публични средства, който представлява 16% от общия бюджет по Програмата, и е изцяло насочена към подпомагане на малка по мащаби инфраструктура на територията на селските райони, включително инвестиции в следните дейности: водоснабдяване и канализация, улици, общински пътища, енергийна ефективност на общински сгради, култура, образование и други.</w:t>
      </w:r>
    </w:p>
    <w:p w:rsidR="00AF669A" w:rsidRPr="00581B3B" w:rsidRDefault="00AF669A" w:rsidP="00392D11">
      <w:pPr>
        <w:jc w:val="both"/>
        <w:rPr>
          <w:rFonts w:ascii="Times New Roman" w:hAnsi="Times New Roman" w:cs="Times New Roman"/>
          <w:sz w:val="24"/>
          <w:szCs w:val="24"/>
        </w:rPr>
      </w:pPr>
      <w:r w:rsidRPr="00581B3B">
        <w:rPr>
          <w:rFonts w:ascii="Times New Roman" w:hAnsi="Times New Roman" w:cs="Times New Roman"/>
          <w:sz w:val="24"/>
          <w:szCs w:val="24"/>
        </w:rPr>
        <w:t>За периода на прилагане на ПРСР 2014-2020 г. Управляващият орган на Програмата е насочвал тези средства към кандидати общини за инвестиции на територията на селските райони в страната, чрез обявяване на приеми за подбор на проектни предложения, обявени съответно през 2016 и 2018 година.</w:t>
      </w:r>
    </w:p>
    <w:p w:rsidR="00AF669A" w:rsidRPr="00581B3B" w:rsidRDefault="00AF669A" w:rsidP="00392D11">
      <w:pPr>
        <w:jc w:val="both"/>
        <w:rPr>
          <w:rFonts w:ascii="Times New Roman" w:hAnsi="Times New Roman" w:cs="Times New Roman"/>
          <w:sz w:val="24"/>
          <w:szCs w:val="24"/>
        </w:rPr>
      </w:pPr>
      <w:r w:rsidRPr="00581B3B">
        <w:rPr>
          <w:rFonts w:ascii="Times New Roman" w:hAnsi="Times New Roman" w:cs="Times New Roman"/>
          <w:sz w:val="24"/>
          <w:szCs w:val="24"/>
        </w:rPr>
        <w:t>Вследствие на големия интерес и успешното прилагане на подмярката, към настоящия момент има сключени 691 броя договори с кандидати общини на обща стойност на одобрената субсидия в размер на 553 млн. евро публични средства.</w:t>
      </w:r>
    </w:p>
    <w:p w:rsidR="00AF669A" w:rsidRPr="00581B3B" w:rsidRDefault="00AF669A" w:rsidP="00392D11">
      <w:pPr>
        <w:jc w:val="both"/>
        <w:rPr>
          <w:rFonts w:ascii="Times New Roman" w:hAnsi="Times New Roman"/>
          <w:sz w:val="24"/>
          <w:szCs w:val="24"/>
        </w:rPr>
      </w:pPr>
      <w:r w:rsidRPr="00581B3B">
        <w:rPr>
          <w:rFonts w:ascii="Times New Roman" w:hAnsi="Times New Roman" w:cs="Times New Roman"/>
          <w:sz w:val="24"/>
          <w:szCs w:val="24"/>
        </w:rPr>
        <w:lastRenderedPageBreak/>
        <w:t xml:space="preserve">Анализът на данните, предоставени от Държавен фонд „Земеделие“ показва, че най-голям интерес и респективно най-голям недостиг на средства се очертава за реализирането на дейности за транспортна инфраструктура, водоснабдителни системи и </w:t>
      </w:r>
      <w:r w:rsidRPr="00581B3B">
        <w:rPr>
          <w:rFonts w:ascii="Times New Roman" w:hAnsi="Times New Roman"/>
          <w:sz w:val="24"/>
          <w:szCs w:val="24"/>
        </w:rPr>
        <w:t>съоръжения и енергийна ефективност на общински сгради.</w:t>
      </w:r>
    </w:p>
    <w:p w:rsidR="00AF669A" w:rsidRPr="00581B3B" w:rsidRDefault="00AF669A" w:rsidP="00392D11">
      <w:pPr>
        <w:jc w:val="both"/>
        <w:rPr>
          <w:rFonts w:ascii="Times New Roman" w:hAnsi="Times New Roman"/>
          <w:sz w:val="24"/>
          <w:szCs w:val="24"/>
        </w:rPr>
      </w:pPr>
      <w:r w:rsidRPr="00581B3B">
        <w:rPr>
          <w:rFonts w:ascii="Times New Roman" w:hAnsi="Times New Roman"/>
          <w:sz w:val="24"/>
          <w:szCs w:val="24"/>
        </w:rPr>
        <w:t>Съгласно направения анализ, за пътища са подадени 188 броя проектни предложения със стойност на завените разходи от близо 481 млн. евро, от които със сключени договори са едва 51 броя с обща стойност на одобрената безвъзмездна помощ в размер на 190 млн. евро; за улици са постъпили 352 броя проектни предложения със стойност на заявените разходи в размер на близо 280 млн. евро, от които одобрени 202 броя с обща стойност на одобрената безвъзмездна помощ в размер на 127 млн. евро; за подобряване на енергийната ефективност на общински сгради са постъпили 51 броя проектни предложения със стойност на заявените разходи в размер на близо 14 млн. евро, от които одобрени 40 броя с обща стойност на одобрената безвъзмездна помощ в размер на 7 млн. евро.</w:t>
      </w:r>
    </w:p>
    <w:p w:rsidR="00AF669A" w:rsidRPr="00581B3B" w:rsidRDefault="00AF669A" w:rsidP="00392D11">
      <w:pPr>
        <w:jc w:val="both"/>
        <w:rPr>
          <w:rFonts w:ascii="Times New Roman" w:hAnsi="Times New Roman"/>
          <w:sz w:val="24"/>
          <w:szCs w:val="24"/>
        </w:rPr>
      </w:pPr>
      <w:r w:rsidRPr="00581B3B">
        <w:rPr>
          <w:rFonts w:ascii="Times New Roman" w:hAnsi="Times New Roman"/>
          <w:sz w:val="24"/>
          <w:szCs w:val="24"/>
        </w:rPr>
        <w:t>Решението за обявяване на прием на проектни предложения през 2022 г. е взето на база горепосочените данни – приемите по четирите процедури са за дейности, по които има най-голям интерес и респективно най-голям недостиг на средства. Процедурите са обявени с частично наличен бюджет, за който е поет ангажимент да бъдат осигурени средства със следващо изменение на ПРСР, предимно от остатъчни средства, както и със средствата от подмярка 7.3. „Широколентова инфраструктура, включително нейното създаване, подобрение и разширяване“.</w:t>
      </w:r>
    </w:p>
    <w:p w:rsidR="00463E3B" w:rsidRDefault="00463E3B" w:rsidP="00392D11">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lastRenderedPageBreak/>
        <w:t xml:space="preserve">Прехвърляне на </w:t>
      </w:r>
      <w:r w:rsidR="00AF669A" w:rsidRPr="00581B3B">
        <w:rPr>
          <w:rFonts w:ascii="Times New Roman" w:eastAsia="Times New Roman" w:hAnsi="Times New Roman" w:cs="Times New Roman"/>
          <w:b/>
          <w:sz w:val="24"/>
          <w:szCs w:val="24"/>
          <w:lang w:eastAsia="bg-BG"/>
        </w:rPr>
        <w:t xml:space="preserve">до </w:t>
      </w:r>
      <w:r w:rsidR="00581B3B" w:rsidRPr="00581B3B">
        <w:rPr>
          <w:rFonts w:ascii="Times New Roman" w:eastAsia="Times New Roman" w:hAnsi="Times New Roman" w:cs="Times New Roman"/>
          <w:b/>
          <w:sz w:val="24"/>
          <w:szCs w:val="24"/>
          <w:lang w:eastAsia="bg-BG"/>
        </w:rPr>
        <w:t>40</w:t>
      </w:r>
      <w:r w:rsidR="00AF669A" w:rsidRPr="00581B3B">
        <w:rPr>
          <w:rFonts w:ascii="Times New Roman" w:eastAsia="Times New Roman" w:hAnsi="Times New Roman" w:cs="Times New Roman"/>
          <w:b/>
          <w:sz w:val="24"/>
          <w:szCs w:val="24"/>
          <w:lang w:eastAsia="bg-BG"/>
        </w:rPr>
        <w:t> 000 000 евро публични средства</w:t>
      </w:r>
      <w:r>
        <w:rPr>
          <w:rFonts w:ascii="Times New Roman" w:eastAsia="Times New Roman" w:hAnsi="Times New Roman" w:cs="Times New Roman"/>
          <w:b/>
          <w:sz w:val="24"/>
          <w:szCs w:val="24"/>
          <w:lang w:eastAsia="bg-BG"/>
        </w:rPr>
        <w:t xml:space="preserve"> в бюджета на подмярката, които може да бъдат насочени към:</w:t>
      </w:r>
    </w:p>
    <w:p w:rsidR="00463E3B" w:rsidRPr="00463E3B" w:rsidRDefault="00463E3B" w:rsidP="00463E3B">
      <w:pPr>
        <w:pStyle w:val="ListParagraph"/>
        <w:numPr>
          <w:ilvl w:val="0"/>
          <w:numId w:val="32"/>
        </w:numPr>
        <w:jc w:val="both"/>
        <w:rPr>
          <w:rFonts w:ascii="Times New Roman" w:hAnsi="Times New Roman"/>
          <w:sz w:val="24"/>
          <w:szCs w:val="24"/>
        </w:rPr>
      </w:pPr>
      <w:r w:rsidRPr="00463E3B">
        <w:rPr>
          <w:rFonts w:ascii="Times New Roman" w:hAnsi="Times New Roman"/>
          <w:sz w:val="24"/>
          <w:szCs w:val="24"/>
        </w:rPr>
        <w:t xml:space="preserve">осигуряване на финансов ресурс </w:t>
      </w:r>
      <w:r w:rsidR="00AF669A" w:rsidRPr="00463E3B">
        <w:rPr>
          <w:rFonts w:ascii="Times New Roman" w:hAnsi="Times New Roman"/>
          <w:sz w:val="24"/>
          <w:szCs w:val="24"/>
        </w:rPr>
        <w:t xml:space="preserve">в случай на провеждане на извънредни целеви </w:t>
      </w:r>
      <w:r w:rsidRPr="00463E3B">
        <w:rPr>
          <w:rFonts w:ascii="Times New Roman" w:hAnsi="Times New Roman"/>
          <w:sz w:val="24"/>
          <w:szCs w:val="24"/>
        </w:rPr>
        <w:t>приеми</w:t>
      </w:r>
      <w:r w:rsidR="00AF669A" w:rsidRPr="00463E3B">
        <w:rPr>
          <w:rFonts w:ascii="Times New Roman" w:hAnsi="Times New Roman"/>
          <w:sz w:val="24"/>
          <w:szCs w:val="24"/>
        </w:rPr>
        <w:t xml:space="preserve"> за общини</w:t>
      </w:r>
      <w:r w:rsidRPr="00463E3B">
        <w:rPr>
          <w:rFonts w:ascii="Times New Roman" w:hAnsi="Times New Roman"/>
          <w:sz w:val="24"/>
          <w:szCs w:val="24"/>
        </w:rPr>
        <w:t>те Марица и Калояново</w:t>
      </w:r>
      <w:r w:rsidR="00AF669A" w:rsidRPr="00463E3B">
        <w:rPr>
          <w:rFonts w:ascii="Times New Roman" w:hAnsi="Times New Roman"/>
          <w:sz w:val="24"/>
          <w:szCs w:val="24"/>
        </w:rPr>
        <w:t xml:space="preserve">, пострадали от </w:t>
      </w:r>
      <w:r w:rsidRPr="00463E3B">
        <w:rPr>
          <w:rFonts w:ascii="Times New Roman" w:hAnsi="Times New Roman"/>
          <w:sz w:val="24"/>
          <w:szCs w:val="24"/>
        </w:rPr>
        <w:t>наводненията в Южна България;</w:t>
      </w:r>
    </w:p>
    <w:p w:rsidR="00463E3B" w:rsidRPr="00463E3B" w:rsidRDefault="00463E3B" w:rsidP="00463E3B">
      <w:pPr>
        <w:pStyle w:val="ListParagraph"/>
        <w:numPr>
          <w:ilvl w:val="0"/>
          <w:numId w:val="32"/>
        </w:numPr>
        <w:jc w:val="both"/>
        <w:rPr>
          <w:rFonts w:ascii="Times New Roman" w:hAnsi="Times New Roman"/>
          <w:sz w:val="24"/>
          <w:szCs w:val="24"/>
        </w:rPr>
      </w:pPr>
      <w:r w:rsidRPr="00463E3B">
        <w:rPr>
          <w:rFonts w:ascii="Times New Roman" w:hAnsi="Times New Roman"/>
          <w:sz w:val="24"/>
          <w:szCs w:val="24"/>
        </w:rPr>
        <w:t>индексиране на разходи по одобрени проектни предложения в процес на изпълнение на административните договори</w:t>
      </w:r>
      <w:r>
        <w:rPr>
          <w:rFonts w:ascii="Times New Roman" w:hAnsi="Times New Roman"/>
          <w:sz w:val="24"/>
          <w:szCs w:val="24"/>
        </w:rPr>
        <w:t>;</w:t>
      </w:r>
    </w:p>
    <w:p w:rsidR="00AF669A" w:rsidRPr="00463E3B" w:rsidRDefault="00463E3B" w:rsidP="00463E3B">
      <w:pPr>
        <w:pStyle w:val="ListParagraph"/>
        <w:numPr>
          <w:ilvl w:val="0"/>
          <w:numId w:val="32"/>
        </w:numPr>
        <w:jc w:val="both"/>
        <w:rPr>
          <w:rFonts w:ascii="Times New Roman" w:hAnsi="Times New Roman"/>
          <w:sz w:val="24"/>
          <w:szCs w:val="24"/>
        </w:rPr>
      </w:pPr>
      <w:r w:rsidRPr="00463E3B">
        <w:rPr>
          <w:rFonts w:ascii="Times New Roman" w:hAnsi="Times New Roman"/>
          <w:sz w:val="24"/>
          <w:szCs w:val="24"/>
        </w:rPr>
        <w:t>увеличение на бюджета на проведените през 2022 г. приеми на проектни предложения</w:t>
      </w:r>
      <w:r>
        <w:rPr>
          <w:rFonts w:ascii="Times New Roman" w:hAnsi="Times New Roman"/>
          <w:sz w:val="24"/>
          <w:szCs w:val="24"/>
        </w:rPr>
        <w:t>.</w:t>
      </w:r>
      <w:r w:rsidR="00AF669A" w:rsidRPr="00463E3B">
        <w:rPr>
          <w:rFonts w:ascii="Times New Roman" w:hAnsi="Times New Roman"/>
          <w:sz w:val="24"/>
          <w:szCs w:val="24"/>
        </w:rPr>
        <w:t xml:space="preserve"> </w:t>
      </w:r>
    </w:p>
    <w:p w:rsidR="00452134" w:rsidRPr="00581B3B" w:rsidRDefault="00B35E6D" w:rsidP="00B35E6D">
      <w:pPr>
        <w:pStyle w:val="Heading2"/>
        <w:numPr>
          <w:ilvl w:val="0"/>
          <w:numId w:val="0"/>
        </w:numPr>
      </w:pPr>
      <w:bookmarkStart w:id="33" w:name="_Toc130370336"/>
      <w:r>
        <w:rPr>
          <w:lang w:val="en-GB"/>
        </w:rPr>
        <w:t>12</w:t>
      </w:r>
      <w:r w:rsidR="001D683F" w:rsidRPr="00581B3B">
        <w:t xml:space="preserve">.3. </w:t>
      </w:r>
      <w:r w:rsidR="00452134" w:rsidRPr="00581B3B">
        <w:t>Прехвърляне на средства към мярка 20 „Техническа помощ“ от ПРСР (2014-2020)</w:t>
      </w:r>
      <w:bookmarkEnd w:id="33"/>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 xml:space="preserve">За целите на ефективното управление и изпълнение на подпомагането </w:t>
      </w:r>
      <w:r w:rsidR="00C625A8" w:rsidRPr="00581B3B">
        <w:rPr>
          <w:rFonts w:ascii="Times New Roman" w:hAnsi="Times New Roman"/>
          <w:sz w:val="24"/>
          <w:szCs w:val="24"/>
        </w:rPr>
        <w:t>по линия на</w:t>
      </w:r>
      <w:r w:rsidRPr="00581B3B">
        <w:rPr>
          <w:rFonts w:ascii="Times New Roman" w:hAnsi="Times New Roman"/>
          <w:sz w:val="24"/>
          <w:szCs w:val="24"/>
        </w:rPr>
        <w:t xml:space="preserve"> Стратегическия план за развитие на земеделието и селските райони за периода 2023-2027 г. и осигуряване</w:t>
      </w:r>
      <w:r w:rsidR="00C625A8" w:rsidRPr="00581B3B">
        <w:rPr>
          <w:rFonts w:ascii="Times New Roman" w:hAnsi="Times New Roman"/>
          <w:sz w:val="24"/>
          <w:szCs w:val="24"/>
        </w:rPr>
        <w:t>то</w:t>
      </w:r>
      <w:r w:rsidRPr="00581B3B">
        <w:rPr>
          <w:rFonts w:ascii="Times New Roman" w:hAnsi="Times New Roman"/>
          <w:sz w:val="24"/>
          <w:szCs w:val="24"/>
        </w:rPr>
        <w:t xml:space="preserve"> на ефективен контрол при изпълнение на интервенциите</w:t>
      </w:r>
      <w:r w:rsidR="00674C6E" w:rsidRPr="00581B3B">
        <w:rPr>
          <w:rFonts w:ascii="Times New Roman" w:hAnsi="Times New Roman"/>
          <w:sz w:val="24"/>
          <w:szCs w:val="24"/>
        </w:rPr>
        <w:t>,</w:t>
      </w:r>
      <w:r w:rsidRPr="00581B3B">
        <w:rPr>
          <w:rFonts w:ascii="Times New Roman" w:hAnsi="Times New Roman"/>
          <w:sz w:val="24"/>
          <w:szCs w:val="24"/>
        </w:rPr>
        <w:t xml:space="preserve"> Управляващия</w:t>
      </w:r>
      <w:r w:rsidR="00C625A8" w:rsidRPr="00581B3B">
        <w:rPr>
          <w:rFonts w:ascii="Times New Roman" w:hAnsi="Times New Roman"/>
          <w:sz w:val="24"/>
          <w:szCs w:val="24"/>
        </w:rPr>
        <w:t>т</w:t>
      </w:r>
      <w:r w:rsidRPr="00581B3B">
        <w:rPr>
          <w:rFonts w:ascii="Times New Roman" w:hAnsi="Times New Roman"/>
          <w:sz w:val="24"/>
          <w:szCs w:val="24"/>
        </w:rPr>
        <w:t xml:space="preserve"> орган предвижда осигуряване на </w:t>
      </w:r>
      <w:r w:rsidRPr="00581B3B">
        <w:rPr>
          <w:rFonts w:ascii="Times New Roman" w:hAnsi="Times New Roman"/>
          <w:b/>
          <w:sz w:val="24"/>
          <w:szCs w:val="24"/>
        </w:rPr>
        <w:t>устройства за проследяване на животните, обект на подпомагане</w:t>
      </w:r>
      <w:r w:rsidRPr="00581B3B">
        <w:rPr>
          <w:rFonts w:ascii="Times New Roman" w:hAnsi="Times New Roman"/>
          <w:sz w:val="24"/>
          <w:szCs w:val="24"/>
        </w:rPr>
        <w:t xml:space="preserve"> в рамките на интервенциите, свързани с осъществяване на дейност по екстензивна паша по линия на техническа помощ.</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В тази връзка е извършен предварителен анализ за необходимостта, техническите изисквания на устройствата, необходим брой, бюджет, както и технологичната обезпеченост за интеграция и използване на информацията за целите на ефективното управление и изпълнение на подпомагането във връзка със стратегическия план по ОСП.</w:t>
      </w:r>
    </w:p>
    <w:p w:rsidR="00452134" w:rsidRPr="00581B3B" w:rsidRDefault="00452134" w:rsidP="00C625A8">
      <w:pPr>
        <w:jc w:val="both"/>
        <w:rPr>
          <w:rFonts w:ascii="Times New Roman" w:hAnsi="Times New Roman"/>
          <w:sz w:val="24"/>
          <w:szCs w:val="24"/>
          <w:u w:val="single"/>
        </w:rPr>
      </w:pPr>
      <w:r w:rsidRPr="00581B3B">
        <w:rPr>
          <w:rFonts w:ascii="Times New Roman" w:hAnsi="Times New Roman"/>
          <w:sz w:val="24"/>
          <w:szCs w:val="24"/>
          <w:u w:val="single"/>
        </w:rPr>
        <w:lastRenderedPageBreak/>
        <w:t>Необходимост от осигуряване на устройства за проследяване на едър и д</w:t>
      </w:r>
      <w:r w:rsidR="00C625A8" w:rsidRPr="00581B3B">
        <w:rPr>
          <w:rFonts w:ascii="Times New Roman" w:hAnsi="Times New Roman"/>
          <w:sz w:val="24"/>
          <w:szCs w:val="24"/>
          <w:u w:val="single"/>
        </w:rPr>
        <w:t>ребен рогат добитък</w:t>
      </w:r>
      <w:r w:rsidRPr="00581B3B">
        <w:rPr>
          <w:rFonts w:ascii="Times New Roman" w:hAnsi="Times New Roman"/>
          <w:sz w:val="24"/>
          <w:szCs w:val="24"/>
          <w:u w:val="single"/>
        </w:rPr>
        <w:t xml:space="preserve"> </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За целите на прилагане на интервенци</w:t>
      </w:r>
      <w:r w:rsidR="00C625A8" w:rsidRPr="00581B3B">
        <w:rPr>
          <w:rFonts w:ascii="Times New Roman" w:hAnsi="Times New Roman"/>
          <w:sz w:val="24"/>
          <w:szCs w:val="24"/>
        </w:rPr>
        <w:t>я</w:t>
      </w:r>
      <w:r w:rsidRPr="00581B3B">
        <w:rPr>
          <w:rFonts w:ascii="Times New Roman" w:hAnsi="Times New Roman"/>
          <w:sz w:val="24"/>
          <w:szCs w:val="24"/>
        </w:rPr>
        <w:t xml:space="preserve"> „Хуманно отношение към животните и антимикробна резистентност“ се предвижда подпомагане по операция „Осигуряване на свободно отглеждане на открито“, като дейността ще се прилага за говеда и биволи над 6-месечна възраст и животни от рода на овцете и козите.</w:t>
      </w:r>
      <w:r w:rsidR="00C625A8" w:rsidRPr="00581B3B">
        <w:rPr>
          <w:rFonts w:ascii="Times New Roman" w:hAnsi="Times New Roman"/>
          <w:sz w:val="24"/>
          <w:szCs w:val="24"/>
        </w:rPr>
        <w:t xml:space="preserve"> </w:t>
      </w:r>
      <w:r w:rsidRPr="00581B3B">
        <w:rPr>
          <w:rFonts w:ascii="Times New Roman" w:hAnsi="Times New Roman"/>
          <w:sz w:val="24"/>
          <w:szCs w:val="24"/>
        </w:rPr>
        <w:t>За заявените по дейността животни следва поне за 120 дни да се осигури свободно пашуване в периода между 15 март и 15 ноември, при спазване на гъстота на животинските единици на цялата пасищна площ на стопанството, на която се извършва пашата в периода на извършване на дейността, до не повече от 2 ЖЕ/хектар. На поне едно от всяко 50-то животно от заявените по дейността се поставя устройство позволяващо проследяване на движението му.</w:t>
      </w:r>
    </w:p>
    <w:p w:rsidR="00674C6E" w:rsidRPr="00581B3B" w:rsidRDefault="00452134" w:rsidP="00392D11">
      <w:pPr>
        <w:jc w:val="both"/>
        <w:rPr>
          <w:rFonts w:ascii="Times New Roman" w:hAnsi="Times New Roman"/>
          <w:sz w:val="24"/>
          <w:szCs w:val="24"/>
        </w:rPr>
      </w:pPr>
      <w:r w:rsidRPr="00581B3B">
        <w:rPr>
          <w:rFonts w:ascii="Times New Roman" w:hAnsi="Times New Roman"/>
          <w:sz w:val="24"/>
          <w:szCs w:val="24"/>
        </w:rPr>
        <w:t xml:space="preserve">Изискването за поставяне на устройства за всяко 50-то животно е заложено и в интервенцията „Традиционни практики за сезонна паша-пасторализъм“. Изискването цели опазването на биоразнообразието и осигуряване на ефективен контрол чрез постоянно наблюдение. </w:t>
      </w:r>
    </w:p>
    <w:p w:rsidR="00452134" w:rsidRPr="00581B3B" w:rsidRDefault="00C625A8" w:rsidP="00392D11">
      <w:pPr>
        <w:jc w:val="both"/>
        <w:rPr>
          <w:rFonts w:ascii="Times New Roman" w:hAnsi="Times New Roman"/>
          <w:sz w:val="24"/>
          <w:szCs w:val="24"/>
        </w:rPr>
      </w:pPr>
      <w:r w:rsidRPr="00581B3B">
        <w:rPr>
          <w:rFonts w:ascii="Times New Roman" w:hAnsi="Times New Roman"/>
          <w:sz w:val="24"/>
          <w:szCs w:val="24"/>
        </w:rPr>
        <w:t>Това е и с</w:t>
      </w:r>
      <w:r w:rsidR="00452134" w:rsidRPr="00581B3B">
        <w:rPr>
          <w:rFonts w:ascii="Times New Roman" w:hAnsi="Times New Roman"/>
          <w:sz w:val="24"/>
          <w:szCs w:val="24"/>
        </w:rPr>
        <w:t>мекчаваща мярка съгласно раздел 9.2. Мерки за изпълнение при прилагането на СПРЗСР от Доклад за екологична оценка. Прилагането й ще допринесе за по-ефективен мониторинг и подобряване състоянието и структурата на тревни и храстови местообитания</w:t>
      </w:r>
      <w:r w:rsidRPr="00581B3B">
        <w:rPr>
          <w:rFonts w:ascii="Times New Roman" w:hAnsi="Times New Roman"/>
          <w:sz w:val="24"/>
          <w:szCs w:val="24"/>
        </w:rPr>
        <w:t>;</w:t>
      </w:r>
      <w:r w:rsidR="00452134" w:rsidRPr="00581B3B">
        <w:rPr>
          <w:rFonts w:ascii="Times New Roman" w:hAnsi="Times New Roman"/>
          <w:sz w:val="24"/>
          <w:szCs w:val="24"/>
        </w:rPr>
        <w:t xml:space="preserve"> запазване на консервационно значими видове растения </w:t>
      </w:r>
      <w:r w:rsidR="00452134" w:rsidRPr="00581B3B">
        <w:rPr>
          <w:rFonts w:ascii="Times New Roman" w:hAnsi="Times New Roman"/>
          <w:sz w:val="24"/>
          <w:szCs w:val="24"/>
        </w:rPr>
        <w:lastRenderedPageBreak/>
        <w:t xml:space="preserve">чрез положително въздействие върху биоразнообразието. Устройствата за проследяване ще подобрят възможността за идентифициране в реално време и контрол на ефективното изпълнение на интервенциите за подпомагане на едри и дребни преживни животни (ЕПЖ и ДПЖ). </w:t>
      </w:r>
    </w:p>
    <w:p w:rsidR="00452134" w:rsidRPr="00581B3B" w:rsidRDefault="00452134" w:rsidP="00C625A8">
      <w:pPr>
        <w:jc w:val="both"/>
        <w:rPr>
          <w:rFonts w:ascii="Times New Roman" w:hAnsi="Times New Roman"/>
          <w:sz w:val="24"/>
          <w:szCs w:val="24"/>
          <w:u w:val="single"/>
        </w:rPr>
      </w:pPr>
      <w:r w:rsidRPr="00581B3B">
        <w:rPr>
          <w:rFonts w:ascii="Times New Roman" w:hAnsi="Times New Roman"/>
          <w:sz w:val="24"/>
          <w:szCs w:val="24"/>
          <w:u w:val="single"/>
        </w:rPr>
        <w:t>Необходим бюджет за осигуряване на устройства за проследяване на ЕПЖ и ДПЖ</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За целите на проучване на необходимия бюджет за осигуряване на устройства за проследяване на животни са взети предвид основни изисквания за здравина, тежест на устройството, ергономичност и водоустойчивост. Идентифицирани са различни устройства</w:t>
      </w:r>
      <w:r w:rsidR="00C625A8" w:rsidRPr="00581B3B">
        <w:rPr>
          <w:rFonts w:ascii="Times New Roman" w:hAnsi="Times New Roman"/>
          <w:sz w:val="24"/>
          <w:szCs w:val="24"/>
        </w:rPr>
        <w:t>,</w:t>
      </w:r>
      <w:r w:rsidRPr="00581B3B">
        <w:rPr>
          <w:rFonts w:ascii="Times New Roman" w:hAnsi="Times New Roman"/>
          <w:sz w:val="24"/>
          <w:szCs w:val="24"/>
        </w:rPr>
        <w:t xml:space="preserve"> предлагани на пазара, които предвиждат ши</w:t>
      </w:r>
      <w:r w:rsidR="00E12B00">
        <w:rPr>
          <w:rFonts w:ascii="Times New Roman" w:hAnsi="Times New Roman"/>
          <w:sz w:val="24"/>
          <w:szCs w:val="24"/>
        </w:rPr>
        <w:t xml:space="preserve">рок обхват от функционалности. </w:t>
      </w:r>
      <w:r w:rsidRPr="00581B3B">
        <w:rPr>
          <w:rFonts w:ascii="Times New Roman" w:hAnsi="Times New Roman"/>
          <w:sz w:val="24"/>
          <w:szCs w:val="24"/>
        </w:rPr>
        <w:t>За целите на планиране на необходимия бюджет УО идентифицира няколко базови функционалности – прос</w:t>
      </w:r>
      <w:r w:rsidR="00C625A8" w:rsidRPr="00581B3B">
        <w:rPr>
          <w:rFonts w:ascii="Times New Roman" w:hAnsi="Times New Roman"/>
          <w:sz w:val="24"/>
          <w:szCs w:val="24"/>
        </w:rPr>
        <w:t>л</w:t>
      </w:r>
      <w:r w:rsidRPr="00581B3B">
        <w:rPr>
          <w:rFonts w:ascii="Times New Roman" w:hAnsi="Times New Roman"/>
          <w:sz w:val="24"/>
          <w:szCs w:val="24"/>
        </w:rPr>
        <w:t xml:space="preserve">едяване на местоположение в реално време, движението (разстоянието), опции за известяване за напускане на животното на зададен периметър, известяване за сваляне на устройство (кражба на животното). Цената на устройство варира от 100 лв. до </w:t>
      </w:r>
      <w:r w:rsidR="00C625A8" w:rsidRPr="00581B3B">
        <w:rPr>
          <w:rFonts w:ascii="Times New Roman" w:hAnsi="Times New Roman"/>
          <w:sz w:val="24"/>
          <w:szCs w:val="24"/>
        </w:rPr>
        <w:t>1000</w:t>
      </w:r>
      <w:r w:rsidRPr="00581B3B">
        <w:rPr>
          <w:rFonts w:ascii="Times New Roman" w:hAnsi="Times New Roman"/>
          <w:sz w:val="24"/>
          <w:szCs w:val="24"/>
        </w:rPr>
        <w:t xml:space="preserve"> лв. в зависимост от типа устройство, обхватът на функционалности, батерията и технологията зад GPS връзката (Sim, WiFi и др.). За целите на проучването са взети предвид устройства, които предлагат размер на батерията, която осигурява непрекъснато функциониране между 120-240 дни. За целите на изчисленията, </w:t>
      </w:r>
      <w:r w:rsidR="00C625A8" w:rsidRPr="00581B3B">
        <w:rPr>
          <w:rFonts w:ascii="Times New Roman" w:hAnsi="Times New Roman"/>
          <w:sz w:val="24"/>
          <w:szCs w:val="24"/>
        </w:rPr>
        <w:t xml:space="preserve">от обхвата на извадката са </w:t>
      </w:r>
      <w:r w:rsidRPr="00581B3B">
        <w:rPr>
          <w:rFonts w:ascii="Times New Roman" w:hAnsi="Times New Roman"/>
          <w:sz w:val="24"/>
          <w:szCs w:val="24"/>
        </w:rPr>
        <w:t xml:space="preserve">изключени устройства, които изискват необходимост от често зареждане (няколко дни или седмици). </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lastRenderedPageBreak/>
        <w:t>В рамките на потенциално допустимите ЕПЖ и ДПЖ по интервенциите за подкрепа, свързани с екстензивно поддържане на паша или осигуряване на свободно отглеждане</w:t>
      </w:r>
      <w:r w:rsidR="00765C3D" w:rsidRPr="00581B3B">
        <w:rPr>
          <w:rFonts w:ascii="Times New Roman" w:hAnsi="Times New Roman"/>
          <w:sz w:val="24"/>
          <w:szCs w:val="24"/>
        </w:rPr>
        <w:t xml:space="preserve"> (1 300 000 бр. животни),</w:t>
      </w:r>
      <w:r w:rsidRPr="00581B3B">
        <w:rPr>
          <w:rFonts w:ascii="Times New Roman" w:hAnsi="Times New Roman"/>
          <w:sz w:val="24"/>
          <w:szCs w:val="24"/>
        </w:rPr>
        <w:t xml:space="preserve"> и изискването за наличие на устройство на всяко 50-то животно (26 000 бр. устройства), прогнозн</w:t>
      </w:r>
      <w:r w:rsidR="00765C3D" w:rsidRPr="00581B3B">
        <w:rPr>
          <w:rFonts w:ascii="Times New Roman" w:hAnsi="Times New Roman"/>
          <w:sz w:val="24"/>
          <w:szCs w:val="24"/>
        </w:rPr>
        <w:t>ият</w:t>
      </w:r>
      <w:r w:rsidRPr="00581B3B">
        <w:rPr>
          <w:rFonts w:ascii="Times New Roman" w:hAnsi="Times New Roman"/>
          <w:sz w:val="24"/>
          <w:szCs w:val="24"/>
        </w:rPr>
        <w:t xml:space="preserve"> размер на бюджета, необходим за осигуряване на устройства </w:t>
      </w:r>
      <w:r w:rsidR="00765C3D" w:rsidRPr="00581B3B">
        <w:rPr>
          <w:rFonts w:ascii="Times New Roman" w:hAnsi="Times New Roman"/>
          <w:sz w:val="24"/>
          <w:szCs w:val="24"/>
        </w:rPr>
        <w:t xml:space="preserve">ще бъде </w:t>
      </w:r>
      <w:r w:rsidRPr="00581B3B">
        <w:rPr>
          <w:rFonts w:ascii="Times New Roman" w:hAnsi="Times New Roman"/>
          <w:sz w:val="24"/>
          <w:szCs w:val="24"/>
        </w:rPr>
        <w:t xml:space="preserve">в размер </w:t>
      </w:r>
      <w:r w:rsidR="00765C3D" w:rsidRPr="00581B3B">
        <w:rPr>
          <w:rFonts w:ascii="Times New Roman" w:hAnsi="Times New Roman"/>
          <w:sz w:val="24"/>
          <w:szCs w:val="24"/>
        </w:rPr>
        <w:t>между 5 – 7 млн. евро.</w:t>
      </w:r>
      <w:r w:rsidRPr="00581B3B">
        <w:rPr>
          <w:rFonts w:ascii="Times New Roman" w:hAnsi="Times New Roman"/>
          <w:sz w:val="24"/>
          <w:szCs w:val="24"/>
        </w:rPr>
        <w:t xml:space="preserve"> </w:t>
      </w:r>
    </w:p>
    <w:p w:rsidR="00452134" w:rsidRPr="00581B3B" w:rsidRDefault="00452134" w:rsidP="00765C3D">
      <w:pPr>
        <w:jc w:val="both"/>
        <w:rPr>
          <w:rFonts w:ascii="Times New Roman" w:hAnsi="Times New Roman"/>
          <w:sz w:val="24"/>
          <w:szCs w:val="24"/>
          <w:u w:val="single"/>
        </w:rPr>
      </w:pPr>
      <w:r w:rsidRPr="00581B3B">
        <w:rPr>
          <w:rFonts w:ascii="Times New Roman" w:hAnsi="Times New Roman"/>
          <w:sz w:val="24"/>
          <w:szCs w:val="24"/>
          <w:u w:val="single"/>
        </w:rPr>
        <w:t>Технологична обезпеченост на функционалността</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За да функционира новия</w:t>
      </w:r>
      <w:r w:rsidR="00765C3D" w:rsidRPr="00581B3B">
        <w:rPr>
          <w:rFonts w:ascii="Times New Roman" w:hAnsi="Times New Roman"/>
          <w:sz w:val="24"/>
          <w:szCs w:val="24"/>
        </w:rPr>
        <w:t>т</w:t>
      </w:r>
      <w:r w:rsidRPr="00581B3B">
        <w:rPr>
          <w:rFonts w:ascii="Times New Roman" w:hAnsi="Times New Roman"/>
          <w:sz w:val="24"/>
          <w:szCs w:val="24"/>
        </w:rPr>
        <w:t xml:space="preserve"> модел за дигитализация и технологично развитие (New Delivery Model)</w:t>
      </w:r>
      <w:r w:rsidR="00765C3D" w:rsidRPr="00581B3B">
        <w:rPr>
          <w:rFonts w:ascii="Times New Roman" w:hAnsi="Times New Roman"/>
          <w:sz w:val="24"/>
          <w:szCs w:val="24"/>
        </w:rPr>
        <w:t>,</w:t>
      </w:r>
      <w:r w:rsidRPr="00581B3B">
        <w:rPr>
          <w:rFonts w:ascii="Times New Roman" w:hAnsi="Times New Roman"/>
          <w:sz w:val="24"/>
          <w:szCs w:val="24"/>
        </w:rPr>
        <w:t xml:space="preserve"> приложим за ОСП 2023+ и като се вземат предвид изискванията</w:t>
      </w:r>
      <w:r w:rsidR="00765C3D" w:rsidRPr="00581B3B">
        <w:rPr>
          <w:rFonts w:ascii="Times New Roman" w:hAnsi="Times New Roman"/>
          <w:sz w:val="24"/>
          <w:szCs w:val="24"/>
        </w:rPr>
        <w:t>,</w:t>
      </w:r>
      <w:r w:rsidRPr="00581B3B">
        <w:rPr>
          <w:rFonts w:ascii="Times New Roman" w:hAnsi="Times New Roman"/>
          <w:sz w:val="24"/>
          <w:szCs w:val="24"/>
        </w:rPr>
        <w:t xml:space="preserve"> наложени от европейското право, най-разумен подход за развитие на функционалността за мониторинг на </w:t>
      </w:r>
      <w:r w:rsidR="00C625A8" w:rsidRPr="00581B3B">
        <w:rPr>
          <w:rFonts w:ascii="Times New Roman" w:hAnsi="Times New Roman"/>
          <w:sz w:val="24"/>
          <w:szCs w:val="24"/>
        </w:rPr>
        <w:t>устройствата</w:t>
      </w:r>
      <w:r w:rsidRPr="00581B3B">
        <w:rPr>
          <w:rFonts w:ascii="Times New Roman" w:hAnsi="Times New Roman"/>
          <w:sz w:val="24"/>
          <w:szCs w:val="24"/>
        </w:rPr>
        <w:t xml:space="preserve"> за проследяване на животните е да се използва за основа Интегрираната система за администрация и контрол, като по този начин ще се гарантира и изискването на чл. 67 от Регламент (ЕС) 2021/2116 за записване и съхраняване на всички данни и документи относно крайните продукти, докладвани ежегодно в контекста на годишното уравняване с оглед на качеството на изпълнението, посочено в член 54, и отчетения напредък към постигането на целевите стойности, определени в стратегическия план по ОСП и предмет на мониторинг в съответствие с член 128 от Регламент (ЕС) 2021/2115. За целите на контрол на интервенции</w:t>
      </w:r>
      <w:r w:rsidR="00765C3D" w:rsidRPr="00581B3B">
        <w:rPr>
          <w:rFonts w:ascii="Times New Roman" w:hAnsi="Times New Roman"/>
          <w:sz w:val="24"/>
          <w:szCs w:val="24"/>
        </w:rPr>
        <w:t>,</w:t>
      </w:r>
      <w:r w:rsidRPr="00581B3B">
        <w:rPr>
          <w:rFonts w:ascii="Times New Roman" w:hAnsi="Times New Roman"/>
          <w:sz w:val="24"/>
          <w:szCs w:val="24"/>
        </w:rPr>
        <w:t xml:space="preserve"> за които се изисква поставяне на устройства за проследяване</w:t>
      </w:r>
      <w:r w:rsidR="00765C3D" w:rsidRPr="00581B3B">
        <w:rPr>
          <w:rFonts w:ascii="Times New Roman" w:hAnsi="Times New Roman"/>
          <w:sz w:val="24"/>
          <w:szCs w:val="24"/>
        </w:rPr>
        <w:t>,</w:t>
      </w:r>
      <w:r w:rsidRPr="00581B3B">
        <w:rPr>
          <w:rFonts w:ascii="Times New Roman" w:hAnsi="Times New Roman"/>
          <w:sz w:val="24"/>
          <w:szCs w:val="24"/>
        </w:rPr>
        <w:t xml:space="preserve"> ще бъде използвана Системата за електронни услуги на ДФ „Земеделие“, която дава достъп на общите потребители до данните в интегрираната система, при спазване на изискуемата защита на личните данни. Съгласно </w:t>
      </w:r>
      <w:r w:rsidRPr="00581B3B">
        <w:rPr>
          <w:rFonts w:ascii="Times New Roman" w:hAnsi="Times New Roman"/>
          <w:sz w:val="24"/>
          <w:szCs w:val="24"/>
        </w:rPr>
        <w:lastRenderedPageBreak/>
        <w:t xml:space="preserve">член 72 от Регламент (ЕС) 2021/2116 - Държавите членки, чрез разплащателните агенции или оправомощените от тях органи, извършват ежегодно административни проверки на заявленията за подпомагане и на исканията за плащане, за да проверят законосъобразността и редовността в съответствие с член 59, параграф 1, буква а) на същия регламент. Тези проверки се допълват от проверки на място, които могат да се извършват дистанционно с използването на технологии. </w:t>
      </w:r>
    </w:p>
    <w:p w:rsidR="00452134" w:rsidRPr="00581B3B" w:rsidRDefault="00452134" w:rsidP="00392D11">
      <w:pPr>
        <w:jc w:val="both"/>
        <w:rPr>
          <w:rFonts w:ascii="Times New Roman" w:hAnsi="Times New Roman"/>
          <w:sz w:val="24"/>
          <w:szCs w:val="24"/>
        </w:rPr>
      </w:pPr>
      <w:r w:rsidRPr="00581B3B">
        <w:rPr>
          <w:rFonts w:ascii="Times New Roman" w:hAnsi="Times New Roman"/>
          <w:sz w:val="24"/>
          <w:szCs w:val="24"/>
        </w:rPr>
        <w:t>В тази връзка се предвижда данните от устройства</w:t>
      </w:r>
      <w:r w:rsidR="00765C3D" w:rsidRPr="00581B3B">
        <w:rPr>
          <w:rFonts w:ascii="Times New Roman" w:hAnsi="Times New Roman"/>
          <w:sz w:val="24"/>
          <w:szCs w:val="24"/>
        </w:rPr>
        <w:t>та</w:t>
      </w:r>
      <w:r w:rsidRPr="00581B3B">
        <w:rPr>
          <w:rFonts w:ascii="Times New Roman" w:hAnsi="Times New Roman"/>
          <w:sz w:val="24"/>
          <w:szCs w:val="24"/>
        </w:rPr>
        <w:t xml:space="preserve"> за проследяване на животни да могат да бъдат използвани за целите на проверка на условията по интервенциите, свързани с екстензивно отглеждане на животни. Чрез онлайн проследяване в реално време ще се осигури прецизна информация за местоположението на устройството по всяко време на денонощието и осигури възможност за онлайн проследяване на неговото състояние (история на движението –предоставяне на почасов, ежедневен и седмичен отчет и предоставя информация за маршрут, скорост, пробег, място и продължителност на всеки престой).</w:t>
      </w:r>
    </w:p>
    <w:p w:rsidR="00765C3D" w:rsidRPr="00581B3B" w:rsidRDefault="00765C3D" w:rsidP="006129A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imes New Roman" w:hAnsi="Times New Roman"/>
          <w:sz w:val="24"/>
          <w:szCs w:val="24"/>
        </w:rPr>
      </w:pPr>
      <w:r w:rsidRPr="00581B3B">
        <w:rPr>
          <w:rFonts w:ascii="Times New Roman" w:hAnsi="Times New Roman"/>
          <w:b/>
          <w:sz w:val="24"/>
          <w:szCs w:val="24"/>
        </w:rPr>
        <w:t xml:space="preserve">Устройствата за проследяване на животните, обект на подпомагане ще бъдат закупени </w:t>
      </w:r>
      <w:r w:rsidR="00463E3B">
        <w:rPr>
          <w:rFonts w:ascii="Times New Roman" w:hAnsi="Times New Roman"/>
          <w:b/>
          <w:sz w:val="24"/>
          <w:szCs w:val="24"/>
        </w:rPr>
        <w:t xml:space="preserve">по реда и </w:t>
      </w:r>
      <w:r w:rsidRPr="00581B3B">
        <w:rPr>
          <w:rFonts w:ascii="Times New Roman" w:hAnsi="Times New Roman"/>
          <w:b/>
          <w:sz w:val="24"/>
          <w:szCs w:val="24"/>
        </w:rPr>
        <w:t xml:space="preserve">при спазването на всички изисквания на Закона за обществените поръчки. </w:t>
      </w:r>
    </w:p>
    <w:p w:rsidR="00E00D70" w:rsidRPr="00581B3B" w:rsidRDefault="00AF669A" w:rsidP="006129A2">
      <w:pPr>
        <w:pStyle w:val="Heading2"/>
      </w:pPr>
      <w:bookmarkStart w:id="34" w:name="_Toc130370337"/>
      <w:r w:rsidRPr="00581B3B">
        <w:lastRenderedPageBreak/>
        <w:t xml:space="preserve">Прехвърляне на средства между фокус области в </w:t>
      </w:r>
      <w:r w:rsidR="00E00D70" w:rsidRPr="00581B3B">
        <w:t xml:space="preserve">мярка 2, </w:t>
      </w:r>
      <w:r w:rsidRPr="00581B3B">
        <w:t>подмярка 4.1</w:t>
      </w:r>
      <w:r w:rsidR="00E00D70" w:rsidRPr="00581B3B">
        <w:t xml:space="preserve"> и подмярка 7.2</w:t>
      </w:r>
      <w:bookmarkEnd w:id="34"/>
    </w:p>
    <w:p w:rsidR="00E00D70" w:rsidRPr="00581B3B" w:rsidRDefault="006129A2" w:rsidP="00B35E6D">
      <w:pPr>
        <w:pStyle w:val="Heading2"/>
        <w:numPr>
          <w:ilvl w:val="0"/>
          <w:numId w:val="0"/>
        </w:numPr>
      </w:pPr>
      <w:bookmarkStart w:id="35" w:name="_Toc130370338"/>
      <w:r>
        <w:t>13</w:t>
      </w:r>
      <w:r w:rsidR="001D683F" w:rsidRPr="00581B3B">
        <w:t xml:space="preserve">.1. </w:t>
      </w:r>
      <w:r w:rsidR="00E00D70" w:rsidRPr="00581B3B">
        <w:t>Преразпределение на средствата по приоритети и фокус области в рамките на мярка 2 „Консултантски услуги, управление на стопанството и услуги по заместване в стопанството“ от ПРСР 2014-2020 г.</w:t>
      </w:r>
      <w:bookmarkEnd w:id="35"/>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 xml:space="preserve">По подмярка 2.2 „Създаване на консултантски услуги“ от мярка 2 „Консултантски услуги, управление на стопанството и услуги по заместване в стопанството“ е сключен договор за предоставяне на БФП на стойност 5 323 674 евро, който е в процес на изпълнение и въз основа на който са създадени и функционират 28 мобилни общински офиса на НССЗ. </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По подмярка 2.1.1 „Консултантски услуги за земеделски и горски стопани“ от мярка 2 „Консултантски услуги, управление на стопанството и услуги по заместване в стопанството“ са сключени три договора за предоставяне на консултантски пакет А2Б от съветнически организации на стойност 969 463 евро.</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Договорите за предоставяне на БФП са сключени по повод последния прием на проектни предложения по подмярка 6.1 „Стартова помощ за млади земеделски стопани“, който приключи на 31 януари 2023 г., по който съответните бенефициенти – съветнически организации изготвят безплатни проекти на кандидатите – млади фермери.</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lastRenderedPageBreak/>
        <w:t>По този начин, на практика е договорен финансов ресурс, който да обезпечи всички предвидени дейности в рамките на подмерки 2.1.1 „Консултантски услуги за земеделски и горски стопани“ и 2.2 „Създаване на консултантски услуги“ по ПРСР 2014-2020 г.</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 xml:space="preserve">От друга страна, в рамките на Тематичната подпрограма за малки земеделски стопани от ПРСР 2014-2020 г. към настоящия момент на малките земеделски стопанства са предоставени над 35 хил. консултантски пакети. </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 xml:space="preserve">Национална служба за съвети в земеделието продължава да съветва малките земеделски стопанства в страната, в т.ч. бенефициентите по подмярка 6.3 „Стартова помощ за </w:t>
      </w:r>
      <w:r w:rsidR="00095555" w:rsidRPr="00581B3B">
        <w:rPr>
          <w:rFonts w:ascii="Times New Roman" w:hAnsi="Times New Roman"/>
          <w:sz w:val="24"/>
          <w:szCs w:val="24"/>
        </w:rPr>
        <w:t>млади</w:t>
      </w:r>
      <w:r w:rsidRPr="00581B3B">
        <w:rPr>
          <w:rFonts w:ascii="Times New Roman" w:hAnsi="Times New Roman"/>
          <w:sz w:val="24"/>
          <w:szCs w:val="24"/>
        </w:rPr>
        <w:t xml:space="preserve"> земеделски стопани“ като се очаква до средата на 2024 г. да бъдат предоставени още 1 500 консултантски пакети, свързани основно с Приоритет 4 и Приоритет 5 от ПРСР 2014-2020 г. </w:t>
      </w:r>
    </w:p>
    <w:p w:rsidR="00E00D70" w:rsidRPr="00581B3B" w:rsidRDefault="00E00D70" w:rsidP="00392D11">
      <w:pPr>
        <w:jc w:val="both"/>
        <w:rPr>
          <w:rFonts w:ascii="Times New Roman" w:hAnsi="Times New Roman"/>
          <w:sz w:val="24"/>
          <w:szCs w:val="24"/>
        </w:rPr>
      </w:pPr>
      <w:r w:rsidRPr="00581B3B">
        <w:rPr>
          <w:rFonts w:ascii="Times New Roman" w:hAnsi="Times New Roman"/>
          <w:sz w:val="24"/>
          <w:szCs w:val="24"/>
        </w:rPr>
        <w:t>Поради тази причина, УО на ПРСР предлага да бъде извършено преразпределение на средствата в рамките на мярка 2 „Консултантски услуги, управление на стопанството и услуги по заместване в стопанството“ във връзка с тематиката на очакваните съвети (предоставени консултантски пакети) предвид интереса от страна на малките земеделски стопани, съобразно приложената по-долу таблица.</w:t>
      </w:r>
    </w:p>
    <w:p w:rsidR="00E00D70" w:rsidRPr="00581B3B" w:rsidRDefault="00E00D70" w:rsidP="00E00D70">
      <w:pPr>
        <w:ind w:firstLine="567"/>
        <w:jc w:val="both"/>
        <w:rPr>
          <w:rFonts w:ascii="Times New Roman" w:hAnsi="Times New Roman" w:cs="Times New Roman"/>
          <w:b/>
          <w:sz w:val="24"/>
          <w:szCs w:val="24"/>
        </w:rPr>
      </w:pPr>
      <w:r w:rsidRPr="00581B3B">
        <w:rPr>
          <w:rFonts w:ascii="Times New Roman" w:hAnsi="Times New Roman" w:cs="Times New Roman"/>
          <w:b/>
          <w:sz w:val="24"/>
          <w:szCs w:val="24"/>
        </w:rPr>
        <w:t xml:space="preserve">Таблица </w:t>
      </w:r>
      <w:r w:rsidR="005302EB" w:rsidRPr="00581B3B">
        <w:rPr>
          <w:rFonts w:ascii="Times New Roman" w:hAnsi="Times New Roman" w:cs="Times New Roman"/>
          <w:b/>
          <w:sz w:val="24"/>
          <w:szCs w:val="24"/>
        </w:rPr>
        <w:t>1</w:t>
      </w:r>
      <w:r w:rsidR="001F7A3D" w:rsidRPr="00581B3B">
        <w:rPr>
          <w:rFonts w:ascii="Times New Roman" w:hAnsi="Times New Roman" w:cs="Times New Roman"/>
          <w:b/>
          <w:sz w:val="24"/>
          <w:szCs w:val="24"/>
        </w:rPr>
        <w:t>0</w:t>
      </w:r>
      <w:r w:rsidRPr="00581B3B">
        <w:rPr>
          <w:rFonts w:ascii="Times New Roman" w:hAnsi="Times New Roman" w:cs="Times New Roman"/>
          <w:b/>
          <w:sz w:val="24"/>
          <w:szCs w:val="24"/>
        </w:rPr>
        <w:t>:</w:t>
      </w:r>
    </w:p>
    <w:p w:rsidR="00E00D70" w:rsidRPr="00581B3B" w:rsidRDefault="00E00D70" w:rsidP="00E00D70">
      <w:pPr>
        <w:jc w:val="both"/>
        <w:rPr>
          <w:rFonts w:ascii="Times New Roman" w:hAnsi="Times New Roman" w:cs="Times New Roman"/>
          <w:sz w:val="24"/>
          <w:szCs w:val="24"/>
        </w:rPr>
      </w:pPr>
      <w:r w:rsidRPr="00581B3B">
        <w:rPr>
          <w:noProof/>
          <w:lang w:val="en-US"/>
        </w:rPr>
        <w:lastRenderedPageBreak/>
        <w:drawing>
          <wp:inline distT="0" distB="0" distL="0" distR="0" wp14:anchorId="74D14867" wp14:editId="1BD38E2F">
            <wp:extent cx="5779135" cy="219046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8938" cy="2194182"/>
                    </a:xfrm>
                    <a:prstGeom prst="rect">
                      <a:avLst/>
                    </a:prstGeom>
                    <a:noFill/>
                    <a:ln>
                      <a:noFill/>
                    </a:ln>
                  </pic:spPr>
                </pic:pic>
              </a:graphicData>
            </a:graphic>
          </wp:inline>
        </w:drawing>
      </w:r>
    </w:p>
    <w:p w:rsidR="00E00D70" w:rsidRPr="00581B3B" w:rsidRDefault="006129A2" w:rsidP="00B35E6D">
      <w:pPr>
        <w:pStyle w:val="Heading2"/>
        <w:numPr>
          <w:ilvl w:val="0"/>
          <w:numId w:val="0"/>
        </w:numPr>
      </w:pPr>
      <w:bookmarkStart w:id="36" w:name="_Toc130370339"/>
      <w:r>
        <w:t>13</w:t>
      </w:r>
      <w:r w:rsidR="001D683F" w:rsidRPr="00581B3B">
        <w:t xml:space="preserve">.2. </w:t>
      </w:r>
      <w:r w:rsidR="00E00D70" w:rsidRPr="00581B3B">
        <w:t xml:space="preserve">Прехвърляне на средства между фокус области в подмярка 4.1, </w:t>
      </w:r>
      <w:r w:rsidR="00835ADC" w:rsidRPr="00581B3B">
        <w:t xml:space="preserve">вкл. </w:t>
      </w:r>
      <w:r w:rsidR="00E00D70" w:rsidRPr="00581B3B">
        <w:t>във връзка с договарянето на средствата по линия на ЕУРИ</w:t>
      </w:r>
      <w:bookmarkEnd w:id="36"/>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Прилагането на подмярката стартира през 2015 г., като </w:t>
      </w:r>
      <w:r w:rsidRPr="00581B3B">
        <w:rPr>
          <w:rFonts w:ascii="Times New Roman" w:hAnsi="Times New Roman"/>
          <w:b/>
          <w:sz w:val="24"/>
          <w:szCs w:val="24"/>
        </w:rPr>
        <w:t>първият период на прием</w:t>
      </w:r>
      <w:r w:rsidRPr="00581B3B">
        <w:rPr>
          <w:rFonts w:ascii="Times New Roman" w:hAnsi="Times New Roman"/>
          <w:sz w:val="24"/>
          <w:szCs w:val="24"/>
        </w:rPr>
        <w:t xml:space="preserve"> е определен още преди официалното одобрение на ПРСР 2014-2020.</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Приемът е проведен в периода от 14.04.2015 г. - 08.06.2015 г. с първоначален бюджет от 150 млн. евро</w:t>
      </w:r>
      <w:r w:rsidR="00265EC4" w:rsidRPr="00581B3B">
        <w:rPr>
          <w:rFonts w:ascii="Times New Roman" w:hAnsi="Times New Roman"/>
          <w:sz w:val="24"/>
          <w:szCs w:val="24"/>
        </w:rPr>
        <w:t>.</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В рамките на приема са постъпили </w:t>
      </w:r>
      <w:r w:rsidR="00102A65" w:rsidRPr="00581B3B">
        <w:rPr>
          <w:rFonts w:ascii="Times New Roman" w:hAnsi="Times New Roman"/>
          <w:sz w:val="24"/>
          <w:szCs w:val="24"/>
        </w:rPr>
        <w:t xml:space="preserve">над </w:t>
      </w:r>
      <w:r w:rsidRPr="00581B3B">
        <w:rPr>
          <w:rFonts w:ascii="Times New Roman" w:hAnsi="Times New Roman"/>
          <w:sz w:val="24"/>
          <w:szCs w:val="24"/>
        </w:rPr>
        <w:t>3 3</w:t>
      </w:r>
      <w:r w:rsidR="00102A65" w:rsidRPr="00581B3B">
        <w:rPr>
          <w:rFonts w:ascii="Times New Roman" w:hAnsi="Times New Roman"/>
          <w:sz w:val="24"/>
          <w:szCs w:val="24"/>
        </w:rPr>
        <w:t>00</w:t>
      </w:r>
      <w:r w:rsidRPr="00581B3B">
        <w:rPr>
          <w:rFonts w:ascii="Times New Roman" w:hAnsi="Times New Roman"/>
          <w:sz w:val="24"/>
          <w:szCs w:val="24"/>
        </w:rPr>
        <w:t xml:space="preserve"> заявления за подпомагане с размер на заявените публични средства (финансова помощ) 630,19 млн. евро. Тези данни показват </w:t>
      </w:r>
      <w:r w:rsidRPr="00581B3B">
        <w:rPr>
          <w:rFonts w:ascii="Times New Roman" w:hAnsi="Times New Roman"/>
          <w:b/>
          <w:sz w:val="24"/>
          <w:szCs w:val="24"/>
        </w:rPr>
        <w:t>силен интерес от страна на кандидатите - 4 пъти по–висок</w:t>
      </w:r>
      <w:r w:rsidRPr="00581B3B">
        <w:rPr>
          <w:rFonts w:ascii="Times New Roman" w:hAnsi="Times New Roman"/>
          <w:sz w:val="24"/>
          <w:szCs w:val="24"/>
        </w:rPr>
        <w:t xml:space="preserve"> от определения за приема бюджет. Подобни данни на заявен свръх-интерес към възможностите за подпомагане се наблюдава и по други мерки от ПРСР2014-2020.</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За приема са издадени две допълнителни заповеди за увеличаване на първоначално определения бюджет. Първата заповед е издадена през май 2016 г. и има за цел да осигури допълнително финансиране в размер на 14,85 млн. евро за проектните предложения, получили не по-малко от 39 точки по критериите за подбор. С </w:t>
      </w:r>
      <w:r w:rsidRPr="00581B3B">
        <w:rPr>
          <w:rFonts w:ascii="Times New Roman" w:hAnsi="Times New Roman"/>
          <w:sz w:val="24"/>
          <w:szCs w:val="24"/>
        </w:rPr>
        <w:lastRenderedPageBreak/>
        <w:t xml:space="preserve">втората заповед, издадена през октомври 2016 г., се включват допълнителни 49,46 млн. евро към вече увеличения бюджет. </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През 2016 г. е определен </w:t>
      </w:r>
      <w:r w:rsidRPr="00581B3B">
        <w:rPr>
          <w:rFonts w:ascii="Times New Roman" w:hAnsi="Times New Roman"/>
          <w:b/>
          <w:sz w:val="24"/>
          <w:szCs w:val="24"/>
        </w:rPr>
        <w:t>втори период на прием</w:t>
      </w:r>
      <w:r w:rsidRPr="00581B3B">
        <w:rPr>
          <w:rFonts w:ascii="Times New Roman" w:hAnsi="Times New Roman"/>
          <w:sz w:val="24"/>
          <w:szCs w:val="24"/>
        </w:rPr>
        <w:t xml:space="preserve"> 14.10.2016 г. – 07.12.2016 г. по подмярка 4.1, като част от условията по подмярката са променени на база изготвен анализ на резултатите от предходния прием. Като най-съществени промени за втория прием, спрямо този през 2015 г., могат да бъдат посочени намаляването на максималния размер на разходите за едно проектно предложение, промяна в предоставяния интензитет на финансова помощ, прецизиране и добавяне на нови критерии за оценка, както и включване на инвестициите за напояване в рамките на земеделските стопанства.</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Подадените през 2016 г. заявления са </w:t>
      </w:r>
      <w:r w:rsidR="00102A65" w:rsidRPr="00581B3B">
        <w:rPr>
          <w:rFonts w:ascii="Times New Roman" w:hAnsi="Times New Roman"/>
          <w:sz w:val="24"/>
          <w:szCs w:val="24"/>
        </w:rPr>
        <w:t>над</w:t>
      </w:r>
      <w:r w:rsidRPr="00581B3B">
        <w:rPr>
          <w:rFonts w:ascii="Times New Roman" w:hAnsi="Times New Roman"/>
          <w:sz w:val="24"/>
          <w:szCs w:val="24"/>
        </w:rPr>
        <w:t xml:space="preserve"> 2</w:t>
      </w:r>
      <w:r w:rsidR="00102A65" w:rsidRPr="00581B3B">
        <w:rPr>
          <w:rFonts w:ascii="Times New Roman" w:hAnsi="Times New Roman"/>
          <w:sz w:val="24"/>
          <w:szCs w:val="24"/>
        </w:rPr>
        <w:t> </w:t>
      </w:r>
      <w:r w:rsidRPr="00581B3B">
        <w:rPr>
          <w:rFonts w:ascii="Times New Roman" w:hAnsi="Times New Roman"/>
          <w:sz w:val="24"/>
          <w:szCs w:val="24"/>
        </w:rPr>
        <w:t>9</w:t>
      </w:r>
      <w:r w:rsidR="00102A65" w:rsidRPr="00581B3B">
        <w:rPr>
          <w:rFonts w:ascii="Times New Roman" w:hAnsi="Times New Roman"/>
          <w:sz w:val="24"/>
          <w:szCs w:val="24"/>
        </w:rPr>
        <w:t>00,</w:t>
      </w:r>
      <w:r w:rsidRPr="00581B3B">
        <w:rPr>
          <w:rFonts w:ascii="Times New Roman" w:hAnsi="Times New Roman"/>
          <w:sz w:val="24"/>
          <w:szCs w:val="24"/>
        </w:rPr>
        <w:t xml:space="preserve"> с размер на заявената публична помощ от 717,6 млн. евро при разполагаем бюджет за приема от 237 млн. евро., което отново </w:t>
      </w:r>
      <w:r w:rsidRPr="00581B3B">
        <w:rPr>
          <w:rFonts w:ascii="Times New Roman" w:hAnsi="Times New Roman"/>
          <w:b/>
          <w:sz w:val="24"/>
          <w:szCs w:val="24"/>
        </w:rPr>
        <w:t>показва тенденция от три пъти по–висок интерес</w:t>
      </w:r>
      <w:r w:rsidRPr="00581B3B">
        <w:rPr>
          <w:rFonts w:ascii="Times New Roman" w:hAnsi="Times New Roman"/>
          <w:sz w:val="24"/>
          <w:szCs w:val="24"/>
        </w:rPr>
        <w:t xml:space="preserve"> спрямо определения бюджет за приема.</w:t>
      </w:r>
    </w:p>
    <w:p w:rsidR="00686077" w:rsidRPr="00581B3B" w:rsidRDefault="00686077" w:rsidP="00392D11">
      <w:pPr>
        <w:jc w:val="both"/>
        <w:rPr>
          <w:rFonts w:ascii="Times New Roman" w:hAnsi="Times New Roman"/>
          <w:sz w:val="24"/>
          <w:szCs w:val="24"/>
        </w:rPr>
      </w:pPr>
      <w:r w:rsidRPr="00581B3B">
        <w:rPr>
          <w:rFonts w:ascii="Times New Roman" w:hAnsi="Times New Roman"/>
          <w:sz w:val="24"/>
          <w:szCs w:val="24"/>
        </w:rPr>
        <w:t xml:space="preserve">През 2020 г. по електронен път чрез системата „ИСУН 2020“ е осъществен </w:t>
      </w:r>
      <w:r w:rsidRPr="00581B3B">
        <w:rPr>
          <w:rFonts w:ascii="Times New Roman" w:hAnsi="Times New Roman"/>
          <w:b/>
          <w:sz w:val="24"/>
          <w:szCs w:val="24"/>
        </w:rPr>
        <w:t xml:space="preserve">трети </w:t>
      </w:r>
      <w:r w:rsidR="00265EC4" w:rsidRPr="00581B3B">
        <w:rPr>
          <w:rFonts w:ascii="Times New Roman" w:hAnsi="Times New Roman"/>
          <w:b/>
          <w:sz w:val="24"/>
          <w:szCs w:val="24"/>
        </w:rPr>
        <w:t xml:space="preserve">период на </w:t>
      </w:r>
      <w:r w:rsidRPr="00581B3B">
        <w:rPr>
          <w:rFonts w:ascii="Times New Roman" w:hAnsi="Times New Roman"/>
          <w:b/>
          <w:sz w:val="24"/>
          <w:szCs w:val="24"/>
        </w:rPr>
        <w:t>прием,</w:t>
      </w:r>
      <w:r w:rsidRPr="00581B3B">
        <w:rPr>
          <w:rFonts w:ascii="Times New Roman" w:hAnsi="Times New Roman"/>
          <w:sz w:val="24"/>
          <w:szCs w:val="24"/>
        </w:rPr>
        <w:t xml:space="preserve"> който е целеви за земеделски стопани в сектор „Животновъдство“ по подмярка 4.1 „Инвестиции в земеделски стопанства“. В рамките на приема, който приключва на 30.09.2020 г., по данни от ИСУН 2020, са постъпили 689 проектни предложения със заявен размер на безвъзмездна финансова помощ, възлизащ на 75,53 млн. евро, като общият размер на безвъзмездната финансова помощ определен за третия прием възлиза на 30,00 млн. евро общо публични разходи. </w:t>
      </w:r>
    </w:p>
    <w:p w:rsidR="00F2783A" w:rsidRPr="00581B3B" w:rsidRDefault="00F2783A" w:rsidP="00392D11">
      <w:pPr>
        <w:jc w:val="both"/>
        <w:rPr>
          <w:rFonts w:ascii="Times New Roman" w:hAnsi="Times New Roman"/>
          <w:b/>
          <w:sz w:val="24"/>
          <w:szCs w:val="24"/>
        </w:rPr>
      </w:pPr>
      <w:r w:rsidRPr="00581B3B">
        <w:rPr>
          <w:rFonts w:ascii="Times New Roman" w:hAnsi="Times New Roman"/>
          <w:b/>
          <w:sz w:val="24"/>
          <w:szCs w:val="24"/>
        </w:rPr>
        <w:lastRenderedPageBreak/>
        <w:t>Промяната във финансовия план на ПРСР 2014-2020 г., във връзка с приемането на Регламент (ЕС) 2020/2220 на Европейския парламент и на Съвета от 23 декември 2020 година е извършена с единадесето изменение на ПРСР 2014-2020 – одобрено с Решение за изпълнение на комисията C(2021) 8541 от 19.11.2021 година.</w:t>
      </w:r>
    </w:p>
    <w:p w:rsidR="00CB5A2F" w:rsidRPr="00581B3B" w:rsidRDefault="00CB5A2F" w:rsidP="00392D11">
      <w:pPr>
        <w:jc w:val="both"/>
        <w:rPr>
          <w:rFonts w:ascii="Times New Roman" w:hAnsi="Times New Roman"/>
          <w:sz w:val="24"/>
          <w:szCs w:val="24"/>
        </w:rPr>
      </w:pPr>
      <w:r w:rsidRPr="00581B3B">
        <w:rPr>
          <w:rFonts w:ascii="Times New Roman" w:hAnsi="Times New Roman"/>
          <w:sz w:val="24"/>
          <w:szCs w:val="24"/>
        </w:rPr>
        <w:t>В съответствие с Регламент (ЕС) 2020/2094 на Съвета от 14 декември 2020 година за създаване на Инструмент на Европейския съюз за възстановяване с цел подкрепа на възстановяването след кризата с COVID-19, са предоставени и допълнителни средства за 2021 г. и 2022 г. за справяне с последиците от пандемията за селскостопанския сектор и селските райони на Съюза, като за Република България тази сума възлиза на общо 201 936 861 евро от ЕЗФРСР. Предвижда се финансирането от страна на Европейския съюз да бъде 100% за операции, получаващи финансиране от допълнителни ресурси.</w:t>
      </w:r>
    </w:p>
    <w:p w:rsidR="00CB5A2F" w:rsidRPr="00581B3B" w:rsidRDefault="00CB5A2F" w:rsidP="00392D11">
      <w:pPr>
        <w:jc w:val="both"/>
        <w:rPr>
          <w:rFonts w:ascii="Times New Roman" w:hAnsi="Times New Roman"/>
          <w:sz w:val="24"/>
          <w:szCs w:val="24"/>
        </w:rPr>
      </w:pPr>
      <w:r w:rsidRPr="00581B3B">
        <w:rPr>
          <w:rFonts w:ascii="Times New Roman" w:hAnsi="Times New Roman"/>
          <w:sz w:val="24"/>
          <w:szCs w:val="24"/>
        </w:rPr>
        <w:t>Преходният регламент не предвижда предоставяне на финансова помощ по всички мерки, определени в Регламент (ЕС) № 1305/2013, а само за част от тях и при изпълнението на определени параметри. Най-малко 55% от допълнителните ресурси следва да бъдат запазени за тези мерки, при условие че целевото използване на средствата в ПРСР 2012-2020 г. насърчава икономическото и социалното развитие в селските райони и допринасят за устойчиво, и цифрово икономическо възстановяване в съответствие, с целите на агроекологията и климата и по-специално: ефективно използване на ресурсите, включително прецизно и интелигентно земеде</w:t>
      </w:r>
      <w:r w:rsidRPr="00581B3B">
        <w:rPr>
          <w:rFonts w:ascii="Times New Roman" w:hAnsi="Times New Roman"/>
          <w:sz w:val="24"/>
          <w:szCs w:val="24"/>
        </w:rPr>
        <w:lastRenderedPageBreak/>
        <w:t>лие, иновации, цифровизация и модернизация на производствените машини и оборудване, условия за безопасност при работа, възобновяема енергия, кръгова и биоикономика, достъп до висококачествени информационни и комуникационни технологии (ИКТ) в селските райони, къси вериги на доставки и местни пазари.</w:t>
      </w:r>
    </w:p>
    <w:p w:rsidR="00686077" w:rsidRPr="00581B3B" w:rsidRDefault="00CB5A2F" w:rsidP="00392D11">
      <w:pPr>
        <w:jc w:val="both"/>
        <w:rPr>
          <w:rFonts w:ascii="Times New Roman" w:hAnsi="Times New Roman"/>
          <w:sz w:val="24"/>
          <w:szCs w:val="24"/>
        </w:rPr>
      </w:pPr>
      <w:r w:rsidRPr="00581B3B">
        <w:rPr>
          <w:rFonts w:ascii="Times New Roman" w:hAnsi="Times New Roman"/>
          <w:sz w:val="24"/>
          <w:szCs w:val="24"/>
        </w:rPr>
        <w:t>От друга страна, за да се постигне по-високата екологична амбиция е заложено най-малко 37% от средствата да бъдат запазени за екологично насочените мерки. Това включва мерките, описани в Регламент (ЕС) № 1305/2013, както и инвестициите за околна среда и климат, включени в чл. 17, също и мерките по подхода ЛИДЕР, и по-специално: биологично земеделие, смекчаване и адаптиране към изменението на климата, включително намаляване на емисиите на парникови газове от селското стопанство, опазване на почвата, включително повишаване на плодородието на почвата чрез улавяне на въглерод, подобряване на използването и управлението на водата, включително икономия на вода, създаване, опазване и възстановяване на местообитания, благоприятни за биоразнообразието, намаляване на рисковете и въздействието на употребата на пестициди и антимикробни средства, хуманно отношение към животните и дейности за сътрудничество по подхода ЛИДЕР.</w:t>
      </w:r>
    </w:p>
    <w:p w:rsidR="00F2783A" w:rsidRPr="00581B3B" w:rsidRDefault="00F2783A" w:rsidP="00392D11">
      <w:pPr>
        <w:jc w:val="both"/>
        <w:rPr>
          <w:rFonts w:ascii="Times New Roman" w:hAnsi="Times New Roman"/>
          <w:sz w:val="24"/>
          <w:szCs w:val="24"/>
        </w:rPr>
      </w:pPr>
      <w:r w:rsidRPr="00581B3B">
        <w:rPr>
          <w:rFonts w:ascii="Times New Roman" w:hAnsi="Times New Roman"/>
          <w:sz w:val="24"/>
          <w:szCs w:val="24"/>
        </w:rPr>
        <w:t>От средствата в размер на 201 936 861 евро по линия на Инструмента на Европейския съюз за възстановяване (European Union Recovery Instrument – EURI), са прехвърлени общо 149 336 861 към Мярка 4, от които индикативно 66 720 000 евро по подмярка 4.1 „Инвестиции в земеделски стопанства“ и 82 616 861 евро подмярка 4.2 „Инвестиции в преработка/маркетинг на селскостопански продукти“</w:t>
      </w:r>
      <w:r w:rsidR="00BE3DF4">
        <w:rPr>
          <w:rFonts w:ascii="Times New Roman" w:hAnsi="Times New Roman"/>
          <w:sz w:val="24"/>
          <w:szCs w:val="24"/>
        </w:rPr>
        <w:t>.</w:t>
      </w:r>
    </w:p>
    <w:p w:rsidR="00E21634" w:rsidRPr="00581B3B" w:rsidRDefault="00E21634" w:rsidP="00F2783A">
      <w:pPr>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Разпределението </w:t>
      </w:r>
      <w:r w:rsidR="00835ADC" w:rsidRPr="00581B3B">
        <w:rPr>
          <w:rFonts w:ascii="Times New Roman" w:hAnsi="Times New Roman" w:cs="Times New Roman"/>
          <w:sz w:val="24"/>
          <w:szCs w:val="24"/>
        </w:rPr>
        <w:t xml:space="preserve">на средствата от EURI </w:t>
      </w:r>
      <w:r w:rsidRPr="00581B3B">
        <w:rPr>
          <w:rFonts w:ascii="Times New Roman" w:hAnsi="Times New Roman" w:cs="Times New Roman"/>
          <w:sz w:val="24"/>
          <w:szCs w:val="24"/>
        </w:rPr>
        <w:t>по фокус области за Мярка 4, одобрено с одобрението на Единадесето изменение на ПРСР 2014-2020 е както следва:</w:t>
      </w:r>
    </w:p>
    <w:p w:rsidR="00E21634" w:rsidRPr="00581B3B" w:rsidRDefault="00E21634" w:rsidP="001F7A3D">
      <w:pPr>
        <w:ind w:firstLine="708"/>
        <w:rPr>
          <w:rFonts w:ascii="Times New Roman" w:hAnsi="Times New Roman" w:cs="Times New Roman"/>
          <w:sz w:val="24"/>
          <w:szCs w:val="24"/>
        </w:rPr>
      </w:pPr>
      <w:r w:rsidRPr="00581B3B">
        <w:rPr>
          <w:rFonts w:ascii="Times New Roman" w:hAnsi="Times New Roman" w:cs="Times New Roman"/>
          <w:b/>
          <w:sz w:val="24"/>
          <w:szCs w:val="24"/>
        </w:rPr>
        <w:t xml:space="preserve">Таблица </w:t>
      </w:r>
      <w:r w:rsidR="0008374B" w:rsidRPr="00581B3B">
        <w:rPr>
          <w:rFonts w:ascii="Times New Roman" w:hAnsi="Times New Roman" w:cs="Times New Roman"/>
          <w:b/>
          <w:sz w:val="24"/>
          <w:szCs w:val="24"/>
        </w:rPr>
        <w:t>1</w:t>
      </w:r>
      <w:r w:rsidR="001F7A3D" w:rsidRPr="00581B3B">
        <w:rPr>
          <w:rFonts w:ascii="Times New Roman" w:hAnsi="Times New Roman" w:cs="Times New Roman"/>
          <w:b/>
          <w:sz w:val="24"/>
          <w:szCs w:val="24"/>
        </w:rPr>
        <w:t>1</w:t>
      </w:r>
      <w:r w:rsidRPr="00581B3B">
        <w:rPr>
          <w:rFonts w:ascii="Times New Roman" w:hAnsi="Times New Roman" w:cs="Times New Roman"/>
          <w:sz w:val="24"/>
          <w:szCs w:val="24"/>
        </w:rPr>
        <w:t>, в евро, средства от ЕЗФРСР:</w:t>
      </w:r>
    </w:p>
    <w:tbl>
      <w:tblPr>
        <w:tblW w:w="5000" w:type="pct"/>
        <w:tblCellMar>
          <w:left w:w="70" w:type="dxa"/>
          <w:right w:w="70" w:type="dxa"/>
        </w:tblCellMar>
        <w:tblLook w:val="04A0" w:firstRow="1" w:lastRow="0" w:firstColumn="1" w:lastColumn="0" w:noHBand="0" w:noVBand="1"/>
      </w:tblPr>
      <w:tblGrid>
        <w:gridCol w:w="1307"/>
        <w:gridCol w:w="1551"/>
        <w:gridCol w:w="1258"/>
        <w:gridCol w:w="1258"/>
        <w:gridCol w:w="1323"/>
        <w:gridCol w:w="1258"/>
        <w:gridCol w:w="1257"/>
      </w:tblGrid>
      <w:tr w:rsidR="00E21634" w:rsidRPr="00581B3B" w:rsidTr="00885A92">
        <w:trPr>
          <w:trHeight w:val="300"/>
        </w:trPr>
        <w:tc>
          <w:tcPr>
            <w:tcW w:w="709" w:type="pct"/>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Подмярка</w:t>
            </w:r>
          </w:p>
        </w:tc>
        <w:tc>
          <w:tcPr>
            <w:tcW w:w="842"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Средства/ФО</w:t>
            </w:r>
          </w:p>
        </w:tc>
        <w:tc>
          <w:tcPr>
            <w:tcW w:w="683"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center"/>
              <w:rPr>
                <w:rFonts w:ascii="Times New Roman" w:hAnsi="Times New Roman" w:cs="Times New Roman"/>
                <w:sz w:val="20"/>
                <w:szCs w:val="20"/>
              </w:rPr>
            </w:pPr>
            <w:r w:rsidRPr="00581B3B">
              <w:rPr>
                <w:rFonts w:ascii="Times New Roman" w:hAnsi="Times New Roman" w:cs="Times New Roman"/>
                <w:sz w:val="20"/>
                <w:szCs w:val="20"/>
              </w:rPr>
              <w:t>3А</w:t>
            </w:r>
          </w:p>
        </w:tc>
        <w:tc>
          <w:tcPr>
            <w:tcW w:w="683"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center"/>
              <w:rPr>
                <w:rFonts w:ascii="Times New Roman" w:hAnsi="Times New Roman" w:cs="Times New Roman"/>
                <w:sz w:val="20"/>
                <w:szCs w:val="20"/>
              </w:rPr>
            </w:pPr>
            <w:r w:rsidRPr="00581B3B">
              <w:rPr>
                <w:rFonts w:ascii="Times New Roman" w:hAnsi="Times New Roman" w:cs="Times New Roman"/>
                <w:sz w:val="20"/>
                <w:szCs w:val="20"/>
              </w:rPr>
              <w:t>П4 А, Б, В</w:t>
            </w:r>
          </w:p>
        </w:tc>
        <w:tc>
          <w:tcPr>
            <w:tcW w:w="718"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center"/>
              <w:rPr>
                <w:rFonts w:ascii="Times New Roman" w:hAnsi="Times New Roman" w:cs="Times New Roman"/>
                <w:sz w:val="20"/>
                <w:szCs w:val="20"/>
              </w:rPr>
            </w:pPr>
            <w:r w:rsidRPr="00581B3B">
              <w:rPr>
                <w:rFonts w:ascii="Times New Roman" w:hAnsi="Times New Roman" w:cs="Times New Roman"/>
                <w:sz w:val="20"/>
                <w:szCs w:val="20"/>
              </w:rPr>
              <w:t>5А</w:t>
            </w:r>
          </w:p>
        </w:tc>
        <w:tc>
          <w:tcPr>
            <w:tcW w:w="683"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center"/>
              <w:rPr>
                <w:rFonts w:ascii="Times New Roman" w:hAnsi="Times New Roman" w:cs="Times New Roman"/>
                <w:sz w:val="20"/>
                <w:szCs w:val="20"/>
              </w:rPr>
            </w:pPr>
            <w:r w:rsidRPr="00581B3B">
              <w:rPr>
                <w:rFonts w:ascii="Times New Roman" w:hAnsi="Times New Roman" w:cs="Times New Roman"/>
                <w:sz w:val="20"/>
                <w:szCs w:val="20"/>
              </w:rPr>
              <w:t>5Б</w:t>
            </w:r>
          </w:p>
        </w:tc>
        <w:tc>
          <w:tcPr>
            <w:tcW w:w="683" w:type="pct"/>
            <w:tcBorders>
              <w:top w:val="single" w:sz="4" w:space="0" w:color="auto"/>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center"/>
              <w:rPr>
                <w:rFonts w:ascii="Times New Roman" w:hAnsi="Times New Roman" w:cs="Times New Roman"/>
                <w:sz w:val="20"/>
                <w:szCs w:val="20"/>
              </w:rPr>
            </w:pPr>
            <w:r w:rsidRPr="00581B3B">
              <w:rPr>
                <w:rFonts w:ascii="Times New Roman" w:hAnsi="Times New Roman" w:cs="Times New Roman"/>
                <w:sz w:val="20"/>
                <w:szCs w:val="20"/>
              </w:rPr>
              <w:t>5В</w:t>
            </w:r>
          </w:p>
        </w:tc>
      </w:tr>
      <w:tr w:rsidR="00E21634" w:rsidRPr="00581B3B" w:rsidTr="00885A92">
        <w:trPr>
          <w:trHeight w:val="300"/>
        </w:trPr>
        <w:tc>
          <w:tcPr>
            <w:tcW w:w="709" w:type="pct"/>
            <w:tcBorders>
              <w:top w:val="nil"/>
              <w:left w:val="single" w:sz="4" w:space="0" w:color="auto"/>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M4.1 ЕURI</w:t>
            </w:r>
          </w:p>
        </w:tc>
        <w:tc>
          <w:tcPr>
            <w:tcW w:w="842" w:type="pct"/>
            <w:tcBorders>
              <w:top w:val="nil"/>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66 720 000</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 </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19 734 231</w:t>
            </w:r>
          </w:p>
        </w:tc>
        <w:tc>
          <w:tcPr>
            <w:tcW w:w="718"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10 000 000</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36 985 769</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 </w:t>
            </w:r>
          </w:p>
        </w:tc>
      </w:tr>
      <w:tr w:rsidR="00E21634" w:rsidRPr="00581B3B" w:rsidTr="00885A92">
        <w:trPr>
          <w:trHeight w:val="300"/>
        </w:trPr>
        <w:tc>
          <w:tcPr>
            <w:tcW w:w="709" w:type="pct"/>
            <w:tcBorders>
              <w:top w:val="nil"/>
              <w:left w:val="single" w:sz="4" w:space="0" w:color="auto"/>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M4.2 EURI</w:t>
            </w:r>
          </w:p>
        </w:tc>
        <w:tc>
          <w:tcPr>
            <w:tcW w:w="842" w:type="pct"/>
            <w:tcBorders>
              <w:top w:val="nil"/>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82 616 861</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72 616 861</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 </w:t>
            </w:r>
          </w:p>
        </w:tc>
        <w:tc>
          <w:tcPr>
            <w:tcW w:w="718"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 </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rPr>
                <w:rFonts w:ascii="Times New Roman" w:hAnsi="Times New Roman" w:cs="Times New Roman"/>
                <w:sz w:val="20"/>
                <w:szCs w:val="20"/>
              </w:rPr>
            </w:pPr>
            <w:r w:rsidRPr="00581B3B">
              <w:rPr>
                <w:rFonts w:ascii="Times New Roman" w:hAnsi="Times New Roman" w:cs="Times New Roman"/>
                <w:sz w:val="20"/>
                <w:szCs w:val="20"/>
              </w:rPr>
              <w:t> </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sz w:val="20"/>
                <w:szCs w:val="20"/>
              </w:rPr>
            </w:pPr>
            <w:r w:rsidRPr="00581B3B">
              <w:rPr>
                <w:rFonts w:ascii="Times New Roman" w:hAnsi="Times New Roman" w:cs="Times New Roman"/>
                <w:sz w:val="20"/>
                <w:szCs w:val="20"/>
              </w:rPr>
              <w:t>10 000 000</w:t>
            </w:r>
          </w:p>
        </w:tc>
      </w:tr>
      <w:tr w:rsidR="00E21634" w:rsidRPr="00581B3B" w:rsidTr="00885A92">
        <w:trPr>
          <w:trHeight w:val="300"/>
        </w:trPr>
        <w:tc>
          <w:tcPr>
            <w:tcW w:w="709" w:type="pct"/>
            <w:tcBorders>
              <w:top w:val="nil"/>
              <w:left w:val="single" w:sz="4" w:space="0" w:color="auto"/>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rPr>
                <w:rFonts w:ascii="Times New Roman" w:hAnsi="Times New Roman" w:cs="Times New Roman"/>
                <w:b/>
                <w:sz w:val="20"/>
                <w:szCs w:val="20"/>
              </w:rPr>
            </w:pPr>
            <w:r w:rsidRPr="00581B3B">
              <w:rPr>
                <w:rFonts w:ascii="Times New Roman" w:hAnsi="Times New Roman" w:cs="Times New Roman"/>
                <w:b/>
                <w:sz w:val="20"/>
                <w:szCs w:val="20"/>
              </w:rPr>
              <w:t>Oбщо</w:t>
            </w:r>
          </w:p>
        </w:tc>
        <w:tc>
          <w:tcPr>
            <w:tcW w:w="842" w:type="pct"/>
            <w:tcBorders>
              <w:top w:val="nil"/>
              <w:left w:val="nil"/>
              <w:bottom w:val="single" w:sz="4" w:space="0" w:color="auto"/>
              <w:right w:val="single" w:sz="4" w:space="0" w:color="auto"/>
            </w:tcBorders>
            <w:shd w:val="clear" w:color="000000" w:fill="EBF1DE"/>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149 336 861</w:t>
            </w:r>
          </w:p>
        </w:tc>
        <w:tc>
          <w:tcPr>
            <w:tcW w:w="683" w:type="pct"/>
            <w:tcBorders>
              <w:top w:val="nil"/>
              <w:left w:val="single" w:sz="4" w:space="0" w:color="auto"/>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72 616 861</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19 734 231</w:t>
            </w:r>
          </w:p>
        </w:tc>
        <w:tc>
          <w:tcPr>
            <w:tcW w:w="718"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10 000 000</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36 985 769</w:t>
            </w:r>
          </w:p>
        </w:tc>
        <w:tc>
          <w:tcPr>
            <w:tcW w:w="683" w:type="pct"/>
            <w:tcBorders>
              <w:top w:val="nil"/>
              <w:left w:val="nil"/>
              <w:bottom w:val="single" w:sz="4" w:space="0" w:color="auto"/>
              <w:right w:val="single" w:sz="4" w:space="0" w:color="auto"/>
            </w:tcBorders>
            <w:shd w:val="clear" w:color="auto" w:fill="auto"/>
            <w:noWrap/>
            <w:vAlign w:val="bottom"/>
            <w:hideMark/>
          </w:tcPr>
          <w:p w:rsidR="00E21634" w:rsidRPr="00581B3B" w:rsidRDefault="00E21634" w:rsidP="00885A92">
            <w:pPr>
              <w:spacing w:after="0" w:line="240" w:lineRule="auto"/>
              <w:jc w:val="right"/>
              <w:rPr>
                <w:rFonts w:ascii="Times New Roman" w:hAnsi="Times New Roman" w:cs="Times New Roman"/>
                <w:b/>
                <w:sz w:val="20"/>
                <w:szCs w:val="20"/>
              </w:rPr>
            </w:pPr>
            <w:r w:rsidRPr="00581B3B">
              <w:rPr>
                <w:rFonts w:ascii="Times New Roman" w:hAnsi="Times New Roman" w:cs="Times New Roman"/>
                <w:b/>
                <w:sz w:val="20"/>
                <w:szCs w:val="20"/>
              </w:rPr>
              <w:t>10 000 000</w:t>
            </w:r>
          </w:p>
        </w:tc>
      </w:tr>
    </w:tbl>
    <w:p w:rsidR="00E21634" w:rsidRPr="00581B3B" w:rsidRDefault="00E21634" w:rsidP="00CB5A2F">
      <w:pPr>
        <w:ind w:firstLine="567"/>
        <w:jc w:val="both"/>
        <w:rPr>
          <w:rFonts w:ascii="Times New Roman" w:eastAsia="Times New Roman" w:hAnsi="Times New Roman" w:cs="Times New Roman"/>
          <w:color w:val="000000"/>
          <w:sz w:val="24"/>
          <w:szCs w:val="24"/>
          <w:lang w:eastAsia="bg-BG"/>
        </w:rPr>
      </w:pPr>
    </w:p>
    <w:p w:rsidR="00265EC4" w:rsidRPr="00581B3B" w:rsidRDefault="00265EC4" w:rsidP="00392D11">
      <w:pPr>
        <w:jc w:val="both"/>
        <w:rPr>
          <w:rFonts w:ascii="Times New Roman" w:hAnsi="Times New Roman"/>
          <w:sz w:val="24"/>
          <w:szCs w:val="24"/>
        </w:rPr>
      </w:pPr>
      <w:r w:rsidRPr="00581B3B">
        <w:rPr>
          <w:rFonts w:ascii="Times New Roman" w:hAnsi="Times New Roman"/>
          <w:sz w:val="24"/>
          <w:szCs w:val="24"/>
        </w:rPr>
        <w:t xml:space="preserve">През 2021 г. по електронен път чрез системата „ИСУН“ е осъществен </w:t>
      </w:r>
      <w:r w:rsidRPr="00581B3B">
        <w:rPr>
          <w:rFonts w:ascii="Times New Roman" w:hAnsi="Times New Roman"/>
          <w:b/>
          <w:sz w:val="24"/>
          <w:szCs w:val="24"/>
        </w:rPr>
        <w:t xml:space="preserve">четвърти период на прием на заявления, </w:t>
      </w:r>
      <w:r w:rsidRPr="00581B3B">
        <w:rPr>
          <w:rFonts w:ascii="Times New Roman" w:hAnsi="Times New Roman"/>
          <w:sz w:val="24"/>
          <w:szCs w:val="24"/>
        </w:rPr>
        <w:t xml:space="preserve">с общ размер на бюджета 220 880 000 евро публични средства, </w:t>
      </w:r>
      <w:r w:rsidR="00835ADC" w:rsidRPr="00581B3B">
        <w:rPr>
          <w:rFonts w:ascii="Times New Roman" w:hAnsi="Times New Roman"/>
          <w:sz w:val="24"/>
          <w:szCs w:val="24"/>
        </w:rPr>
        <w:t xml:space="preserve">част </w:t>
      </w:r>
      <w:r w:rsidRPr="00581B3B">
        <w:rPr>
          <w:rFonts w:ascii="Times New Roman" w:hAnsi="Times New Roman"/>
          <w:sz w:val="24"/>
          <w:szCs w:val="24"/>
        </w:rPr>
        <w:t xml:space="preserve">от които </w:t>
      </w:r>
      <w:r w:rsidR="00835ADC" w:rsidRPr="00581B3B">
        <w:rPr>
          <w:rFonts w:ascii="Times New Roman" w:hAnsi="Times New Roman"/>
          <w:sz w:val="24"/>
          <w:szCs w:val="24"/>
        </w:rPr>
        <w:t xml:space="preserve">са и </w:t>
      </w:r>
      <w:r w:rsidRPr="00581B3B">
        <w:rPr>
          <w:rFonts w:ascii="Times New Roman" w:hAnsi="Times New Roman"/>
          <w:sz w:val="24"/>
          <w:szCs w:val="24"/>
        </w:rPr>
        <w:t xml:space="preserve">представените в таблица 11 средства по линия на </w:t>
      </w:r>
      <w:r w:rsidR="00835ADC" w:rsidRPr="00581B3B">
        <w:rPr>
          <w:rFonts w:ascii="Times New Roman" w:hAnsi="Times New Roman"/>
          <w:sz w:val="24"/>
          <w:szCs w:val="24"/>
        </w:rPr>
        <w:t>EURI</w:t>
      </w:r>
      <w:r w:rsidRPr="00581B3B">
        <w:rPr>
          <w:rFonts w:ascii="Times New Roman" w:hAnsi="Times New Roman"/>
          <w:sz w:val="24"/>
          <w:szCs w:val="24"/>
        </w:rPr>
        <w:t>, в размер на общо 66 720 000 евро. Постъпилите заявления отново са много над бюджета на приема – 2</w:t>
      </w:r>
      <w:r w:rsidR="00CD477C">
        <w:rPr>
          <w:rFonts w:ascii="Times New Roman" w:hAnsi="Times New Roman"/>
          <w:sz w:val="24"/>
          <w:szCs w:val="24"/>
        </w:rPr>
        <w:t xml:space="preserve"> </w:t>
      </w:r>
      <w:r w:rsidRPr="00581B3B">
        <w:rPr>
          <w:rFonts w:ascii="Times New Roman" w:hAnsi="Times New Roman"/>
          <w:sz w:val="24"/>
          <w:szCs w:val="24"/>
        </w:rPr>
        <w:t>000 заявления за над 400 млн. евро субсидия.</w:t>
      </w:r>
    </w:p>
    <w:p w:rsidR="00E21634" w:rsidRPr="00581B3B" w:rsidRDefault="00CB5A2F" w:rsidP="00392D11">
      <w:pPr>
        <w:jc w:val="both"/>
        <w:rPr>
          <w:rFonts w:ascii="Times New Roman" w:hAnsi="Times New Roman"/>
          <w:sz w:val="24"/>
          <w:szCs w:val="24"/>
        </w:rPr>
      </w:pPr>
      <w:r w:rsidRPr="00581B3B">
        <w:rPr>
          <w:rFonts w:ascii="Times New Roman" w:hAnsi="Times New Roman"/>
          <w:sz w:val="24"/>
          <w:szCs w:val="24"/>
        </w:rPr>
        <w:t xml:space="preserve">След разглеждане на </w:t>
      </w:r>
      <w:r w:rsidR="00E21634" w:rsidRPr="00581B3B">
        <w:rPr>
          <w:rFonts w:ascii="Times New Roman" w:hAnsi="Times New Roman"/>
          <w:sz w:val="24"/>
          <w:szCs w:val="24"/>
        </w:rPr>
        <w:t>заявленията, подадени в периода на прием, проведен в периода от 19.04.2021 г. до</w:t>
      </w:r>
      <w:r w:rsidR="00095555" w:rsidRPr="00581B3B">
        <w:rPr>
          <w:rFonts w:ascii="Times New Roman" w:hAnsi="Times New Roman"/>
          <w:sz w:val="24"/>
          <w:szCs w:val="24"/>
        </w:rPr>
        <w:t xml:space="preserve"> </w:t>
      </w:r>
      <w:r w:rsidR="00E21634" w:rsidRPr="00581B3B">
        <w:rPr>
          <w:rFonts w:ascii="Times New Roman" w:hAnsi="Times New Roman"/>
          <w:sz w:val="24"/>
          <w:szCs w:val="24"/>
        </w:rPr>
        <w:t>23.07.2021</w:t>
      </w:r>
      <w:r w:rsidR="00182318" w:rsidRPr="00581B3B">
        <w:rPr>
          <w:rFonts w:ascii="Times New Roman" w:hAnsi="Times New Roman"/>
          <w:sz w:val="24"/>
          <w:szCs w:val="24"/>
        </w:rPr>
        <w:t xml:space="preserve"> г. по подмярка 4.1 </w:t>
      </w:r>
      <w:r w:rsidR="00CD477C">
        <w:rPr>
          <w:rFonts w:ascii="Times New Roman" w:hAnsi="Times New Roman"/>
          <w:sz w:val="24"/>
          <w:szCs w:val="24"/>
        </w:rPr>
        <w:t xml:space="preserve">разпределението на </w:t>
      </w:r>
      <w:r w:rsidR="00E21634" w:rsidRPr="00581B3B">
        <w:rPr>
          <w:rFonts w:ascii="Times New Roman" w:hAnsi="Times New Roman"/>
          <w:sz w:val="24"/>
          <w:szCs w:val="24"/>
        </w:rPr>
        <w:t>финансовия ресурс по EURI по фокус области е както следва:</w:t>
      </w:r>
    </w:p>
    <w:p w:rsidR="00E21634" w:rsidRPr="00581B3B" w:rsidRDefault="00E21634" w:rsidP="001F7A3D">
      <w:pPr>
        <w:ind w:firstLine="720"/>
        <w:jc w:val="both"/>
        <w:rPr>
          <w:rFonts w:ascii="Times New Roman" w:hAnsi="Times New Roman"/>
          <w:sz w:val="24"/>
          <w:szCs w:val="24"/>
        </w:rPr>
      </w:pPr>
      <w:r w:rsidRPr="00581B3B">
        <w:rPr>
          <w:rFonts w:ascii="Times New Roman" w:hAnsi="Times New Roman"/>
          <w:sz w:val="24"/>
          <w:szCs w:val="24"/>
        </w:rPr>
        <w:t xml:space="preserve">- П4: „Възстановяване, опазване и укрепване на екосистемите, свързани със селското и горското стопанство“ </w:t>
      </w:r>
      <w:r w:rsidR="002B1498" w:rsidRPr="00581B3B">
        <w:rPr>
          <w:rFonts w:ascii="Times New Roman" w:hAnsi="Times New Roman"/>
          <w:sz w:val="24"/>
          <w:szCs w:val="24"/>
        </w:rPr>
        <w:t xml:space="preserve">- </w:t>
      </w:r>
      <w:r w:rsidRPr="00581B3B">
        <w:rPr>
          <w:rFonts w:ascii="Times New Roman" w:hAnsi="Times New Roman"/>
          <w:sz w:val="24"/>
          <w:szCs w:val="24"/>
        </w:rPr>
        <w:t>86 065 444,92 лв. (44 005 238,23 евро)</w:t>
      </w:r>
      <w:r w:rsidR="00CD477C">
        <w:rPr>
          <w:rFonts w:ascii="Times New Roman" w:hAnsi="Times New Roman"/>
          <w:sz w:val="24"/>
          <w:szCs w:val="24"/>
        </w:rPr>
        <w:t>;</w:t>
      </w:r>
    </w:p>
    <w:p w:rsidR="00E21634" w:rsidRPr="00581B3B" w:rsidRDefault="00E21634" w:rsidP="001F7A3D">
      <w:pPr>
        <w:ind w:firstLine="720"/>
        <w:jc w:val="both"/>
        <w:rPr>
          <w:rFonts w:ascii="Times New Roman" w:hAnsi="Times New Roman"/>
          <w:sz w:val="24"/>
          <w:szCs w:val="24"/>
        </w:rPr>
      </w:pPr>
      <w:r w:rsidRPr="00581B3B">
        <w:rPr>
          <w:rFonts w:ascii="Times New Roman" w:hAnsi="Times New Roman"/>
          <w:sz w:val="24"/>
          <w:szCs w:val="24"/>
        </w:rPr>
        <w:t xml:space="preserve">- 5А: „Повишаване на ефективността при потреблението на вода в селското стопанство“ </w:t>
      </w:r>
      <w:r w:rsidR="002B1498" w:rsidRPr="00581B3B">
        <w:rPr>
          <w:rFonts w:ascii="Times New Roman" w:hAnsi="Times New Roman"/>
          <w:sz w:val="24"/>
          <w:szCs w:val="24"/>
        </w:rPr>
        <w:t>- 27 243 503,86 лв. (</w:t>
      </w:r>
      <w:r w:rsidRPr="00581B3B">
        <w:rPr>
          <w:rFonts w:ascii="Times New Roman" w:hAnsi="Times New Roman"/>
          <w:sz w:val="24"/>
          <w:szCs w:val="24"/>
        </w:rPr>
        <w:t>13 929 596,00 евро)</w:t>
      </w:r>
      <w:r w:rsidR="00CD477C">
        <w:rPr>
          <w:rFonts w:ascii="Times New Roman" w:hAnsi="Times New Roman"/>
          <w:sz w:val="24"/>
          <w:szCs w:val="24"/>
        </w:rPr>
        <w:t>;</w:t>
      </w:r>
    </w:p>
    <w:p w:rsidR="00E21634" w:rsidRPr="00581B3B" w:rsidRDefault="00E21634" w:rsidP="001F7A3D">
      <w:pPr>
        <w:ind w:firstLine="720"/>
        <w:jc w:val="both"/>
        <w:rPr>
          <w:rFonts w:ascii="Times New Roman" w:hAnsi="Times New Roman"/>
          <w:sz w:val="24"/>
          <w:szCs w:val="24"/>
        </w:rPr>
      </w:pPr>
      <w:r w:rsidRPr="00581B3B">
        <w:rPr>
          <w:rFonts w:ascii="Times New Roman" w:hAnsi="Times New Roman"/>
          <w:sz w:val="24"/>
          <w:szCs w:val="24"/>
        </w:rPr>
        <w:lastRenderedPageBreak/>
        <w:t xml:space="preserve">- 5В: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w:t>
      </w:r>
      <w:r w:rsidR="002B1498" w:rsidRPr="00581B3B">
        <w:rPr>
          <w:rFonts w:ascii="Times New Roman" w:hAnsi="Times New Roman"/>
          <w:sz w:val="24"/>
          <w:szCs w:val="24"/>
        </w:rPr>
        <w:t xml:space="preserve">- </w:t>
      </w:r>
      <w:r w:rsidRPr="00581B3B">
        <w:rPr>
          <w:rFonts w:ascii="Times New Roman" w:hAnsi="Times New Roman"/>
          <w:sz w:val="24"/>
          <w:szCs w:val="24"/>
        </w:rPr>
        <w:t xml:space="preserve">16 365 601,83 </w:t>
      </w:r>
      <w:r w:rsidR="002B1498" w:rsidRPr="00581B3B">
        <w:rPr>
          <w:rFonts w:ascii="Times New Roman" w:hAnsi="Times New Roman"/>
          <w:sz w:val="24"/>
          <w:szCs w:val="24"/>
        </w:rPr>
        <w:t>лв.(</w:t>
      </w:r>
      <w:r w:rsidRPr="00581B3B">
        <w:rPr>
          <w:rFonts w:ascii="Times New Roman" w:hAnsi="Times New Roman"/>
          <w:sz w:val="24"/>
          <w:szCs w:val="24"/>
        </w:rPr>
        <w:t>8 367 727,70 евро)</w:t>
      </w:r>
      <w:r w:rsidR="00CD477C">
        <w:rPr>
          <w:rFonts w:ascii="Times New Roman" w:hAnsi="Times New Roman"/>
          <w:sz w:val="24"/>
          <w:szCs w:val="24"/>
        </w:rPr>
        <w:t>.</w:t>
      </w:r>
    </w:p>
    <w:p w:rsidR="00E21634" w:rsidRPr="00581B3B" w:rsidRDefault="00E21634" w:rsidP="00392D11">
      <w:pPr>
        <w:jc w:val="both"/>
        <w:rPr>
          <w:rFonts w:ascii="Times New Roman" w:hAnsi="Times New Roman"/>
          <w:sz w:val="24"/>
          <w:szCs w:val="24"/>
        </w:rPr>
      </w:pPr>
      <w:r w:rsidRPr="00581B3B">
        <w:rPr>
          <w:rFonts w:ascii="Times New Roman" w:hAnsi="Times New Roman"/>
          <w:sz w:val="24"/>
          <w:szCs w:val="24"/>
        </w:rPr>
        <w:t>Общо средствата, предвидени за договаряне възлизат на 129 674 550,61 лв</w:t>
      </w:r>
      <w:r w:rsidR="002B1498" w:rsidRPr="00581B3B">
        <w:rPr>
          <w:rFonts w:ascii="Times New Roman" w:hAnsi="Times New Roman"/>
          <w:sz w:val="24"/>
          <w:szCs w:val="24"/>
        </w:rPr>
        <w:t>.</w:t>
      </w:r>
      <w:r w:rsidRPr="00581B3B">
        <w:rPr>
          <w:rFonts w:ascii="Times New Roman" w:hAnsi="Times New Roman"/>
          <w:sz w:val="24"/>
          <w:szCs w:val="24"/>
        </w:rPr>
        <w:t xml:space="preserve"> (66 302 561,92 евро), което като цяло се вмества с остатък от 417 438 евро в общо предвид</w:t>
      </w:r>
      <w:r w:rsidR="001F7A3D" w:rsidRPr="00581B3B">
        <w:rPr>
          <w:rFonts w:ascii="Times New Roman" w:hAnsi="Times New Roman"/>
          <w:sz w:val="24"/>
          <w:szCs w:val="24"/>
        </w:rPr>
        <w:t>ените средства по подмярка 4.1:</w:t>
      </w:r>
    </w:p>
    <w:p w:rsidR="00E21634" w:rsidRPr="00581B3B" w:rsidRDefault="00E21634" w:rsidP="001F7A3D">
      <w:pPr>
        <w:spacing w:after="0"/>
        <w:ind w:firstLine="708"/>
        <w:rPr>
          <w:rFonts w:ascii="Times New Roman" w:hAnsi="Times New Roman" w:cs="Times New Roman"/>
          <w:sz w:val="24"/>
          <w:szCs w:val="24"/>
        </w:rPr>
      </w:pPr>
      <w:r w:rsidRPr="00581B3B">
        <w:rPr>
          <w:rFonts w:ascii="Times New Roman" w:hAnsi="Times New Roman" w:cs="Times New Roman"/>
          <w:b/>
          <w:sz w:val="24"/>
          <w:szCs w:val="24"/>
        </w:rPr>
        <w:t xml:space="preserve">Таблица </w:t>
      </w:r>
      <w:r w:rsidR="00E00D70" w:rsidRPr="00581B3B">
        <w:rPr>
          <w:rFonts w:ascii="Times New Roman" w:hAnsi="Times New Roman" w:cs="Times New Roman"/>
          <w:b/>
          <w:sz w:val="24"/>
          <w:szCs w:val="24"/>
        </w:rPr>
        <w:t>1</w:t>
      </w:r>
      <w:r w:rsidR="001F7A3D" w:rsidRPr="00581B3B">
        <w:rPr>
          <w:rFonts w:ascii="Times New Roman" w:hAnsi="Times New Roman" w:cs="Times New Roman"/>
          <w:b/>
          <w:sz w:val="24"/>
          <w:szCs w:val="24"/>
        </w:rPr>
        <w:t>2</w:t>
      </w:r>
      <w:r w:rsidRPr="00581B3B">
        <w:rPr>
          <w:rFonts w:ascii="Times New Roman" w:hAnsi="Times New Roman" w:cs="Times New Roman"/>
          <w:sz w:val="24"/>
          <w:szCs w:val="24"/>
        </w:rPr>
        <w:t>:</w:t>
      </w:r>
    </w:p>
    <w:tbl>
      <w:tblPr>
        <w:tblW w:w="5000" w:type="pct"/>
        <w:tblCellMar>
          <w:left w:w="70" w:type="dxa"/>
          <w:right w:w="70" w:type="dxa"/>
        </w:tblCellMar>
        <w:tblLook w:val="04A0" w:firstRow="1" w:lastRow="0" w:firstColumn="1" w:lastColumn="0" w:noHBand="0" w:noVBand="1"/>
      </w:tblPr>
      <w:tblGrid>
        <w:gridCol w:w="2363"/>
        <w:gridCol w:w="1168"/>
        <w:gridCol w:w="967"/>
        <w:gridCol w:w="1240"/>
        <w:gridCol w:w="1164"/>
        <w:gridCol w:w="1011"/>
        <w:gridCol w:w="1299"/>
      </w:tblGrid>
      <w:tr w:rsidR="00E21634" w:rsidRPr="00581B3B" w:rsidTr="00885A92">
        <w:trPr>
          <w:trHeight w:val="315"/>
        </w:trPr>
        <w:tc>
          <w:tcPr>
            <w:tcW w:w="1282" w:type="pct"/>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Подмярка</w:t>
            </w:r>
          </w:p>
        </w:tc>
        <w:tc>
          <w:tcPr>
            <w:tcW w:w="634"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Средства/ФО</w:t>
            </w:r>
          </w:p>
        </w:tc>
        <w:tc>
          <w:tcPr>
            <w:tcW w:w="525"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3А</w:t>
            </w:r>
          </w:p>
        </w:tc>
        <w:tc>
          <w:tcPr>
            <w:tcW w:w="673"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П4 А, Б, В</w:t>
            </w:r>
          </w:p>
        </w:tc>
        <w:tc>
          <w:tcPr>
            <w:tcW w:w="632"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5А</w:t>
            </w:r>
          </w:p>
        </w:tc>
        <w:tc>
          <w:tcPr>
            <w:tcW w:w="549"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5Б</w:t>
            </w:r>
          </w:p>
        </w:tc>
        <w:tc>
          <w:tcPr>
            <w:tcW w:w="706" w:type="pct"/>
            <w:tcBorders>
              <w:top w:val="single" w:sz="4" w:space="0" w:color="auto"/>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center"/>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5В</w:t>
            </w:r>
          </w:p>
        </w:tc>
      </w:tr>
      <w:tr w:rsidR="00E21634" w:rsidRPr="00581B3B" w:rsidTr="00885A92">
        <w:trPr>
          <w:trHeight w:val="315"/>
        </w:trPr>
        <w:tc>
          <w:tcPr>
            <w:tcW w:w="1282" w:type="pct"/>
            <w:tcBorders>
              <w:top w:val="nil"/>
              <w:left w:val="single" w:sz="4" w:space="0" w:color="auto"/>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M4.1 ЕURI</w:t>
            </w:r>
          </w:p>
        </w:tc>
        <w:tc>
          <w:tcPr>
            <w:tcW w:w="634" w:type="pct"/>
            <w:tcBorders>
              <w:top w:val="nil"/>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66 720 000</w:t>
            </w:r>
          </w:p>
        </w:tc>
        <w:tc>
          <w:tcPr>
            <w:tcW w:w="525"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 </w:t>
            </w:r>
          </w:p>
        </w:tc>
        <w:tc>
          <w:tcPr>
            <w:tcW w:w="673"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19 734 231</w:t>
            </w:r>
          </w:p>
        </w:tc>
        <w:tc>
          <w:tcPr>
            <w:tcW w:w="632"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10 000 000</w:t>
            </w:r>
          </w:p>
        </w:tc>
        <w:tc>
          <w:tcPr>
            <w:tcW w:w="549"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36 985 769</w:t>
            </w:r>
          </w:p>
        </w:tc>
        <w:tc>
          <w:tcPr>
            <w:tcW w:w="706"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 </w:t>
            </w:r>
          </w:p>
        </w:tc>
      </w:tr>
      <w:tr w:rsidR="00E21634" w:rsidRPr="00581B3B" w:rsidTr="00885A92">
        <w:trPr>
          <w:trHeight w:val="315"/>
        </w:trPr>
        <w:tc>
          <w:tcPr>
            <w:tcW w:w="1282" w:type="pct"/>
            <w:tcBorders>
              <w:top w:val="nil"/>
              <w:left w:val="single" w:sz="4" w:space="0" w:color="auto"/>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Разпределени</w:t>
            </w:r>
          </w:p>
        </w:tc>
        <w:tc>
          <w:tcPr>
            <w:tcW w:w="634" w:type="pct"/>
            <w:tcBorders>
              <w:top w:val="nil"/>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66 302 562</w:t>
            </w:r>
          </w:p>
        </w:tc>
        <w:tc>
          <w:tcPr>
            <w:tcW w:w="525"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 </w:t>
            </w:r>
          </w:p>
        </w:tc>
        <w:tc>
          <w:tcPr>
            <w:tcW w:w="673"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44 005 238</w:t>
            </w:r>
          </w:p>
        </w:tc>
        <w:tc>
          <w:tcPr>
            <w:tcW w:w="632"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13 929 596</w:t>
            </w:r>
          </w:p>
        </w:tc>
        <w:tc>
          <w:tcPr>
            <w:tcW w:w="549"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8 367 728</w:t>
            </w:r>
          </w:p>
        </w:tc>
        <w:tc>
          <w:tcPr>
            <w:tcW w:w="706"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color w:val="000000"/>
                <w:sz w:val="18"/>
                <w:szCs w:val="18"/>
                <w:lang w:eastAsia="bg-BG"/>
              </w:rPr>
            </w:pPr>
            <w:r w:rsidRPr="00581B3B">
              <w:rPr>
                <w:rFonts w:ascii="Times New Roman" w:eastAsia="Times New Roman" w:hAnsi="Times New Roman" w:cs="Times New Roman"/>
                <w:color w:val="000000"/>
                <w:sz w:val="18"/>
                <w:szCs w:val="18"/>
                <w:lang w:eastAsia="bg-BG"/>
              </w:rPr>
              <w:t> </w:t>
            </w:r>
          </w:p>
        </w:tc>
      </w:tr>
      <w:tr w:rsidR="00E21634" w:rsidRPr="00581B3B" w:rsidTr="00885A92">
        <w:trPr>
          <w:trHeight w:val="630"/>
        </w:trPr>
        <w:tc>
          <w:tcPr>
            <w:tcW w:w="1282" w:type="pct"/>
            <w:tcBorders>
              <w:top w:val="nil"/>
              <w:left w:val="single" w:sz="4" w:space="0" w:color="auto"/>
              <w:bottom w:val="single" w:sz="4" w:space="0" w:color="auto"/>
              <w:right w:val="single" w:sz="4" w:space="0" w:color="auto"/>
            </w:tcBorders>
            <w:shd w:val="clear" w:color="000000" w:fill="EBF1DE"/>
            <w:vAlign w:val="center"/>
            <w:hideMark/>
          </w:tcPr>
          <w:p w:rsidR="00E21634" w:rsidRPr="00581B3B" w:rsidRDefault="00E21634" w:rsidP="00885A92">
            <w:pPr>
              <w:spacing w:after="0" w:line="240" w:lineRule="auto"/>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Разлика (минус-недостиг; плюс - остатък)</w:t>
            </w:r>
          </w:p>
        </w:tc>
        <w:tc>
          <w:tcPr>
            <w:tcW w:w="634" w:type="pct"/>
            <w:tcBorders>
              <w:top w:val="nil"/>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417 438</w:t>
            </w:r>
          </w:p>
        </w:tc>
        <w:tc>
          <w:tcPr>
            <w:tcW w:w="525"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 </w:t>
            </w:r>
          </w:p>
        </w:tc>
        <w:tc>
          <w:tcPr>
            <w:tcW w:w="673"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-24 271 007</w:t>
            </w:r>
          </w:p>
        </w:tc>
        <w:tc>
          <w:tcPr>
            <w:tcW w:w="632"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-3 929 596</w:t>
            </w:r>
          </w:p>
        </w:tc>
        <w:tc>
          <w:tcPr>
            <w:tcW w:w="549"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28 618 041</w:t>
            </w:r>
          </w:p>
        </w:tc>
        <w:tc>
          <w:tcPr>
            <w:tcW w:w="706"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b/>
                <w:color w:val="000000"/>
                <w:sz w:val="18"/>
                <w:szCs w:val="18"/>
                <w:lang w:eastAsia="bg-BG"/>
              </w:rPr>
            </w:pPr>
            <w:r w:rsidRPr="00581B3B">
              <w:rPr>
                <w:rFonts w:ascii="Times New Roman" w:eastAsia="Times New Roman" w:hAnsi="Times New Roman" w:cs="Times New Roman"/>
                <w:b/>
                <w:color w:val="000000"/>
                <w:sz w:val="18"/>
                <w:szCs w:val="18"/>
                <w:lang w:eastAsia="bg-BG"/>
              </w:rPr>
              <w:t> </w:t>
            </w:r>
          </w:p>
        </w:tc>
      </w:tr>
      <w:tr w:rsidR="00E21634" w:rsidRPr="00581B3B" w:rsidTr="00885A92">
        <w:trPr>
          <w:trHeight w:val="315"/>
        </w:trPr>
        <w:tc>
          <w:tcPr>
            <w:tcW w:w="1282" w:type="pct"/>
            <w:tcBorders>
              <w:top w:val="nil"/>
              <w:left w:val="single" w:sz="4" w:space="0" w:color="auto"/>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M4.2 EURI</w:t>
            </w:r>
          </w:p>
        </w:tc>
        <w:tc>
          <w:tcPr>
            <w:tcW w:w="634" w:type="pct"/>
            <w:tcBorders>
              <w:top w:val="nil"/>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right"/>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82 616 861</w:t>
            </w:r>
          </w:p>
        </w:tc>
        <w:tc>
          <w:tcPr>
            <w:tcW w:w="525"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72 616 861</w:t>
            </w:r>
          </w:p>
        </w:tc>
        <w:tc>
          <w:tcPr>
            <w:tcW w:w="673"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 </w:t>
            </w:r>
          </w:p>
        </w:tc>
        <w:tc>
          <w:tcPr>
            <w:tcW w:w="632"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 </w:t>
            </w:r>
          </w:p>
        </w:tc>
        <w:tc>
          <w:tcPr>
            <w:tcW w:w="549"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 </w:t>
            </w:r>
          </w:p>
        </w:tc>
        <w:tc>
          <w:tcPr>
            <w:tcW w:w="706"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i/>
                <w:iCs/>
                <w:color w:val="000000"/>
                <w:sz w:val="18"/>
                <w:szCs w:val="18"/>
                <w:lang w:eastAsia="bg-BG"/>
              </w:rPr>
            </w:pPr>
            <w:r w:rsidRPr="00581B3B">
              <w:rPr>
                <w:rFonts w:ascii="Times New Roman" w:eastAsia="Times New Roman" w:hAnsi="Times New Roman" w:cs="Times New Roman"/>
                <w:i/>
                <w:iCs/>
                <w:color w:val="000000"/>
                <w:sz w:val="18"/>
                <w:szCs w:val="18"/>
                <w:lang w:eastAsia="bg-BG"/>
              </w:rPr>
              <w:t>10 000 000</w:t>
            </w:r>
          </w:p>
        </w:tc>
      </w:tr>
      <w:tr w:rsidR="00E21634" w:rsidRPr="00581B3B" w:rsidTr="00885A92">
        <w:trPr>
          <w:trHeight w:val="315"/>
        </w:trPr>
        <w:tc>
          <w:tcPr>
            <w:tcW w:w="1282" w:type="pct"/>
            <w:tcBorders>
              <w:top w:val="nil"/>
              <w:left w:val="single" w:sz="4" w:space="0" w:color="auto"/>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Oбщо</w:t>
            </w:r>
          </w:p>
        </w:tc>
        <w:tc>
          <w:tcPr>
            <w:tcW w:w="634" w:type="pct"/>
            <w:tcBorders>
              <w:top w:val="nil"/>
              <w:left w:val="nil"/>
              <w:bottom w:val="single" w:sz="4" w:space="0" w:color="auto"/>
              <w:right w:val="single" w:sz="4" w:space="0" w:color="auto"/>
            </w:tcBorders>
            <w:shd w:val="clear" w:color="000000" w:fill="EBF1DE"/>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149 336 861</w:t>
            </w:r>
          </w:p>
        </w:tc>
        <w:tc>
          <w:tcPr>
            <w:tcW w:w="525"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72 616 861</w:t>
            </w:r>
          </w:p>
        </w:tc>
        <w:tc>
          <w:tcPr>
            <w:tcW w:w="673"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19 734 231</w:t>
            </w:r>
          </w:p>
        </w:tc>
        <w:tc>
          <w:tcPr>
            <w:tcW w:w="632"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10 000 000</w:t>
            </w:r>
          </w:p>
        </w:tc>
        <w:tc>
          <w:tcPr>
            <w:tcW w:w="549"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36 985 769</w:t>
            </w:r>
          </w:p>
        </w:tc>
        <w:tc>
          <w:tcPr>
            <w:tcW w:w="706" w:type="pct"/>
            <w:tcBorders>
              <w:top w:val="nil"/>
              <w:left w:val="nil"/>
              <w:bottom w:val="single" w:sz="4" w:space="0" w:color="auto"/>
              <w:right w:val="single" w:sz="4" w:space="0" w:color="auto"/>
            </w:tcBorders>
            <w:shd w:val="clear" w:color="auto" w:fill="auto"/>
            <w:noWrap/>
            <w:vAlign w:val="center"/>
            <w:hideMark/>
          </w:tcPr>
          <w:p w:rsidR="00E21634" w:rsidRPr="00581B3B" w:rsidRDefault="00E21634" w:rsidP="00885A92">
            <w:pPr>
              <w:spacing w:after="0" w:line="240" w:lineRule="auto"/>
              <w:jc w:val="right"/>
              <w:rPr>
                <w:rFonts w:ascii="Times New Roman" w:eastAsia="Times New Roman" w:hAnsi="Times New Roman" w:cs="Times New Roman"/>
                <w:b/>
                <w:bCs/>
                <w:color w:val="000000"/>
                <w:sz w:val="18"/>
                <w:szCs w:val="18"/>
                <w:lang w:eastAsia="bg-BG"/>
              </w:rPr>
            </w:pPr>
            <w:r w:rsidRPr="00581B3B">
              <w:rPr>
                <w:rFonts w:ascii="Times New Roman" w:eastAsia="Times New Roman" w:hAnsi="Times New Roman" w:cs="Times New Roman"/>
                <w:b/>
                <w:bCs/>
                <w:color w:val="000000"/>
                <w:sz w:val="18"/>
                <w:szCs w:val="18"/>
                <w:lang w:eastAsia="bg-BG"/>
              </w:rPr>
              <w:t>10 000 000</w:t>
            </w:r>
          </w:p>
        </w:tc>
      </w:tr>
    </w:tbl>
    <w:p w:rsidR="002B1498" w:rsidRPr="00581B3B" w:rsidRDefault="002B1498" w:rsidP="00392D11">
      <w:pPr>
        <w:jc w:val="both"/>
        <w:rPr>
          <w:rFonts w:ascii="Times New Roman" w:hAnsi="Times New Roman"/>
          <w:sz w:val="24"/>
          <w:szCs w:val="24"/>
        </w:rPr>
      </w:pPr>
      <w:r w:rsidRPr="00581B3B">
        <w:rPr>
          <w:rFonts w:ascii="Times New Roman" w:hAnsi="Times New Roman"/>
          <w:sz w:val="24"/>
          <w:szCs w:val="24"/>
        </w:rPr>
        <w:t>Предложението на УО на ПРСР е да се прехвърлят технически средства в размер на съответно 24 271 000, и 3 929 600 евро публични средства от ФО 5Б към П4 и ФО 5А</w:t>
      </w:r>
      <w:r w:rsidR="00F2783A" w:rsidRPr="00581B3B">
        <w:rPr>
          <w:rFonts w:ascii="Times New Roman" w:hAnsi="Times New Roman"/>
          <w:sz w:val="24"/>
          <w:szCs w:val="24"/>
        </w:rPr>
        <w:t>, само и единствено в рамките на средствата, разполагаеми по линия на ЕУРИ в тези фокус области</w:t>
      </w:r>
      <w:r w:rsidRPr="00581B3B">
        <w:rPr>
          <w:rFonts w:ascii="Times New Roman" w:hAnsi="Times New Roman"/>
          <w:sz w:val="24"/>
          <w:szCs w:val="24"/>
        </w:rPr>
        <w:t>.</w:t>
      </w:r>
    </w:p>
    <w:p w:rsidR="004D71AC" w:rsidRPr="00581B3B" w:rsidRDefault="004D71AC" w:rsidP="00392D11">
      <w:pPr>
        <w:jc w:val="both"/>
        <w:rPr>
          <w:rFonts w:ascii="Times New Roman" w:hAnsi="Times New Roman"/>
          <w:sz w:val="24"/>
          <w:szCs w:val="24"/>
        </w:rPr>
      </w:pPr>
      <w:r w:rsidRPr="00581B3B">
        <w:rPr>
          <w:rFonts w:ascii="Times New Roman" w:hAnsi="Times New Roman" w:cs="Times New Roman"/>
          <w:b/>
          <w:sz w:val="24"/>
          <w:szCs w:val="24"/>
        </w:rPr>
        <w:t>Извън средствата по ЕУРИ</w:t>
      </w:r>
      <w:r w:rsidRPr="00581B3B">
        <w:rPr>
          <w:rFonts w:ascii="Times New Roman" w:hAnsi="Times New Roman" w:cs="Times New Roman"/>
          <w:sz w:val="24"/>
          <w:szCs w:val="24"/>
        </w:rPr>
        <w:t xml:space="preserve">, </w:t>
      </w:r>
      <w:r w:rsidRPr="00581B3B">
        <w:rPr>
          <w:rFonts w:ascii="Times New Roman" w:hAnsi="Times New Roman"/>
          <w:sz w:val="24"/>
          <w:szCs w:val="24"/>
        </w:rPr>
        <w:t xml:space="preserve">наличие на свободен финансов ресурс, който да бъде прехвърлен между фокус области за финансиране на проектни предложения би могъл да бъде оползотворен след одобрение от службите на ЕК – не на последно място и поради различния процент на финансиране от ЕЗФРСР на Приоритети 2 и 3, спрямо Приоритети 4 и 5 (съответно 85% и 75% участие на ЕЗФРСР). </w:t>
      </w:r>
    </w:p>
    <w:p w:rsidR="004D71AC" w:rsidRPr="00581B3B" w:rsidRDefault="004D71AC" w:rsidP="00392D11">
      <w:pPr>
        <w:jc w:val="both"/>
        <w:rPr>
          <w:rFonts w:ascii="Times New Roman" w:hAnsi="Times New Roman" w:cs="Times New Roman"/>
          <w:sz w:val="24"/>
          <w:szCs w:val="24"/>
        </w:rPr>
      </w:pPr>
      <w:r w:rsidRPr="00581B3B">
        <w:rPr>
          <w:rFonts w:ascii="Times New Roman" w:hAnsi="Times New Roman"/>
          <w:sz w:val="24"/>
          <w:szCs w:val="24"/>
        </w:rPr>
        <w:lastRenderedPageBreak/>
        <w:t>Средствата по приема, спрямо ранкинга са разпределени така, че се явява остатък от порядъка на 36 млн. евро ЕЗФРСР във ФО 5Б, за сметка на недостиг от около 27 млн. евро ЕЗФРСР във фокус област 2А – всичко това</w:t>
      </w:r>
      <w:r w:rsidRPr="00581B3B">
        <w:rPr>
          <w:rFonts w:ascii="Times New Roman" w:hAnsi="Times New Roman" w:cs="Times New Roman"/>
          <w:sz w:val="24"/>
          <w:szCs w:val="24"/>
        </w:rPr>
        <w:t xml:space="preserve"> </w:t>
      </w:r>
      <w:r w:rsidRPr="00581B3B">
        <w:rPr>
          <w:rFonts w:ascii="Times New Roman" w:hAnsi="Times New Roman" w:cs="Times New Roman"/>
          <w:b/>
          <w:sz w:val="24"/>
          <w:szCs w:val="24"/>
        </w:rPr>
        <w:t>вмествайки се в рамките на разполагаемия индикативен бюджет по подмярката</w:t>
      </w:r>
      <w:r w:rsidR="001F7A3D" w:rsidRPr="00581B3B">
        <w:rPr>
          <w:rFonts w:ascii="Times New Roman" w:hAnsi="Times New Roman" w:cs="Times New Roman"/>
          <w:sz w:val="24"/>
          <w:szCs w:val="24"/>
        </w:rPr>
        <w:t>:</w:t>
      </w:r>
    </w:p>
    <w:p w:rsidR="004D71AC" w:rsidRPr="00581B3B" w:rsidRDefault="004D71AC" w:rsidP="004D71AC">
      <w:pPr>
        <w:spacing w:after="0"/>
        <w:ind w:firstLine="567"/>
        <w:jc w:val="both"/>
        <w:rPr>
          <w:rFonts w:ascii="Times New Roman" w:hAnsi="Times New Roman" w:cs="Times New Roman"/>
          <w:sz w:val="24"/>
          <w:szCs w:val="24"/>
        </w:rPr>
      </w:pPr>
      <w:r w:rsidRPr="00581B3B">
        <w:rPr>
          <w:rFonts w:ascii="Times New Roman" w:hAnsi="Times New Roman" w:cs="Times New Roman"/>
          <w:sz w:val="24"/>
          <w:szCs w:val="24"/>
        </w:rPr>
        <w:t xml:space="preserve">Таблица </w:t>
      </w:r>
      <w:r w:rsidR="005302EB" w:rsidRPr="00581B3B">
        <w:rPr>
          <w:rFonts w:ascii="Times New Roman" w:hAnsi="Times New Roman" w:cs="Times New Roman"/>
          <w:sz w:val="24"/>
          <w:szCs w:val="24"/>
        </w:rPr>
        <w:t>1</w:t>
      </w:r>
      <w:r w:rsidR="001F7A3D" w:rsidRPr="00581B3B">
        <w:rPr>
          <w:rFonts w:ascii="Times New Roman" w:hAnsi="Times New Roman" w:cs="Times New Roman"/>
          <w:sz w:val="24"/>
          <w:szCs w:val="24"/>
        </w:rPr>
        <w:t>3</w:t>
      </w:r>
      <w:r w:rsidRPr="00581B3B">
        <w:rPr>
          <w:rFonts w:ascii="Times New Roman" w:hAnsi="Times New Roman" w:cs="Times New Roman"/>
          <w:sz w:val="24"/>
          <w:szCs w:val="24"/>
        </w:rPr>
        <w:t xml:space="preserve">, средства извън ЕУРИ (за да няма объркване заради липсата на съфинансиране по-горе при ЕУРИ, </w:t>
      </w:r>
      <w:r w:rsidRPr="00581B3B">
        <w:rPr>
          <w:rFonts w:ascii="Times New Roman" w:hAnsi="Times New Roman" w:cs="Times New Roman"/>
          <w:b/>
          <w:sz w:val="24"/>
          <w:szCs w:val="24"/>
        </w:rPr>
        <w:t>сумите в тази таблица са представени само в евро, ЕЗФРСР</w:t>
      </w:r>
      <w:r w:rsidRPr="00581B3B">
        <w:rPr>
          <w:rFonts w:ascii="Times New Roman" w:hAnsi="Times New Roman" w:cs="Times New Roman"/>
          <w:sz w:val="24"/>
          <w:szCs w:val="24"/>
        </w:rPr>
        <w:t>):</w:t>
      </w:r>
    </w:p>
    <w:p w:rsidR="004D71AC" w:rsidRPr="00581B3B" w:rsidRDefault="004D71AC" w:rsidP="004D71AC">
      <w:pPr>
        <w:spacing w:after="0"/>
        <w:ind w:firstLine="567"/>
        <w:jc w:val="both"/>
        <w:rPr>
          <w:rFonts w:ascii="Times New Roman" w:hAnsi="Times New Roman" w:cs="Times New Roman"/>
          <w:sz w:val="24"/>
          <w:szCs w:val="24"/>
        </w:rPr>
      </w:pPr>
    </w:p>
    <w:tbl>
      <w:tblPr>
        <w:tblW w:w="5000" w:type="pct"/>
        <w:tblLook w:val="04A0" w:firstRow="1" w:lastRow="0" w:firstColumn="1" w:lastColumn="0" w:noHBand="0" w:noVBand="1"/>
      </w:tblPr>
      <w:tblGrid>
        <w:gridCol w:w="1464"/>
        <w:gridCol w:w="1092"/>
        <w:gridCol w:w="941"/>
        <w:gridCol w:w="941"/>
        <w:gridCol w:w="1019"/>
        <w:gridCol w:w="1093"/>
        <w:gridCol w:w="886"/>
        <w:gridCol w:w="886"/>
        <w:gridCol w:w="966"/>
      </w:tblGrid>
      <w:tr w:rsidR="004D71AC" w:rsidRPr="00581B3B" w:rsidTr="00B37FB8">
        <w:trPr>
          <w:trHeight w:val="300"/>
        </w:trPr>
        <w:tc>
          <w:tcPr>
            <w:tcW w:w="806" w:type="pct"/>
            <w:tcBorders>
              <w:top w:val="single" w:sz="4" w:space="0" w:color="auto"/>
              <w:left w:val="single" w:sz="4" w:space="0" w:color="auto"/>
              <w:bottom w:val="single" w:sz="4" w:space="0" w:color="auto"/>
              <w:right w:val="nil"/>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Подмярка 4.1</w:t>
            </w:r>
          </w:p>
        </w:tc>
        <w:tc>
          <w:tcPr>
            <w:tcW w:w="605" w:type="pct"/>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2A</w:t>
            </w:r>
          </w:p>
        </w:tc>
        <w:tc>
          <w:tcPr>
            <w:tcW w:w="52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2Б</w:t>
            </w:r>
          </w:p>
        </w:tc>
        <w:tc>
          <w:tcPr>
            <w:tcW w:w="52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sz w:val="12"/>
                <w:szCs w:val="12"/>
              </w:rPr>
            </w:pPr>
            <w:r w:rsidRPr="00581B3B">
              <w:rPr>
                <w:rFonts w:ascii="Times New Roman" w:eastAsia="Times New Roman" w:hAnsi="Times New Roman" w:cs="Times New Roman"/>
                <w:b/>
                <w:bCs/>
                <w:i/>
                <w:iCs/>
                <w:sz w:val="12"/>
                <w:szCs w:val="12"/>
              </w:rPr>
              <w:t>4 А, Б, В</w:t>
            </w:r>
          </w:p>
        </w:tc>
        <w:tc>
          <w:tcPr>
            <w:tcW w:w="565"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sz w:val="12"/>
                <w:szCs w:val="12"/>
              </w:rPr>
            </w:pPr>
            <w:r w:rsidRPr="00581B3B">
              <w:rPr>
                <w:rFonts w:ascii="Times New Roman" w:eastAsia="Times New Roman" w:hAnsi="Times New Roman" w:cs="Times New Roman"/>
                <w:b/>
                <w:bCs/>
                <w:i/>
                <w:iCs/>
                <w:sz w:val="12"/>
                <w:szCs w:val="12"/>
              </w:rPr>
              <w:t>5А</w:t>
            </w:r>
          </w:p>
        </w:tc>
        <w:tc>
          <w:tcPr>
            <w:tcW w:w="605"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sz w:val="12"/>
                <w:szCs w:val="12"/>
              </w:rPr>
            </w:pPr>
            <w:r w:rsidRPr="00581B3B">
              <w:rPr>
                <w:rFonts w:ascii="Times New Roman" w:eastAsia="Times New Roman" w:hAnsi="Times New Roman" w:cs="Times New Roman"/>
                <w:b/>
                <w:bCs/>
                <w:i/>
                <w:iCs/>
                <w:sz w:val="12"/>
                <w:szCs w:val="12"/>
              </w:rPr>
              <w:t>5Б</w:t>
            </w:r>
          </w:p>
        </w:tc>
        <w:tc>
          <w:tcPr>
            <w:tcW w:w="48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sz w:val="12"/>
                <w:szCs w:val="12"/>
              </w:rPr>
            </w:pPr>
            <w:r w:rsidRPr="00581B3B">
              <w:rPr>
                <w:rFonts w:ascii="Times New Roman" w:eastAsia="Times New Roman" w:hAnsi="Times New Roman" w:cs="Times New Roman"/>
                <w:b/>
                <w:bCs/>
                <w:i/>
                <w:iCs/>
                <w:sz w:val="12"/>
                <w:szCs w:val="12"/>
              </w:rPr>
              <w:t>5В</w:t>
            </w:r>
          </w:p>
        </w:tc>
        <w:tc>
          <w:tcPr>
            <w:tcW w:w="48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sz w:val="12"/>
                <w:szCs w:val="12"/>
              </w:rPr>
            </w:pPr>
            <w:r w:rsidRPr="00581B3B">
              <w:rPr>
                <w:rFonts w:ascii="Times New Roman" w:eastAsia="Times New Roman" w:hAnsi="Times New Roman" w:cs="Times New Roman"/>
                <w:b/>
                <w:bCs/>
                <w:i/>
                <w:iCs/>
                <w:sz w:val="12"/>
                <w:szCs w:val="12"/>
              </w:rPr>
              <w:t>5Г</w:t>
            </w:r>
          </w:p>
        </w:tc>
        <w:tc>
          <w:tcPr>
            <w:tcW w:w="403"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Общо</w:t>
            </w:r>
          </w:p>
        </w:tc>
      </w:tr>
      <w:tr w:rsidR="004D71AC" w:rsidRPr="00581B3B" w:rsidTr="00B37FB8">
        <w:trPr>
          <w:trHeight w:val="300"/>
        </w:trPr>
        <w:tc>
          <w:tcPr>
            <w:tcW w:w="806" w:type="pct"/>
            <w:tcBorders>
              <w:top w:val="nil"/>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Програмирани</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287 806 928 €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71 445 026 €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11 418 090 € </w:t>
            </w:r>
          </w:p>
        </w:tc>
        <w:tc>
          <w:tcPr>
            <w:tcW w:w="56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3 000 000 € </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90 361 871 €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1 781 117 €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979 995 € </w:t>
            </w:r>
          </w:p>
        </w:tc>
        <w:tc>
          <w:tcPr>
            <w:tcW w:w="403"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 xml:space="preserve">  466 793 025 € </w:t>
            </w:r>
          </w:p>
        </w:tc>
      </w:tr>
      <w:tr w:rsidR="004D71AC" w:rsidRPr="00581B3B" w:rsidTr="00B37FB8">
        <w:trPr>
          <w:trHeight w:val="300"/>
        </w:trPr>
        <w:tc>
          <w:tcPr>
            <w:tcW w:w="806" w:type="pct"/>
            <w:tcBorders>
              <w:top w:val="single" w:sz="4" w:space="0" w:color="auto"/>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Приеми до 2021</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198 144 449 €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48 826 224 €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8 914 380 € </w:t>
            </w:r>
          </w:p>
        </w:tc>
        <w:tc>
          <w:tcPr>
            <w:tcW w:w="56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2 490 332 € </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50 962 601 €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1 263 813 €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613 418 € </w:t>
            </w:r>
          </w:p>
        </w:tc>
        <w:tc>
          <w:tcPr>
            <w:tcW w:w="403"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 xml:space="preserve">  311 215 216 € </w:t>
            </w:r>
          </w:p>
        </w:tc>
      </w:tr>
      <w:tr w:rsidR="004D71AC" w:rsidRPr="00581B3B" w:rsidTr="00B37FB8">
        <w:trPr>
          <w:trHeight w:val="300"/>
        </w:trPr>
        <w:tc>
          <w:tcPr>
            <w:tcW w:w="806" w:type="pct"/>
            <w:tcBorders>
              <w:top w:val="single" w:sz="4" w:space="0" w:color="auto"/>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Прием от 2021</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120 898 015 €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18 633 332 € </w:t>
            </w:r>
          </w:p>
        </w:tc>
        <w:tc>
          <w:tcPr>
            <w:tcW w:w="52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231 871 € </w:t>
            </w:r>
          </w:p>
        </w:tc>
        <w:tc>
          <w:tcPr>
            <w:tcW w:w="56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6 497 560 € </w:t>
            </w:r>
          </w:p>
        </w:tc>
        <w:tc>
          <w:tcPr>
            <w:tcW w:w="605"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2 964 729 €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   € </w:t>
            </w:r>
          </w:p>
        </w:tc>
        <w:tc>
          <w:tcPr>
            <w:tcW w:w="484"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 xml:space="preserve">                -   € </w:t>
            </w:r>
          </w:p>
        </w:tc>
        <w:tc>
          <w:tcPr>
            <w:tcW w:w="403" w:type="pct"/>
            <w:tcBorders>
              <w:top w:val="nil"/>
              <w:left w:val="nil"/>
              <w:bottom w:val="single" w:sz="4" w:space="0" w:color="auto"/>
              <w:right w:val="single" w:sz="4" w:space="0" w:color="auto"/>
            </w:tcBorders>
            <w:shd w:val="clear" w:color="auto" w:fill="auto"/>
            <w:noWrap/>
            <w:vAlign w:val="bottom"/>
            <w:hideMark/>
          </w:tcPr>
          <w:p w:rsidR="004D71AC" w:rsidRPr="00581B3B" w:rsidRDefault="004D71AC" w:rsidP="00B37FB8">
            <w:pPr>
              <w:spacing w:after="0" w:line="240" w:lineRule="auto"/>
              <w:rPr>
                <w:rFonts w:ascii="Times New Roman" w:eastAsia="Times New Roman" w:hAnsi="Times New Roman" w:cs="Times New Roman"/>
                <w:b/>
                <w:bCs/>
                <w:i/>
                <w:iCs/>
                <w:color w:val="000000"/>
                <w:sz w:val="12"/>
                <w:szCs w:val="12"/>
              </w:rPr>
            </w:pPr>
            <w:r w:rsidRPr="00581B3B">
              <w:rPr>
                <w:rFonts w:ascii="Times New Roman" w:eastAsia="Times New Roman" w:hAnsi="Times New Roman" w:cs="Times New Roman"/>
                <w:b/>
                <w:bCs/>
                <w:i/>
                <w:iCs/>
                <w:color w:val="000000"/>
                <w:sz w:val="12"/>
                <w:szCs w:val="12"/>
              </w:rPr>
              <w:t xml:space="preserve">  149 225 507 € </w:t>
            </w:r>
          </w:p>
        </w:tc>
      </w:tr>
      <w:tr w:rsidR="004D71AC" w:rsidRPr="00581B3B" w:rsidTr="00B37FB8">
        <w:trPr>
          <w:trHeight w:val="765"/>
        </w:trPr>
        <w:tc>
          <w:tcPr>
            <w:tcW w:w="806" w:type="pct"/>
            <w:tcBorders>
              <w:top w:val="single" w:sz="4" w:space="0" w:color="auto"/>
              <w:left w:val="single" w:sz="4" w:space="0" w:color="auto"/>
              <w:bottom w:val="single" w:sz="4" w:space="0" w:color="auto"/>
              <w:right w:val="single" w:sz="4" w:space="0" w:color="auto"/>
            </w:tcBorders>
            <w:shd w:val="clear" w:color="000000" w:fill="FDE9D9"/>
            <w:vAlign w:val="center"/>
            <w:hideMark/>
          </w:tcPr>
          <w:p w:rsidR="004D71AC" w:rsidRPr="00581B3B" w:rsidRDefault="004D71AC" w:rsidP="00B37FB8">
            <w:pPr>
              <w:spacing w:after="0" w:line="240" w:lineRule="auto"/>
              <w:rPr>
                <w:rFonts w:ascii="Times New Roman" w:eastAsia="Times New Roman" w:hAnsi="Times New Roman" w:cs="Times New Roman"/>
                <w:i/>
                <w:iCs/>
                <w:color w:val="000000"/>
                <w:sz w:val="12"/>
                <w:szCs w:val="12"/>
              </w:rPr>
            </w:pPr>
            <w:r w:rsidRPr="00581B3B">
              <w:rPr>
                <w:rFonts w:ascii="Times New Roman" w:eastAsia="Times New Roman" w:hAnsi="Times New Roman" w:cs="Times New Roman"/>
                <w:i/>
                <w:iCs/>
                <w:color w:val="000000"/>
                <w:sz w:val="12"/>
                <w:szCs w:val="12"/>
              </w:rPr>
              <w:t>Разлика (минус-недостиг, плюс-остатък)</w:t>
            </w:r>
          </w:p>
        </w:tc>
        <w:tc>
          <w:tcPr>
            <w:tcW w:w="605"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FF0000"/>
                <w:sz w:val="12"/>
                <w:szCs w:val="12"/>
              </w:rPr>
            </w:pPr>
            <w:r w:rsidRPr="00581B3B">
              <w:rPr>
                <w:rFonts w:ascii="Times New Roman" w:eastAsia="Times New Roman" w:hAnsi="Times New Roman" w:cs="Times New Roman"/>
                <w:i/>
                <w:iCs/>
                <w:color w:val="FF0000"/>
                <w:sz w:val="12"/>
                <w:szCs w:val="12"/>
              </w:rPr>
              <w:t xml:space="preserve">-    31 235 536 € </w:t>
            </w:r>
          </w:p>
        </w:tc>
        <w:tc>
          <w:tcPr>
            <w:tcW w:w="52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B050"/>
                <w:sz w:val="12"/>
                <w:szCs w:val="12"/>
              </w:rPr>
            </w:pPr>
            <w:r w:rsidRPr="00581B3B">
              <w:rPr>
                <w:rFonts w:ascii="Times New Roman" w:eastAsia="Times New Roman" w:hAnsi="Times New Roman" w:cs="Times New Roman"/>
                <w:i/>
                <w:iCs/>
                <w:color w:val="00B050"/>
                <w:sz w:val="12"/>
                <w:szCs w:val="12"/>
              </w:rPr>
              <w:t xml:space="preserve">    3 985 470 € </w:t>
            </w:r>
          </w:p>
        </w:tc>
        <w:tc>
          <w:tcPr>
            <w:tcW w:w="52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color w:val="00B050"/>
                <w:sz w:val="12"/>
                <w:szCs w:val="12"/>
              </w:rPr>
            </w:pPr>
            <w:r w:rsidRPr="00581B3B">
              <w:rPr>
                <w:rFonts w:ascii="Times New Roman" w:eastAsia="Times New Roman" w:hAnsi="Times New Roman" w:cs="Times New Roman"/>
                <w:i/>
                <w:iCs/>
                <w:color w:val="00B050"/>
                <w:sz w:val="12"/>
                <w:szCs w:val="12"/>
              </w:rPr>
              <w:t xml:space="preserve">    2 271 838 € </w:t>
            </w:r>
          </w:p>
        </w:tc>
        <w:tc>
          <w:tcPr>
            <w:tcW w:w="565"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5 987 892 € </w:t>
            </w:r>
          </w:p>
        </w:tc>
        <w:tc>
          <w:tcPr>
            <w:tcW w:w="605"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b/>
                <w:bCs/>
                <w:i/>
                <w:iCs/>
                <w:color w:val="00B050"/>
                <w:sz w:val="12"/>
                <w:szCs w:val="12"/>
              </w:rPr>
            </w:pPr>
            <w:r w:rsidRPr="00581B3B">
              <w:rPr>
                <w:rFonts w:ascii="Times New Roman" w:eastAsia="Times New Roman" w:hAnsi="Times New Roman" w:cs="Times New Roman"/>
                <w:b/>
                <w:bCs/>
                <w:i/>
                <w:iCs/>
                <w:color w:val="00B050"/>
                <w:sz w:val="12"/>
                <w:szCs w:val="12"/>
              </w:rPr>
              <w:t xml:space="preserve">    36 434 541 € </w:t>
            </w:r>
          </w:p>
        </w:tc>
        <w:tc>
          <w:tcPr>
            <w:tcW w:w="48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517 304 € </w:t>
            </w:r>
          </w:p>
        </w:tc>
        <w:tc>
          <w:tcPr>
            <w:tcW w:w="48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366 577 € </w:t>
            </w:r>
          </w:p>
        </w:tc>
        <w:tc>
          <w:tcPr>
            <w:tcW w:w="403"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Times New Roman" w:eastAsia="Times New Roman" w:hAnsi="Times New Roman" w:cs="Times New Roman"/>
                <w:i/>
                <w:iCs/>
                <w:sz w:val="12"/>
                <w:szCs w:val="12"/>
              </w:rPr>
            </w:pPr>
            <w:r w:rsidRPr="00581B3B">
              <w:rPr>
                <w:rFonts w:ascii="Times New Roman" w:eastAsia="Times New Roman" w:hAnsi="Times New Roman" w:cs="Times New Roman"/>
                <w:i/>
                <w:iCs/>
                <w:sz w:val="12"/>
                <w:szCs w:val="12"/>
              </w:rPr>
              <w:t xml:space="preserve">      6 352 302 € </w:t>
            </w:r>
          </w:p>
        </w:tc>
      </w:tr>
    </w:tbl>
    <w:p w:rsidR="004D71AC" w:rsidRPr="00581B3B" w:rsidRDefault="004D71AC" w:rsidP="004D71AC">
      <w:pPr>
        <w:spacing w:after="0"/>
        <w:jc w:val="both"/>
        <w:rPr>
          <w:rFonts w:ascii="Times New Roman" w:hAnsi="Times New Roman" w:cs="Times New Roman"/>
          <w:b/>
          <w:sz w:val="24"/>
          <w:szCs w:val="24"/>
        </w:rPr>
      </w:pPr>
    </w:p>
    <w:p w:rsidR="004D71AC" w:rsidRPr="00581B3B" w:rsidRDefault="004D71AC" w:rsidP="004D71AC">
      <w:pPr>
        <w:spacing w:after="0"/>
        <w:ind w:firstLine="567"/>
        <w:jc w:val="both"/>
        <w:rPr>
          <w:rFonts w:ascii="Times New Roman" w:hAnsi="Times New Roman" w:cs="Times New Roman"/>
          <w:sz w:val="24"/>
          <w:szCs w:val="24"/>
        </w:rPr>
      </w:pPr>
      <w:r w:rsidRPr="00581B3B">
        <w:rPr>
          <w:rFonts w:ascii="Times New Roman" w:hAnsi="Times New Roman" w:cs="Times New Roman"/>
          <w:sz w:val="24"/>
          <w:szCs w:val="24"/>
        </w:rPr>
        <w:t xml:space="preserve">Таблица </w:t>
      </w:r>
      <w:r w:rsidR="005302EB" w:rsidRPr="00581B3B">
        <w:rPr>
          <w:rFonts w:ascii="Times New Roman" w:hAnsi="Times New Roman" w:cs="Times New Roman"/>
          <w:sz w:val="24"/>
          <w:szCs w:val="24"/>
        </w:rPr>
        <w:t>1</w:t>
      </w:r>
      <w:r w:rsidR="001F7A3D" w:rsidRPr="00581B3B">
        <w:rPr>
          <w:rFonts w:ascii="Times New Roman" w:hAnsi="Times New Roman" w:cs="Times New Roman"/>
          <w:sz w:val="24"/>
          <w:szCs w:val="24"/>
        </w:rPr>
        <w:t>4</w:t>
      </w:r>
      <w:r w:rsidRPr="00581B3B">
        <w:rPr>
          <w:rFonts w:ascii="Times New Roman" w:hAnsi="Times New Roman" w:cs="Times New Roman"/>
          <w:sz w:val="24"/>
          <w:szCs w:val="24"/>
        </w:rPr>
        <w:t xml:space="preserve"> – сумарно преразпределение, на </w:t>
      </w:r>
      <w:r w:rsidRPr="00581B3B">
        <w:rPr>
          <w:rFonts w:ascii="Times New Roman" w:hAnsi="Times New Roman" w:cs="Times New Roman"/>
          <w:b/>
          <w:sz w:val="24"/>
          <w:szCs w:val="24"/>
        </w:rPr>
        <w:t>публични средства</w:t>
      </w:r>
      <w:r w:rsidRPr="00581B3B">
        <w:rPr>
          <w:rFonts w:ascii="Times New Roman" w:hAnsi="Times New Roman" w:cs="Times New Roman"/>
          <w:sz w:val="24"/>
          <w:szCs w:val="24"/>
        </w:rPr>
        <w:t>, включващи всички приеми, вкл. ЕУРИ:</w:t>
      </w:r>
    </w:p>
    <w:tbl>
      <w:tblPr>
        <w:tblW w:w="5000" w:type="pct"/>
        <w:tblLook w:val="04A0" w:firstRow="1" w:lastRow="0" w:firstColumn="1" w:lastColumn="0" w:noHBand="0" w:noVBand="1"/>
      </w:tblPr>
      <w:tblGrid>
        <w:gridCol w:w="1264"/>
        <w:gridCol w:w="1188"/>
        <w:gridCol w:w="973"/>
        <w:gridCol w:w="962"/>
        <w:gridCol w:w="1011"/>
        <w:gridCol w:w="1040"/>
        <w:gridCol w:w="905"/>
        <w:gridCol w:w="905"/>
        <w:gridCol w:w="1040"/>
      </w:tblGrid>
      <w:tr w:rsidR="004D71AC" w:rsidRPr="00581B3B" w:rsidTr="00B37FB8">
        <w:trPr>
          <w:trHeight w:val="300"/>
        </w:trPr>
        <w:tc>
          <w:tcPr>
            <w:tcW w:w="680" w:type="pct"/>
            <w:tcBorders>
              <w:top w:val="single" w:sz="4" w:space="0" w:color="auto"/>
              <w:left w:val="single" w:sz="4" w:space="0" w:color="auto"/>
              <w:bottom w:val="single" w:sz="4" w:space="0" w:color="auto"/>
              <w:right w:val="nil"/>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Подмярка 4.1</w:t>
            </w:r>
          </w:p>
        </w:tc>
        <w:tc>
          <w:tcPr>
            <w:tcW w:w="639" w:type="pct"/>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2A</w:t>
            </w:r>
          </w:p>
        </w:tc>
        <w:tc>
          <w:tcPr>
            <w:tcW w:w="52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2Б</w:t>
            </w:r>
          </w:p>
        </w:tc>
        <w:tc>
          <w:tcPr>
            <w:tcW w:w="518"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sz w:val="12"/>
                <w:szCs w:val="12"/>
              </w:rPr>
            </w:pPr>
            <w:r w:rsidRPr="00581B3B">
              <w:rPr>
                <w:rFonts w:ascii="Calibri" w:eastAsia="Times New Roman" w:hAnsi="Calibri" w:cs="Calibri"/>
                <w:b/>
                <w:bCs/>
                <w:sz w:val="12"/>
                <w:szCs w:val="12"/>
              </w:rPr>
              <w:t>4 А, Б, В</w:t>
            </w:r>
          </w:p>
        </w:tc>
        <w:tc>
          <w:tcPr>
            <w:tcW w:w="544"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sz w:val="12"/>
                <w:szCs w:val="12"/>
              </w:rPr>
            </w:pPr>
            <w:r w:rsidRPr="00581B3B">
              <w:rPr>
                <w:rFonts w:ascii="Calibri" w:eastAsia="Times New Roman" w:hAnsi="Calibri" w:cs="Calibri"/>
                <w:b/>
                <w:bCs/>
                <w:sz w:val="12"/>
                <w:szCs w:val="12"/>
              </w:rPr>
              <w:t>5А</w:t>
            </w:r>
          </w:p>
        </w:tc>
        <w:tc>
          <w:tcPr>
            <w:tcW w:w="560"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sz w:val="12"/>
                <w:szCs w:val="12"/>
              </w:rPr>
            </w:pPr>
            <w:r w:rsidRPr="00581B3B">
              <w:rPr>
                <w:rFonts w:ascii="Calibri" w:eastAsia="Times New Roman" w:hAnsi="Calibri" w:cs="Calibri"/>
                <w:b/>
                <w:bCs/>
                <w:sz w:val="12"/>
                <w:szCs w:val="12"/>
              </w:rPr>
              <w:t>5Б</w:t>
            </w:r>
          </w:p>
        </w:tc>
        <w:tc>
          <w:tcPr>
            <w:tcW w:w="487"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sz w:val="12"/>
                <w:szCs w:val="12"/>
              </w:rPr>
            </w:pPr>
            <w:r w:rsidRPr="00581B3B">
              <w:rPr>
                <w:rFonts w:ascii="Calibri" w:eastAsia="Times New Roman" w:hAnsi="Calibri" w:cs="Calibri"/>
                <w:b/>
                <w:bCs/>
                <w:sz w:val="12"/>
                <w:szCs w:val="12"/>
              </w:rPr>
              <w:t>5В</w:t>
            </w:r>
          </w:p>
        </w:tc>
        <w:tc>
          <w:tcPr>
            <w:tcW w:w="487"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sz w:val="12"/>
                <w:szCs w:val="12"/>
              </w:rPr>
            </w:pPr>
            <w:r w:rsidRPr="00581B3B">
              <w:rPr>
                <w:rFonts w:ascii="Calibri" w:eastAsia="Times New Roman" w:hAnsi="Calibri" w:cs="Calibri"/>
                <w:b/>
                <w:bCs/>
                <w:sz w:val="12"/>
                <w:szCs w:val="12"/>
              </w:rPr>
              <w:t>5Г</w:t>
            </w:r>
          </w:p>
        </w:tc>
        <w:tc>
          <w:tcPr>
            <w:tcW w:w="560" w:type="pct"/>
            <w:tcBorders>
              <w:top w:val="single" w:sz="4" w:space="0" w:color="auto"/>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jc w:val="center"/>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Общо</w:t>
            </w:r>
          </w:p>
        </w:tc>
      </w:tr>
      <w:tr w:rsidR="004D71AC" w:rsidRPr="00581B3B" w:rsidTr="00B37FB8">
        <w:trPr>
          <w:trHeight w:val="300"/>
        </w:trPr>
        <w:tc>
          <w:tcPr>
            <w:tcW w:w="680" w:type="pct"/>
            <w:tcBorders>
              <w:top w:val="nil"/>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Програмирани </w:t>
            </w:r>
          </w:p>
        </w:tc>
        <w:tc>
          <w:tcPr>
            <w:tcW w:w="639"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338 596 386 € </w:t>
            </w:r>
          </w:p>
        </w:tc>
        <w:tc>
          <w:tcPr>
            <w:tcW w:w="52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84 052 971 € </w:t>
            </w:r>
          </w:p>
        </w:tc>
        <w:tc>
          <w:tcPr>
            <w:tcW w:w="518"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34 958 350 € </w:t>
            </w:r>
          </w:p>
        </w:tc>
        <w:tc>
          <w:tcPr>
            <w:tcW w:w="54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14 000 000 €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157 468 263 €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2 374 822 €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1 306 660 €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 xml:space="preserve">  632 757 453 € </w:t>
            </w:r>
          </w:p>
        </w:tc>
      </w:tr>
      <w:tr w:rsidR="004D71AC" w:rsidRPr="00581B3B" w:rsidTr="00B37FB8">
        <w:trPr>
          <w:trHeight w:val="300"/>
        </w:trPr>
        <w:tc>
          <w:tcPr>
            <w:tcW w:w="680" w:type="pct"/>
            <w:tcBorders>
              <w:top w:val="single" w:sz="4" w:space="0" w:color="auto"/>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Приеми до 2021-договори</w:t>
            </w:r>
          </w:p>
        </w:tc>
        <w:tc>
          <w:tcPr>
            <w:tcW w:w="639"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233 111 116 € </w:t>
            </w:r>
          </w:p>
        </w:tc>
        <w:tc>
          <w:tcPr>
            <w:tcW w:w="52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57 442 616 € </w:t>
            </w:r>
          </w:p>
        </w:tc>
        <w:tc>
          <w:tcPr>
            <w:tcW w:w="518"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11 885 840 € </w:t>
            </w:r>
          </w:p>
        </w:tc>
        <w:tc>
          <w:tcPr>
            <w:tcW w:w="54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3 320 443 €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67 950 135 €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1 685 084 €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817 891 €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b/>
                <w:bCs/>
                <w:color w:val="000000"/>
                <w:sz w:val="12"/>
                <w:szCs w:val="12"/>
              </w:rPr>
            </w:pPr>
            <w:r w:rsidRPr="00581B3B">
              <w:rPr>
                <w:rFonts w:ascii="Calibri" w:eastAsia="Times New Roman" w:hAnsi="Calibri" w:cs="Calibri"/>
                <w:b/>
                <w:bCs/>
                <w:color w:val="000000"/>
                <w:sz w:val="12"/>
                <w:szCs w:val="12"/>
              </w:rPr>
              <w:t xml:space="preserve">  376 213 124 € </w:t>
            </w:r>
          </w:p>
        </w:tc>
      </w:tr>
      <w:tr w:rsidR="004D71AC" w:rsidRPr="00581B3B" w:rsidTr="00B37FB8">
        <w:trPr>
          <w:trHeight w:val="300"/>
        </w:trPr>
        <w:tc>
          <w:tcPr>
            <w:tcW w:w="680" w:type="pct"/>
            <w:tcBorders>
              <w:top w:val="single" w:sz="4" w:space="0" w:color="auto"/>
              <w:left w:val="single" w:sz="4" w:space="0" w:color="auto"/>
              <w:bottom w:val="nil"/>
              <w:right w:val="single" w:sz="4" w:space="0" w:color="auto"/>
            </w:tcBorders>
            <w:shd w:val="clear" w:color="000000" w:fill="EBF1DE"/>
            <w:vAlign w:val="center"/>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Прием от 2021-подготвени за сключване на договори</w:t>
            </w:r>
          </w:p>
        </w:tc>
        <w:tc>
          <w:tcPr>
            <w:tcW w:w="639"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142 232 958 € </w:t>
            </w:r>
          </w:p>
        </w:tc>
        <w:tc>
          <w:tcPr>
            <w:tcW w:w="52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21 921 567 € </w:t>
            </w:r>
          </w:p>
        </w:tc>
        <w:tc>
          <w:tcPr>
            <w:tcW w:w="518"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44 314 400 € </w:t>
            </w:r>
          </w:p>
        </w:tc>
        <w:tc>
          <w:tcPr>
            <w:tcW w:w="544"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22 593 009 €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12 320 700 €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   € </w:t>
            </w:r>
          </w:p>
        </w:tc>
        <w:tc>
          <w:tcPr>
            <w:tcW w:w="487"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 xml:space="preserve">                 -   € </w:t>
            </w:r>
          </w:p>
        </w:tc>
        <w:tc>
          <w:tcPr>
            <w:tcW w:w="560" w:type="pct"/>
            <w:tcBorders>
              <w:top w:val="nil"/>
              <w:left w:val="nil"/>
              <w:bottom w:val="single" w:sz="4" w:space="0" w:color="auto"/>
              <w:right w:val="single" w:sz="4" w:space="0" w:color="auto"/>
            </w:tcBorders>
            <w:shd w:val="clear" w:color="000000" w:fill="EBF1DE"/>
            <w:noWrap/>
            <w:vAlign w:val="bottom"/>
            <w:hideMark/>
          </w:tcPr>
          <w:p w:rsidR="004D71AC" w:rsidRPr="00581B3B" w:rsidRDefault="004D71AC" w:rsidP="00B37FB8">
            <w:pPr>
              <w:spacing w:after="0" w:line="240" w:lineRule="auto"/>
              <w:rPr>
                <w:rFonts w:ascii="Calibri" w:eastAsia="Times New Roman" w:hAnsi="Calibri" w:cs="Calibri"/>
                <w:b/>
                <w:bCs/>
                <w:color w:val="000000"/>
                <w:sz w:val="12"/>
                <w:szCs w:val="12"/>
              </w:rPr>
            </w:pPr>
            <w:r w:rsidRPr="00581B3B">
              <w:rPr>
                <w:rFonts w:ascii="Calibri" w:eastAsia="Times New Roman" w:hAnsi="Calibri" w:cs="Calibri"/>
                <w:b/>
                <w:bCs/>
                <w:sz w:val="12"/>
                <w:szCs w:val="12"/>
              </w:rPr>
              <w:t xml:space="preserve">  243 382 635 € </w:t>
            </w:r>
          </w:p>
        </w:tc>
      </w:tr>
      <w:tr w:rsidR="004D71AC" w:rsidRPr="00581B3B" w:rsidTr="00B37FB8">
        <w:trPr>
          <w:trHeight w:val="765"/>
        </w:trPr>
        <w:tc>
          <w:tcPr>
            <w:tcW w:w="680" w:type="pct"/>
            <w:tcBorders>
              <w:top w:val="single" w:sz="4" w:space="0" w:color="auto"/>
              <w:left w:val="single" w:sz="4" w:space="0" w:color="auto"/>
              <w:bottom w:val="single" w:sz="4" w:space="0" w:color="auto"/>
              <w:right w:val="single" w:sz="4" w:space="0" w:color="auto"/>
            </w:tcBorders>
            <w:shd w:val="clear" w:color="000000" w:fill="FDE9D9"/>
            <w:vAlign w:val="center"/>
            <w:hideMark/>
          </w:tcPr>
          <w:p w:rsidR="004D71AC" w:rsidRPr="00581B3B" w:rsidRDefault="004D71AC" w:rsidP="00B37FB8">
            <w:pPr>
              <w:spacing w:after="0" w:line="240" w:lineRule="auto"/>
              <w:rPr>
                <w:rFonts w:ascii="Calibri" w:eastAsia="Times New Roman" w:hAnsi="Calibri" w:cs="Calibri"/>
                <w:color w:val="000000"/>
                <w:sz w:val="12"/>
                <w:szCs w:val="12"/>
              </w:rPr>
            </w:pPr>
            <w:r w:rsidRPr="00581B3B">
              <w:rPr>
                <w:rFonts w:ascii="Calibri" w:eastAsia="Times New Roman" w:hAnsi="Calibri" w:cs="Calibri"/>
                <w:color w:val="000000"/>
                <w:sz w:val="12"/>
                <w:szCs w:val="12"/>
              </w:rPr>
              <w:t>4.1 Разлика (минус-недостиг, плюс-остатък)</w:t>
            </w:r>
          </w:p>
        </w:tc>
        <w:tc>
          <w:tcPr>
            <w:tcW w:w="639"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36 747 689 € </w:t>
            </w:r>
          </w:p>
        </w:tc>
        <w:tc>
          <w:tcPr>
            <w:tcW w:w="52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4 688 788 € </w:t>
            </w:r>
          </w:p>
        </w:tc>
        <w:tc>
          <w:tcPr>
            <w:tcW w:w="518"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- 21 241 889 € </w:t>
            </w:r>
          </w:p>
        </w:tc>
        <w:tc>
          <w:tcPr>
            <w:tcW w:w="544"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11 913 452 € </w:t>
            </w:r>
          </w:p>
        </w:tc>
        <w:tc>
          <w:tcPr>
            <w:tcW w:w="560"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77 197 429 € </w:t>
            </w:r>
          </w:p>
        </w:tc>
        <w:tc>
          <w:tcPr>
            <w:tcW w:w="487"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689 739 € </w:t>
            </w:r>
          </w:p>
        </w:tc>
        <w:tc>
          <w:tcPr>
            <w:tcW w:w="487"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488 769 € </w:t>
            </w:r>
          </w:p>
        </w:tc>
        <w:tc>
          <w:tcPr>
            <w:tcW w:w="560" w:type="pct"/>
            <w:tcBorders>
              <w:top w:val="nil"/>
              <w:left w:val="nil"/>
              <w:bottom w:val="single" w:sz="4" w:space="0" w:color="auto"/>
              <w:right w:val="single" w:sz="4" w:space="0" w:color="auto"/>
            </w:tcBorders>
            <w:shd w:val="clear" w:color="000000" w:fill="FDE9D9"/>
            <w:noWrap/>
            <w:vAlign w:val="bottom"/>
            <w:hideMark/>
          </w:tcPr>
          <w:p w:rsidR="004D71AC" w:rsidRPr="00581B3B" w:rsidRDefault="004D71AC" w:rsidP="00B37FB8">
            <w:pPr>
              <w:spacing w:after="0" w:line="240" w:lineRule="auto"/>
              <w:rPr>
                <w:rFonts w:ascii="Calibri" w:eastAsia="Times New Roman" w:hAnsi="Calibri" w:cs="Calibri"/>
                <w:sz w:val="12"/>
                <w:szCs w:val="12"/>
              </w:rPr>
            </w:pPr>
            <w:r w:rsidRPr="00581B3B">
              <w:rPr>
                <w:rFonts w:ascii="Calibri" w:eastAsia="Times New Roman" w:hAnsi="Calibri" w:cs="Calibri"/>
                <w:sz w:val="12"/>
                <w:szCs w:val="12"/>
              </w:rPr>
              <w:t xml:space="preserve">     13 161 694 € </w:t>
            </w:r>
          </w:p>
        </w:tc>
      </w:tr>
    </w:tbl>
    <w:p w:rsidR="004D71AC" w:rsidRPr="00581B3B" w:rsidRDefault="004D71AC" w:rsidP="004D71AC">
      <w:pPr>
        <w:spacing w:after="0"/>
        <w:ind w:firstLine="567"/>
        <w:jc w:val="both"/>
        <w:rPr>
          <w:rFonts w:ascii="Times New Roman" w:hAnsi="Times New Roman" w:cs="Times New Roman"/>
          <w:sz w:val="24"/>
          <w:szCs w:val="24"/>
        </w:rPr>
      </w:pPr>
    </w:p>
    <w:p w:rsidR="00765C3D" w:rsidRPr="00581B3B" w:rsidRDefault="004D71AC" w:rsidP="00392D11">
      <w:pPr>
        <w:spacing w:after="0"/>
        <w:jc w:val="both"/>
        <w:rPr>
          <w:rFonts w:ascii="Times New Roman" w:hAnsi="Times New Roman" w:cs="Times New Roman"/>
          <w:b/>
          <w:sz w:val="24"/>
          <w:szCs w:val="24"/>
        </w:rPr>
      </w:pPr>
      <w:r w:rsidRPr="00581B3B">
        <w:rPr>
          <w:rFonts w:ascii="Times New Roman" w:hAnsi="Times New Roman" w:cs="Times New Roman"/>
          <w:sz w:val="24"/>
          <w:szCs w:val="24"/>
        </w:rPr>
        <w:t xml:space="preserve">Както се вижда от Таблица </w:t>
      </w:r>
      <w:r w:rsidR="005302EB" w:rsidRPr="00581B3B">
        <w:rPr>
          <w:rFonts w:ascii="Times New Roman" w:hAnsi="Times New Roman" w:cs="Times New Roman"/>
          <w:sz w:val="24"/>
          <w:szCs w:val="24"/>
        </w:rPr>
        <w:t>1</w:t>
      </w:r>
      <w:r w:rsidR="001F7A3D" w:rsidRPr="00581B3B">
        <w:rPr>
          <w:rFonts w:ascii="Times New Roman" w:hAnsi="Times New Roman" w:cs="Times New Roman"/>
          <w:sz w:val="24"/>
          <w:szCs w:val="24"/>
        </w:rPr>
        <w:t>4</w:t>
      </w:r>
      <w:r w:rsidRPr="00581B3B">
        <w:rPr>
          <w:rFonts w:ascii="Times New Roman" w:hAnsi="Times New Roman" w:cs="Times New Roman"/>
          <w:sz w:val="24"/>
          <w:szCs w:val="24"/>
        </w:rPr>
        <w:t xml:space="preserve">, </w:t>
      </w:r>
      <w:r w:rsidRPr="00581B3B">
        <w:rPr>
          <w:rFonts w:ascii="Times New Roman" w:hAnsi="Times New Roman" w:cs="Times New Roman"/>
          <w:b/>
          <w:sz w:val="24"/>
          <w:szCs w:val="24"/>
        </w:rPr>
        <w:t xml:space="preserve">дори при разширено договаряне до 243 млн. евро на приема от 2021 г., все още ще бъде наличен остатък като цяло по подмярката от над </w:t>
      </w:r>
      <w:r w:rsidR="00765C3D" w:rsidRPr="00581B3B">
        <w:rPr>
          <w:rFonts w:ascii="Times New Roman" w:hAnsi="Times New Roman" w:cs="Times New Roman"/>
          <w:b/>
          <w:sz w:val="24"/>
          <w:szCs w:val="24"/>
        </w:rPr>
        <w:t xml:space="preserve">10 млн. евро публични средства. </w:t>
      </w:r>
    </w:p>
    <w:p w:rsidR="004D71AC" w:rsidRPr="00581B3B" w:rsidRDefault="004D71AC" w:rsidP="00392D11">
      <w:pPr>
        <w:spacing w:after="0"/>
        <w:jc w:val="both"/>
        <w:rPr>
          <w:rFonts w:ascii="Times New Roman" w:hAnsi="Times New Roman" w:cs="Times New Roman"/>
          <w:b/>
          <w:sz w:val="24"/>
          <w:szCs w:val="24"/>
        </w:rPr>
      </w:pPr>
      <w:r w:rsidRPr="00581B3B">
        <w:rPr>
          <w:rFonts w:ascii="Times New Roman" w:hAnsi="Times New Roman"/>
          <w:sz w:val="24"/>
          <w:szCs w:val="24"/>
        </w:rPr>
        <w:lastRenderedPageBreak/>
        <w:t>Отделно, но не и на последно място - очакваме много неизпълнения на действащи договори</w:t>
      </w:r>
      <w:r w:rsidR="00BC58AA">
        <w:rPr>
          <w:rFonts w:ascii="Times New Roman" w:hAnsi="Times New Roman"/>
          <w:sz w:val="24"/>
          <w:szCs w:val="24"/>
        </w:rPr>
        <w:t>,</w:t>
      </w:r>
      <w:r w:rsidRPr="00581B3B">
        <w:rPr>
          <w:rFonts w:ascii="Times New Roman" w:hAnsi="Times New Roman"/>
          <w:sz w:val="24"/>
          <w:szCs w:val="24"/>
        </w:rPr>
        <w:t xml:space="preserve"> вследствие на кризата и инфлацията в последните две години, което би довело до освобождаване на доп</w:t>
      </w:r>
      <w:r w:rsidR="001F7A3D" w:rsidRPr="00581B3B">
        <w:rPr>
          <w:rFonts w:ascii="Times New Roman" w:hAnsi="Times New Roman"/>
          <w:sz w:val="24"/>
          <w:szCs w:val="24"/>
        </w:rPr>
        <w:t>ълнителен ресурс по подмярката.</w:t>
      </w:r>
    </w:p>
    <w:p w:rsidR="000D3D3F" w:rsidRPr="00581B3B" w:rsidRDefault="004D71AC" w:rsidP="00392D11">
      <w:pPr>
        <w:jc w:val="both"/>
        <w:rPr>
          <w:rFonts w:ascii="Times New Roman" w:hAnsi="Times New Roman"/>
          <w:sz w:val="24"/>
          <w:szCs w:val="24"/>
        </w:rPr>
      </w:pPr>
      <w:r w:rsidRPr="00581B3B">
        <w:rPr>
          <w:rFonts w:ascii="Times New Roman" w:hAnsi="Times New Roman"/>
          <w:sz w:val="24"/>
          <w:szCs w:val="24"/>
        </w:rPr>
        <w:t xml:space="preserve">След направен анализ, включително на остатъците в размер на около 25 млн. евро по М4.1, освободени от приемите преди 2021 година, </w:t>
      </w:r>
      <w:r w:rsidRPr="00581B3B">
        <w:rPr>
          <w:rFonts w:ascii="Times New Roman" w:hAnsi="Times New Roman"/>
          <w:b/>
          <w:sz w:val="24"/>
          <w:szCs w:val="24"/>
        </w:rPr>
        <w:t xml:space="preserve">с цел </w:t>
      </w:r>
      <w:r w:rsidR="00265EC4" w:rsidRPr="00581B3B">
        <w:rPr>
          <w:rFonts w:ascii="Times New Roman" w:hAnsi="Times New Roman"/>
          <w:b/>
          <w:sz w:val="24"/>
          <w:szCs w:val="24"/>
        </w:rPr>
        <w:t xml:space="preserve">одобрение на по-голям брой </w:t>
      </w:r>
      <w:r w:rsidR="00765C3D" w:rsidRPr="00581B3B">
        <w:rPr>
          <w:rFonts w:ascii="Times New Roman" w:hAnsi="Times New Roman"/>
          <w:b/>
          <w:sz w:val="24"/>
          <w:szCs w:val="24"/>
        </w:rPr>
        <w:t>заявления</w:t>
      </w:r>
      <w:r w:rsidR="00265EC4" w:rsidRPr="00581B3B">
        <w:rPr>
          <w:rFonts w:ascii="Times New Roman" w:hAnsi="Times New Roman"/>
          <w:b/>
          <w:sz w:val="24"/>
          <w:szCs w:val="24"/>
        </w:rPr>
        <w:t xml:space="preserve"> с равен брой точки</w:t>
      </w:r>
      <w:r w:rsidRPr="00581B3B">
        <w:rPr>
          <w:rFonts w:ascii="Times New Roman" w:hAnsi="Times New Roman"/>
          <w:sz w:val="24"/>
          <w:szCs w:val="24"/>
        </w:rPr>
        <w:t xml:space="preserve">, </w:t>
      </w:r>
      <w:r w:rsidR="000D3D3F" w:rsidRPr="00581B3B">
        <w:rPr>
          <w:rFonts w:ascii="Times New Roman" w:hAnsi="Times New Roman"/>
          <w:sz w:val="24"/>
          <w:szCs w:val="24"/>
        </w:rPr>
        <w:t xml:space="preserve">УО </w:t>
      </w:r>
      <w:r w:rsidRPr="00581B3B">
        <w:rPr>
          <w:rFonts w:ascii="Times New Roman" w:hAnsi="Times New Roman"/>
          <w:sz w:val="24"/>
          <w:szCs w:val="24"/>
        </w:rPr>
        <w:t>счита, че бюджет</w:t>
      </w:r>
      <w:r w:rsidR="000D3D3F" w:rsidRPr="00581B3B">
        <w:rPr>
          <w:rFonts w:ascii="Times New Roman" w:hAnsi="Times New Roman"/>
          <w:sz w:val="24"/>
          <w:szCs w:val="24"/>
        </w:rPr>
        <w:t>ът</w:t>
      </w:r>
      <w:r w:rsidRPr="00581B3B">
        <w:rPr>
          <w:rFonts w:ascii="Times New Roman" w:hAnsi="Times New Roman"/>
          <w:sz w:val="24"/>
          <w:szCs w:val="24"/>
        </w:rPr>
        <w:t xml:space="preserve"> на прием 2021</w:t>
      </w:r>
      <w:r w:rsidR="000D3D3F" w:rsidRPr="00581B3B">
        <w:rPr>
          <w:rFonts w:ascii="Times New Roman" w:hAnsi="Times New Roman"/>
          <w:sz w:val="24"/>
          <w:szCs w:val="24"/>
        </w:rPr>
        <w:t xml:space="preserve"> може да бъде увеличен</w:t>
      </w:r>
      <w:r w:rsidRPr="00581B3B">
        <w:rPr>
          <w:rFonts w:ascii="Times New Roman" w:hAnsi="Times New Roman"/>
          <w:sz w:val="24"/>
          <w:szCs w:val="24"/>
        </w:rPr>
        <w:t>, преразпределяйки между фокус области остатъчните средства, и договаряйки до 243 млн. евро публични средства, вместо до 220 млн.</w:t>
      </w:r>
      <w:r w:rsidR="001F7A3D" w:rsidRPr="00581B3B">
        <w:rPr>
          <w:rFonts w:ascii="Times New Roman" w:hAnsi="Times New Roman"/>
          <w:sz w:val="24"/>
          <w:szCs w:val="24"/>
        </w:rPr>
        <w:t xml:space="preserve"> евро - ползвайки и остатъците.</w:t>
      </w:r>
    </w:p>
    <w:p w:rsidR="000D3D3F" w:rsidRPr="00581B3B" w:rsidRDefault="000D3D3F" w:rsidP="00392D11">
      <w:pPr>
        <w:jc w:val="both"/>
        <w:rPr>
          <w:rFonts w:ascii="Times New Roman" w:hAnsi="Times New Roman"/>
          <w:sz w:val="24"/>
          <w:szCs w:val="24"/>
        </w:rPr>
      </w:pPr>
      <w:r w:rsidRPr="00581B3B">
        <w:rPr>
          <w:rFonts w:ascii="Times New Roman" w:hAnsi="Times New Roman"/>
          <w:sz w:val="24"/>
          <w:szCs w:val="24"/>
        </w:rPr>
        <w:t>Целта на предложените по-горе прехвърляния между ФО в подмярка 4.1 е чрез увеличение на бюджета на прием 2021 да бъдат одобрени по-голям брой проектни предложения, които, получавайки равен брой точки при извършеното класиране, са еднакво качествени и всички те допринасят за постигане целите на подмярката.</w:t>
      </w:r>
    </w:p>
    <w:p w:rsidR="004D71AC" w:rsidRPr="00581B3B" w:rsidRDefault="000D3D3F" w:rsidP="00392D11">
      <w:pPr>
        <w:jc w:val="both"/>
        <w:rPr>
          <w:rFonts w:ascii="Times New Roman" w:hAnsi="Times New Roman"/>
          <w:sz w:val="24"/>
          <w:szCs w:val="24"/>
        </w:rPr>
      </w:pPr>
      <w:r w:rsidRPr="00581B3B">
        <w:rPr>
          <w:rFonts w:ascii="Times New Roman" w:hAnsi="Times New Roman"/>
          <w:sz w:val="24"/>
          <w:szCs w:val="24"/>
        </w:rPr>
        <w:t>Също така, в условията на продължаващата икономическа криза, неизползването на възможността за прехвърляне на средства и неосигуряването на свеж финансов ресурс за предприятията</w:t>
      </w:r>
      <w:r w:rsidR="00261164" w:rsidRPr="00581B3B">
        <w:rPr>
          <w:rFonts w:ascii="Times New Roman" w:hAnsi="Times New Roman"/>
          <w:sz w:val="24"/>
          <w:szCs w:val="24"/>
        </w:rPr>
        <w:t>,</w:t>
      </w:r>
      <w:r w:rsidRPr="00581B3B">
        <w:rPr>
          <w:rFonts w:ascii="Times New Roman" w:hAnsi="Times New Roman"/>
          <w:sz w:val="24"/>
          <w:szCs w:val="24"/>
        </w:rPr>
        <w:t xml:space="preserve"> би могло да доведе до задълбочаване на проблемите в сектора и невъзможност за изготвяне на проекти и кандидатстване в рамките на предвидените за това възможно</w:t>
      </w:r>
      <w:r w:rsidR="00114639">
        <w:rPr>
          <w:rFonts w:ascii="Times New Roman" w:hAnsi="Times New Roman"/>
          <w:sz w:val="24"/>
          <w:szCs w:val="24"/>
        </w:rPr>
        <w:t xml:space="preserve">сти по Стратегическия план. </w:t>
      </w:r>
    </w:p>
    <w:p w:rsidR="005105C9" w:rsidRPr="00581B3B" w:rsidRDefault="006129A2" w:rsidP="00B35E6D">
      <w:pPr>
        <w:pStyle w:val="Heading2"/>
        <w:numPr>
          <w:ilvl w:val="0"/>
          <w:numId w:val="0"/>
        </w:numPr>
      </w:pPr>
      <w:bookmarkStart w:id="37" w:name="_Toc130370340"/>
      <w:r>
        <w:lastRenderedPageBreak/>
        <w:t>13</w:t>
      </w:r>
      <w:r w:rsidR="001D683F" w:rsidRPr="00581B3B">
        <w:t xml:space="preserve">.3. </w:t>
      </w:r>
      <w:r w:rsidR="005105C9" w:rsidRPr="00581B3B">
        <w:t>Прехвърляне на средства между фокус области в подмярка 7.2</w:t>
      </w:r>
      <w:bookmarkEnd w:id="37"/>
    </w:p>
    <w:p w:rsidR="005105C9" w:rsidRPr="00581B3B" w:rsidRDefault="005105C9" w:rsidP="00392D11">
      <w:pPr>
        <w:jc w:val="both"/>
        <w:rPr>
          <w:rFonts w:ascii="Times New Roman" w:hAnsi="Times New Roman"/>
          <w:sz w:val="24"/>
          <w:szCs w:val="24"/>
        </w:rPr>
      </w:pPr>
      <w:r w:rsidRPr="00581B3B">
        <w:rPr>
          <w:rFonts w:ascii="Times New Roman" w:hAnsi="Times New Roman"/>
          <w:sz w:val="24"/>
          <w:szCs w:val="24"/>
        </w:rPr>
        <w:t>Подмярка 7.2. „Инвестиции в създаването, подобряването или разширяването на всички видове малка по мащаби инфраструктура“ като бюджет е разпределена главно в два приоритета</w:t>
      </w:r>
      <w:r w:rsidR="003313D5" w:rsidRPr="00581B3B">
        <w:rPr>
          <w:rFonts w:ascii="Times New Roman" w:hAnsi="Times New Roman"/>
          <w:sz w:val="24"/>
          <w:szCs w:val="24"/>
        </w:rPr>
        <w:t xml:space="preserve"> </w:t>
      </w:r>
      <w:r w:rsidRPr="00581B3B">
        <w:rPr>
          <w:rFonts w:ascii="Times New Roman" w:hAnsi="Times New Roman"/>
          <w:sz w:val="24"/>
          <w:szCs w:val="24"/>
        </w:rPr>
        <w:t>- Пети и Шести.</w:t>
      </w:r>
    </w:p>
    <w:p w:rsidR="005105C9" w:rsidRPr="00581B3B" w:rsidRDefault="005105C9" w:rsidP="00392D11">
      <w:pPr>
        <w:jc w:val="both"/>
        <w:rPr>
          <w:rFonts w:ascii="Times New Roman" w:hAnsi="Times New Roman"/>
          <w:sz w:val="24"/>
          <w:szCs w:val="24"/>
        </w:rPr>
      </w:pPr>
      <w:r w:rsidRPr="00581B3B">
        <w:rPr>
          <w:rFonts w:ascii="Times New Roman" w:hAnsi="Times New Roman"/>
          <w:sz w:val="24"/>
          <w:szCs w:val="24"/>
        </w:rPr>
        <w:t xml:space="preserve">Фокус област 5С (5В на кирилица)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е част от Приоритет 5 на ПРСР, където при програмирането на ПРСР е предвидено по подмярка 7.2 да се подпомагат публични проекти за инвестиции във ВЕИ за собствено потребление.  </w:t>
      </w:r>
      <w:r w:rsidRPr="00581B3B">
        <w:rPr>
          <w:rFonts w:ascii="Times New Roman" w:hAnsi="Times New Roman"/>
          <w:sz w:val="24"/>
          <w:szCs w:val="24"/>
        </w:rPr>
        <w:tab/>
      </w:r>
    </w:p>
    <w:p w:rsidR="003313D5" w:rsidRPr="00581B3B" w:rsidRDefault="005105C9" w:rsidP="00392D11">
      <w:pPr>
        <w:jc w:val="both"/>
        <w:rPr>
          <w:rFonts w:ascii="Times New Roman" w:hAnsi="Times New Roman"/>
          <w:sz w:val="24"/>
          <w:szCs w:val="24"/>
        </w:rPr>
      </w:pPr>
      <w:r w:rsidRPr="00581B3B">
        <w:rPr>
          <w:rFonts w:ascii="Times New Roman" w:hAnsi="Times New Roman"/>
          <w:sz w:val="24"/>
          <w:szCs w:val="24"/>
        </w:rPr>
        <w:t xml:space="preserve">В Глава 10 „Финансов план“, фокус област 5С за М7 са разпределени 59,5 млн. евро от ЕЗФРСР, а в Глава 11, „План на показателите“, като прогнозен принос на подмярката в тази фокус област са налични съответните 70 млн. евро публични разходи за операции, получаващи подкрепа за инвестиции в малка по мащаби инфраструктура, включително инвестиции в енергия от възобновяеми източници и спестяване на енергия: </w:t>
      </w:r>
    </w:p>
    <w:p w:rsidR="005105C9" w:rsidRPr="00581B3B" w:rsidRDefault="00141594" w:rsidP="00141594">
      <w:pPr>
        <w:tabs>
          <w:tab w:val="left" w:pos="567"/>
        </w:tabs>
        <w:ind w:right="-331" w:firstLine="567"/>
        <w:jc w:val="both"/>
        <w:rPr>
          <w:rFonts w:ascii="Times New Roman" w:hAnsi="Times New Roman" w:cs="Times New Roman"/>
          <w:b/>
          <w:sz w:val="20"/>
          <w:szCs w:val="20"/>
        </w:rPr>
      </w:pPr>
      <w:r w:rsidRPr="00581B3B">
        <w:rPr>
          <w:rFonts w:ascii="Times New Roman" w:hAnsi="Times New Roman" w:cs="Times New Roman"/>
          <w:b/>
          <w:sz w:val="20"/>
          <w:szCs w:val="20"/>
        </w:rPr>
        <w:t xml:space="preserve">Таблица </w:t>
      </w:r>
      <w:r w:rsidR="004936C3">
        <w:rPr>
          <w:rFonts w:ascii="Times New Roman" w:hAnsi="Times New Roman" w:cs="Times New Roman"/>
          <w:b/>
          <w:sz w:val="20"/>
          <w:szCs w:val="20"/>
        </w:rPr>
        <w:t>1</w:t>
      </w:r>
      <w:r w:rsidR="001F7A3D" w:rsidRPr="00581B3B">
        <w:rPr>
          <w:rFonts w:ascii="Times New Roman" w:hAnsi="Times New Roman" w:cs="Times New Roman"/>
          <w:b/>
          <w:sz w:val="20"/>
          <w:szCs w:val="20"/>
        </w:rPr>
        <w:t>5</w:t>
      </w:r>
      <w:r w:rsidRPr="00581B3B">
        <w:rPr>
          <w:rFonts w:ascii="Times New Roman" w:hAnsi="Times New Roman" w:cs="Times New Roman"/>
          <w:b/>
          <w:sz w:val="20"/>
          <w:szCs w:val="20"/>
        </w:rPr>
        <w:t xml:space="preserve">: </w:t>
      </w:r>
      <w:r w:rsidR="005105C9" w:rsidRPr="00581B3B">
        <w:rPr>
          <w:rFonts w:ascii="Times New Roman" w:hAnsi="Times New Roman" w:cs="Times New Roman"/>
          <w:b/>
          <w:sz w:val="20"/>
          <w:szCs w:val="20"/>
        </w:rPr>
        <w:t>Целеви показател(и) 2014—2020 г.</w:t>
      </w:r>
    </w:p>
    <w:tbl>
      <w:tblPr>
        <w:tblW w:w="465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9"/>
        <w:gridCol w:w="1560"/>
      </w:tblGrid>
      <w:tr w:rsidR="005105C9" w:rsidRPr="00581B3B" w:rsidTr="00141594">
        <w:trPr>
          <w:trHeight w:val="359"/>
        </w:trPr>
        <w:tc>
          <w:tcPr>
            <w:tcW w:w="4098" w:type="pct"/>
            <w:shd w:val="clear" w:color="auto" w:fill="C0C0C0"/>
            <w:tcMar>
              <w:top w:w="60" w:type="dxa"/>
            </w:tcMar>
            <w:vAlign w:val="center"/>
          </w:tcPr>
          <w:p w:rsidR="005105C9" w:rsidRPr="00581B3B" w:rsidRDefault="005105C9" w:rsidP="00141594">
            <w:pPr>
              <w:spacing w:after="0"/>
              <w:jc w:val="center"/>
              <w:rPr>
                <w:rFonts w:ascii="Times New Roman" w:hAnsi="Times New Roman" w:cs="Times New Roman"/>
                <w:b/>
                <w:sz w:val="18"/>
                <w:szCs w:val="18"/>
              </w:rPr>
            </w:pPr>
            <w:r w:rsidRPr="00581B3B">
              <w:rPr>
                <w:rFonts w:ascii="Times New Roman" w:hAnsi="Times New Roman" w:cs="Times New Roman"/>
                <w:b/>
                <w:sz w:val="18"/>
                <w:szCs w:val="18"/>
              </w:rPr>
              <w:t>Наименование на целевия показател</w:t>
            </w:r>
          </w:p>
        </w:tc>
        <w:tc>
          <w:tcPr>
            <w:tcW w:w="902" w:type="pct"/>
            <w:shd w:val="clear" w:color="auto" w:fill="C0C0C0"/>
            <w:tcMar>
              <w:top w:w="60" w:type="dxa"/>
            </w:tcMar>
            <w:vAlign w:val="center"/>
          </w:tcPr>
          <w:p w:rsidR="005105C9" w:rsidRPr="00581B3B" w:rsidRDefault="005105C9" w:rsidP="00835ADC">
            <w:pPr>
              <w:spacing w:after="0"/>
              <w:jc w:val="center"/>
              <w:rPr>
                <w:rFonts w:ascii="Times New Roman" w:hAnsi="Times New Roman" w:cs="Times New Roman"/>
                <w:sz w:val="18"/>
                <w:szCs w:val="18"/>
              </w:rPr>
            </w:pPr>
            <w:r w:rsidRPr="00581B3B">
              <w:rPr>
                <w:rFonts w:ascii="Times New Roman" w:hAnsi="Times New Roman" w:cs="Times New Roman"/>
                <w:b/>
                <w:sz w:val="18"/>
                <w:szCs w:val="18"/>
              </w:rPr>
              <w:t>Целева стойност 202</w:t>
            </w:r>
            <w:r w:rsidR="00835ADC" w:rsidRPr="00581B3B">
              <w:rPr>
                <w:rFonts w:ascii="Times New Roman" w:hAnsi="Times New Roman" w:cs="Times New Roman"/>
                <w:b/>
                <w:sz w:val="18"/>
                <w:szCs w:val="18"/>
              </w:rPr>
              <w:t>5</w:t>
            </w:r>
            <w:r w:rsidRPr="00581B3B">
              <w:rPr>
                <w:rFonts w:ascii="Times New Roman" w:hAnsi="Times New Roman" w:cs="Times New Roman"/>
                <w:b/>
                <w:sz w:val="18"/>
                <w:szCs w:val="18"/>
              </w:rPr>
              <w:t xml:space="preserve"> г.</w:t>
            </w:r>
          </w:p>
        </w:tc>
      </w:tr>
      <w:tr w:rsidR="005105C9" w:rsidRPr="00581B3B" w:rsidTr="00885A92">
        <w:tc>
          <w:tcPr>
            <w:tcW w:w="4098"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b/>
                <w:sz w:val="16"/>
              </w:rPr>
            </w:pPr>
            <w:r w:rsidRPr="00581B3B">
              <w:rPr>
                <w:rFonts w:ascii="Times New Roman" w:hAnsi="Times New Roman" w:cs="Times New Roman"/>
                <w:b/>
                <w:sz w:val="16"/>
              </w:rPr>
              <w:t>T16: общ размер на инвестициите в производство на енергия от възобновяеми източници (в евро) (област с поставен акцент 5В)</w:t>
            </w:r>
          </w:p>
        </w:tc>
        <w:tc>
          <w:tcPr>
            <w:tcW w:w="902" w:type="pct"/>
            <w:shd w:val="clear" w:color="auto" w:fill="FFFFFF"/>
            <w:tcMar>
              <w:top w:w="60" w:type="dxa"/>
            </w:tcMar>
            <w:vAlign w:val="center"/>
          </w:tcPr>
          <w:p w:rsidR="005105C9" w:rsidRPr="00581B3B" w:rsidRDefault="005E39D0" w:rsidP="00141594">
            <w:pPr>
              <w:spacing w:before="20" w:after="0"/>
              <w:jc w:val="right"/>
              <w:rPr>
                <w:rFonts w:ascii="Times New Roman" w:hAnsi="Times New Roman" w:cs="Times New Roman"/>
                <w:b/>
                <w:sz w:val="16"/>
              </w:rPr>
            </w:pPr>
            <w:r w:rsidRPr="00581B3B">
              <w:rPr>
                <w:rFonts w:ascii="Times New Roman" w:hAnsi="Times New Roman" w:cs="Times New Roman"/>
                <w:b/>
                <w:sz w:val="16"/>
              </w:rPr>
              <w:t>154 266 117,00</w:t>
            </w:r>
          </w:p>
        </w:tc>
      </w:tr>
    </w:tbl>
    <w:p w:rsidR="005105C9" w:rsidRPr="00581B3B" w:rsidRDefault="005105C9" w:rsidP="00141594">
      <w:pPr>
        <w:spacing w:after="0"/>
        <w:jc w:val="center"/>
        <w:rPr>
          <w:rFonts w:ascii="Times New Roman" w:hAnsi="Times New Roman" w:cs="Times New Roman"/>
          <w:sz w:val="16"/>
        </w:rPr>
      </w:pPr>
    </w:p>
    <w:p w:rsidR="005105C9" w:rsidRPr="00581B3B" w:rsidRDefault="005105C9" w:rsidP="00141594">
      <w:pPr>
        <w:tabs>
          <w:tab w:val="left" w:pos="567"/>
        </w:tabs>
        <w:spacing w:after="0"/>
        <w:ind w:right="-331" w:firstLine="567"/>
        <w:jc w:val="both"/>
        <w:rPr>
          <w:rFonts w:ascii="Times New Roman" w:hAnsi="Times New Roman" w:cs="Times New Roman"/>
          <w:b/>
          <w:sz w:val="20"/>
          <w:szCs w:val="20"/>
        </w:rPr>
      </w:pPr>
      <w:r w:rsidRPr="00581B3B">
        <w:rPr>
          <w:rFonts w:ascii="Times New Roman" w:hAnsi="Times New Roman" w:cs="Times New Roman"/>
          <w:b/>
          <w:sz w:val="20"/>
          <w:szCs w:val="20"/>
        </w:rPr>
        <w:t>Таблица</w:t>
      </w:r>
      <w:r w:rsidR="0029243F" w:rsidRPr="00581B3B">
        <w:rPr>
          <w:rFonts w:ascii="Times New Roman" w:hAnsi="Times New Roman" w:cs="Times New Roman"/>
          <w:b/>
          <w:sz w:val="20"/>
          <w:szCs w:val="20"/>
        </w:rPr>
        <w:t xml:space="preserve"> </w:t>
      </w:r>
      <w:r w:rsidR="00E00D70" w:rsidRPr="00581B3B">
        <w:rPr>
          <w:rFonts w:ascii="Times New Roman" w:hAnsi="Times New Roman" w:cs="Times New Roman"/>
          <w:b/>
          <w:sz w:val="20"/>
          <w:szCs w:val="20"/>
        </w:rPr>
        <w:t>1</w:t>
      </w:r>
      <w:r w:rsidR="001F7A3D" w:rsidRPr="00581B3B">
        <w:rPr>
          <w:rFonts w:ascii="Times New Roman" w:hAnsi="Times New Roman" w:cs="Times New Roman"/>
          <w:b/>
          <w:sz w:val="20"/>
          <w:szCs w:val="20"/>
        </w:rPr>
        <w:t>5</w:t>
      </w:r>
      <w:r w:rsidR="0029243F" w:rsidRPr="00581B3B">
        <w:rPr>
          <w:rFonts w:ascii="Times New Roman" w:hAnsi="Times New Roman" w:cs="Times New Roman"/>
          <w:b/>
          <w:sz w:val="20"/>
          <w:szCs w:val="20"/>
        </w:rPr>
        <w:t>а:</w:t>
      </w:r>
      <w:r w:rsidR="00141594" w:rsidRPr="00581B3B">
        <w:rPr>
          <w:rFonts w:ascii="Times New Roman" w:hAnsi="Times New Roman" w:cs="Times New Roman"/>
          <w:b/>
          <w:sz w:val="20"/>
          <w:szCs w:val="20"/>
        </w:rPr>
        <w:t xml:space="preserve"> </w:t>
      </w:r>
      <w:r w:rsidRPr="00581B3B">
        <w:rPr>
          <w:rFonts w:ascii="Times New Roman" w:hAnsi="Times New Roman" w:cs="Times New Roman"/>
          <w:b/>
          <w:sz w:val="20"/>
          <w:szCs w:val="20"/>
        </w:rPr>
        <w:t>Планиран(и) показател(и) за изпълнението 2014—2020 г.</w:t>
      </w:r>
    </w:p>
    <w:p w:rsidR="00BC0B8E" w:rsidRPr="00581B3B" w:rsidRDefault="00BC0B8E" w:rsidP="00141594">
      <w:pPr>
        <w:tabs>
          <w:tab w:val="left" w:pos="567"/>
        </w:tabs>
        <w:spacing w:after="0"/>
        <w:ind w:right="-331" w:firstLine="567"/>
        <w:jc w:val="both"/>
        <w:rPr>
          <w:rFonts w:ascii="Times New Roman" w:hAnsi="Times New Roman" w:cs="Times New Roman"/>
          <w:b/>
          <w:sz w:val="20"/>
          <w:szCs w:val="20"/>
        </w:rPr>
      </w:pPr>
    </w:p>
    <w:tbl>
      <w:tblPr>
        <w:tblW w:w="465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3716"/>
        <w:gridCol w:w="1559"/>
      </w:tblGrid>
      <w:tr w:rsidR="005105C9" w:rsidRPr="00581B3B" w:rsidTr="00141594">
        <w:trPr>
          <w:trHeight w:val="100"/>
        </w:trPr>
        <w:tc>
          <w:tcPr>
            <w:tcW w:w="1951" w:type="pct"/>
            <w:shd w:val="clear" w:color="auto" w:fill="C0C0C0"/>
            <w:tcMar>
              <w:top w:w="60" w:type="dxa"/>
            </w:tcMar>
            <w:vAlign w:val="center"/>
          </w:tcPr>
          <w:p w:rsidR="005105C9" w:rsidRPr="00581B3B" w:rsidRDefault="005105C9" w:rsidP="00141594">
            <w:pPr>
              <w:spacing w:after="0"/>
              <w:jc w:val="center"/>
              <w:rPr>
                <w:rFonts w:ascii="Times New Roman" w:hAnsi="Times New Roman" w:cs="Times New Roman"/>
                <w:b/>
                <w:sz w:val="16"/>
                <w:szCs w:val="16"/>
              </w:rPr>
            </w:pPr>
            <w:r w:rsidRPr="00581B3B">
              <w:rPr>
                <w:rFonts w:ascii="Times New Roman" w:hAnsi="Times New Roman" w:cs="Times New Roman"/>
                <w:b/>
                <w:sz w:val="16"/>
                <w:szCs w:val="16"/>
              </w:rPr>
              <w:t>Наименование на мярката</w:t>
            </w:r>
          </w:p>
        </w:tc>
        <w:tc>
          <w:tcPr>
            <w:tcW w:w="2148" w:type="pct"/>
            <w:shd w:val="clear" w:color="auto" w:fill="C0C0C0"/>
            <w:tcMar>
              <w:top w:w="60" w:type="dxa"/>
            </w:tcMar>
            <w:vAlign w:val="center"/>
          </w:tcPr>
          <w:p w:rsidR="005105C9" w:rsidRPr="00581B3B" w:rsidRDefault="005105C9" w:rsidP="00141594">
            <w:pPr>
              <w:spacing w:after="0"/>
              <w:jc w:val="center"/>
              <w:rPr>
                <w:rFonts w:ascii="Times New Roman" w:hAnsi="Times New Roman" w:cs="Times New Roman"/>
                <w:b/>
                <w:sz w:val="16"/>
                <w:szCs w:val="16"/>
              </w:rPr>
            </w:pPr>
            <w:r w:rsidRPr="00581B3B">
              <w:rPr>
                <w:rFonts w:ascii="Times New Roman" w:hAnsi="Times New Roman" w:cs="Times New Roman"/>
                <w:b/>
                <w:sz w:val="16"/>
                <w:szCs w:val="16"/>
              </w:rPr>
              <w:t>Име на показателя</w:t>
            </w:r>
          </w:p>
        </w:tc>
        <w:tc>
          <w:tcPr>
            <w:tcW w:w="902" w:type="pct"/>
            <w:shd w:val="clear" w:color="auto" w:fill="C0C0C0"/>
            <w:tcMar>
              <w:top w:w="60" w:type="dxa"/>
            </w:tcMar>
            <w:vAlign w:val="center"/>
          </w:tcPr>
          <w:p w:rsidR="005105C9" w:rsidRPr="00581B3B" w:rsidRDefault="005105C9" w:rsidP="00141594">
            <w:pPr>
              <w:spacing w:after="0"/>
              <w:jc w:val="center"/>
              <w:rPr>
                <w:rFonts w:ascii="Times New Roman" w:hAnsi="Times New Roman" w:cs="Times New Roman"/>
                <w:sz w:val="16"/>
                <w:szCs w:val="16"/>
              </w:rPr>
            </w:pPr>
            <w:r w:rsidRPr="00581B3B">
              <w:rPr>
                <w:rFonts w:ascii="Times New Roman" w:hAnsi="Times New Roman" w:cs="Times New Roman"/>
                <w:b/>
                <w:sz w:val="16"/>
                <w:szCs w:val="16"/>
              </w:rPr>
              <w:t>Стойност</w:t>
            </w:r>
          </w:p>
        </w:tc>
      </w:tr>
      <w:tr w:rsidR="005105C9" w:rsidRPr="00581B3B" w:rsidTr="00885A92">
        <w:tc>
          <w:tcPr>
            <w:tcW w:w="1951"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b/>
                <w:sz w:val="16"/>
                <w:szCs w:val="16"/>
              </w:rPr>
            </w:pPr>
            <w:r w:rsidRPr="00581B3B">
              <w:rPr>
                <w:rFonts w:ascii="Times New Roman" w:hAnsi="Times New Roman" w:cs="Times New Roman"/>
                <w:b/>
                <w:sz w:val="16"/>
                <w:szCs w:val="16"/>
              </w:rPr>
              <w:t>М07 — Основни услуги и обновяване на селата в селските райони (член 20)</w:t>
            </w:r>
          </w:p>
        </w:tc>
        <w:tc>
          <w:tcPr>
            <w:tcW w:w="2148"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sz w:val="16"/>
                <w:szCs w:val="16"/>
              </w:rPr>
            </w:pPr>
            <w:r w:rsidRPr="00581B3B">
              <w:rPr>
                <w:rFonts w:ascii="Times New Roman" w:hAnsi="Times New Roman" w:cs="Times New Roman"/>
                <w:sz w:val="16"/>
                <w:szCs w:val="16"/>
              </w:rPr>
              <w:t>Брой операции, получаващи подкрепа за инвестиции в малка по мащаби инфраструктура, включително инвестиции в енергия от възобновяеми източници и спестяване на енергия (7.2)</w:t>
            </w:r>
          </w:p>
        </w:tc>
        <w:tc>
          <w:tcPr>
            <w:tcW w:w="902" w:type="pct"/>
            <w:shd w:val="clear" w:color="auto" w:fill="FFFFFF"/>
            <w:tcMar>
              <w:top w:w="60" w:type="dxa"/>
            </w:tcMar>
            <w:vAlign w:val="center"/>
          </w:tcPr>
          <w:p w:rsidR="005105C9" w:rsidRPr="00581B3B" w:rsidRDefault="005105C9" w:rsidP="00141594">
            <w:pPr>
              <w:spacing w:before="20" w:after="0"/>
              <w:jc w:val="right"/>
              <w:rPr>
                <w:rFonts w:ascii="Times New Roman" w:hAnsi="Times New Roman" w:cs="Times New Roman"/>
                <w:sz w:val="16"/>
                <w:szCs w:val="16"/>
              </w:rPr>
            </w:pPr>
            <w:r w:rsidRPr="00581B3B">
              <w:rPr>
                <w:rFonts w:ascii="Times New Roman" w:hAnsi="Times New Roman" w:cs="Times New Roman"/>
                <w:sz w:val="16"/>
                <w:szCs w:val="16"/>
              </w:rPr>
              <w:t>120,00</w:t>
            </w:r>
          </w:p>
        </w:tc>
      </w:tr>
      <w:tr w:rsidR="005105C9" w:rsidRPr="00581B3B" w:rsidTr="00885A92">
        <w:tc>
          <w:tcPr>
            <w:tcW w:w="1951"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b/>
                <w:sz w:val="16"/>
                <w:szCs w:val="16"/>
              </w:rPr>
            </w:pPr>
            <w:r w:rsidRPr="00581B3B">
              <w:rPr>
                <w:rFonts w:ascii="Times New Roman" w:hAnsi="Times New Roman" w:cs="Times New Roman"/>
                <w:b/>
                <w:sz w:val="16"/>
                <w:szCs w:val="16"/>
              </w:rPr>
              <w:t>М07 — Основни услуги и обновяване на селата в селските райони (член 20)</w:t>
            </w:r>
          </w:p>
        </w:tc>
        <w:tc>
          <w:tcPr>
            <w:tcW w:w="2148"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sz w:val="16"/>
                <w:szCs w:val="16"/>
              </w:rPr>
            </w:pPr>
            <w:r w:rsidRPr="00581B3B">
              <w:rPr>
                <w:rFonts w:ascii="Times New Roman" w:hAnsi="Times New Roman" w:cs="Times New Roman"/>
                <w:sz w:val="16"/>
                <w:szCs w:val="16"/>
              </w:rPr>
              <w:t>Общо инвестиции в евро (публични + частни)</w:t>
            </w:r>
          </w:p>
        </w:tc>
        <w:tc>
          <w:tcPr>
            <w:tcW w:w="902" w:type="pct"/>
            <w:shd w:val="clear" w:color="auto" w:fill="FFFFFF"/>
            <w:tcMar>
              <w:top w:w="60" w:type="dxa"/>
            </w:tcMar>
            <w:vAlign w:val="center"/>
          </w:tcPr>
          <w:p w:rsidR="005105C9" w:rsidRPr="00581B3B" w:rsidRDefault="005105C9" w:rsidP="00141594">
            <w:pPr>
              <w:spacing w:before="20" w:after="0"/>
              <w:jc w:val="right"/>
              <w:rPr>
                <w:rFonts w:ascii="Times New Roman" w:hAnsi="Times New Roman" w:cs="Times New Roman"/>
                <w:sz w:val="16"/>
                <w:szCs w:val="16"/>
              </w:rPr>
            </w:pPr>
            <w:r w:rsidRPr="00581B3B">
              <w:rPr>
                <w:rFonts w:ascii="Times New Roman" w:hAnsi="Times New Roman" w:cs="Times New Roman"/>
                <w:sz w:val="16"/>
                <w:szCs w:val="16"/>
              </w:rPr>
              <w:t>70 000 000,00</w:t>
            </w:r>
          </w:p>
        </w:tc>
      </w:tr>
      <w:tr w:rsidR="005105C9" w:rsidRPr="00581B3B" w:rsidTr="00885A92">
        <w:tc>
          <w:tcPr>
            <w:tcW w:w="1951"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b/>
                <w:sz w:val="16"/>
                <w:szCs w:val="16"/>
              </w:rPr>
            </w:pPr>
            <w:r w:rsidRPr="00581B3B">
              <w:rPr>
                <w:rFonts w:ascii="Times New Roman" w:hAnsi="Times New Roman" w:cs="Times New Roman"/>
                <w:b/>
                <w:sz w:val="16"/>
                <w:szCs w:val="16"/>
              </w:rPr>
              <w:lastRenderedPageBreak/>
              <w:t>М07 — Основни услуги и обновяване на селата в селските райони (член 20)</w:t>
            </w:r>
          </w:p>
        </w:tc>
        <w:tc>
          <w:tcPr>
            <w:tcW w:w="2148" w:type="pct"/>
            <w:shd w:val="clear" w:color="auto" w:fill="FFFFFF"/>
            <w:tcMar>
              <w:top w:w="60" w:type="dxa"/>
            </w:tcMar>
            <w:vAlign w:val="center"/>
          </w:tcPr>
          <w:p w:rsidR="005105C9" w:rsidRPr="00581B3B" w:rsidRDefault="005105C9" w:rsidP="00141594">
            <w:pPr>
              <w:spacing w:before="20" w:after="0"/>
              <w:rPr>
                <w:rFonts w:ascii="Times New Roman" w:hAnsi="Times New Roman" w:cs="Times New Roman"/>
                <w:sz w:val="16"/>
                <w:szCs w:val="16"/>
              </w:rPr>
            </w:pPr>
            <w:r w:rsidRPr="00581B3B">
              <w:rPr>
                <w:rFonts w:ascii="Times New Roman" w:hAnsi="Times New Roman" w:cs="Times New Roman"/>
                <w:sz w:val="16"/>
                <w:szCs w:val="16"/>
              </w:rPr>
              <w:t>Общо публични разходи (в евро)</w:t>
            </w:r>
          </w:p>
        </w:tc>
        <w:tc>
          <w:tcPr>
            <w:tcW w:w="902" w:type="pct"/>
            <w:shd w:val="clear" w:color="auto" w:fill="FFFFFF"/>
            <w:tcMar>
              <w:top w:w="60" w:type="dxa"/>
            </w:tcMar>
            <w:vAlign w:val="center"/>
          </w:tcPr>
          <w:p w:rsidR="005105C9" w:rsidRPr="00581B3B" w:rsidRDefault="005105C9" w:rsidP="00141594">
            <w:pPr>
              <w:spacing w:before="20" w:after="0"/>
              <w:jc w:val="right"/>
              <w:rPr>
                <w:rFonts w:ascii="Times New Roman" w:hAnsi="Times New Roman" w:cs="Times New Roman"/>
                <w:sz w:val="16"/>
                <w:szCs w:val="16"/>
              </w:rPr>
            </w:pPr>
            <w:r w:rsidRPr="00581B3B">
              <w:rPr>
                <w:rFonts w:ascii="Times New Roman" w:hAnsi="Times New Roman" w:cs="Times New Roman"/>
                <w:sz w:val="16"/>
                <w:szCs w:val="16"/>
              </w:rPr>
              <w:t>70 000 000,00</w:t>
            </w:r>
          </w:p>
        </w:tc>
      </w:tr>
    </w:tbl>
    <w:p w:rsidR="005105C9" w:rsidRPr="00581B3B" w:rsidRDefault="005105C9" w:rsidP="00141594">
      <w:pPr>
        <w:tabs>
          <w:tab w:val="left" w:pos="567"/>
        </w:tabs>
        <w:spacing w:after="0" w:line="360" w:lineRule="auto"/>
        <w:ind w:right="-331" w:firstLine="567"/>
        <w:jc w:val="both"/>
        <w:rPr>
          <w:rFonts w:ascii="Times New Roman" w:hAnsi="Times New Roman" w:cs="Times New Roman"/>
        </w:rPr>
      </w:pPr>
    </w:p>
    <w:p w:rsidR="005105C9" w:rsidRPr="00581B3B" w:rsidRDefault="005105C9" w:rsidP="00392D11">
      <w:pPr>
        <w:jc w:val="both"/>
        <w:rPr>
          <w:rFonts w:ascii="Times New Roman" w:hAnsi="Times New Roman"/>
          <w:sz w:val="24"/>
          <w:szCs w:val="24"/>
        </w:rPr>
      </w:pPr>
      <w:r w:rsidRPr="00581B3B">
        <w:rPr>
          <w:rFonts w:ascii="Times New Roman" w:hAnsi="Times New Roman"/>
          <w:sz w:val="24"/>
          <w:szCs w:val="24"/>
        </w:rPr>
        <w:t xml:space="preserve">Всички проекти, </w:t>
      </w:r>
      <w:r w:rsidR="00BC0B8E" w:rsidRPr="00581B3B">
        <w:rPr>
          <w:rFonts w:ascii="Times New Roman" w:hAnsi="Times New Roman"/>
          <w:sz w:val="24"/>
          <w:szCs w:val="24"/>
        </w:rPr>
        <w:t>включващи</w:t>
      </w:r>
      <w:r w:rsidRPr="00581B3B">
        <w:rPr>
          <w:rFonts w:ascii="Times New Roman" w:hAnsi="Times New Roman"/>
          <w:sz w:val="24"/>
          <w:szCs w:val="24"/>
        </w:rPr>
        <w:t xml:space="preserve"> инвестиции в енергия от възобновяеми източници и спестяване на енергия, могат да бъдат насочени и отчетени в тази фокус област.</w:t>
      </w:r>
    </w:p>
    <w:p w:rsidR="005105C9" w:rsidRPr="00581B3B" w:rsidRDefault="005105C9" w:rsidP="00392D11">
      <w:pPr>
        <w:jc w:val="both"/>
        <w:rPr>
          <w:rFonts w:ascii="Times New Roman" w:hAnsi="Times New Roman"/>
          <w:sz w:val="24"/>
          <w:szCs w:val="24"/>
        </w:rPr>
      </w:pPr>
      <w:r w:rsidRPr="00581B3B">
        <w:rPr>
          <w:rFonts w:ascii="Times New Roman" w:hAnsi="Times New Roman"/>
          <w:sz w:val="24"/>
          <w:szCs w:val="24"/>
        </w:rPr>
        <w:t>След проведени три приема по подмярка 7.2</w:t>
      </w:r>
      <w:r w:rsidR="005E39D0" w:rsidRPr="00581B3B">
        <w:rPr>
          <w:rFonts w:ascii="Times New Roman" w:hAnsi="Times New Roman"/>
          <w:sz w:val="24"/>
          <w:szCs w:val="24"/>
        </w:rPr>
        <w:t xml:space="preserve">, с общ бюджет на приемите 540 </w:t>
      </w:r>
      <w:r w:rsidRPr="00581B3B">
        <w:rPr>
          <w:rFonts w:ascii="Times New Roman" w:hAnsi="Times New Roman"/>
          <w:sz w:val="24"/>
          <w:szCs w:val="24"/>
        </w:rPr>
        <w:t>млн. евро, към момента се очертава известна липса на интерес от страна на бенефициентите в гореописаните инвестиции – във фокус област 5В, при налични 70 млн. евро, налице е само един договор, за 0.3 млн. евро публични средства. В рамките на последния прием, след процедура за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се очаква да бъдат договорени още до 15</w:t>
      </w:r>
      <w:r w:rsidR="005E39D0" w:rsidRPr="00581B3B">
        <w:rPr>
          <w:rFonts w:ascii="Times New Roman" w:hAnsi="Times New Roman"/>
          <w:sz w:val="24"/>
          <w:szCs w:val="24"/>
        </w:rPr>
        <w:t>-16</w:t>
      </w:r>
      <w:r w:rsidRPr="00581B3B">
        <w:rPr>
          <w:rFonts w:ascii="Times New Roman" w:hAnsi="Times New Roman"/>
          <w:sz w:val="24"/>
          <w:szCs w:val="24"/>
        </w:rPr>
        <w:t xml:space="preserve"> млн. евро публични средства, които след изпълнение на проектите и обществените поръчки по тях се очаква да намалеят с около 6-10%.</w:t>
      </w:r>
    </w:p>
    <w:p w:rsidR="008B0F35" w:rsidRPr="00581B3B" w:rsidRDefault="005105C9" w:rsidP="00392D11">
      <w:pPr>
        <w:jc w:val="both"/>
        <w:rPr>
          <w:rFonts w:ascii="Times New Roman" w:hAnsi="Times New Roman"/>
          <w:sz w:val="24"/>
          <w:szCs w:val="24"/>
        </w:rPr>
      </w:pPr>
      <w:r w:rsidRPr="00581B3B">
        <w:rPr>
          <w:rFonts w:ascii="Times New Roman" w:hAnsi="Times New Roman"/>
          <w:sz w:val="24"/>
          <w:szCs w:val="24"/>
        </w:rPr>
        <w:t>В тази връзка, и тъй като средствата като обем реално са договорени, но за други инвестиции, в друг приоритет (шести), предложение</w:t>
      </w:r>
      <w:r w:rsidR="00BC0B8E" w:rsidRPr="00581B3B">
        <w:rPr>
          <w:rFonts w:ascii="Times New Roman" w:hAnsi="Times New Roman"/>
          <w:sz w:val="24"/>
          <w:szCs w:val="24"/>
        </w:rPr>
        <w:t>то на УО</w:t>
      </w:r>
      <w:r w:rsidRPr="00581B3B">
        <w:rPr>
          <w:rFonts w:ascii="Times New Roman" w:hAnsi="Times New Roman"/>
          <w:sz w:val="24"/>
          <w:szCs w:val="24"/>
        </w:rPr>
        <w:t xml:space="preserve"> е средства в размер на 55 млн. евро публични средства да бъдат прехвърлени от Приоритет 5, ФО 5С към Шести приоритет – фокус област 6В, като част от изменението, несвързана с прехвърляне на суми между мерки.</w:t>
      </w:r>
    </w:p>
    <w:p w:rsidR="000B0877" w:rsidRPr="00581B3B" w:rsidRDefault="00B80D9D" w:rsidP="00B35E6D">
      <w:pPr>
        <w:pStyle w:val="Heading2"/>
        <w:numPr>
          <w:ilvl w:val="0"/>
          <w:numId w:val="0"/>
        </w:numPr>
      </w:pPr>
      <w:bookmarkStart w:id="38" w:name="_Toc130370341"/>
      <w:r w:rsidRPr="00581B3B">
        <w:lastRenderedPageBreak/>
        <w:t>III</w:t>
      </w:r>
      <w:r w:rsidR="00E00D70" w:rsidRPr="00581B3B">
        <w:t>. Нестартиране на Подмярка 12.2. „Компенсаторни плащания за гори в Натура 2000“ и Подмярка 12.3. „Компенсаторни плащания за земеделски площи в речен басейн с план за управление“, първоначално предвидени за прилагане по ПРСР 2014-2020</w:t>
      </w:r>
      <w:bookmarkEnd w:id="38"/>
    </w:p>
    <w:p w:rsidR="004C3931" w:rsidRPr="00581B3B" w:rsidRDefault="00C71A0F" w:rsidP="00B35E6D">
      <w:pPr>
        <w:pStyle w:val="Heading2"/>
        <w:numPr>
          <w:ilvl w:val="0"/>
          <w:numId w:val="0"/>
        </w:numPr>
      </w:pPr>
      <w:bookmarkStart w:id="39" w:name="_Toc130370342"/>
      <w:r>
        <w:t>Подмярка 12.2. „</w:t>
      </w:r>
      <w:r w:rsidR="004C3931" w:rsidRPr="00581B3B">
        <w:t>Компенсаторни плащания за гори в Натура 2000“</w:t>
      </w:r>
      <w:bookmarkEnd w:id="39"/>
    </w:p>
    <w:p w:rsidR="004C3931" w:rsidRPr="00581B3B" w:rsidRDefault="004C3931" w:rsidP="00392D11">
      <w:pPr>
        <w:jc w:val="both"/>
        <w:rPr>
          <w:rFonts w:ascii="Times New Roman" w:hAnsi="Times New Roman"/>
          <w:sz w:val="24"/>
          <w:szCs w:val="24"/>
        </w:rPr>
      </w:pPr>
      <w:r w:rsidRPr="00581B3B">
        <w:rPr>
          <w:rFonts w:ascii="Times New Roman" w:hAnsi="Times New Roman"/>
          <w:sz w:val="24"/>
          <w:szCs w:val="24"/>
        </w:rPr>
        <w:t>Индикативният бюджет на подмярката е 1 871 02</w:t>
      </w:r>
      <w:r w:rsidR="009E7C01" w:rsidRPr="00581B3B">
        <w:rPr>
          <w:rFonts w:ascii="Times New Roman" w:hAnsi="Times New Roman"/>
          <w:sz w:val="24"/>
          <w:szCs w:val="24"/>
        </w:rPr>
        <w:t>7</w:t>
      </w:r>
      <w:r w:rsidRPr="00581B3B">
        <w:rPr>
          <w:rFonts w:ascii="Times New Roman" w:hAnsi="Times New Roman"/>
          <w:sz w:val="24"/>
          <w:szCs w:val="24"/>
        </w:rPr>
        <w:t xml:space="preserve"> евро публични средства (1 403</w:t>
      </w:r>
      <w:r w:rsidR="009E7C01" w:rsidRPr="00581B3B">
        <w:rPr>
          <w:rFonts w:ascii="Times New Roman" w:hAnsi="Times New Roman"/>
          <w:sz w:val="24"/>
          <w:szCs w:val="24"/>
        </w:rPr>
        <w:t> </w:t>
      </w:r>
      <w:r w:rsidRPr="00581B3B">
        <w:rPr>
          <w:rFonts w:ascii="Times New Roman" w:hAnsi="Times New Roman"/>
          <w:sz w:val="24"/>
          <w:szCs w:val="24"/>
        </w:rPr>
        <w:t>270</w:t>
      </w:r>
      <w:r w:rsidR="009E7C01" w:rsidRPr="00581B3B">
        <w:rPr>
          <w:rFonts w:ascii="Times New Roman" w:hAnsi="Times New Roman"/>
          <w:sz w:val="24"/>
          <w:szCs w:val="24"/>
        </w:rPr>
        <w:t xml:space="preserve"> </w:t>
      </w:r>
      <w:r w:rsidRPr="00581B3B">
        <w:rPr>
          <w:rFonts w:ascii="Times New Roman" w:hAnsi="Times New Roman"/>
          <w:sz w:val="24"/>
          <w:szCs w:val="24"/>
        </w:rPr>
        <w:t xml:space="preserve">евро </w:t>
      </w:r>
      <w:r w:rsidR="009E7C01" w:rsidRPr="00581B3B">
        <w:rPr>
          <w:rFonts w:ascii="Times New Roman" w:hAnsi="Times New Roman"/>
          <w:sz w:val="24"/>
          <w:szCs w:val="24"/>
        </w:rPr>
        <w:t xml:space="preserve">от </w:t>
      </w:r>
      <w:r w:rsidRPr="00581B3B">
        <w:rPr>
          <w:rFonts w:ascii="Times New Roman" w:hAnsi="Times New Roman"/>
          <w:sz w:val="24"/>
          <w:szCs w:val="24"/>
        </w:rPr>
        <w:t>ЕЗФРСР, при интензитет 75%)</w:t>
      </w:r>
      <w:r w:rsidR="009E7C01" w:rsidRPr="00581B3B">
        <w:rPr>
          <w:rFonts w:ascii="Times New Roman" w:hAnsi="Times New Roman"/>
          <w:sz w:val="24"/>
          <w:szCs w:val="24"/>
        </w:rPr>
        <w:t>.</w:t>
      </w:r>
      <w:r w:rsidRPr="00581B3B">
        <w:rPr>
          <w:rFonts w:ascii="Times New Roman" w:hAnsi="Times New Roman"/>
          <w:sz w:val="24"/>
          <w:szCs w:val="24"/>
        </w:rPr>
        <w:t xml:space="preserve"> Във финансовия план на ПРСР 2014-2020 (гл. 10 “Финансов план“) същият е разпределен като част от общия бюджет, </w:t>
      </w:r>
      <w:r w:rsidR="009E7C01" w:rsidRPr="00581B3B">
        <w:rPr>
          <w:rFonts w:ascii="Times New Roman" w:hAnsi="Times New Roman"/>
          <w:sz w:val="24"/>
          <w:szCs w:val="24"/>
        </w:rPr>
        <w:t>разполагаем по Мярка 12</w:t>
      </w:r>
      <w:r w:rsidRPr="00581B3B">
        <w:rPr>
          <w:rFonts w:ascii="Times New Roman" w:hAnsi="Times New Roman"/>
          <w:sz w:val="24"/>
          <w:szCs w:val="24"/>
        </w:rPr>
        <w:t>.</w:t>
      </w:r>
    </w:p>
    <w:p w:rsidR="004C3931" w:rsidRPr="00581B3B" w:rsidRDefault="009E7C01" w:rsidP="00392D11">
      <w:pPr>
        <w:jc w:val="both"/>
        <w:rPr>
          <w:rFonts w:ascii="Times New Roman" w:hAnsi="Times New Roman"/>
          <w:sz w:val="24"/>
          <w:szCs w:val="24"/>
        </w:rPr>
      </w:pPr>
      <w:r w:rsidRPr="00581B3B">
        <w:rPr>
          <w:rFonts w:ascii="Times New Roman" w:hAnsi="Times New Roman"/>
          <w:sz w:val="24"/>
          <w:szCs w:val="24"/>
        </w:rPr>
        <w:t xml:space="preserve">Допустимите кандидати са частни горски стопани и </w:t>
      </w:r>
      <w:r w:rsidR="004C3931" w:rsidRPr="00581B3B">
        <w:rPr>
          <w:rFonts w:ascii="Times New Roman" w:hAnsi="Times New Roman"/>
          <w:sz w:val="24"/>
          <w:szCs w:val="24"/>
        </w:rPr>
        <w:t>сдруже</w:t>
      </w:r>
      <w:r w:rsidRPr="00581B3B">
        <w:rPr>
          <w:rFonts w:ascii="Times New Roman" w:hAnsi="Times New Roman"/>
          <w:sz w:val="24"/>
          <w:szCs w:val="24"/>
        </w:rPr>
        <w:t xml:space="preserve">ния на частните горски стопани. </w:t>
      </w:r>
      <w:r w:rsidR="004C3931" w:rsidRPr="00581B3B">
        <w:rPr>
          <w:rFonts w:ascii="Times New Roman" w:hAnsi="Times New Roman"/>
          <w:sz w:val="24"/>
          <w:szCs w:val="24"/>
        </w:rPr>
        <w:t>Обхватът на тази подмярка включва всички горски територии, попадащи в обхвата на защитените зони по Натура 2000</w:t>
      </w:r>
      <w:r w:rsidR="00296535" w:rsidRPr="00581B3B">
        <w:rPr>
          <w:rFonts w:ascii="Times New Roman" w:hAnsi="Times New Roman"/>
          <w:sz w:val="24"/>
          <w:szCs w:val="24"/>
        </w:rPr>
        <w:t>,</w:t>
      </w:r>
      <w:r w:rsidR="004C3931" w:rsidRPr="00581B3B">
        <w:rPr>
          <w:rFonts w:ascii="Times New Roman" w:hAnsi="Times New Roman"/>
          <w:sz w:val="24"/>
          <w:szCs w:val="24"/>
        </w:rPr>
        <w:t xml:space="preserve"> за които са издадени заповеди за обявяването им, с разписани конкретни режими/ограничения/забрани за горскостопански дейности.</w:t>
      </w:r>
    </w:p>
    <w:p w:rsidR="004C3931" w:rsidRPr="00581B3B" w:rsidRDefault="004C3931" w:rsidP="00392D11">
      <w:pPr>
        <w:jc w:val="both"/>
        <w:rPr>
          <w:rFonts w:ascii="Times New Roman" w:hAnsi="Times New Roman"/>
          <w:sz w:val="24"/>
          <w:szCs w:val="24"/>
        </w:rPr>
      </w:pPr>
      <w:r w:rsidRPr="00581B3B">
        <w:rPr>
          <w:rFonts w:ascii="Times New Roman" w:hAnsi="Times New Roman"/>
          <w:sz w:val="24"/>
          <w:szCs w:val="24"/>
        </w:rPr>
        <w:t xml:space="preserve">Подпомагането </w:t>
      </w:r>
      <w:r w:rsidR="009E7C01" w:rsidRPr="00581B3B">
        <w:rPr>
          <w:rFonts w:ascii="Times New Roman" w:hAnsi="Times New Roman"/>
          <w:sz w:val="24"/>
          <w:szCs w:val="24"/>
        </w:rPr>
        <w:t xml:space="preserve">би следвало да </w:t>
      </w:r>
      <w:r w:rsidRPr="00581B3B">
        <w:rPr>
          <w:rFonts w:ascii="Times New Roman" w:hAnsi="Times New Roman"/>
          <w:sz w:val="24"/>
          <w:szCs w:val="24"/>
        </w:rPr>
        <w:t xml:space="preserve">се предоставя под формата на годишни плащания на хектар горска територия за компенсиране на наложени режими/ограничения за горскостопански дейности включени в заповедта за обявяване на съответна зона от Натура 2000. </w:t>
      </w:r>
    </w:p>
    <w:p w:rsidR="004C3931" w:rsidRPr="00581B3B" w:rsidRDefault="004C3931" w:rsidP="00392D11">
      <w:pPr>
        <w:jc w:val="both"/>
        <w:rPr>
          <w:rFonts w:ascii="Times New Roman" w:hAnsi="Times New Roman"/>
          <w:sz w:val="24"/>
          <w:szCs w:val="24"/>
        </w:rPr>
      </w:pPr>
      <w:r w:rsidRPr="00581B3B">
        <w:rPr>
          <w:rFonts w:ascii="Times New Roman" w:hAnsi="Times New Roman"/>
          <w:sz w:val="24"/>
          <w:szCs w:val="24"/>
        </w:rPr>
        <w:t>Предложението на УО на ПРСР е за нестартиране на подмярката, и извеждането на бюджета към в</w:t>
      </w:r>
      <w:r w:rsidR="003F5888">
        <w:rPr>
          <w:rFonts w:ascii="Times New Roman" w:hAnsi="Times New Roman"/>
          <w:sz w:val="24"/>
          <w:szCs w:val="24"/>
        </w:rPr>
        <w:t xml:space="preserve">ече действащата подмярка 12.1, </w:t>
      </w:r>
      <w:r w:rsidRPr="00581B3B">
        <w:rPr>
          <w:rFonts w:ascii="Times New Roman" w:hAnsi="Times New Roman"/>
          <w:sz w:val="24"/>
          <w:szCs w:val="24"/>
        </w:rPr>
        <w:t xml:space="preserve">поради следните причини: </w:t>
      </w:r>
    </w:p>
    <w:p w:rsidR="009E7C01" w:rsidRPr="00581B3B" w:rsidRDefault="009E7C01" w:rsidP="0008374B">
      <w:pPr>
        <w:pStyle w:val="ListParagraph"/>
        <w:numPr>
          <w:ilvl w:val="0"/>
          <w:numId w:val="2"/>
        </w:numPr>
        <w:jc w:val="both"/>
        <w:rPr>
          <w:rFonts w:ascii="Times New Roman" w:hAnsi="Times New Roman"/>
          <w:sz w:val="24"/>
          <w:szCs w:val="24"/>
        </w:rPr>
      </w:pPr>
      <w:r w:rsidRPr="00581B3B">
        <w:rPr>
          <w:rFonts w:ascii="Times New Roman" w:hAnsi="Times New Roman"/>
          <w:sz w:val="24"/>
          <w:szCs w:val="24"/>
        </w:rPr>
        <w:lastRenderedPageBreak/>
        <w:t xml:space="preserve">Подмярката не е подробно разписана в ПРСР 2014-2020 г., съответно към момента не е одобрена от ЕК. Тези действия ще отнемат повече от 6 месеца, което обезсмисля стартирането </w:t>
      </w:r>
      <w:r w:rsidR="00296535" w:rsidRPr="00581B3B">
        <w:rPr>
          <w:rFonts w:ascii="Times New Roman" w:hAnsi="Times New Roman"/>
          <w:sz w:val="24"/>
          <w:szCs w:val="24"/>
        </w:rPr>
        <w:t>й</w:t>
      </w:r>
      <w:r w:rsidRPr="00581B3B">
        <w:rPr>
          <w:rFonts w:ascii="Times New Roman" w:hAnsi="Times New Roman"/>
          <w:sz w:val="24"/>
          <w:szCs w:val="24"/>
        </w:rPr>
        <w:t xml:space="preserve"> в самия край на програмния период.</w:t>
      </w:r>
    </w:p>
    <w:p w:rsidR="009E7C01" w:rsidRPr="00581B3B" w:rsidRDefault="004C3931" w:rsidP="001F7A3D">
      <w:pPr>
        <w:pStyle w:val="ListParagraph"/>
        <w:numPr>
          <w:ilvl w:val="0"/>
          <w:numId w:val="2"/>
        </w:numPr>
        <w:jc w:val="both"/>
        <w:rPr>
          <w:rFonts w:ascii="Times New Roman" w:hAnsi="Times New Roman"/>
          <w:sz w:val="24"/>
          <w:szCs w:val="24"/>
        </w:rPr>
      </w:pPr>
      <w:r w:rsidRPr="00581B3B">
        <w:rPr>
          <w:rFonts w:ascii="Times New Roman" w:hAnsi="Times New Roman"/>
          <w:sz w:val="24"/>
          <w:szCs w:val="24"/>
        </w:rPr>
        <w:t xml:space="preserve">Липсват данни за горските територии в географска информационна система (ГИС) и по такъв начин те не могат да бъдат въведени в ИСАК. Това е съществен недостатък, и сериозна пречка за прилагане на площни компенсаторни мерки, тъй като липсва адекватна система за контрол. </w:t>
      </w:r>
    </w:p>
    <w:p w:rsidR="004C3931" w:rsidRPr="00581B3B" w:rsidRDefault="004C3931" w:rsidP="00B35E6D">
      <w:pPr>
        <w:pStyle w:val="Heading2"/>
        <w:numPr>
          <w:ilvl w:val="0"/>
          <w:numId w:val="0"/>
        </w:numPr>
      </w:pPr>
      <w:bookmarkStart w:id="40" w:name="_Toc130370343"/>
      <w:r w:rsidRPr="00581B3B">
        <w:t>Подмярка 12.3. „Компенсаторни плащания за земеделски площи в речен басейн с план за управление“</w:t>
      </w:r>
      <w:bookmarkEnd w:id="40"/>
    </w:p>
    <w:p w:rsidR="004C3931" w:rsidRPr="00581B3B" w:rsidRDefault="004C3931" w:rsidP="00392D11">
      <w:pPr>
        <w:jc w:val="both"/>
        <w:rPr>
          <w:rFonts w:ascii="Times New Roman" w:hAnsi="Times New Roman"/>
          <w:sz w:val="24"/>
          <w:szCs w:val="24"/>
        </w:rPr>
      </w:pPr>
      <w:r w:rsidRPr="00581B3B">
        <w:rPr>
          <w:rFonts w:ascii="Times New Roman" w:hAnsi="Times New Roman" w:cs="Times New Roman"/>
          <w:sz w:val="24"/>
          <w:szCs w:val="24"/>
        </w:rPr>
        <w:t>Подмярката не е разработвана, индикативен бюджет не е определян.</w:t>
      </w:r>
    </w:p>
    <w:p w:rsidR="004C3931" w:rsidRPr="00581B3B" w:rsidRDefault="00296535" w:rsidP="00392D11">
      <w:pPr>
        <w:jc w:val="both"/>
        <w:rPr>
          <w:rFonts w:ascii="Times New Roman" w:hAnsi="Times New Roman"/>
          <w:sz w:val="24"/>
          <w:szCs w:val="24"/>
        </w:rPr>
      </w:pPr>
      <w:r w:rsidRPr="00581B3B">
        <w:rPr>
          <w:rFonts w:ascii="Times New Roman" w:hAnsi="Times New Roman"/>
          <w:sz w:val="24"/>
          <w:szCs w:val="24"/>
        </w:rPr>
        <w:t>Предложението на УО на ПРСР е</w:t>
      </w:r>
      <w:r w:rsidR="004C3931" w:rsidRPr="00581B3B">
        <w:rPr>
          <w:rFonts w:ascii="Times New Roman" w:hAnsi="Times New Roman"/>
          <w:sz w:val="24"/>
          <w:szCs w:val="24"/>
        </w:rPr>
        <w:t xml:space="preserve"> нестартиране на подмярката поради следните причини: </w:t>
      </w:r>
    </w:p>
    <w:p w:rsidR="004C3931" w:rsidRPr="00581B3B" w:rsidRDefault="004C3931" w:rsidP="0008374B">
      <w:pPr>
        <w:pStyle w:val="ListParagraph"/>
        <w:numPr>
          <w:ilvl w:val="0"/>
          <w:numId w:val="3"/>
        </w:numPr>
        <w:jc w:val="both"/>
        <w:rPr>
          <w:rFonts w:ascii="Times New Roman" w:hAnsi="Times New Roman"/>
          <w:sz w:val="24"/>
          <w:szCs w:val="24"/>
        </w:rPr>
      </w:pPr>
      <w:r w:rsidRPr="00581B3B">
        <w:rPr>
          <w:rFonts w:ascii="Times New Roman" w:hAnsi="Times New Roman"/>
          <w:sz w:val="24"/>
          <w:szCs w:val="24"/>
        </w:rPr>
        <w:t>Подмярката не е подробно разписана в ПРСР 2014-2020 г.</w:t>
      </w:r>
      <w:r w:rsidR="009E7C01" w:rsidRPr="00581B3B">
        <w:rPr>
          <w:rFonts w:ascii="Times New Roman" w:hAnsi="Times New Roman"/>
          <w:sz w:val="24"/>
          <w:szCs w:val="24"/>
        </w:rPr>
        <w:t xml:space="preserve">, съответно към момента </w:t>
      </w:r>
      <w:r w:rsidRPr="00581B3B">
        <w:rPr>
          <w:rFonts w:ascii="Times New Roman" w:hAnsi="Times New Roman"/>
          <w:sz w:val="24"/>
          <w:szCs w:val="24"/>
        </w:rPr>
        <w:t>не е одобр</w:t>
      </w:r>
      <w:r w:rsidR="009E7C01" w:rsidRPr="00581B3B">
        <w:rPr>
          <w:rFonts w:ascii="Times New Roman" w:hAnsi="Times New Roman"/>
          <w:sz w:val="24"/>
          <w:szCs w:val="24"/>
        </w:rPr>
        <w:t xml:space="preserve">ена </w:t>
      </w:r>
      <w:r w:rsidRPr="00581B3B">
        <w:rPr>
          <w:rFonts w:ascii="Times New Roman" w:hAnsi="Times New Roman"/>
          <w:sz w:val="24"/>
          <w:szCs w:val="24"/>
        </w:rPr>
        <w:t xml:space="preserve">от ЕК. Тези действия ще отнемат повече от 6 месеца, което обезсмисля стартирането </w:t>
      </w:r>
      <w:r w:rsidR="00296535" w:rsidRPr="00581B3B">
        <w:rPr>
          <w:rFonts w:ascii="Times New Roman" w:hAnsi="Times New Roman"/>
          <w:sz w:val="24"/>
          <w:szCs w:val="24"/>
        </w:rPr>
        <w:t>й</w:t>
      </w:r>
      <w:r w:rsidRPr="00581B3B">
        <w:rPr>
          <w:rFonts w:ascii="Times New Roman" w:hAnsi="Times New Roman"/>
          <w:sz w:val="24"/>
          <w:szCs w:val="24"/>
        </w:rPr>
        <w:t xml:space="preserve"> в самия край на програмния период.</w:t>
      </w:r>
    </w:p>
    <w:p w:rsidR="001A3E54" w:rsidRPr="00581B3B" w:rsidRDefault="001A3E54" w:rsidP="0008374B">
      <w:pPr>
        <w:pStyle w:val="ListParagraph"/>
        <w:numPr>
          <w:ilvl w:val="0"/>
          <w:numId w:val="3"/>
        </w:numPr>
        <w:jc w:val="both"/>
        <w:rPr>
          <w:rFonts w:ascii="Times New Roman" w:hAnsi="Times New Roman"/>
          <w:sz w:val="24"/>
          <w:szCs w:val="24"/>
        </w:rPr>
      </w:pPr>
      <w:r w:rsidRPr="00581B3B">
        <w:rPr>
          <w:rFonts w:ascii="Times New Roman" w:hAnsi="Times New Roman"/>
          <w:sz w:val="24"/>
          <w:szCs w:val="24"/>
        </w:rPr>
        <w:t>В съответствие с чл. 30 от Регламент 1305 от 2013 г. „Плащанията по „Натура 2000“ и Рамковата директива за водите</w:t>
      </w:r>
      <w:r w:rsidR="002E2760">
        <w:rPr>
          <w:rFonts w:ascii="Times New Roman" w:hAnsi="Times New Roman"/>
          <w:sz w:val="24"/>
          <w:szCs w:val="24"/>
        </w:rPr>
        <w:t>“</w:t>
      </w:r>
      <w:r w:rsidRPr="00581B3B">
        <w:rPr>
          <w:rFonts w:ascii="Times New Roman" w:hAnsi="Times New Roman"/>
          <w:sz w:val="24"/>
          <w:szCs w:val="24"/>
        </w:rPr>
        <w:t xml:space="preserve">, финансовата подкрепа по мярката се отпуска годишно за хектар земеделска земя, за да компенсира бенефициерите за допълнителните разходи и пропуснатите доходи, произтичащи от неблагоприятните условия във въпросните райони, свързани с изпълнението на Директива 92/43/ЕИО и Директива 2009/147/ЕО, както и на Рамковата директива за водите. </w:t>
      </w:r>
    </w:p>
    <w:p w:rsidR="001A3E54" w:rsidRPr="00581B3B" w:rsidRDefault="001A3E54" w:rsidP="00392D11">
      <w:pPr>
        <w:jc w:val="both"/>
        <w:rPr>
          <w:rFonts w:ascii="Times New Roman" w:hAnsi="Times New Roman" w:cs="Times New Roman"/>
          <w:sz w:val="24"/>
          <w:szCs w:val="24"/>
        </w:rPr>
      </w:pPr>
      <w:r w:rsidRPr="00581B3B">
        <w:rPr>
          <w:rFonts w:ascii="Times New Roman" w:hAnsi="Times New Roman" w:cs="Times New Roman"/>
          <w:sz w:val="24"/>
          <w:szCs w:val="24"/>
        </w:rPr>
        <w:lastRenderedPageBreak/>
        <w:t>Предложението за прехвърляне на планираните финансови средства се базира на изискванията, установени в параграф 4 на чл. 30 от Регламент 1305 от 2013 г., където е определено</w:t>
      </w:r>
      <w:r w:rsidR="00296535" w:rsidRPr="00581B3B">
        <w:rPr>
          <w:rFonts w:ascii="Times New Roman" w:hAnsi="Times New Roman" w:cs="Times New Roman"/>
          <w:sz w:val="24"/>
          <w:szCs w:val="24"/>
        </w:rPr>
        <w:t>,</w:t>
      </w:r>
      <w:r w:rsidRPr="00581B3B">
        <w:rPr>
          <w:rFonts w:ascii="Times New Roman" w:hAnsi="Times New Roman" w:cs="Times New Roman"/>
          <w:sz w:val="24"/>
          <w:szCs w:val="24"/>
        </w:rPr>
        <w:t xml:space="preserve"> че финансова подкрепа за земеделските стопани във връзка с Рамковата директива за водите може да се отпуска само по отношение на специфични изисквания, които са:</w:t>
      </w:r>
    </w:p>
    <w:p w:rsidR="001A3E54" w:rsidRPr="00581B3B" w:rsidRDefault="001A3E54" w:rsidP="0008374B">
      <w:pPr>
        <w:pStyle w:val="ListParagraph"/>
        <w:numPr>
          <w:ilvl w:val="0"/>
          <w:numId w:val="4"/>
        </w:numPr>
        <w:jc w:val="both"/>
        <w:rPr>
          <w:rFonts w:ascii="Times New Roman" w:hAnsi="Times New Roman" w:cs="Times New Roman"/>
          <w:sz w:val="24"/>
          <w:szCs w:val="24"/>
        </w:rPr>
      </w:pPr>
      <w:r w:rsidRPr="00581B3B">
        <w:rPr>
          <w:rFonts w:ascii="Times New Roman" w:hAnsi="Times New Roman" w:cs="Times New Roman"/>
          <w:sz w:val="24"/>
          <w:szCs w:val="24"/>
        </w:rPr>
        <w:t>въведени в Рамковата директива за водите и са в съответствие с програмите от мерки, които са част от плановете за управление на речните басейни и надхвърлят мерките, изисквани във връзка с прилагането на правото на Съюза в областта на защитата на водите;</w:t>
      </w:r>
    </w:p>
    <w:p w:rsidR="001A3E54" w:rsidRPr="00581B3B" w:rsidRDefault="001A3E54" w:rsidP="0008374B">
      <w:pPr>
        <w:pStyle w:val="ListParagraph"/>
        <w:numPr>
          <w:ilvl w:val="0"/>
          <w:numId w:val="4"/>
        </w:numPr>
        <w:jc w:val="both"/>
        <w:rPr>
          <w:rFonts w:ascii="Times New Roman" w:hAnsi="Times New Roman" w:cs="Times New Roman"/>
          <w:sz w:val="24"/>
          <w:szCs w:val="24"/>
        </w:rPr>
      </w:pPr>
      <w:r w:rsidRPr="00581B3B">
        <w:rPr>
          <w:rFonts w:ascii="Times New Roman" w:hAnsi="Times New Roman" w:cs="Times New Roman"/>
          <w:sz w:val="24"/>
          <w:szCs w:val="24"/>
        </w:rPr>
        <w:t>надхвърлят законоустановените изисквания за управление и стандартите за добро земеделско и екологично състояние, предвидени в глава I на дял VI от Регламент (ЕС) № 1306/2013, и приложимите критерии и минимални дейности, установени съгласно член 4, параграф 1, буква в), подточки ii) и iii) от Регламент (ЕС) № 1307/2013;</w:t>
      </w:r>
    </w:p>
    <w:p w:rsidR="001A3E54" w:rsidRPr="00581B3B" w:rsidRDefault="001A3E54" w:rsidP="0008374B">
      <w:pPr>
        <w:pStyle w:val="ListParagraph"/>
        <w:numPr>
          <w:ilvl w:val="0"/>
          <w:numId w:val="4"/>
        </w:numPr>
        <w:jc w:val="both"/>
        <w:rPr>
          <w:rFonts w:ascii="Times New Roman" w:hAnsi="Times New Roman" w:cs="Times New Roman"/>
          <w:sz w:val="24"/>
          <w:szCs w:val="24"/>
        </w:rPr>
      </w:pPr>
      <w:r w:rsidRPr="00581B3B">
        <w:rPr>
          <w:rFonts w:ascii="Times New Roman" w:hAnsi="Times New Roman" w:cs="Times New Roman"/>
          <w:sz w:val="24"/>
          <w:szCs w:val="24"/>
        </w:rPr>
        <w:t xml:space="preserve">надхвърлят равнището на защита, предвидено в действащото право на Съюза към момента на приемане на Рамковата директива за водите, както е установено в член 4, параграф 9 от същата директива; </w:t>
      </w:r>
    </w:p>
    <w:p w:rsidR="001A3E54" w:rsidRPr="00581B3B" w:rsidRDefault="001A3E54" w:rsidP="0008374B">
      <w:pPr>
        <w:pStyle w:val="ListParagraph"/>
        <w:numPr>
          <w:ilvl w:val="0"/>
          <w:numId w:val="4"/>
        </w:numPr>
        <w:jc w:val="both"/>
        <w:rPr>
          <w:rFonts w:ascii="Times New Roman" w:hAnsi="Times New Roman" w:cs="Times New Roman"/>
          <w:sz w:val="24"/>
          <w:szCs w:val="24"/>
        </w:rPr>
      </w:pPr>
      <w:r w:rsidRPr="00581B3B">
        <w:rPr>
          <w:rFonts w:ascii="Times New Roman" w:hAnsi="Times New Roman" w:cs="Times New Roman"/>
          <w:sz w:val="24"/>
          <w:szCs w:val="24"/>
        </w:rPr>
        <w:t>налагат съществени промени в начина на използване на земята и/или съществени ограничения в селскостопанската практика, които водят до значителна загуба на доходи.</w:t>
      </w:r>
    </w:p>
    <w:p w:rsidR="001A3E54" w:rsidRPr="00581B3B" w:rsidRDefault="001A3E54" w:rsidP="00392D11">
      <w:pPr>
        <w:jc w:val="both"/>
        <w:rPr>
          <w:rFonts w:ascii="Times New Roman" w:hAnsi="Times New Roman" w:cs="Times New Roman"/>
          <w:sz w:val="24"/>
          <w:szCs w:val="24"/>
        </w:rPr>
      </w:pPr>
      <w:r w:rsidRPr="00581B3B">
        <w:rPr>
          <w:rFonts w:ascii="Times New Roman" w:hAnsi="Times New Roman" w:cs="Times New Roman"/>
          <w:sz w:val="24"/>
          <w:szCs w:val="24"/>
        </w:rPr>
        <w:lastRenderedPageBreak/>
        <w:t xml:space="preserve">Приетите планове за управление на речните басейни 2016 – 2021 г. (ПУРБ) и програмите за изпълнението им не предвиждат мерки и дейности с компенсаторен характер, която </w:t>
      </w:r>
      <w:r w:rsidR="00903FC0" w:rsidRPr="00581B3B">
        <w:rPr>
          <w:rFonts w:ascii="Times New Roman" w:hAnsi="Times New Roman" w:cs="Times New Roman"/>
          <w:sz w:val="24"/>
          <w:szCs w:val="24"/>
        </w:rPr>
        <w:t xml:space="preserve">компенсация </w:t>
      </w:r>
      <w:r w:rsidRPr="00581B3B">
        <w:rPr>
          <w:rFonts w:ascii="Times New Roman" w:hAnsi="Times New Roman" w:cs="Times New Roman"/>
          <w:sz w:val="24"/>
          <w:szCs w:val="24"/>
        </w:rPr>
        <w:t>може да се отпуска в съответствие с изисквания</w:t>
      </w:r>
      <w:r w:rsidR="00903FC0" w:rsidRPr="00581B3B">
        <w:rPr>
          <w:rFonts w:ascii="Times New Roman" w:hAnsi="Times New Roman" w:cs="Times New Roman"/>
          <w:sz w:val="24"/>
          <w:szCs w:val="24"/>
        </w:rPr>
        <w:t>та</w:t>
      </w:r>
      <w:r w:rsidRPr="00581B3B">
        <w:rPr>
          <w:rFonts w:ascii="Times New Roman" w:hAnsi="Times New Roman" w:cs="Times New Roman"/>
          <w:sz w:val="24"/>
          <w:szCs w:val="24"/>
        </w:rPr>
        <w:t xml:space="preserve"> на параграф 1 на чл. 30 от </w:t>
      </w:r>
      <w:r w:rsidR="00903FC0" w:rsidRPr="00581B3B">
        <w:rPr>
          <w:rFonts w:ascii="Times New Roman" w:hAnsi="Times New Roman" w:cs="Times New Roman"/>
          <w:sz w:val="24"/>
          <w:szCs w:val="24"/>
        </w:rPr>
        <w:t xml:space="preserve">Регламент </w:t>
      </w:r>
      <w:r w:rsidRPr="00581B3B">
        <w:rPr>
          <w:rFonts w:ascii="Times New Roman" w:hAnsi="Times New Roman" w:cs="Times New Roman"/>
          <w:sz w:val="24"/>
          <w:szCs w:val="24"/>
        </w:rPr>
        <w:t>1305 от 2013 г. за хектар земеделска площ, за да компенсира бенефициерите за допълнителните разходи и пропуснатите доходи, произтичащи и свързани с изпълнението на Рамковата директива за водите.</w:t>
      </w:r>
    </w:p>
    <w:p w:rsidR="001A3E54" w:rsidRPr="00581B3B" w:rsidRDefault="001A3E54" w:rsidP="00392D11">
      <w:pPr>
        <w:jc w:val="both"/>
        <w:rPr>
          <w:rFonts w:ascii="Times New Roman" w:hAnsi="Times New Roman" w:cs="Times New Roman"/>
          <w:sz w:val="24"/>
          <w:szCs w:val="24"/>
        </w:rPr>
      </w:pPr>
      <w:r w:rsidRPr="00581B3B">
        <w:rPr>
          <w:rFonts w:ascii="Times New Roman" w:hAnsi="Times New Roman" w:cs="Times New Roman"/>
          <w:sz w:val="24"/>
          <w:szCs w:val="24"/>
        </w:rPr>
        <w:t xml:space="preserve">В програмите за изпълнение на плановете за управление на речните басейни 2016-2021 </w:t>
      </w:r>
      <w:r w:rsidR="00AA1817">
        <w:rPr>
          <w:rFonts w:ascii="Times New Roman" w:hAnsi="Times New Roman" w:cs="Times New Roman"/>
          <w:sz w:val="24"/>
          <w:szCs w:val="24"/>
        </w:rPr>
        <w:t xml:space="preserve">г. (ПУРБ) в частта „Земеделие“ </w:t>
      </w:r>
      <w:r w:rsidRPr="00581B3B">
        <w:rPr>
          <w:rFonts w:ascii="Times New Roman" w:hAnsi="Times New Roman" w:cs="Times New Roman"/>
          <w:sz w:val="24"/>
          <w:szCs w:val="24"/>
        </w:rPr>
        <w:t xml:space="preserve">не </w:t>
      </w:r>
      <w:r w:rsidR="00903FC0" w:rsidRPr="00581B3B">
        <w:rPr>
          <w:rFonts w:ascii="Times New Roman" w:hAnsi="Times New Roman" w:cs="Times New Roman"/>
          <w:sz w:val="24"/>
          <w:szCs w:val="24"/>
        </w:rPr>
        <w:t xml:space="preserve">се </w:t>
      </w:r>
      <w:r w:rsidRPr="00581B3B">
        <w:rPr>
          <w:rFonts w:ascii="Times New Roman" w:hAnsi="Times New Roman" w:cs="Times New Roman"/>
          <w:sz w:val="24"/>
          <w:szCs w:val="24"/>
        </w:rPr>
        <w:t>предвиждат ангажименти към земеделски площи, които да изискват от земеделските стопани при извършване на земеделска дейност да спазват допълнителни изисквания отвъд въведените задължения за кръстосано съответствие, т.е мерките и съответстващите им дейности са задължения в ДЗЕС и ЗИУ, и не могат да бъдат компенсирани в съответствие с предвиденото в параграф 4, чл. 30 от Регламент 1305 от 2013 г.</w:t>
      </w:r>
    </w:p>
    <w:p w:rsidR="003F3108" w:rsidRPr="00581B3B" w:rsidRDefault="001A3E54" w:rsidP="00392D11">
      <w:pPr>
        <w:jc w:val="both"/>
        <w:rPr>
          <w:rFonts w:ascii="Times New Roman" w:hAnsi="Times New Roman" w:cs="Times New Roman"/>
          <w:sz w:val="24"/>
          <w:szCs w:val="24"/>
        </w:rPr>
      </w:pPr>
      <w:r w:rsidRPr="00581B3B">
        <w:rPr>
          <w:rFonts w:ascii="Times New Roman" w:hAnsi="Times New Roman" w:cs="Times New Roman"/>
          <w:sz w:val="24"/>
          <w:szCs w:val="24"/>
        </w:rPr>
        <w:t>В допълнение, към настоящия</w:t>
      </w:r>
      <w:r w:rsidR="004936C3">
        <w:rPr>
          <w:rFonts w:ascii="Times New Roman" w:hAnsi="Times New Roman" w:cs="Times New Roman"/>
          <w:sz w:val="24"/>
          <w:szCs w:val="24"/>
        </w:rPr>
        <w:t>т</w:t>
      </w:r>
      <w:r w:rsidRPr="00581B3B">
        <w:rPr>
          <w:rFonts w:ascii="Times New Roman" w:hAnsi="Times New Roman" w:cs="Times New Roman"/>
          <w:sz w:val="24"/>
          <w:szCs w:val="24"/>
        </w:rPr>
        <w:t xml:space="preserve"> момент </w:t>
      </w:r>
      <w:r w:rsidR="004936C3">
        <w:rPr>
          <w:rFonts w:ascii="Times New Roman" w:hAnsi="Times New Roman" w:cs="Times New Roman"/>
          <w:sz w:val="24"/>
          <w:szCs w:val="24"/>
        </w:rPr>
        <w:t xml:space="preserve">са </w:t>
      </w:r>
      <w:r w:rsidRPr="00581B3B">
        <w:rPr>
          <w:rFonts w:ascii="Times New Roman" w:hAnsi="Times New Roman" w:cs="Times New Roman"/>
          <w:sz w:val="24"/>
          <w:szCs w:val="24"/>
        </w:rPr>
        <w:t>в процедура по приемане плановете за управление на речните басейни 2022 – 2027 г., но същите все още не са приети.</w:t>
      </w:r>
    </w:p>
    <w:p w:rsidR="005302EB" w:rsidRPr="00581B3B" w:rsidRDefault="00B80D9D" w:rsidP="00B35E6D">
      <w:pPr>
        <w:pStyle w:val="Heading2"/>
        <w:numPr>
          <w:ilvl w:val="0"/>
          <w:numId w:val="0"/>
        </w:numPr>
      </w:pPr>
      <w:bookmarkStart w:id="41" w:name="_Toc130370344"/>
      <w:r w:rsidRPr="00581B3B">
        <w:t>I</w:t>
      </w:r>
      <w:r w:rsidR="005302EB" w:rsidRPr="00581B3B">
        <w:t>V. Очаквано въздействие на изменението върху бюджета на ПРСР 2014-2020</w:t>
      </w:r>
      <w:bookmarkEnd w:id="41"/>
    </w:p>
    <w:p w:rsidR="00581B3B" w:rsidRPr="006129A2" w:rsidRDefault="00581B3B" w:rsidP="00581B3B">
      <w:pPr>
        <w:jc w:val="both"/>
        <w:rPr>
          <w:rFonts w:ascii="Times New Roman" w:hAnsi="Times New Roman"/>
          <w:sz w:val="24"/>
          <w:szCs w:val="24"/>
        </w:rPr>
      </w:pPr>
      <w:r w:rsidRPr="006129A2">
        <w:rPr>
          <w:rFonts w:ascii="Times New Roman" w:hAnsi="Times New Roman"/>
          <w:sz w:val="24"/>
          <w:szCs w:val="24"/>
        </w:rPr>
        <w:t xml:space="preserve">С настоящото предложение за изменение се предвижда извеждане на общо 128 406 916 евро от ЕЗФРСР (на тази сума отговарят 152 716 502 евро публични средства в мерките, от които се прави дедукцията), от гореописаните мерки и подмерки. </w:t>
      </w:r>
    </w:p>
    <w:p w:rsidR="00581B3B" w:rsidRPr="006129A2" w:rsidRDefault="00581B3B" w:rsidP="00581B3B">
      <w:pPr>
        <w:jc w:val="both"/>
        <w:rPr>
          <w:rFonts w:ascii="Times New Roman" w:hAnsi="Times New Roman"/>
          <w:sz w:val="24"/>
          <w:szCs w:val="24"/>
        </w:rPr>
      </w:pPr>
      <w:r w:rsidRPr="006129A2">
        <w:rPr>
          <w:rFonts w:ascii="Times New Roman" w:hAnsi="Times New Roman"/>
          <w:sz w:val="24"/>
          <w:szCs w:val="24"/>
        </w:rPr>
        <w:lastRenderedPageBreak/>
        <w:t>На същата сума ЕЗФРСР, прехвърлена към предложените мерки/подмерки, отговарят 153 419 901 евро публични средства, поради различния интензитет на ЕЗФРСР за някои от мерките.</w:t>
      </w:r>
    </w:p>
    <w:p w:rsidR="005302EB" w:rsidRPr="00581B3B" w:rsidRDefault="00581B3B" w:rsidP="00581B3B">
      <w:pPr>
        <w:jc w:val="both"/>
        <w:rPr>
          <w:rFonts w:ascii="Times New Roman" w:hAnsi="Times New Roman"/>
          <w:sz w:val="24"/>
          <w:szCs w:val="24"/>
        </w:rPr>
      </w:pPr>
      <w:r w:rsidRPr="006129A2">
        <w:rPr>
          <w:rFonts w:ascii="Times New Roman" w:hAnsi="Times New Roman"/>
          <w:sz w:val="24"/>
          <w:szCs w:val="24"/>
        </w:rPr>
        <w:t>Като резултат, разполагаемите средства от ЕЗФРСР остават без промяна – а именно 3 129 044 775 общо за ПРСР 2014-2020, а публичната помощ намалява с 3 571 569 евро публични средства, от 3 793 119 534 евро до 3 789 547 966 евро публични средства. В тази връзка, промяната не оказва негативно влияние нито върху европейския, нито върху държавния бюджет.</w:t>
      </w:r>
    </w:p>
    <w:p w:rsidR="00141594" w:rsidRPr="00581B3B" w:rsidRDefault="00141594" w:rsidP="00B35E6D">
      <w:pPr>
        <w:pStyle w:val="Heading2"/>
        <w:numPr>
          <w:ilvl w:val="0"/>
          <w:numId w:val="0"/>
        </w:numPr>
      </w:pPr>
      <w:bookmarkStart w:id="42" w:name="_Toc130370345"/>
      <w:r w:rsidRPr="00581B3B">
        <w:t>V. Очаквано въздействие на изменението върху показателите</w:t>
      </w:r>
      <w:bookmarkEnd w:id="42"/>
    </w:p>
    <w:p w:rsidR="00141594" w:rsidRPr="00581B3B" w:rsidRDefault="00141594" w:rsidP="00392D11">
      <w:pPr>
        <w:jc w:val="both"/>
        <w:rPr>
          <w:rFonts w:ascii="Times New Roman" w:hAnsi="Times New Roman"/>
          <w:sz w:val="24"/>
          <w:szCs w:val="24"/>
        </w:rPr>
      </w:pPr>
      <w:r w:rsidRPr="00581B3B">
        <w:rPr>
          <w:rFonts w:ascii="Times New Roman" w:hAnsi="Times New Roman"/>
          <w:sz w:val="24"/>
          <w:szCs w:val="24"/>
        </w:rPr>
        <w:t xml:space="preserve">Прехвърлянето на средства от Подмярка 7.3. </w:t>
      </w:r>
      <w:r w:rsidR="00903FC0" w:rsidRPr="00581B3B">
        <w:rPr>
          <w:rFonts w:ascii="Times New Roman" w:hAnsi="Times New Roman"/>
          <w:sz w:val="24"/>
          <w:szCs w:val="24"/>
        </w:rPr>
        <w:t>„</w:t>
      </w:r>
      <w:r w:rsidRPr="00581B3B">
        <w:rPr>
          <w:rFonts w:ascii="Times New Roman" w:hAnsi="Times New Roman"/>
          <w:sz w:val="24"/>
          <w:szCs w:val="24"/>
        </w:rPr>
        <w:t>Широколентова инфраструктура, включително нейното създаване, подобрение и разширяване</w:t>
      </w:r>
      <w:r w:rsidR="00903FC0" w:rsidRPr="00581B3B">
        <w:rPr>
          <w:rFonts w:ascii="Times New Roman" w:hAnsi="Times New Roman"/>
          <w:sz w:val="24"/>
          <w:szCs w:val="24"/>
        </w:rPr>
        <w:t>“</w:t>
      </w:r>
      <w:r w:rsidRPr="00581B3B">
        <w:rPr>
          <w:rFonts w:ascii="Times New Roman" w:hAnsi="Times New Roman"/>
          <w:sz w:val="24"/>
          <w:szCs w:val="24"/>
        </w:rPr>
        <w:t xml:space="preserve"> се предвижда да доведе до необходимост от промяна в целевите стойности на показателите за изпълнение, в т.ч. ключовите индикатори на ПРСР 2014-2020, тъй като средствата, разпределени за тази подмярка са единствените так</w:t>
      </w:r>
      <w:r w:rsidR="00ED77CB" w:rsidRPr="00581B3B">
        <w:rPr>
          <w:rFonts w:ascii="Times New Roman" w:hAnsi="Times New Roman"/>
          <w:sz w:val="24"/>
          <w:szCs w:val="24"/>
        </w:rPr>
        <w:t xml:space="preserve">ива във фокус област </w:t>
      </w:r>
      <w:r w:rsidRPr="00581B3B">
        <w:rPr>
          <w:rFonts w:ascii="Times New Roman" w:hAnsi="Times New Roman"/>
          <w:sz w:val="24"/>
          <w:szCs w:val="24"/>
        </w:rPr>
        <w:t xml:space="preserve">6В) „Подобряване на достъпа до информационни и комуникационни технологии (ИКТ), използването и качеството им в селските райони“. </w:t>
      </w:r>
    </w:p>
    <w:p w:rsidR="00141594" w:rsidRPr="00581B3B" w:rsidRDefault="00141594" w:rsidP="00392D11">
      <w:pPr>
        <w:jc w:val="both"/>
        <w:rPr>
          <w:rFonts w:ascii="Times New Roman" w:hAnsi="Times New Roman"/>
          <w:sz w:val="24"/>
          <w:szCs w:val="24"/>
        </w:rPr>
      </w:pPr>
      <w:r w:rsidRPr="00581B3B">
        <w:rPr>
          <w:rFonts w:ascii="Times New Roman" w:hAnsi="Times New Roman"/>
          <w:sz w:val="24"/>
          <w:szCs w:val="24"/>
        </w:rPr>
        <w:t>От промяната ще бъдат повлияни показателите „Брой жители, които се ползват от нова или подобрена ИТ инфраструктура (напр. широколентов интернет)“, „Общо публични разходи (в евро)“, „Брой операции, получаващи подкрепа за инвестиции в широколентова инфраструктура и достъп до нея, в т.ч. електронно правителство (7.3)“, както и показателят T24 „Процент от населението в селските райони, което се възползва от нови или подобрени услуги/инфраструктура (ИКТ) (област с поставен акцент 6В)“.</w:t>
      </w:r>
    </w:p>
    <w:p w:rsidR="00141594" w:rsidRPr="00581B3B" w:rsidRDefault="00141594" w:rsidP="00392D11">
      <w:pPr>
        <w:jc w:val="both"/>
        <w:rPr>
          <w:rFonts w:ascii="Times New Roman" w:hAnsi="Times New Roman"/>
          <w:sz w:val="24"/>
          <w:szCs w:val="24"/>
        </w:rPr>
      </w:pPr>
      <w:r w:rsidRPr="00581B3B">
        <w:rPr>
          <w:rFonts w:ascii="Times New Roman" w:hAnsi="Times New Roman"/>
          <w:sz w:val="24"/>
          <w:szCs w:val="24"/>
        </w:rPr>
        <w:lastRenderedPageBreak/>
        <w:t xml:space="preserve">С тази промяна, изменението на ПРСР 2014-2020 се предвижда да бъде окачествено като „стратегическо“ – съгласно чл. 11, т. а), i) от </w:t>
      </w:r>
      <w:r w:rsidR="00903FC0" w:rsidRPr="00581B3B">
        <w:rPr>
          <w:rFonts w:ascii="Times New Roman" w:hAnsi="Times New Roman"/>
          <w:sz w:val="24"/>
          <w:szCs w:val="24"/>
        </w:rPr>
        <w:t>Регламент</w:t>
      </w:r>
      <w:r w:rsidRPr="00581B3B">
        <w:rPr>
          <w:rFonts w:ascii="Times New Roman" w:hAnsi="Times New Roman"/>
          <w:sz w:val="24"/>
          <w:szCs w:val="24"/>
        </w:rPr>
        <w:t xml:space="preserve"> № 1305/2013 - „i) промяна в програмната стратегия чрез промяна с повече от 50 % в количествено изразен резултат, свърз</w:t>
      </w:r>
      <w:r w:rsidR="001F7A3D" w:rsidRPr="00581B3B">
        <w:rPr>
          <w:rFonts w:ascii="Times New Roman" w:hAnsi="Times New Roman"/>
          <w:sz w:val="24"/>
          <w:szCs w:val="24"/>
        </w:rPr>
        <w:t>ан с област с поставен акцент“.</w:t>
      </w:r>
    </w:p>
    <w:p w:rsidR="002C2EE6" w:rsidRPr="00581B3B" w:rsidRDefault="002C2EE6" w:rsidP="00392D11">
      <w:pPr>
        <w:jc w:val="both"/>
        <w:rPr>
          <w:rFonts w:ascii="Times New Roman" w:hAnsi="Times New Roman"/>
          <w:sz w:val="24"/>
          <w:szCs w:val="24"/>
        </w:rPr>
      </w:pPr>
      <w:r w:rsidRPr="00581B3B">
        <w:rPr>
          <w:rFonts w:ascii="Times New Roman" w:hAnsi="Times New Roman"/>
          <w:sz w:val="24"/>
          <w:szCs w:val="24"/>
        </w:rPr>
        <w:t xml:space="preserve">Във връзка с прехвърлянето вътре в подмярка 7.2. „Инвестиции в създаването, подобряването или разширяването на всички видове малка по мащаби инфраструктура“, от фокус област 5С (5В на кирилица)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 където при програмирането на ПРСР е предвидено по подмярка 7.2 да се подпомагат публични проекти за инвестиции във ВЕИ за собствено потребление, към Шести приоритет на Програмата – фокус област 6Б) „Стимулиране на местното развитие в селските райони“, </w:t>
      </w:r>
      <w:r w:rsidR="00903FC0" w:rsidRPr="00581B3B">
        <w:rPr>
          <w:rFonts w:ascii="Times New Roman" w:hAnsi="Times New Roman"/>
          <w:sz w:val="24"/>
          <w:szCs w:val="24"/>
        </w:rPr>
        <w:t>се</w:t>
      </w:r>
      <w:r w:rsidRPr="00581B3B">
        <w:rPr>
          <w:rFonts w:ascii="Times New Roman" w:hAnsi="Times New Roman"/>
          <w:sz w:val="24"/>
          <w:szCs w:val="24"/>
        </w:rPr>
        <w:t xml:space="preserve"> намалява</w:t>
      </w:r>
      <w:r w:rsidR="00903FC0" w:rsidRPr="00581B3B">
        <w:rPr>
          <w:rFonts w:ascii="Times New Roman" w:hAnsi="Times New Roman"/>
          <w:sz w:val="24"/>
          <w:szCs w:val="24"/>
        </w:rPr>
        <w:t xml:space="preserve"> </w:t>
      </w:r>
      <w:r w:rsidRPr="00581B3B">
        <w:rPr>
          <w:rFonts w:ascii="Times New Roman" w:hAnsi="Times New Roman"/>
          <w:sz w:val="24"/>
          <w:szCs w:val="24"/>
        </w:rPr>
        <w:t>показателят за брой проекти от 120 на 40, и съответно сумите от 70 млн. евро до 15 млн. евро във фокус област 5В, както и съответното увеличение на сумите с 55 млн. евро и 40 броя във фокус област 6Б) „Стимулиране на местното развитие в селските р</w:t>
      </w:r>
      <w:r w:rsidR="001F7A3D" w:rsidRPr="00581B3B">
        <w:rPr>
          <w:rFonts w:ascii="Times New Roman" w:hAnsi="Times New Roman"/>
          <w:sz w:val="24"/>
          <w:szCs w:val="24"/>
        </w:rPr>
        <w:t>айони“ по отношение на Мярка 7.</w:t>
      </w:r>
    </w:p>
    <w:p w:rsidR="002C2EE6" w:rsidRPr="00581B3B" w:rsidRDefault="002C2EE6" w:rsidP="00392D11">
      <w:pPr>
        <w:jc w:val="both"/>
        <w:rPr>
          <w:rFonts w:ascii="Times New Roman" w:hAnsi="Times New Roman"/>
          <w:sz w:val="24"/>
          <w:szCs w:val="24"/>
        </w:rPr>
      </w:pPr>
      <w:r w:rsidRPr="00581B3B">
        <w:rPr>
          <w:rFonts w:ascii="Times New Roman" w:hAnsi="Times New Roman"/>
          <w:sz w:val="24"/>
          <w:szCs w:val="24"/>
        </w:rPr>
        <w:t xml:space="preserve">По отношение на предложените за извеждане </w:t>
      </w:r>
      <w:r w:rsidR="00903FC0" w:rsidRPr="00581B3B">
        <w:rPr>
          <w:rFonts w:ascii="Times New Roman" w:hAnsi="Times New Roman"/>
          <w:sz w:val="24"/>
          <w:szCs w:val="24"/>
        </w:rPr>
        <w:t xml:space="preserve">средства </w:t>
      </w:r>
      <w:r w:rsidRPr="00581B3B">
        <w:rPr>
          <w:rFonts w:ascii="Times New Roman" w:hAnsi="Times New Roman"/>
          <w:sz w:val="24"/>
          <w:szCs w:val="24"/>
        </w:rPr>
        <w:t xml:space="preserve">от мерки с плащане на площ - Мярка 10 </w:t>
      </w:r>
      <w:r w:rsidR="00903FC0" w:rsidRPr="00581B3B">
        <w:rPr>
          <w:rFonts w:ascii="Times New Roman" w:hAnsi="Times New Roman"/>
          <w:sz w:val="24"/>
          <w:szCs w:val="24"/>
        </w:rPr>
        <w:t>„</w:t>
      </w:r>
      <w:r w:rsidRPr="00581B3B">
        <w:rPr>
          <w:rFonts w:ascii="Times New Roman" w:hAnsi="Times New Roman"/>
          <w:sz w:val="24"/>
          <w:szCs w:val="24"/>
        </w:rPr>
        <w:t>Агроекология и климат</w:t>
      </w:r>
      <w:r w:rsidR="00903FC0" w:rsidRPr="00581B3B">
        <w:rPr>
          <w:rFonts w:ascii="Times New Roman" w:hAnsi="Times New Roman"/>
          <w:sz w:val="24"/>
          <w:szCs w:val="24"/>
        </w:rPr>
        <w:t>“</w:t>
      </w:r>
      <w:r w:rsidRPr="00581B3B">
        <w:rPr>
          <w:rFonts w:ascii="Times New Roman" w:hAnsi="Times New Roman"/>
          <w:sz w:val="24"/>
          <w:szCs w:val="24"/>
        </w:rPr>
        <w:t xml:space="preserve">, Мярка 11 </w:t>
      </w:r>
      <w:r w:rsidR="00903FC0" w:rsidRPr="00581B3B">
        <w:rPr>
          <w:rFonts w:ascii="Times New Roman" w:hAnsi="Times New Roman"/>
          <w:sz w:val="24"/>
          <w:szCs w:val="24"/>
        </w:rPr>
        <w:t>„</w:t>
      </w:r>
      <w:r w:rsidRPr="00581B3B">
        <w:rPr>
          <w:rFonts w:ascii="Times New Roman" w:hAnsi="Times New Roman"/>
          <w:sz w:val="24"/>
          <w:szCs w:val="24"/>
        </w:rPr>
        <w:t>Биологично земеделие</w:t>
      </w:r>
      <w:r w:rsidR="00903FC0" w:rsidRPr="00581B3B">
        <w:rPr>
          <w:rFonts w:ascii="Times New Roman" w:hAnsi="Times New Roman"/>
          <w:sz w:val="24"/>
          <w:szCs w:val="24"/>
        </w:rPr>
        <w:t>“</w:t>
      </w:r>
      <w:r w:rsidR="004936C3">
        <w:rPr>
          <w:rFonts w:ascii="Times New Roman" w:hAnsi="Times New Roman"/>
          <w:sz w:val="24"/>
          <w:szCs w:val="24"/>
        </w:rPr>
        <w:t xml:space="preserve"> и</w:t>
      </w:r>
      <w:r w:rsidR="007C4849">
        <w:rPr>
          <w:rFonts w:ascii="Times New Roman" w:hAnsi="Times New Roman"/>
          <w:sz w:val="24"/>
          <w:szCs w:val="24"/>
        </w:rPr>
        <w:t xml:space="preserve"> Мярка 12 „</w:t>
      </w:r>
      <w:r w:rsidRPr="00581B3B">
        <w:rPr>
          <w:rFonts w:ascii="Times New Roman" w:hAnsi="Times New Roman"/>
          <w:sz w:val="24"/>
          <w:szCs w:val="24"/>
        </w:rPr>
        <w:t xml:space="preserve">Плащания по „Натура-2000” и Рамковата директива за водите“ промяната във финансовите параметри на тези мерки не се предвижда да повлияе на заложените стратегически цели за площ </w:t>
      </w:r>
      <w:r w:rsidR="009E7C01" w:rsidRPr="00581B3B">
        <w:rPr>
          <w:rFonts w:ascii="Times New Roman" w:hAnsi="Times New Roman"/>
          <w:sz w:val="24"/>
          <w:szCs w:val="24"/>
        </w:rPr>
        <w:t xml:space="preserve">(с изключение на извеждането на показателите, заложени предварително в системата за нестартиралата подмярка 12.2, които са разпределени в Приоритет 4) </w:t>
      </w:r>
      <w:r w:rsidRPr="00581B3B">
        <w:rPr>
          <w:rFonts w:ascii="Times New Roman" w:hAnsi="Times New Roman"/>
          <w:sz w:val="24"/>
          <w:szCs w:val="24"/>
        </w:rPr>
        <w:t xml:space="preserve">– т.е. показателите за площ </w:t>
      </w:r>
      <w:r w:rsidRPr="00581B3B">
        <w:rPr>
          <w:rFonts w:ascii="Times New Roman" w:hAnsi="Times New Roman"/>
          <w:sz w:val="24"/>
          <w:szCs w:val="24"/>
        </w:rPr>
        <w:lastRenderedPageBreak/>
        <w:t>не се предвижда да бъдат променяни, тъй ка</w:t>
      </w:r>
      <w:r w:rsidR="007C4849">
        <w:rPr>
          <w:rFonts w:ascii="Times New Roman" w:hAnsi="Times New Roman"/>
          <w:sz w:val="24"/>
          <w:szCs w:val="24"/>
        </w:rPr>
        <w:t xml:space="preserve">то </w:t>
      </w:r>
      <w:r w:rsidRPr="00581B3B">
        <w:rPr>
          <w:rFonts w:ascii="Times New Roman" w:hAnsi="Times New Roman"/>
          <w:sz w:val="24"/>
          <w:szCs w:val="24"/>
        </w:rPr>
        <w:t>цяло са постигнати в задоволителна степен</w:t>
      </w:r>
      <w:r w:rsidR="009E7C01" w:rsidRPr="00581B3B">
        <w:rPr>
          <w:rFonts w:ascii="Times New Roman" w:hAnsi="Times New Roman"/>
          <w:sz w:val="24"/>
          <w:szCs w:val="24"/>
        </w:rPr>
        <w:t xml:space="preserve"> за мерките, които са стартирали към момента</w:t>
      </w:r>
      <w:r w:rsidRPr="00581B3B">
        <w:rPr>
          <w:rFonts w:ascii="Times New Roman" w:hAnsi="Times New Roman"/>
          <w:sz w:val="24"/>
          <w:szCs w:val="24"/>
        </w:rPr>
        <w:t>, а и не се предвижда заявяване на площи много над текущо заявяваните по тези мерки. Единствените промени се предвижда да бъдат по отношение стойностите на показателите в чисто финансов аспект.</w:t>
      </w:r>
    </w:p>
    <w:p w:rsidR="005302EB" w:rsidRPr="00581B3B" w:rsidRDefault="005302EB" w:rsidP="00392D11">
      <w:pPr>
        <w:jc w:val="both"/>
        <w:rPr>
          <w:rFonts w:ascii="Times New Roman" w:hAnsi="Times New Roman"/>
          <w:sz w:val="24"/>
          <w:szCs w:val="24"/>
        </w:rPr>
      </w:pPr>
      <w:r w:rsidRPr="00581B3B">
        <w:rPr>
          <w:rFonts w:ascii="Times New Roman" w:hAnsi="Times New Roman"/>
          <w:sz w:val="24"/>
          <w:szCs w:val="24"/>
        </w:rPr>
        <w:t xml:space="preserve">Всички останали промени, свързани с прехвърляне на средства, ще окажат влияние единствено на показателите за продукт (output) и целевите показатели, които директно резултират от разпределени средства. </w:t>
      </w:r>
    </w:p>
    <w:p w:rsidR="005302EB" w:rsidRPr="00581B3B" w:rsidRDefault="005302EB" w:rsidP="00392D11">
      <w:pPr>
        <w:jc w:val="both"/>
        <w:rPr>
          <w:rFonts w:ascii="Times New Roman" w:hAnsi="Times New Roman"/>
          <w:sz w:val="24"/>
          <w:szCs w:val="24"/>
        </w:rPr>
      </w:pPr>
      <w:r w:rsidRPr="00581B3B">
        <w:rPr>
          <w:rFonts w:ascii="Times New Roman" w:hAnsi="Times New Roman"/>
          <w:sz w:val="24"/>
          <w:szCs w:val="24"/>
        </w:rPr>
        <w:t>Не се предвижда промяна на показателите, свързани със създаване на работни места, както и тези, свързани с площи.</w:t>
      </w:r>
    </w:p>
    <w:p w:rsidR="005302EB" w:rsidRPr="00581B3B" w:rsidRDefault="005302EB" w:rsidP="00392D11">
      <w:pPr>
        <w:jc w:val="both"/>
        <w:rPr>
          <w:rFonts w:ascii="Times New Roman" w:hAnsi="Times New Roman"/>
          <w:sz w:val="24"/>
          <w:szCs w:val="24"/>
        </w:rPr>
      </w:pPr>
      <w:r w:rsidRPr="00581B3B">
        <w:rPr>
          <w:rFonts w:ascii="Times New Roman" w:hAnsi="Times New Roman"/>
          <w:sz w:val="24"/>
          <w:szCs w:val="24"/>
        </w:rPr>
        <w:t>Като цяло за изменението, са отчетени и съобразени и изискванията на чл. 59, ал. 6 от Регламент 1305/2013, както и т.нар „backslide principle” (съгласно който тази сума трябва да бъде като съотношение над 35.7%). След всички планирани за прехвърляне суми между мерки и подмерки на ПРСР 2014-2020, по така направените изчисления, съотношението все още е в размер на 35.7</w:t>
      </w:r>
      <w:r w:rsidR="004936C3">
        <w:rPr>
          <w:rFonts w:ascii="Times New Roman" w:hAnsi="Times New Roman"/>
          <w:sz w:val="24"/>
          <w:szCs w:val="24"/>
        </w:rPr>
        <w:t>3</w:t>
      </w:r>
      <w:r w:rsidRPr="00581B3B">
        <w:rPr>
          <w:rFonts w:ascii="Times New Roman" w:hAnsi="Times New Roman"/>
          <w:sz w:val="24"/>
          <w:szCs w:val="24"/>
        </w:rPr>
        <w:t>%.</w:t>
      </w:r>
    </w:p>
    <w:p w:rsidR="008F2103" w:rsidRPr="00581B3B" w:rsidRDefault="008F2103">
      <w:pPr>
        <w:rPr>
          <w:rFonts w:ascii="Times New Roman" w:hAnsi="Times New Roman" w:cs="Times New Roman"/>
        </w:rPr>
      </w:pPr>
    </w:p>
    <w:sectPr w:rsidR="008F2103" w:rsidRPr="00581B3B" w:rsidSect="004D5558">
      <w:footerReference w:type="default" r:id="rId10"/>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A66" w:rsidRDefault="00721A66" w:rsidP="007C4F52">
      <w:pPr>
        <w:spacing w:after="0" w:line="240" w:lineRule="auto"/>
      </w:pPr>
      <w:r>
        <w:separator/>
      </w:r>
    </w:p>
  </w:endnote>
  <w:endnote w:type="continuationSeparator" w:id="0">
    <w:p w:rsidR="00721A66" w:rsidRDefault="00721A66" w:rsidP="007C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1852020114"/>
      <w:docPartObj>
        <w:docPartGallery w:val="Page Numbers (Bottom of Page)"/>
        <w:docPartUnique/>
      </w:docPartObj>
    </w:sdtPr>
    <w:sdtEndPr/>
    <w:sdtContent>
      <w:sdt>
        <w:sdtPr>
          <w:rPr>
            <w:rFonts w:ascii="Times New Roman" w:hAnsi="Times New Roman" w:cs="Times New Roman"/>
            <w:sz w:val="16"/>
            <w:szCs w:val="16"/>
          </w:rPr>
          <w:id w:val="860082579"/>
          <w:docPartObj>
            <w:docPartGallery w:val="Page Numbers (Top of Page)"/>
            <w:docPartUnique/>
          </w:docPartObj>
        </w:sdtPr>
        <w:sdtEndPr/>
        <w:sdtContent>
          <w:p w:rsidR="005D4B17" w:rsidRPr="00902B67" w:rsidRDefault="005D4B17">
            <w:pPr>
              <w:pStyle w:val="Footer"/>
              <w:jc w:val="right"/>
              <w:rPr>
                <w:rFonts w:ascii="Times New Roman" w:hAnsi="Times New Roman" w:cs="Times New Roman"/>
                <w:sz w:val="16"/>
                <w:szCs w:val="16"/>
              </w:rPr>
            </w:pPr>
            <w:r w:rsidRPr="00902B67">
              <w:rPr>
                <w:rFonts w:ascii="Times New Roman" w:hAnsi="Times New Roman" w:cs="Times New Roman"/>
                <w:sz w:val="16"/>
                <w:szCs w:val="16"/>
              </w:rPr>
              <w:t xml:space="preserve">Стр. </w:t>
            </w:r>
            <w:r w:rsidRPr="00902B67">
              <w:rPr>
                <w:rFonts w:ascii="Times New Roman" w:hAnsi="Times New Roman" w:cs="Times New Roman"/>
                <w:b/>
                <w:bCs/>
                <w:sz w:val="16"/>
                <w:szCs w:val="16"/>
              </w:rPr>
              <w:fldChar w:fldCharType="begin"/>
            </w:r>
            <w:r w:rsidRPr="00902B67">
              <w:rPr>
                <w:rFonts w:ascii="Times New Roman" w:hAnsi="Times New Roman" w:cs="Times New Roman"/>
                <w:b/>
                <w:bCs/>
                <w:sz w:val="16"/>
                <w:szCs w:val="16"/>
              </w:rPr>
              <w:instrText xml:space="preserve"> PAGE </w:instrText>
            </w:r>
            <w:r w:rsidRPr="00902B67">
              <w:rPr>
                <w:rFonts w:ascii="Times New Roman" w:hAnsi="Times New Roman" w:cs="Times New Roman"/>
                <w:b/>
                <w:bCs/>
                <w:sz w:val="16"/>
                <w:szCs w:val="16"/>
              </w:rPr>
              <w:fldChar w:fldCharType="separate"/>
            </w:r>
            <w:r w:rsidR="00B3235F">
              <w:rPr>
                <w:rFonts w:ascii="Times New Roman" w:hAnsi="Times New Roman" w:cs="Times New Roman"/>
                <w:b/>
                <w:bCs/>
                <w:noProof/>
                <w:sz w:val="16"/>
                <w:szCs w:val="16"/>
              </w:rPr>
              <w:t>1</w:t>
            </w:r>
            <w:r w:rsidRPr="00902B67">
              <w:rPr>
                <w:rFonts w:ascii="Times New Roman" w:hAnsi="Times New Roman" w:cs="Times New Roman"/>
                <w:b/>
                <w:bCs/>
                <w:sz w:val="16"/>
                <w:szCs w:val="16"/>
              </w:rPr>
              <w:fldChar w:fldCharType="end"/>
            </w:r>
            <w:r w:rsidRPr="00902B67">
              <w:rPr>
                <w:rFonts w:ascii="Times New Roman" w:hAnsi="Times New Roman" w:cs="Times New Roman"/>
                <w:sz w:val="16"/>
                <w:szCs w:val="16"/>
              </w:rPr>
              <w:t xml:space="preserve"> от </w:t>
            </w:r>
            <w:r w:rsidRPr="00902B67">
              <w:rPr>
                <w:rFonts w:ascii="Times New Roman" w:hAnsi="Times New Roman" w:cs="Times New Roman"/>
                <w:b/>
                <w:bCs/>
                <w:sz w:val="16"/>
                <w:szCs w:val="16"/>
              </w:rPr>
              <w:fldChar w:fldCharType="begin"/>
            </w:r>
            <w:r w:rsidRPr="00902B67">
              <w:rPr>
                <w:rFonts w:ascii="Times New Roman" w:hAnsi="Times New Roman" w:cs="Times New Roman"/>
                <w:b/>
                <w:bCs/>
                <w:sz w:val="16"/>
                <w:szCs w:val="16"/>
              </w:rPr>
              <w:instrText xml:space="preserve"> NUMPAGES  </w:instrText>
            </w:r>
            <w:r w:rsidRPr="00902B67">
              <w:rPr>
                <w:rFonts w:ascii="Times New Roman" w:hAnsi="Times New Roman" w:cs="Times New Roman"/>
                <w:b/>
                <w:bCs/>
                <w:sz w:val="16"/>
                <w:szCs w:val="16"/>
              </w:rPr>
              <w:fldChar w:fldCharType="separate"/>
            </w:r>
            <w:r w:rsidR="00B3235F">
              <w:rPr>
                <w:rFonts w:ascii="Times New Roman" w:hAnsi="Times New Roman" w:cs="Times New Roman"/>
                <w:b/>
                <w:bCs/>
                <w:noProof/>
                <w:sz w:val="16"/>
                <w:szCs w:val="16"/>
              </w:rPr>
              <w:t>1</w:t>
            </w:r>
            <w:r w:rsidRPr="00902B67">
              <w:rPr>
                <w:rFonts w:ascii="Times New Roman" w:hAnsi="Times New Roman" w:cs="Times New Roman"/>
                <w:b/>
                <w:bCs/>
                <w:sz w:val="16"/>
                <w:szCs w:val="16"/>
              </w:rPr>
              <w:fldChar w:fldCharType="end"/>
            </w:r>
          </w:p>
        </w:sdtContent>
      </w:sdt>
    </w:sdtContent>
  </w:sdt>
  <w:p w:rsidR="005D4B17" w:rsidRDefault="005D4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A66" w:rsidRDefault="00721A66" w:rsidP="007C4F52">
      <w:pPr>
        <w:spacing w:after="0" w:line="240" w:lineRule="auto"/>
      </w:pPr>
      <w:r>
        <w:separator/>
      </w:r>
    </w:p>
  </w:footnote>
  <w:footnote w:type="continuationSeparator" w:id="0">
    <w:p w:rsidR="00721A66" w:rsidRDefault="00721A66" w:rsidP="007C4F52">
      <w:pPr>
        <w:spacing w:after="0" w:line="240" w:lineRule="auto"/>
      </w:pPr>
      <w:r>
        <w:continuationSeparator/>
      </w:r>
    </w:p>
  </w:footnote>
  <w:footnote w:id="1">
    <w:p w:rsidR="005D4B17" w:rsidRPr="009041DB" w:rsidRDefault="005D4B17" w:rsidP="00B541DB">
      <w:pPr>
        <w:pStyle w:val="FootnoteText"/>
        <w:jc w:val="both"/>
      </w:pPr>
      <w:r w:rsidRPr="009041DB">
        <w:rPr>
          <w:rStyle w:val="FootnoteReference"/>
        </w:rPr>
        <w:footnoteRef/>
      </w:r>
      <w:r w:rsidRPr="009041DB">
        <w:t xml:space="preserve"> Чл. 117а. (Нов - ДВ, бр. 62 от 2022 г., в сила от 05.08.2022 г.) (1) В случаите по чл. 116, ал. 1, т. 1, 2 и 3 изменение на цената на договор за обществена поръчка в резултат на инфлация, при която съществено са увеличени цените на основни стоки и материали, които формират стойността на договора, се извършва съгласно методика, одобрена с акт на Министерския съвет.</w:t>
      </w:r>
    </w:p>
    <w:p w:rsidR="005D4B17" w:rsidRPr="009041DB" w:rsidRDefault="005D4B17" w:rsidP="00B541DB">
      <w:pPr>
        <w:pStyle w:val="FootnoteText"/>
        <w:jc w:val="both"/>
      </w:pPr>
      <w:r w:rsidRPr="009041DB">
        <w:t>(2) Когато в случаите по чл. 116, ал. 1, т. 1 възложителят предвижда клауза за изменение на цената във връзка с инфлацията по ал. 1, той може да обвърже тази клауза с методиката по ал. 1.</w:t>
      </w:r>
    </w:p>
  </w:footnote>
  <w:footnote w:id="2">
    <w:p w:rsidR="005D4B17" w:rsidRPr="003F7EA9" w:rsidRDefault="005D4B17" w:rsidP="00B541DB">
      <w:pPr>
        <w:pStyle w:val="FootnoteText"/>
        <w:jc w:val="both"/>
      </w:pPr>
      <w:r>
        <w:rPr>
          <w:rStyle w:val="FootnoteReference"/>
        </w:rPr>
        <w:footnoteRef/>
      </w:r>
      <w:r>
        <w:t xml:space="preserve"> </w:t>
      </w:r>
      <w:r w:rsidRPr="003F7EA9">
        <w:t>https://dv.parliament.bg/DVWeb/showMaterialDV.jsp?idMat=178473</w:t>
      </w:r>
    </w:p>
  </w:footnote>
  <w:footnote w:id="3">
    <w:p w:rsidR="005D4B17" w:rsidRPr="007C4F52" w:rsidRDefault="005D4B17" w:rsidP="00B35E6D">
      <w:pPr>
        <w:pStyle w:val="FootnoteText"/>
        <w:rPr>
          <w:rFonts w:ascii="Times New Roman" w:hAnsi="Times New Roman" w:cs="Times New Roman"/>
        </w:rPr>
      </w:pPr>
      <w:r w:rsidRPr="007C4F52">
        <w:rPr>
          <w:rStyle w:val="FootnoteReference"/>
          <w:rFonts w:ascii="Times New Roman" w:hAnsi="Times New Roman" w:cs="Times New Roman"/>
        </w:rPr>
        <w:footnoteRef/>
      </w:r>
      <w:r w:rsidRPr="007C4F52">
        <w:rPr>
          <w:rFonts w:ascii="Times New Roman" w:hAnsi="Times New Roman" w:cs="Times New Roman"/>
        </w:rPr>
        <w:t xml:space="preserve"> </w:t>
      </w:r>
      <w:r>
        <w:rPr>
          <w:rFonts w:ascii="Times New Roman" w:hAnsi="Times New Roman" w:cs="Times New Roman"/>
        </w:rPr>
        <w:t>Използваният к</w:t>
      </w:r>
      <w:r w:rsidRPr="007C4F52">
        <w:rPr>
          <w:rFonts w:ascii="Times New Roman" w:hAnsi="Times New Roman" w:cs="Times New Roman"/>
        </w:rPr>
        <w:t xml:space="preserve">урс на превалутиране </w:t>
      </w:r>
      <w:r>
        <w:rPr>
          <w:rFonts w:ascii="Times New Roman" w:hAnsi="Times New Roman" w:cs="Times New Roman"/>
        </w:rPr>
        <w:t>е този на</w:t>
      </w:r>
      <w:r w:rsidRPr="007C4F52">
        <w:rPr>
          <w:rFonts w:ascii="Times New Roman" w:hAnsi="Times New Roman" w:cs="Times New Roman"/>
        </w:rPr>
        <w:t xml:space="preserve"> ЕЦБ –</w:t>
      </w:r>
      <w:r>
        <w:rPr>
          <w:rFonts w:ascii="Times New Roman" w:hAnsi="Times New Roman" w:cs="Times New Roman"/>
        </w:rPr>
        <w:t xml:space="preserve"> 1:1,</w:t>
      </w:r>
      <w:r w:rsidRPr="007C4F52">
        <w:rPr>
          <w:rFonts w:ascii="Times New Roman" w:hAnsi="Times New Roman" w:cs="Times New Roman"/>
        </w:rPr>
        <w:t>9558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B7C"/>
    <w:multiLevelType w:val="hybridMultilevel"/>
    <w:tmpl w:val="FB9E68E4"/>
    <w:lvl w:ilvl="0" w:tplc="D51ACFA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797748"/>
    <w:multiLevelType w:val="hybridMultilevel"/>
    <w:tmpl w:val="BFC4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65142"/>
    <w:multiLevelType w:val="hybridMultilevel"/>
    <w:tmpl w:val="30B892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10A2C35"/>
    <w:multiLevelType w:val="multilevel"/>
    <w:tmpl w:val="32400A3A"/>
    <w:lvl w:ilvl="0">
      <w:start w:val="1"/>
      <w:numFmt w:val="decimal"/>
      <w:pStyle w:val="Heading2"/>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pStyle w:val="Heading3"/>
      <w:isLgl/>
      <w:lvlText w:val="%1.%2.%3."/>
      <w:lvlJc w:val="left"/>
      <w:pPr>
        <w:ind w:left="1080" w:hanging="720"/>
      </w:pPr>
      <w:rPr>
        <w:rFonts w:hint="default"/>
      </w:rPr>
    </w:lvl>
    <w:lvl w:ilvl="3">
      <w:start w:val="1"/>
      <w:numFmt w:val="decimal"/>
      <w:pStyle w:val="Heading4"/>
      <w:isLgl/>
      <w:lvlText w:val="%1.%2.%3.%4."/>
      <w:lvlJc w:val="left"/>
      <w:pPr>
        <w:ind w:left="1080" w:hanging="720"/>
      </w:pPr>
      <w:rPr>
        <w:rFonts w:hint="default"/>
      </w:rPr>
    </w:lvl>
    <w:lvl w:ilvl="4">
      <w:start w:val="1"/>
      <w:numFmt w:val="decimal"/>
      <w:pStyle w:val="Heading5"/>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pStyle w:val="Heading7"/>
      <w:isLgl/>
      <w:lvlText w:val="%1.%2.%3.%4.%5.%6.%7."/>
      <w:lvlJc w:val="left"/>
      <w:pPr>
        <w:ind w:left="1800" w:hanging="1440"/>
      </w:pPr>
      <w:rPr>
        <w:rFonts w:hint="default"/>
      </w:rPr>
    </w:lvl>
    <w:lvl w:ilvl="7">
      <w:start w:val="1"/>
      <w:numFmt w:val="decimal"/>
      <w:pStyle w:val="Heading8"/>
      <w:isLgl/>
      <w:lvlText w:val="%1.%2.%3.%4.%5.%6.%7.%8."/>
      <w:lvlJc w:val="left"/>
      <w:pPr>
        <w:ind w:left="1800" w:hanging="1440"/>
      </w:pPr>
      <w:rPr>
        <w:rFonts w:hint="default"/>
      </w:rPr>
    </w:lvl>
    <w:lvl w:ilvl="8">
      <w:start w:val="1"/>
      <w:numFmt w:val="decimal"/>
      <w:pStyle w:val="Heading9"/>
      <w:isLgl/>
      <w:lvlText w:val="%1.%2.%3.%4.%5.%6.%7.%8.%9."/>
      <w:lvlJc w:val="left"/>
      <w:pPr>
        <w:ind w:left="2160" w:hanging="1800"/>
      </w:pPr>
      <w:rPr>
        <w:rFonts w:hint="default"/>
      </w:rPr>
    </w:lvl>
  </w:abstractNum>
  <w:abstractNum w:abstractNumId="4" w15:restartNumberingAfterBreak="0">
    <w:nsid w:val="215F5E9B"/>
    <w:multiLevelType w:val="hybridMultilevel"/>
    <w:tmpl w:val="2D62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B6099A"/>
    <w:multiLevelType w:val="hybridMultilevel"/>
    <w:tmpl w:val="FD845322"/>
    <w:lvl w:ilvl="0" w:tplc="70223636">
      <w:start w:val="3"/>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87F1C2B"/>
    <w:multiLevelType w:val="hybridMultilevel"/>
    <w:tmpl w:val="96C0A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91FD2"/>
    <w:multiLevelType w:val="hybridMultilevel"/>
    <w:tmpl w:val="CBE0D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E16577"/>
    <w:multiLevelType w:val="hybridMultilevel"/>
    <w:tmpl w:val="3D4009B4"/>
    <w:lvl w:ilvl="0" w:tplc="AFBC7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36603"/>
    <w:multiLevelType w:val="multilevel"/>
    <w:tmpl w:val="A09AD310"/>
    <w:numStyleLink w:val="Headings"/>
  </w:abstractNum>
  <w:abstractNum w:abstractNumId="10" w15:restartNumberingAfterBreak="0">
    <w:nsid w:val="56425D5F"/>
    <w:multiLevelType w:val="hybridMultilevel"/>
    <w:tmpl w:val="A67C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5EB807E0"/>
    <w:multiLevelType w:val="hybridMultilevel"/>
    <w:tmpl w:val="AC4C55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A51034"/>
    <w:multiLevelType w:val="hybridMultilevel"/>
    <w:tmpl w:val="8CDA1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B573A60"/>
    <w:multiLevelType w:val="hybridMultilevel"/>
    <w:tmpl w:val="2270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BE6F94"/>
    <w:multiLevelType w:val="hybridMultilevel"/>
    <w:tmpl w:val="CA0A7018"/>
    <w:lvl w:ilvl="0" w:tplc="E604C9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230628"/>
    <w:multiLevelType w:val="hybridMultilevel"/>
    <w:tmpl w:val="72230628"/>
    <w:lvl w:ilvl="0" w:tplc="AF3AEFA6">
      <w:start w:val="1"/>
      <w:numFmt w:val="bullet"/>
      <w:lvlText w:val=""/>
      <w:lvlJc w:val="left"/>
      <w:pPr>
        <w:ind w:left="720" w:hanging="360"/>
      </w:pPr>
      <w:rPr>
        <w:rFonts w:ascii="Symbol" w:hAnsi="Symbol"/>
      </w:rPr>
    </w:lvl>
    <w:lvl w:ilvl="1" w:tplc="6BF2B010">
      <w:start w:val="1"/>
      <w:numFmt w:val="bullet"/>
      <w:lvlText w:val="o"/>
      <w:lvlJc w:val="left"/>
      <w:pPr>
        <w:tabs>
          <w:tab w:val="num" w:pos="1440"/>
        </w:tabs>
        <w:ind w:left="1440" w:hanging="360"/>
      </w:pPr>
      <w:rPr>
        <w:rFonts w:ascii="Courier New" w:hAnsi="Courier New"/>
      </w:rPr>
    </w:lvl>
    <w:lvl w:ilvl="2" w:tplc="CEF4EE6E">
      <w:start w:val="1"/>
      <w:numFmt w:val="bullet"/>
      <w:lvlText w:val=""/>
      <w:lvlJc w:val="left"/>
      <w:pPr>
        <w:tabs>
          <w:tab w:val="num" w:pos="2160"/>
        </w:tabs>
        <w:ind w:left="2160" w:hanging="360"/>
      </w:pPr>
      <w:rPr>
        <w:rFonts w:ascii="Wingdings" w:hAnsi="Wingdings"/>
      </w:rPr>
    </w:lvl>
    <w:lvl w:ilvl="3" w:tplc="A5706594">
      <w:start w:val="1"/>
      <w:numFmt w:val="bullet"/>
      <w:lvlText w:val=""/>
      <w:lvlJc w:val="left"/>
      <w:pPr>
        <w:tabs>
          <w:tab w:val="num" w:pos="2880"/>
        </w:tabs>
        <w:ind w:left="2880" w:hanging="360"/>
      </w:pPr>
      <w:rPr>
        <w:rFonts w:ascii="Symbol" w:hAnsi="Symbol"/>
      </w:rPr>
    </w:lvl>
    <w:lvl w:ilvl="4" w:tplc="403C8B5C">
      <w:start w:val="1"/>
      <w:numFmt w:val="bullet"/>
      <w:lvlText w:val="o"/>
      <w:lvlJc w:val="left"/>
      <w:pPr>
        <w:tabs>
          <w:tab w:val="num" w:pos="3600"/>
        </w:tabs>
        <w:ind w:left="3600" w:hanging="360"/>
      </w:pPr>
      <w:rPr>
        <w:rFonts w:ascii="Courier New" w:hAnsi="Courier New"/>
      </w:rPr>
    </w:lvl>
    <w:lvl w:ilvl="5" w:tplc="DB5870A4">
      <w:start w:val="1"/>
      <w:numFmt w:val="bullet"/>
      <w:lvlText w:val=""/>
      <w:lvlJc w:val="left"/>
      <w:pPr>
        <w:tabs>
          <w:tab w:val="num" w:pos="4320"/>
        </w:tabs>
        <w:ind w:left="4320" w:hanging="360"/>
      </w:pPr>
      <w:rPr>
        <w:rFonts w:ascii="Wingdings" w:hAnsi="Wingdings"/>
      </w:rPr>
    </w:lvl>
    <w:lvl w:ilvl="6" w:tplc="D27C8BDC">
      <w:start w:val="1"/>
      <w:numFmt w:val="bullet"/>
      <w:lvlText w:val=""/>
      <w:lvlJc w:val="left"/>
      <w:pPr>
        <w:tabs>
          <w:tab w:val="num" w:pos="5040"/>
        </w:tabs>
        <w:ind w:left="5040" w:hanging="360"/>
      </w:pPr>
      <w:rPr>
        <w:rFonts w:ascii="Symbol" w:hAnsi="Symbol"/>
      </w:rPr>
    </w:lvl>
    <w:lvl w:ilvl="7" w:tplc="FDD8EA92">
      <w:start w:val="1"/>
      <w:numFmt w:val="bullet"/>
      <w:lvlText w:val="o"/>
      <w:lvlJc w:val="left"/>
      <w:pPr>
        <w:tabs>
          <w:tab w:val="num" w:pos="5760"/>
        </w:tabs>
        <w:ind w:left="5760" w:hanging="360"/>
      </w:pPr>
      <w:rPr>
        <w:rFonts w:ascii="Courier New" w:hAnsi="Courier New"/>
      </w:rPr>
    </w:lvl>
    <w:lvl w:ilvl="8" w:tplc="65084F3E">
      <w:start w:val="1"/>
      <w:numFmt w:val="bullet"/>
      <w:lvlText w:val=""/>
      <w:lvlJc w:val="left"/>
      <w:pPr>
        <w:tabs>
          <w:tab w:val="num" w:pos="6480"/>
        </w:tabs>
        <w:ind w:left="6480" w:hanging="360"/>
      </w:pPr>
      <w:rPr>
        <w:rFonts w:ascii="Wingdings" w:hAnsi="Wingdings"/>
      </w:rPr>
    </w:lvl>
  </w:abstractNum>
  <w:abstractNum w:abstractNumId="17" w15:restartNumberingAfterBreak="0">
    <w:nsid w:val="72230630"/>
    <w:multiLevelType w:val="hybridMultilevel"/>
    <w:tmpl w:val="72230630"/>
    <w:lvl w:ilvl="0" w:tplc="0D688BB4">
      <w:start w:val="1"/>
      <w:numFmt w:val="bullet"/>
      <w:lvlText w:val=""/>
      <w:lvlJc w:val="left"/>
      <w:pPr>
        <w:ind w:left="720" w:hanging="360"/>
      </w:pPr>
      <w:rPr>
        <w:rFonts w:ascii="Symbol" w:hAnsi="Symbol"/>
      </w:rPr>
    </w:lvl>
    <w:lvl w:ilvl="1" w:tplc="FF40D068">
      <w:start w:val="1"/>
      <w:numFmt w:val="bullet"/>
      <w:lvlText w:val="o"/>
      <w:lvlJc w:val="left"/>
      <w:pPr>
        <w:tabs>
          <w:tab w:val="num" w:pos="1440"/>
        </w:tabs>
        <w:ind w:left="1440" w:hanging="360"/>
      </w:pPr>
      <w:rPr>
        <w:rFonts w:ascii="Courier New" w:hAnsi="Courier New"/>
      </w:rPr>
    </w:lvl>
    <w:lvl w:ilvl="2" w:tplc="DF52F954">
      <w:start w:val="1"/>
      <w:numFmt w:val="bullet"/>
      <w:lvlText w:val=""/>
      <w:lvlJc w:val="left"/>
      <w:pPr>
        <w:tabs>
          <w:tab w:val="num" w:pos="2160"/>
        </w:tabs>
        <w:ind w:left="2160" w:hanging="360"/>
      </w:pPr>
      <w:rPr>
        <w:rFonts w:ascii="Wingdings" w:hAnsi="Wingdings"/>
      </w:rPr>
    </w:lvl>
    <w:lvl w:ilvl="3" w:tplc="A59859C0">
      <w:start w:val="1"/>
      <w:numFmt w:val="bullet"/>
      <w:lvlText w:val=""/>
      <w:lvlJc w:val="left"/>
      <w:pPr>
        <w:tabs>
          <w:tab w:val="num" w:pos="2880"/>
        </w:tabs>
        <w:ind w:left="2880" w:hanging="360"/>
      </w:pPr>
      <w:rPr>
        <w:rFonts w:ascii="Symbol" w:hAnsi="Symbol"/>
      </w:rPr>
    </w:lvl>
    <w:lvl w:ilvl="4" w:tplc="81841CC2">
      <w:start w:val="1"/>
      <w:numFmt w:val="bullet"/>
      <w:lvlText w:val="o"/>
      <w:lvlJc w:val="left"/>
      <w:pPr>
        <w:tabs>
          <w:tab w:val="num" w:pos="3600"/>
        </w:tabs>
        <w:ind w:left="3600" w:hanging="360"/>
      </w:pPr>
      <w:rPr>
        <w:rFonts w:ascii="Courier New" w:hAnsi="Courier New"/>
      </w:rPr>
    </w:lvl>
    <w:lvl w:ilvl="5" w:tplc="C3F8A6E8">
      <w:start w:val="1"/>
      <w:numFmt w:val="bullet"/>
      <w:lvlText w:val=""/>
      <w:lvlJc w:val="left"/>
      <w:pPr>
        <w:tabs>
          <w:tab w:val="num" w:pos="4320"/>
        </w:tabs>
        <w:ind w:left="4320" w:hanging="360"/>
      </w:pPr>
      <w:rPr>
        <w:rFonts w:ascii="Wingdings" w:hAnsi="Wingdings"/>
      </w:rPr>
    </w:lvl>
    <w:lvl w:ilvl="6" w:tplc="B49421C4">
      <w:start w:val="1"/>
      <w:numFmt w:val="bullet"/>
      <w:lvlText w:val=""/>
      <w:lvlJc w:val="left"/>
      <w:pPr>
        <w:tabs>
          <w:tab w:val="num" w:pos="5040"/>
        </w:tabs>
        <w:ind w:left="5040" w:hanging="360"/>
      </w:pPr>
      <w:rPr>
        <w:rFonts w:ascii="Symbol" w:hAnsi="Symbol"/>
      </w:rPr>
    </w:lvl>
    <w:lvl w:ilvl="7" w:tplc="D7D49DF4">
      <w:start w:val="1"/>
      <w:numFmt w:val="bullet"/>
      <w:lvlText w:val="o"/>
      <w:lvlJc w:val="left"/>
      <w:pPr>
        <w:tabs>
          <w:tab w:val="num" w:pos="5760"/>
        </w:tabs>
        <w:ind w:left="5760" w:hanging="360"/>
      </w:pPr>
      <w:rPr>
        <w:rFonts w:ascii="Courier New" w:hAnsi="Courier New"/>
      </w:rPr>
    </w:lvl>
    <w:lvl w:ilvl="8" w:tplc="33746B26">
      <w:start w:val="1"/>
      <w:numFmt w:val="bullet"/>
      <w:lvlText w:val=""/>
      <w:lvlJc w:val="left"/>
      <w:pPr>
        <w:tabs>
          <w:tab w:val="num" w:pos="6480"/>
        </w:tabs>
        <w:ind w:left="6480" w:hanging="360"/>
      </w:pPr>
      <w:rPr>
        <w:rFonts w:ascii="Wingdings" w:hAnsi="Wingdings"/>
      </w:rPr>
    </w:lvl>
  </w:abstractNum>
  <w:abstractNum w:abstractNumId="18" w15:restartNumberingAfterBreak="0">
    <w:nsid w:val="76F8557E"/>
    <w:multiLevelType w:val="hybridMultilevel"/>
    <w:tmpl w:val="188040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7A4E6357"/>
    <w:multiLevelType w:val="hybridMultilevel"/>
    <w:tmpl w:val="C3CAC470"/>
    <w:lvl w:ilvl="0" w:tplc="7922A6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566586"/>
    <w:multiLevelType w:val="hybridMultilevel"/>
    <w:tmpl w:val="1F6E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20"/>
  </w:num>
  <w:num w:numId="4">
    <w:abstractNumId w:val="6"/>
  </w:num>
  <w:num w:numId="5">
    <w:abstractNumId w:val="0"/>
  </w:num>
  <w:num w:numId="6">
    <w:abstractNumId w:val="13"/>
  </w:num>
  <w:num w:numId="7">
    <w:abstractNumId w:val="11"/>
  </w:num>
  <w:num w:numId="8">
    <w:abstractNumId w:val="9"/>
  </w:num>
  <w:num w:numId="9">
    <w:abstractNumId w:val="14"/>
  </w:num>
  <w:num w:numId="10">
    <w:abstractNumId w:val="16"/>
  </w:num>
  <w:num w:numId="11">
    <w:abstractNumId w:val="17"/>
  </w:num>
  <w:num w:numId="12">
    <w:abstractNumId w:val="12"/>
  </w:num>
  <w:num w:numId="13">
    <w:abstractNumId w:val="5"/>
  </w:num>
  <w:num w:numId="14">
    <w:abstractNumId w:val="9"/>
  </w:num>
  <w:num w:numId="15">
    <w:abstractNumId w:val="9"/>
  </w:num>
  <w:num w:numId="16">
    <w:abstractNumId w:val="9"/>
  </w:num>
  <w:num w:numId="17">
    <w:abstractNumId w:val="9"/>
  </w:num>
  <w:num w:numId="18">
    <w:abstractNumId w:val="19"/>
  </w:num>
  <w:num w:numId="19">
    <w:abstractNumId w:val="9"/>
  </w:num>
  <w:num w:numId="20">
    <w:abstractNumId w:val="2"/>
  </w:num>
  <w:num w:numId="21">
    <w:abstractNumId w:val="9"/>
  </w:num>
  <w:num w:numId="22">
    <w:abstractNumId w:val="9"/>
  </w:num>
  <w:num w:numId="23">
    <w:abstractNumId w:val="9"/>
  </w:num>
  <w:num w:numId="24">
    <w:abstractNumId w:val="4"/>
  </w:num>
  <w:num w:numId="25">
    <w:abstractNumId w:val="9"/>
  </w:num>
  <w:num w:numId="26">
    <w:abstractNumId w:val="15"/>
  </w:num>
  <w:num w:numId="27">
    <w:abstractNumId w:val="8"/>
  </w:num>
  <w:num w:numId="28">
    <w:abstractNumId w:val="3"/>
  </w:num>
  <w:num w:numId="29">
    <w:abstractNumId w:val="3"/>
    <w:lvlOverride w:ilvl="0">
      <w:startOverride w:val="2"/>
    </w:lvlOverride>
  </w:num>
  <w:num w:numId="30">
    <w:abstractNumId w:val="3"/>
  </w:num>
  <w:num w:numId="31">
    <w:abstractNumId w:val="1"/>
  </w:num>
  <w:num w:numId="32">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35"/>
    <w:rsid w:val="000069CC"/>
    <w:rsid w:val="0001511F"/>
    <w:rsid w:val="0001540E"/>
    <w:rsid w:val="00027E5E"/>
    <w:rsid w:val="0003711D"/>
    <w:rsid w:val="00064F6F"/>
    <w:rsid w:val="000728C6"/>
    <w:rsid w:val="00080C92"/>
    <w:rsid w:val="0008374B"/>
    <w:rsid w:val="00085C83"/>
    <w:rsid w:val="00095555"/>
    <w:rsid w:val="000A42E2"/>
    <w:rsid w:val="000B0877"/>
    <w:rsid w:val="000B13EA"/>
    <w:rsid w:val="000B5513"/>
    <w:rsid w:val="000C3FD5"/>
    <w:rsid w:val="000C451A"/>
    <w:rsid w:val="000C4AD6"/>
    <w:rsid w:val="000D3D3F"/>
    <w:rsid w:val="000E4386"/>
    <w:rsid w:val="00102A65"/>
    <w:rsid w:val="00104B06"/>
    <w:rsid w:val="00114639"/>
    <w:rsid w:val="001174B2"/>
    <w:rsid w:val="00124B42"/>
    <w:rsid w:val="00141594"/>
    <w:rsid w:val="00143919"/>
    <w:rsid w:val="00153BAB"/>
    <w:rsid w:val="0016087A"/>
    <w:rsid w:val="001616F1"/>
    <w:rsid w:val="001617FB"/>
    <w:rsid w:val="00164748"/>
    <w:rsid w:val="001661C4"/>
    <w:rsid w:val="00166AF7"/>
    <w:rsid w:val="00176BDC"/>
    <w:rsid w:val="001772FE"/>
    <w:rsid w:val="00182318"/>
    <w:rsid w:val="001973E8"/>
    <w:rsid w:val="001A3E54"/>
    <w:rsid w:val="001A479F"/>
    <w:rsid w:val="001B008D"/>
    <w:rsid w:val="001B458C"/>
    <w:rsid w:val="001B6634"/>
    <w:rsid w:val="001C4290"/>
    <w:rsid w:val="001D1AA8"/>
    <w:rsid w:val="001D3118"/>
    <w:rsid w:val="001D683F"/>
    <w:rsid w:val="001F7A3D"/>
    <w:rsid w:val="00205216"/>
    <w:rsid w:val="00205B29"/>
    <w:rsid w:val="00210834"/>
    <w:rsid w:val="00212E93"/>
    <w:rsid w:val="00212EE6"/>
    <w:rsid w:val="0022247A"/>
    <w:rsid w:val="00226DD7"/>
    <w:rsid w:val="00261164"/>
    <w:rsid w:val="00265EC4"/>
    <w:rsid w:val="00270BB3"/>
    <w:rsid w:val="00271133"/>
    <w:rsid w:val="00273ED1"/>
    <w:rsid w:val="00275500"/>
    <w:rsid w:val="0027648B"/>
    <w:rsid w:val="00280661"/>
    <w:rsid w:val="0028311C"/>
    <w:rsid w:val="00286861"/>
    <w:rsid w:val="0029243F"/>
    <w:rsid w:val="00296535"/>
    <w:rsid w:val="002A0ABC"/>
    <w:rsid w:val="002B1498"/>
    <w:rsid w:val="002B309C"/>
    <w:rsid w:val="002B6199"/>
    <w:rsid w:val="002C2EE6"/>
    <w:rsid w:val="002C308C"/>
    <w:rsid w:val="002D4B03"/>
    <w:rsid w:val="002E2760"/>
    <w:rsid w:val="002F1500"/>
    <w:rsid w:val="0030685A"/>
    <w:rsid w:val="00306A94"/>
    <w:rsid w:val="00306C2F"/>
    <w:rsid w:val="003129B1"/>
    <w:rsid w:val="00314393"/>
    <w:rsid w:val="0032798D"/>
    <w:rsid w:val="003313D5"/>
    <w:rsid w:val="0034662C"/>
    <w:rsid w:val="003549D6"/>
    <w:rsid w:val="00354D39"/>
    <w:rsid w:val="00362338"/>
    <w:rsid w:val="003807B5"/>
    <w:rsid w:val="00392D11"/>
    <w:rsid w:val="003A1A17"/>
    <w:rsid w:val="003A40C9"/>
    <w:rsid w:val="003B60B8"/>
    <w:rsid w:val="003E76CF"/>
    <w:rsid w:val="003F3108"/>
    <w:rsid w:val="003F5888"/>
    <w:rsid w:val="004077EA"/>
    <w:rsid w:val="00411FD7"/>
    <w:rsid w:val="00423B14"/>
    <w:rsid w:val="0043510A"/>
    <w:rsid w:val="00436F30"/>
    <w:rsid w:val="00450F48"/>
    <w:rsid w:val="00452134"/>
    <w:rsid w:val="00460F93"/>
    <w:rsid w:val="0046263C"/>
    <w:rsid w:val="00463E3B"/>
    <w:rsid w:val="00480693"/>
    <w:rsid w:val="00482C2D"/>
    <w:rsid w:val="00485A40"/>
    <w:rsid w:val="004936C3"/>
    <w:rsid w:val="004959AF"/>
    <w:rsid w:val="004C1550"/>
    <w:rsid w:val="004C3931"/>
    <w:rsid w:val="004D009F"/>
    <w:rsid w:val="004D2124"/>
    <w:rsid w:val="004D5558"/>
    <w:rsid w:val="004D71AC"/>
    <w:rsid w:val="004F6069"/>
    <w:rsid w:val="00501232"/>
    <w:rsid w:val="005105C9"/>
    <w:rsid w:val="00510EA7"/>
    <w:rsid w:val="00514141"/>
    <w:rsid w:val="005302EB"/>
    <w:rsid w:val="00531B4E"/>
    <w:rsid w:val="00542272"/>
    <w:rsid w:val="00545701"/>
    <w:rsid w:val="00556D55"/>
    <w:rsid w:val="00564854"/>
    <w:rsid w:val="00576E70"/>
    <w:rsid w:val="0057760A"/>
    <w:rsid w:val="00580595"/>
    <w:rsid w:val="0058164E"/>
    <w:rsid w:val="00581746"/>
    <w:rsid w:val="00581B3B"/>
    <w:rsid w:val="00592EF2"/>
    <w:rsid w:val="005A0316"/>
    <w:rsid w:val="005A38A6"/>
    <w:rsid w:val="005B2245"/>
    <w:rsid w:val="005B47C7"/>
    <w:rsid w:val="005C1022"/>
    <w:rsid w:val="005C1FA5"/>
    <w:rsid w:val="005D4929"/>
    <w:rsid w:val="005D4B17"/>
    <w:rsid w:val="005D74B2"/>
    <w:rsid w:val="005E39D0"/>
    <w:rsid w:val="005F47BE"/>
    <w:rsid w:val="00600E3D"/>
    <w:rsid w:val="00600F4C"/>
    <w:rsid w:val="00603B16"/>
    <w:rsid w:val="006041B7"/>
    <w:rsid w:val="00604978"/>
    <w:rsid w:val="00606060"/>
    <w:rsid w:val="0061170D"/>
    <w:rsid w:val="006129A2"/>
    <w:rsid w:val="0061562F"/>
    <w:rsid w:val="006236FB"/>
    <w:rsid w:val="00644008"/>
    <w:rsid w:val="0066166C"/>
    <w:rsid w:val="006621EC"/>
    <w:rsid w:val="00672D45"/>
    <w:rsid w:val="00674C6E"/>
    <w:rsid w:val="00686077"/>
    <w:rsid w:val="00691FA3"/>
    <w:rsid w:val="006A1838"/>
    <w:rsid w:val="006A53D1"/>
    <w:rsid w:val="006A6D35"/>
    <w:rsid w:val="006B41E2"/>
    <w:rsid w:val="006D2922"/>
    <w:rsid w:val="006E19AF"/>
    <w:rsid w:val="006F37B9"/>
    <w:rsid w:val="007077DA"/>
    <w:rsid w:val="007205B2"/>
    <w:rsid w:val="00721A66"/>
    <w:rsid w:val="00725E9F"/>
    <w:rsid w:val="0072617C"/>
    <w:rsid w:val="00727B5D"/>
    <w:rsid w:val="00740D02"/>
    <w:rsid w:val="007447FF"/>
    <w:rsid w:val="007616BE"/>
    <w:rsid w:val="00762D1F"/>
    <w:rsid w:val="00763E79"/>
    <w:rsid w:val="00765C3D"/>
    <w:rsid w:val="00771E3C"/>
    <w:rsid w:val="00771E47"/>
    <w:rsid w:val="007912F0"/>
    <w:rsid w:val="007A4160"/>
    <w:rsid w:val="007C4849"/>
    <w:rsid w:val="007C4F52"/>
    <w:rsid w:val="007D6263"/>
    <w:rsid w:val="007D736C"/>
    <w:rsid w:val="007E6400"/>
    <w:rsid w:val="0081075B"/>
    <w:rsid w:val="008150BE"/>
    <w:rsid w:val="00820C47"/>
    <w:rsid w:val="008261EC"/>
    <w:rsid w:val="00835ADC"/>
    <w:rsid w:val="00842A3E"/>
    <w:rsid w:val="00842B19"/>
    <w:rsid w:val="0084301A"/>
    <w:rsid w:val="008661A8"/>
    <w:rsid w:val="00885A92"/>
    <w:rsid w:val="008A272D"/>
    <w:rsid w:val="008A29EC"/>
    <w:rsid w:val="008A60B0"/>
    <w:rsid w:val="008B0F35"/>
    <w:rsid w:val="008F2103"/>
    <w:rsid w:val="00902B67"/>
    <w:rsid w:val="00903FC0"/>
    <w:rsid w:val="00905B98"/>
    <w:rsid w:val="00916EB7"/>
    <w:rsid w:val="0092130B"/>
    <w:rsid w:val="0092195C"/>
    <w:rsid w:val="00924AA0"/>
    <w:rsid w:val="00935161"/>
    <w:rsid w:val="009425E5"/>
    <w:rsid w:val="009458C1"/>
    <w:rsid w:val="009567B2"/>
    <w:rsid w:val="00990C68"/>
    <w:rsid w:val="009B1A84"/>
    <w:rsid w:val="009B352E"/>
    <w:rsid w:val="009B526C"/>
    <w:rsid w:val="009B7498"/>
    <w:rsid w:val="009C7FC8"/>
    <w:rsid w:val="009D0222"/>
    <w:rsid w:val="009E192A"/>
    <w:rsid w:val="009E52EC"/>
    <w:rsid w:val="009E7C01"/>
    <w:rsid w:val="009F04C9"/>
    <w:rsid w:val="009F4909"/>
    <w:rsid w:val="00A12296"/>
    <w:rsid w:val="00A14E06"/>
    <w:rsid w:val="00A3256F"/>
    <w:rsid w:val="00A413AA"/>
    <w:rsid w:val="00A53BD1"/>
    <w:rsid w:val="00A60967"/>
    <w:rsid w:val="00A670DC"/>
    <w:rsid w:val="00A90AB6"/>
    <w:rsid w:val="00AA1817"/>
    <w:rsid w:val="00AA2AF1"/>
    <w:rsid w:val="00AA6F7C"/>
    <w:rsid w:val="00AC20FB"/>
    <w:rsid w:val="00AC73EB"/>
    <w:rsid w:val="00AD3F42"/>
    <w:rsid w:val="00AD52EB"/>
    <w:rsid w:val="00AE57DF"/>
    <w:rsid w:val="00AF669A"/>
    <w:rsid w:val="00B05005"/>
    <w:rsid w:val="00B23B2D"/>
    <w:rsid w:val="00B3235F"/>
    <w:rsid w:val="00B35E6D"/>
    <w:rsid w:val="00B37274"/>
    <w:rsid w:val="00B37FB8"/>
    <w:rsid w:val="00B45B2A"/>
    <w:rsid w:val="00B50EC1"/>
    <w:rsid w:val="00B541DB"/>
    <w:rsid w:val="00B7330E"/>
    <w:rsid w:val="00B74BF4"/>
    <w:rsid w:val="00B75093"/>
    <w:rsid w:val="00B80D9D"/>
    <w:rsid w:val="00B8127B"/>
    <w:rsid w:val="00B82150"/>
    <w:rsid w:val="00BA0956"/>
    <w:rsid w:val="00BC0B8E"/>
    <w:rsid w:val="00BC58AA"/>
    <w:rsid w:val="00BC73EF"/>
    <w:rsid w:val="00BE3DF4"/>
    <w:rsid w:val="00BE6C8E"/>
    <w:rsid w:val="00BF12C4"/>
    <w:rsid w:val="00C03FF4"/>
    <w:rsid w:val="00C065D2"/>
    <w:rsid w:val="00C36309"/>
    <w:rsid w:val="00C47BB1"/>
    <w:rsid w:val="00C5177E"/>
    <w:rsid w:val="00C55C68"/>
    <w:rsid w:val="00C625A8"/>
    <w:rsid w:val="00C6754E"/>
    <w:rsid w:val="00C708E2"/>
    <w:rsid w:val="00C71787"/>
    <w:rsid w:val="00C71A0F"/>
    <w:rsid w:val="00C75397"/>
    <w:rsid w:val="00C75C20"/>
    <w:rsid w:val="00C760C3"/>
    <w:rsid w:val="00C81B28"/>
    <w:rsid w:val="00C973F9"/>
    <w:rsid w:val="00CA5940"/>
    <w:rsid w:val="00CB076C"/>
    <w:rsid w:val="00CB178A"/>
    <w:rsid w:val="00CB5A2F"/>
    <w:rsid w:val="00CC087D"/>
    <w:rsid w:val="00CC36BA"/>
    <w:rsid w:val="00CC709E"/>
    <w:rsid w:val="00CD477C"/>
    <w:rsid w:val="00CD4ACA"/>
    <w:rsid w:val="00CD5F97"/>
    <w:rsid w:val="00CF1974"/>
    <w:rsid w:val="00D007B3"/>
    <w:rsid w:val="00D25C41"/>
    <w:rsid w:val="00D37073"/>
    <w:rsid w:val="00D44A89"/>
    <w:rsid w:val="00D60F5D"/>
    <w:rsid w:val="00D63674"/>
    <w:rsid w:val="00D70ACC"/>
    <w:rsid w:val="00D70E0E"/>
    <w:rsid w:val="00D7488F"/>
    <w:rsid w:val="00D77AA0"/>
    <w:rsid w:val="00D8585C"/>
    <w:rsid w:val="00D93995"/>
    <w:rsid w:val="00DA0045"/>
    <w:rsid w:val="00DC11B6"/>
    <w:rsid w:val="00DC159F"/>
    <w:rsid w:val="00DD61F5"/>
    <w:rsid w:val="00DF4684"/>
    <w:rsid w:val="00DF4B2C"/>
    <w:rsid w:val="00E00D70"/>
    <w:rsid w:val="00E12B00"/>
    <w:rsid w:val="00E13BCA"/>
    <w:rsid w:val="00E21634"/>
    <w:rsid w:val="00E302DD"/>
    <w:rsid w:val="00E47B14"/>
    <w:rsid w:val="00E52BF7"/>
    <w:rsid w:val="00E622BC"/>
    <w:rsid w:val="00E62832"/>
    <w:rsid w:val="00E75519"/>
    <w:rsid w:val="00E84217"/>
    <w:rsid w:val="00E84A2B"/>
    <w:rsid w:val="00E85B05"/>
    <w:rsid w:val="00E87702"/>
    <w:rsid w:val="00EA2206"/>
    <w:rsid w:val="00ED4BDF"/>
    <w:rsid w:val="00ED5641"/>
    <w:rsid w:val="00ED77CB"/>
    <w:rsid w:val="00EE153F"/>
    <w:rsid w:val="00EE3D1B"/>
    <w:rsid w:val="00EE3D2D"/>
    <w:rsid w:val="00EF32DD"/>
    <w:rsid w:val="00EF4030"/>
    <w:rsid w:val="00EF615B"/>
    <w:rsid w:val="00EF6491"/>
    <w:rsid w:val="00F03375"/>
    <w:rsid w:val="00F22F28"/>
    <w:rsid w:val="00F2783A"/>
    <w:rsid w:val="00F33127"/>
    <w:rsid w:val="00F407DE"/>
    <w:rsid w:val="00F52A04"/>
    <w:rsid w:val="00F52E47"/>
    <w:rsid w:val="00F6422B"/>
    <w:rsid w:val="00F64DE0"/>
    <w:rsid w:val="00F718EE"/>
    <w:rsid w:val="00F760BD"/>
    <w:rsid w:val="00F76C2A"/>
    <w:rsid w:val="00F95A64"/>
    <w:rsid w:val="00FC45A3"/>
    <w:rsid w:val="00FC60DC"/>
    <w:rsid w:val="00FD59FD"/>
    <w:rsid w:val="00FF1D35"/>
    <w:rsid w:val="00FF30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6061B-DA68-4A26-8FE5-86AB06CC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26C"/>
  </w:style>
  <w:style w:type="paragraph" w:styleId="Heading1">
    <w:name w:val="heading 1"/>
    <w:basedOn w:val="Normal"/>
    <w:next w:val="Normal"/>
    <w:link w:val="Heading1Char"/>
    <w:qFormat/>
    <w:rsid w:val="00771E47"/>
    <w:pPr>
      <w:keepNext/>
      <w:numPr>
        <w:numId w:val="8"/>
      </w:numPr>
      <w:spacing w:before="240" w:after="240" w:line="240" w:lineRule="auto"/>
      <w:jc w:val="both"/>
      <w:outlineLvl w:val="0"/>
    </w:pPr>
    <w:rPr>
      <w:rFonts w:ascii="Times New Roman" w:eastAsia="Times New Roman" w:hAnsi="Times New Roman" w:cs="Times New Roman"/>
      <w:b/>
      <w:smallCaps/>
      <w:sz w:val="28"/>
      <w:szCs w:val="20"/>
      <w:lang w:val="fr-BE"/>
    </w:rPr>
  </w:style>
  <w:style w:type="paragraph" w:styleId="Heading2">
    <w:name w:val="heading 2"/>
    <w:basedOn w:val="Heading1"/>
    <w:next w:val="Normal"/>
    <w:link w:val="Heading2Char"/>
    <w:autoRedefine/>
    <w:qFormat/>
    <w:rsid w:val="00B35E6D"/>
    <w:pPr>
      <w:numPr>
        <w:numId w:val="28"/>
      </w:numPr>
      <w:outlineLvl w:val="1"/>
    </w:pPr>
    <w:rPr>
      <w:smallCaps w:val="0"/>
      <w:sz w:val="24"/>
      <w:lang w:val="bg-BG"/>
    </w:rPr>
  </w:style>
  <w:style w:type="paragraph" w:styleId="Heading3">
    <w:name w:val="heading 3"/>
    <w:basedOn w:val="Heading2"/>
    <w:next w:val="Normal"/>
    <w:link w:val="Heading3Char"/>
    <w:autoRedefine/>
    <w:qFormat/>
    <w:rsid w:val="00771E47"/>
    <w:pPr>
      <w:numPr>
        <w:ilvl w:val="2"/>
      </w:numPr>
      <w:outlineLvl w:val="2"/>
    </w:pPr>
    <w:rPr>
      <w:b w:val="0"/>
      <w:color w:val="000000"/>
    </w:rPr>
  </w:style>
  <w:style w:type="paragraph" w:styleId="Heading4">
    <w:name w:val="heading 4"/>
    <w:basedOn w:val="Heading3"/>
    <w:next w:val="Normal"/>
    <w:link w:val="Heading4Char"/>
    <w:qFormat/>
    <w:rsid w:val="00771E47"/>
    <w:pPr>
      <w:numPr>
        <w:ilvl w:val="3"/>
      </w:numPr>
      <w:outlineLvl w:val="3"/>
    </w:pPr>
    <w:rPr>
      <w:i/>
    </w:rPr>
  </w:style>
  <w:style w:type="paragraph" w:styleId="Heading5">
    <w:name w:val="heading 5"/>
    <w:basedOn w:val="Heading4"/>
    <w:next w:val="Normal"/>
    <w:link w:val="Heading5Char"/>
    <w:qFormat/>
    <w:rsid w:val="00771E47"/>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771E47"/>
    <w:pPr>
      <w:numPr>
        <w:ilvl w:val="5"/>
      </w:numPr>
      <w:spacing w:after="60"/>
      <w:outlineLvl w:val="5"/>
    </w:pPr>
    <w:rPr>
      <w:b w:val="0"/>
    </w:rPr>
  </w:style>
  <w:style w:type="paragraph" w:styleId="Heading7">
    <w:name w:val="heading 7"/>
    <w:basedOn w:val="Heading6"/>
    <w:next w:val="Normal"/>
    <w:link w:val="Heading7Char"/>
    <w:qFormat/>
    <w:rsid w:val="00771E47"/>
    <w:pPr>
      <w:numPr>
        <w:ilvl w:val="6"/>
      </w:numPr>
      <w:outlineLvl w:val="6"/>
    </w:pPr>
    <w:rPr>
      <w:i/>
    </w:rPr>
  </w:style>
  <w:style w:type="paragraph" w:styleId="Heading8">
    <w:name w:val="heading 8"/>
    <w:basedOn w:val="Heading7"/>
    <w:next w:val="Normal"/>
    <w:link w:val="Heading8Char"/>
    <w:qFormat/>
    <w:rsid w:val="00771E47"/>
    <w:pPr>
      <w:numPr>
        <w:ilvl w:val="7"/>
      </w:numPr>
      <w:outlineLvl w:val="7"/>
    </w:pPr>
    <w:rPr>
      <w:rFonts w:ascii="Calibri" w:hAnsi="Calibri"/>
      <w:b/>
      <w:i w:val="0"/>
      <w:sz w:val="24"/>
    </w:rPr>
  </w:style>
  <w:style w:type="paragraph" w:styleId="Heading9">
    <w:name w:val="heading 9"/>
    <w:basedOn w:val="Heading8"/>
    <w:next w:val="Normal"/>
    <w:link w:val="Heading9Char"/>
    <w:qFormat/>
    <w:rsid w:val="00771E47"/>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0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EA7"/>
    <w:rPr>
      <w:rFonts w:ascii="Tahoma" w:hAnsi="Tahoma" w:cs="Tahoma"/>
      <w:sz w:val="16"/>
      <w:szCs w:val="16"/>
    </w:rPr>
  </w:style>
  <w:style w:type="paragraph" w:styleId="BodyText3">
    <w:name w:val="Body Text 3"/>
    <w:basedOn w:val="Normal"/>
    <w:link w:val="BodyText3Char"/>
    <w:rsid w:val="005105C9"/>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5105C9"/>
    <w:rPr>
      <w:rFonts w:ascii="Times New Roman" w:eastAsia="Times New Roman" w:hAnsi="Times New Roman" w:cs="Times New Roman"/>
      <w:sz w:val="16"/>
      <w:szCs w:val="16"/>
      <w:lang w:val="en-GB"/>
    </w:rPr>
  </w:style>
  <w:style w:type="paragraph" w:styleId="EndnoteText">
    <w:name w:val="endnote text"/>
    <w:basedOn w:val="Normal"/>
    <w:link w:val="EndnoteTextChar"/>
    <w:uiPriority w:val="99"/>
    <w:semiHidden/>
    <w:unhideWhenUsed/>
    <w:rsid w:val="007C4F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C4F52"/>
    <w:rPr>
      <w:sz w:val="20"/>
      <w:szCs w:val="20"/>
    </w:rPr>
  </w:style>
  <w:style w:type="character" w:styleId="EndnoteReference">
    <w:name w:val="endnote reference"/>
    <w:basedOn w:val="DefaultParagraphFont"/>
    <w:uiPriority w:val="99"/>
    <w:semiHidden/>
    <w:unhideWhenUsed/>
    <w:rsid w:val="007C4F52"/>
    <w:rPr>
      <w:vertAlign w:val="superscript"/>
    </w:rPr>
  </w:style>
  <w:style w:type="paragraph" w:styleId="FootnoteText">
    <w:name w:val="footnote text"/>
    <w:basedOn w:val="Normal"/>
    <w:link w:val="FootnoteTextChar"/>
    <w:uiPriority w:val="99"/>
    <w:semiHidden/>
    <w:unhideWhenUsed/>
    <w:rsid w:val="007C4F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4F52"/>
    <w:rPr>
      <w:sz w:val="20"/>
      <w:szCs w:val="20"/>
    </w:rPr>
  </w:style>
  <w:style w:type="character" w:styleId="FootnoteReference">
    <w:name w:val="footnote reference"/>
    <w:basedOn w:val="DefaultParagraphFont"/>
    <w:uiPriority w:val="99"/>
    <w:semiHidden/>
    <w:unhideWhenUsed/>
    <w:rsid w:val="007C4F52"/>
    <w:rPr>
      <w:vertAlign w:val="superscript"/>
    </w:rPr>
  </w:style>
  <w:style w:type="paragraph" w:styleId="ListParagraph">
    <w:name w:val="List Paragraph"/>
    <w:basedOn w:val="Normal"/>
    <w:uiPriority w:val="34"/>
    <w:qFormat/>
    <w:rsid w:val="001A3E54"/>
    <w:pPr>
      <w:ind w:left="720"/>
      <w:contextualSpacing/>
    </w:pPr>
  </w:style>
  <w:style w:type="character" w:styleId="CommentReference">
    <w:name w:val="annotation reference"/>
    <w:basedOn w:val="DefaultParagraphFont"/>
    <w:uiPriority w:val="99"/>
    <w:semiHidden/>
    <w:unhideWhenUsed/>
    <w:rsid w:val="00460F93"/>
    <w:rPr>
      <w:sz w:val="16"/>
      <w:szCs w:val="16"/>
    </w:rPr>
  </w:style>
  <w:style w:type="paragraph" w:styleId="CommentText">
    <w:name w:val="annotation text"/>
    <w:basedOn w:val="Normal"/>
    <w:link w:val="CommentTextChar"/>
    <w:uiPriority w:val="99"/>
    <w:semiHidden/>
    <w:unhideWhenUsed/>
    <w:rsid w:val="00460F93"/>
    <w:pPr>
      <w:spacing w:line="240" w:lineRule="auto"/>
    </w:pPr>
    <w:rPr>
      <w:sz w:val="20"/>
      <w:szCs w:val="20"/>
    </w:rPr>
  </w:style>
  <w:style w:type="character" w:customStyle="1" w:styleId="CommentTextChar">
    <w:name w:val="Comment Text Char"/>
    <w:basedOn w:val="DefaultParagraphFont"/>
    <w:link w:val="CommentText"/>
    <w:uiPriority w:val="99"/>
    <w:semiHidden/>
    <w:rsid w:val="00460F93"/>
    <w:rPr>
      <w:sz w:val="20"/>
      <w:szCs w:val="20"/>
    </w:rPr>
  </w:style>
  <w:style w:type="paragraph" w:styleId="CommentSubject">
    <w:name w:val="annotation subject"/>
    <w:basedOn w:val="CommentText"/>
    <w:next w:val="CommentText"/>
    <w:link w:val="CommentSubjectChar"/>
    <w:uiPriority w:val="99"/>
    <w:semiHidden/>
    <w:unhideWhenUsed/>
    <w:rsid w:val="00460F93"/>
    <w:rPr>
      <w:b/>
      <w:bCs/>
    </w:rPr>
  </w:style>
  <w:style w:type="character" w:customStyle="1" w:styleId="CommentSubjectChar">
    <w:name w:val="Comment Subject Char"/>
    <w:basedOn w:val="CommentTextChar"/>
    <w:link w:val="CommentSubject"/>
    <w:uiPriority w:val="99"/>
    <w:semiHidden/>
    <w:rsid w:val="00460F93"/>
    <w:rPr>
      <w:b/>
      <w:bCs/>
      <w:sz w:val="20"/>
      <w:szCs w:val="20"/>
    </w:rPr>
  </w:style>
  <w:style w:type="paragraph" w:styleId="Header">
    <w:name w:val="header"/>
    <w:basedOn w:val="Normal"/>
    <w:link w:val="HeaderChar"/>
    <w:uiPriority w:val="99"/>
    <w:unhideWhenUsed/>
    <w:rsid w:val="00902B67"/>
    <w:pPr>
      <w:tabs>
        <w:tab w:val="center" w:pos="4703"/>
        <w:tab w:val="right" w:pos="9406"/>
      </w:tabs>
      <w:spacing w:after="0" w:line="240" w:lineRule="auto"/>
    </w:pPr>
  </w:style>
  <w:style w:type="character" w:customStyle="1" w:styleId="HeaderChar">
    <w:name w:val="Header Char"/>
    <w:basedOn w:val="DefaultParagraphFont"/>
    <w:link w:val="Header"/>
    <w:uiPriority w:val="99"/>
    <w:rsid w:val="00902B67"/>
  </w:style>
  <w:style w:type="paragraph" w:styleId="Footer">
    <w:name w:val="footer"/>
    <w:basedOn w:val="Normal"/>
    <w:link w:val="FooterChar"/>
    <w:uiPriority w:val="99"/>
    <w:unhideWhenUsed/>
    <w:rsid w:val="00902B67"/>
    <w:pPr>
      <w:tabs>
        <w:tab w:val="center" w:pos="4703"/>
        <w:tab w:val="right" w:pos="9406"/>
      </w:tabs>
      <w:spacing w:after="0" w:line="240" w:lineRule="auto"/>
    </w:pPr>
  </w:style>
  <w:style w:type="character" w:customStyle="1" w:styleId="FooterChar">
    <w:name w:val="Footer Char"/>
    <w:basedOn w:val="DefaultParagraphFont"/>
    <w:link w:val="Footer"/>
    <w:uiPriority w:val="99"/>
    <w:rsid w:val="00902B67"/>
  </w:style>
  <w:style w:type="table" w:customStyle="1" w:styleId="TableGrid1">
    <w:name w:val="Table Grid1"/>
    <w:basedOn w:val="TableNormal"/>
    <w:next w:val="TableGrid"/>
    <w:uiPriority w:val="39"/>
    <w:rsid w:val="00D7488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74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71E47"/>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B35E6D"/>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771E47"/>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771E47"/>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771E47"/>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771E47"/>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rsid w:val="00771E47"/>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rsid w:val="00771E47"/>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rsid w:val="00771E47"/>
    <w:rPr>
      <w:rFonts w:ascii="Calibri" w:eastAsia="Times New Roman" w:hAnsi="Calibri" w:cs="Times New Roman"/>
      <w:noProof/>
      <w:color w:val="000000"/>
      <w:sz w:val="24"/>
      <w:szCs w:val="20"/>
      <w:lang w:val="fr-BE"/>
    </w:rPr>
  </w:style>
  <w:style w:type="numbering" w:customStyle="1" w:styleId="Headings">
    <w:name w:val="Headings"/>
    <w:uiPriority w:val="99"/>
    <w:rsid w:val="00771E47"/>
    <w:pPr>
      <w:numPr>
        <w:numId w:val="7"/>
      </w:numPr>
    </w:pPr>
  </w:style>
  <w:style w:type="paragraph" w:styleId="Subtitle">
    <w:name w:val="Subtitle"/>
    <w:basedOn w:val="Normal"/>
    <w:next w:val="Normal"/>
    <w:link w:val="SubtitleChar"/>
    <w:uiPriority w:val="11"/>
    <w:qFormat/>
    <w:rsid w:val="0031439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14393"/>
    <w:rPr>
      <w:rFonts w:asciiTheme="majorHAnsi" w:eastAsiaTheme="majorEastAsia" w:hAnsiTheme="majorHAnsi" w:cstheme="majorBidi"/>
      <w:i/>
      <w:iCs/>
      <w:color w:val="4F81BD" w:themeColor="accent1"/>
      <w:spacing w:val="15"/>
      <w:sz w:val="24"/>
      <w:szCs w:val="24"/>
    </w:rPr>
  </w:style>
  <w:style w:type="paragraph" w:styleId="TOCHeading">
    <w:name w:val="TOC Heading"/>
    <w:basedOn w:val="Heading1"/>
    <w:next w:val="Normal"/>
    <w:uiPriority w:val="39"/>
    <w:unhideWhenUsed/>
    <w:qFormat/>
    <w:rsid w:val="00AF669A"/>
    <w:pPr>
      <w:keepLines/>
      <w:numPr>
        <w:numId w:val="0"/>
      </w:numPr>
      <w:spacing w:before="480" w:after="0" w:line="276" w:lineRule="auto"/>
      <w:jc w:val="left"/>
      <w:outlineLvl w:val="9"/>
    </w:pPr>
    <w:rPr>
      <w:rFonts w:asciiTheme="majorHAnsi" w:eastAsiaTheme="majorEastAsia" w:hAnsiTheme="majorHAnsi" w:cstheme="majorBidi"/>
      <w:bCs/>
      <w:smallCaps w:val="0"/>
      <w:color w:val="365F91" w:themeColor="accent1" w:themeShade="BF"/>
      <w:szCs w:val="28"/>
      <w:lang w:val="en-US" w:eastAsia="ja-JP"/>
    </w:rPr>
  </w:style>
  <w:style w:type="paragraph" w:styleId="TOC2">
    <w:name w:val="toc 2"/>
    <w:basedOn w:val="Normal"/>
    <w:next w:val="Normal"/>
    <w:autoRedefine/>
    <w:uiPriority w:val="39"/>
    <w:unhideWhenUsed/>
    <w:qFormat/>
    <w:rsid w:val="007205B2"/>
    <w:pPr>
      <w:tabs>
        <w:tab w:val="right" w:leader="dot" w:pos="9062"/>
      </w:tabs>
      <w:spacing w:after="0" w:line="240" w:lineRule="auto"/>
      <w:ind w:firstLine="567"/>
    </w:pPr>
  </w:style>
  <w:style w:type="character" w:styleId="Hyperlink">
    <w:name w:val="Hyperlink"/>
    <w:basedOn w:val="DefaultParagraphFont"/>
    <w:uiPriority w:val="99"/>
    <w:unhideWhenUsed/>
    <w:rsid w:val="00AF669A"/>
    <w:rPr>
      <w:color w:val="0000FF" w:themeColor="hyperlink"/>
      <w:u w:val="single"/>
    </w:rPr>
  </w:style>
  <w:style w:type="paragraph" w:styleId="TOC1">
    <w:name w:val="toc 1"/>
    <w:basedOn w:val="Normal"/>
    <w:next w:val="Normal"/>
    <w:autoRedefine/>
    <w:uiPriority w:val="39"/>
    <w:semiHidden/>
    <w:unhideWhenUsed/>
    <w:qFormat/>
    <w:rsid w:val="0092130B"/>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92130B"/>
    <w:pPr>
      <w:spacing w:after="100"/>
      <w:ind w:left="440"/>
    </w:pPr>
    <w:rPr>
      <w:rFonts w:eastAsiaTheme="minorEastAsia"/>
      <w:lang w:val="en-US" w:eastAsia="ja-JP"/>
    </w:rPr>
  </w:style>
  <w:style w:type="paragraph" w:customStyle="1" w:styleId="CM1">
    <w:name w:val="CM1"/>
    <w:basedOn w:val="Normal"/>
    <w:next w:val="Normal"/>
    <w:uiPriority w:val="99"/>
    <w:rsid w:val="00095555"/>
    <w:pPr>
      <w:autoSpaceDE w:val="0"/>
      <w:autoSpaceDN w:val="0"/>
      <w:adjustRightInd w:val="0"/>
      <w:spacing w:after="0" w:line="240" w:lineRule="auto"/>
    </w:pPr>
    <w:rPr>
      <w:rFonts w:ascii="Times New Roman" w:hAnsi="Times New Roman" w:cs="Times New Roman"/>
      <w:sz w:val="24"/>
      <w:szCs w:val="24"/>
      <w:lang w:val="en-US"/>
    </w:rPr>
  </w:style>
  <w:style w:type="paragraph" w:customStyle="1" w:styleId="CM3">
    <w:name w:val="CM3"/>
    <w:basedOn w:val="Normal"/>
    <w:next w:val="Normal"/>
    <w:uiPriority w:val="99"/>
    <w:rsid w:val="00095555"/>
    <w:pPr>
      <w:autoSpaceDE w:val="0"/>
      <w:autoSpaceDN w:val="0"/>
      <w:adjustRightInd w:val="0"/>
      <w:spacing w:after="0" w:line="240" w:lineRule="auto"/>
    </w:pPr>
    <w:rPr>
      <w:rFonts w:ascii="Times New Roman" w:hAnsi="Times New Roman" w:cs="Times New Roman"/>
      <w:sz w:val="24"/>
      <w:szCs w:val="24"/>
      <w:lang w:val="en-US"/>
    </w:rPr>
  </w:style>
  <w:style w:type="character" w:styleId="FollowedHyperlink">
    <w:name w:val="FollowedHyperlink"/>
    <w:basedOn w:val="DefaultParagraphFont"/>
    <w:uiPriority w:val="99"/>
    <w:semiHidden/>
    <w:unhideWhenUsed/>
    <w:rsid w:val="004351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844388">
      <w:bodyDiv w:val="1"/>
      <w:marLeft w:val="0"/>
      <w:marRight w:val="0"/>
      <w:marTop w:val="0"/>
      <w:marBottom w:val="0"/>
      <w:divBdr>
        <w:top w:val="none" w:sz="0" w:space="0" w:color="auto"/>
        <w:left w:val="none" w:sz="0" w:space="0" w:color="auto"/>
        <w:bottom w:val="none" w:sz="0" w:space="0" w:color="auto"/>
        <w:right w:val="none" w:sz="0" w:space="0" w:color="auto"/>
      </w:divBdr>
    </w:div>
    <w:div w:id="516818936">
      <w:bodyDiv w:val="1"/>
      <w:marLeft w:val="0"/>
      <w:marRight w:val="0"/>
      <w:marTop w:val="0"/>
      <w:marBottom w:val="0"/>
      <w:divBdr>
        <w:top w:val="none" w:sz="0" w:space="0" w:color="auto"/>
        <w:left w:val="none" w:sz="0" w:space="0" w:color="auto"/>
        <w:bottom w:val="none" w:sz="0" w:space="0" w:color="auto"/>
        <w:right w:val="none" w:sz="0" w:space="0" w:color="auto"/>
      </w:divBdr>
    </w:div>
    <w:div w:id="560991637">
      <w:bodyDiv w:val="1"/>
      <w:marLeft w:val="0"/>
      <w:marRight w:val="0"/>
      <w:marTop w:val="0"/>
      <w:marBottom w:val="0"/>
      <w:divBdr>
        <w:top w:val="none" w:sz="0" w:space="0" w:color="auto"/>
        <w:left w:val="none" w:sz="0" w:space="0" w:color="auto"/>
        <w:bottom w:val="none" w:sz="0" w:space="0" w:color="auto"/>
        <w:right w:val="none" w:sz="0" w:space="0" w:color="auto"/>
      </w:divBdr>
    </w:div>
    <w:div w:id="765149886">
      <w:bodyDiv w:val="1"/>
      <w:marLeft w:val="0"/>
      <w:marRight w:val="0"/>
      <w:marTop w:val="0"/>
      <w:marBottom w:val="0"/>
      <w:divBdr>
        <w:top w:val="none" w:sz="0" w:space="0" w:color="auto"/>
        <w:left w:val="none" w:sz="0" w:space="0" w:color="auto"/>
        <w:bottom w:val="none" w:sz="0" w:space="0" w:color="auto"/>
        <w:right w:val="none" w:sz="0" w:space="0" w:color="auto"/>
      </w:divBdr>
    </w:div>
    <w:div w:id="963849433">
      <w:bodyDiv w:val="1"/>
      <w:marLeft w:val="0"/>
      <w:marRight w:val="0"/>
      <w:marTop w:val="0"/>
      <w:marBottom w:val="0"/>
      <w:divBdr>
        <w:top w:val="none" w:sz="0" w:space="0" w:color="auto"/>
        <w:left w:val="none" w:sz="0" w:space="0" w:color="auto"/>
        <w:bottom w:val="none" w:sz="0" w:space="0" w:color="auto"/>
        <w:right w:val="none" w:sz="0" w:space="0" w:color="auto"/>
      </w:divBdr>
    </w:div>
    <w:div w:id="1172987164">
      <w:bodyDiv w:val="1"/>
      <w:marLeft w:val="0"/>
      <w:marRight w:val="0"/>
      <w:marTop w:val="0"/>
      <w:marBottom w:val="0"/>
      <w:divBdr>
        <w:top w:val="none" w:sz="0" w:space="0" w:color="auto"/>
        <w:left w:val="none" w:sz="0" w:space="0" w:color="auto"/>
        <w:bottom w:val="none" w:sz="0" w:space="0" w:color="auto"/>
        <w:right w:val="none" w:sz="0" w:space="0" w:color="auto"/>
      </w:divBdr>
    </w:div>
    <w:div w:id="1439983854">
      <w:bodyDiv w:val="1"/>
      <w:marLeft w:val="0"/>
      <w:marRight w:val="0"/>
      <w:marTop w:val="0"/>
      <w:marBottom w:val="0"/>
      <w:divBdr>
        <w:top w:val="none" w:sz="0" w:space="0" w:color="auto"/>
        <w:left w:val="none" w:sz="0" w:space="0" w:color="auto"/>
        <w:bottom w:val="none" w:sz="0" w:space="0" w:color="auto"/>
        <w:right w:val="none" w:sz="0" w:space="0" w:color="auto"/>
      </w:divBdr>
    </w:div>
    <w:div w:id="1500384691">
      <w:bodyDiv w:val="1"/>
      <w:marLeft w:val="0"/>
      <w:marRight w:val="0"/>
      <w:marTop w:val="0"/>
      <w:marBottom w:val="0"/>
      <w:divBdr>
        <w:top w:val="none" w:sz="0" w:space="0" w:color="auto"/>
        <w:left w:val="none" w:sz="0" w:space="0" w:color="auto"/>
        <w:bottom w:val="none" w:sz="0" w:space="0" w:color="auto"/>
        <w:right w:val="none" w:sz="0" w:space="0" w:color="auto"/>
      </w:divBdr>
    </w:div>
    <w:div w:id="1611274576">
      <w:bodyDiv w:val="1"/>
      <w:marLeft w:val="0"/>
      <w:marRight w:val="0"/>
      <w:marTop w:val="0"/>
      <w:marBottom w:val="0"/>
      <w:divBdr>
        <w:top w:val="none" w:sz="0" w:space="0" w:color="auto"/>
        <w:left w:val="none" w:sz="0" w:space="0" w:color="auto"/>
        <w:bottom w:val="none" w:sz="0" w:space="0" w:color="auto"/>
        <w:right w:val="none" w:sz="0" w:space="0" w:color="auto"/>
      </w:divBdr>
    </w:div>
    <w:div w:id="1853450710">
      <w:bodyDiv w:val="1"/>
      <w:marLeft w:val="0"/>
      <w:marRight w:val="0"/>
      <w:marTop w:val="0"/>
      <w:marBottom w:val="0"/>
      <w:divBdr>
        <w:top w:val="none" w:sz="0" w:space="0" w:color="auto"/>
        <w:left w:val="none" w:sz="0" w:space="0" w:color="auto"/>
        <w:bottom w:val="none" w:sz="0" w:space="0" w:color="auto"/>
        <w:right w:val="none" w:sz="0" w:space="0" w:color="auto"/>
      </w:divBdr>
    </w:div>
    <w:div w:id="194276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81A03-0879-4BCE-AC47-0B7FB491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24631</Words>
  <Characters>140400</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Hristo Todorov</dc:creator>
  <cp:lastModifiedBy>Snezhana Grigorova</cp:lastModifiedBy>
  <cp:revision>2</cp:revision>
  <cp:lastPrinted>2023-01-16T15:52:00Z</cp:lastPrinted>
  <dcterms:created xsi:type="dcterms:W3CDTF">2023-03-22T13:46:00Z</dcterms:created>
  <dcterms:modified xsi:type="dcterms:W3CDTF">2023-03-22T13:46:00Z</dcterms:modified>
</cp:coreProperties>
</file>