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E2A09">
        <w:rPr>
          <w:rFonts w:ascii="Times New Roman" w:hAnsi="Times New Roman" w:cs="Times New Roman"/>
          <w:b/>
          <w:sz w:val="24"/>
          <w:szCs w:val="24"/>
        </w:rPr>
        <w:t>изменени</w:t>
      </w:r>
      <w:r w:rsidR="00B01B7D">
        <w:rPr>
          <w:rFonts w:ascii="Times New Roman" w:hAnsi="Times New Roman" w:cs="Times New Roman"/>
          <w:b/>
          <w:sz w:val="24"/>
          <w:szCs w:val="24"/>
        </w:rPr>
        <w:t>я</w:t>
      </w:r>
      <w:r w:rsidR="002E2A09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</w:t>
      </w:r>
      <w:r w:rsidR="002E2A09">
        <w:rPr>
          <w:rFonts w:ascii="Times New Roman" w:hAnsi="Times New Roman" w:cs="Times New Roman"/>
          <w:b/>
          <w:sz w:val="24"/>
          <w:szCs w:val="24"/>
        </w:rPr>
        <w:t>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747E" w:rsidRPr="00DA747E" w:rsidRDefault="002E2A09" w:rsidP="00DA74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D6182">
        <w:rPr>
          <w:rFonts w:ascii="Times New Roman" w:hAnsi="Times New Roman" w:cs="Times New Roman"/>
          <w:b/>
          <w:sz w:val="24"/>
          <w:szCs w:val="24"/>
        </w:rPr>
        <w:t>одраздел 8</w:t>
      </w:r>
      <w:r w:rsidR="00DA747E" w:rsidRPr="00DA747E">
        <w:rPr>
          <w:rFonts w:ascii="Times New Roman" w:hAnsi="Times New Roman" w:cs="Times New Roman"/>
          <w:b/>
          <w:sz w:val="24"/>
          <w:szCs w:val="24"/>
        </w:rPr>
        <w:t xml:space="preserve">.1 </w:t>
      </w:r>
      <w:r w:rsidR="004D6182">
        <w:rPr>
          <w:rFonts w:ascii="Times New Roman" w:hAnsi="Times New Roman" w:cs="Times New Roman"/>
          <w:b/>
          <w:sz w:val="24"/>
          <w:szCs w:val="24"/>
        </w:rPr>
        <w:t>„</w:t>
      </w:r>
      <w:r w:rsidR="004D6182" w:rsidRPr="004D6182">
        <w:rPr>
          <w:rFonts w:ascii="Times New Roman" w:hAnsi="Times New Roman" w:cs="Times New Roman"/>
          <w:b/>
          <w:sz w:val="24"/>
          <w:szCs w:val="24"/>
        </w:rPr>
        <w:t>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</w:t>
      </w:r>
      <w:r w:rsidR="004D6182">
        <w:rPr>
          <w:rFonts w:ascii="Times New Roman" w:hAnsi="Times New Roman" w:cs="Times New Roman"/>
          <w:b/>
          <w:sz w:val="24"/>
          <w:szCs w:val="24"/>
        </w:rPr>
        <w:t>“</w:t>
      </w:r>
      <w:r w:rsidR="00685C9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E2A09">
        <w:rPr>
          <w:rFonts w:ascii="Times New Roman" w:hAnsi="Times New Roman" w:cs="Times New Roman"/>
          <w:b/>
          <w:sz w:val="24"/>
          <w:szCs w:val="24"/>
        </w:rPr>
        <w:t>вкл. предвиждане на възможност за индексация на разходи по мерки и подмерки от Програмата</w:t>
      </w:r>
    </w:p>
    <w:p w:rsidR="00DC0C86" w:rsidRDefault="00DC0C86" w:rsidP="00DC0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667A" w:rsidRDefault="00A3667A" w:rsidP="00DC0C8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0C86" w:rsidRPr="00DC0C86" w:rsidRDefault="00DC0C86" w:rsidP="00C1584B">
      <w:pPr>
        <w:pStyle w:val="ListParagraph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Включване на гласуван и одобрен текст от </w:t>
      </w:r>
      <w:r w:rsidRPr="00DC0C86">
        <w:rPr>
          <w:rFonts w:ascii="Times New Roman" w:hAnsi="Times New Roman" w:cs="Times New Roman"/>
          <w:b/>
          <w:bCs/>
          <w:sz w:val="24"/>
          <w:szCs w:val="24"/>
        </w:rPr>
        <w:t>Комитет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C0C86">
        <w:rPr>
          <w:rFonts w:ascii="Times New Roman" w:hAnsi="Times New Roman" w:cs="Times New Roman"/>
          <w:b/>
          <w:bCs/>
          <w:sz w:val="24"/>
          <w:szCs w:val="24"/>
        </w:rPr>
        <w:t xml:space="preserve"> за наблюдение на ПРСР 2014-2020 г., на своето заседание, проведено на 11.11.2022 г.</w:t>
      </w:r>
    </w:p>
    <w:p w:rsidR="00DC0C86" w:rsidRDefault="00A3667A" w:rsidP="00A366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Във връзка одобреното предложение за допълване на текста, свързан с капацитета на инсталациите в проекти за производство на енергия от ВЕИ, се прави изменение в програмата.</w:t>
      </w:r>
    </w:p>
    <w:p w:rsidR="00C1584B" w:rsidRPr="00A3667A" w:rsidRDefault="00C1584B" w:rsidP="00A3667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0C86" w:rsidRPr="00C1584B" w:rsidRDefault="00DC0C86" w:rsidP="00C1584B">
      <w:pPr>
        <w:pStyle w:val="ListParagraph"/>
        <w:numPr>
          <w:ilvl w:val="0"/>
          <w:numId w:val="36"/>
        </w:numPr>
        <w:spacing w:after="0" w:line="360" w:lineRule="auto"/>
        <w:ind w:left="142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584B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Във връзка с етапа на изпълнение на ПРСР 2014-2020 г. се извършва корекция в крайният срок за изпълнение на проекти по инвестиционните мерки</w:t>
      </w:r>
    </w:p>
    <w:p w:rsidR="00C1584B" w:rsidRPr="00C1584B" w:rsidRDefault="00C1584B" w:rsidP="00C1584B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0C86" w:rsidRDefault="00A3667A" w:rsidP="00A3667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C1584B">
        <w:rPr>
          <w:rFonts w:ascii="Times New Roman" w:hAnsi="Times New Roman" w:cs="Times New Roman"/>
          <w:bCs/>
          <w:sz w:val="24"/>
          <w:szCs w:val="24"/>
        </w:rPr>
        <w:t xml:space="preserve">ъв връзка приемането на </w:t>
      </w:r>
      <w:r w:rsidRPr="00A3667A">
        <w:rPr>
          <w:rFonts w:ascii="Times New Roman" w:hAnsi="Times New Roman" w:cs="Times New Roman"/>
          <w:bCs/>
          <w:sz w:val="24"/>
          <w:szCs w:val="24"/>
        </w:rPr>
        <w:t>Регламент (ЕС) 2020/2220</w:t>
      </w:r>
      <w:r w:rsidR="00C1584B">
        <w:rPr>
          <w:rFonts w:ascii="Times New Roman" w:hAnsi="Times New Roman" w:cs="Times New Roman"/>
          <w:bCs/>
          <w:sz w:val="24"/>
          <w:szCs w:val="24"/>
        </w:rPr>
        <w:t xml:space="preserve"> се извършва корекция в крайния</w:t>
      </w:r>
      <w:r w:rsidR="00076F24">
        <w:rPr>
          <w:rFonts w:ascii="Times New Roman" w:hAnsi="Times New Roman" w:cs="Times New Roman"/>
          <w:bCs/>
          <w:sz w:val="24"/>
          <w:szCs w:val="24"/>
        </w:rPr>
        <w:t>т</w:t>
      </w:r>
      <w:r w:rsidR="00C1584B">
        <w:rPr>
          <w:rFonts w:ascii="Times New Roman" w:hAnsi="Times New Roman" w:cs="Times New Roman"/>
          <w:bCs/>
          <w:sz w:val="24"/>
          <w:szCs w:val="24"/>
        </w:rPr>
        <w:t xml:space="preserve"> срок за изпълнение на проекти по инвестиционните мерки от ПРСР 2014-2020</w:t>
      </w:r>
      <w:r w:rsidR="00076F24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C1584B">
        <w:rPr>
          <w:rFonts w:ascii="Times New Roman" w:hAnsi="Times New Roman" w:cs="Times New Roman"/>
          <w:bCs/>
          <w:sz w:val="24"/>
          <w:szCs w:val="24"/>
        </w:rPr>
        <w:t>.</w:t>
      </w:r>
    </w:p>
    <w:p w:rsidR="00C1584B" w:rsidRPr="00A3667A" w:rsidRDefault="00C1584B" w:rsidP="00A3667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0C86" w:rsidRPr="00C1584B" w:rsidRDefault="00DC0C86" w:rsidP="00C1584B">
      <w:pPr>
        <w:pStyle w:val="ListParagraph"/>
        <w:numPr>
          <w:ilvl w:val="0"/>
          <w:numId w:val="3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584B">
        <w:rPr>
          <w:rFonts w:ascii="Times New Roman" w:hAnsi="Times New Roman" w:cs="Times New Roman"/>
          <w:b/>
          <w:bCs/>
          <w:sz w:val="24"/>
          <w:szCs w:val="24"/>
        </w:rPr>
        <w:t>Включване на текст в подраздел 8.1., свързан с предвиждане на възможност за индексация на разходи по мерки и подмерки от ПРСР (2014-2020)</w:t>
      </w:r>
    </w:p>
    <w:p w:rsidR="00C1584B" w:rsidRPr="00C1584B" w:rsidRDefault="00C1584B" w:rsidP="00C1584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2D11" w:rsidRPr="00581B3B" w:rsidRDefault="00DD2D11" w:rsidP="00DD2D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 xml:space="preserve">Редица фактори в Европа в последните две години, включително икономическата криза като последствие от глобалната пандемия от COVID-SARS-2 и конфликта в Украйна, доведоха до прогресираща инфлация в цените на целия промишлен комплекс. </w:t>
      </w:r>
    </w:p>
    <w:p w:rsidR="00DD2D11" w:rsidRPr="00581B3B" w:rsidRDefault="00DD2D11" w:rsidP="00DD2D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 xml:space="preserve">В тази връзка, не може да не се спомене и един от най-засегнатите сектори от инфлацията, а именно строителството, което се формира от разходите за строителни материали, доставки и услуги. Съгласно индексите </w:t>
      </w:r>
      <w:r w:rsidRPr="00581B3B">
        <w:rPr>
          <w:rFonts w:ascii="Times New Roman" w:hAnsi="Times New Roman" w:cs="Times New Roman"/>
          <w:sz w:val="24"/>
          <w:szCs w:val="24"/>
        </w:rPr>
        <w:lastRenderedPageBreak/>
        <w:t>на строителна продукция, обявени на официалната страница на Националния статистически институт, индексът на инфлация за последното тримесечие на 2022 г. е 231,2 пункта спрямо 107,8 пункта за първото тримесечие на 2021 г., което показва инфлация от над 123 % за посоченият период.</w:t>
      </w:r>
    </w:p>
    <w:p w:rsidR="00DD2D11" w:rsidRPr="00581B3B" w:rsidRDefault="00DD2D11" w:rsidP="00DD2D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>Аналогично за посоченият период, разходите за труд в строителството и разходите по доставки (транспорт) са се повишили с над 30 на сто, което формира още по-голям ръст на цените на крайния продукт – строителство.</w:t>
      </w:r>
    </w:p>
    <w:p w:rsidR="00026C1B" w:rsidRDefault="00DD2D11" w:rsidP="00DD2D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>Това обстоятелство наложи предприемането на методически и регулаторни мерки на национално ниво за преодоляване на последиците от прогресивната инфлация в цените на строителна продукция, доставки и услуги с оглед обезпечаване изпълнението и завършването на възложени дейности по реда на Закона за обществени поръчки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45EE6" w:rsidRPr="00A45EE6">
        <w:rPr>
          <w:rFonts w:ascii="Times New Roman" w:hAnsi="Times New Roman" w:cs="Times New Roman"/>
          <w:sz w:val="24"/>
          <w:szCs w:val="24"/>
        </w:rPr>
        <w:t>Съгласно разпоредбите на чл. 117а</w:t>
      </w:r>
      <w:r w:rsidR="00A45EE6">
        <w:rPr>
          <w:rFonts w:ascii="Times New Roman" w:hAnsi="Times New Roman" w:cs="Times New Roman"/>
          <w:sz w:val="24"/>
          <w:szCs w:val="24"/>
        </w:rPr>
        <w:t>,</w:t>
      </w:r>
      <w:r w:rsidR="00A45EE6" w:rsidRPr="00A45EE6">
        <w:rPr>
          <w:rFonts w:ascii="Times New Roman" w:hAnsi="Times New Roman" w:cs="Times New Roman"/>
          <w:sz w:val="24"/>
          <w:szCs w:val="24"/>
        </w:rPr>
        <w:t xml:space="preserve"> ал. 1 от ЗОП, е разработена и одобрена с акт на Министерски съвет на РБ – „Методика за изменение на цената на договор за обществена поръчка в резултат на инфлация“</w:t>
      </w:r>
      <w:r w:rsidR="00A45EE6">
        <w:rPr>
          <w:rFonts w:ascii="Times New Roman" w:hAnsi="Times New Roman" w:cs="Times New Roman"/>
          <w:sz w:val="24"/>
          <w:szCs w:val="24"/>
        </w:rPr>
        <w:t>.</w:t>
      </w:r>
    </w:p>
    <w:p w:rsidR="00DC0C86" w:rsidRDefault="00DC0C86" w:rsidP="00DD2D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 xml:space="preserve">С посочената Методика е регламентиран начинът за изменение на цената по договори за обществени поръчки в резултат на инфлация, при която съществено са увеличени цените на основни стоки и материали, </w:t>
      </w:r>
      <w:r w:rsidRPr="00581B3B">
        <w:rPr>
          <w:rFonts w:ascii="Times New Roman" w:hAnsi="Times New Roman" w:cs="Times New Roman"/>
          <w:sz w:val="24"/>
          <w:szCs w:val="24"/>
        </w:rPr>
        <w:lastRenderedPageBreak/>
        <w:t>формиращи стойността на договора за строителство. При изменение на цената на договора във връзка с гореописаното, в методиката е предвидено, както прилагането на коефициент на тежест на строителните материали в себестойността на различните видове строежи, така и прилагане на индекс на цени на производител на вътрешния пазар на строителни материали за съответното тримесечие, в което са приети извършените строителни дейности.</w:t>
      </w:r>
    </w:p>
    <w:p w:rsidR="00DD2D11" w:rsidRDefault="00DD2D11" w:rsidP="00DD2D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D11">
        <w:rPr>
          <w:rFonts w:ascii="Times New Roman" w:hAnsi="Times New Roman" w:cs="Times New Roman"/>
          <w:sz w:val="24"/>
          <w:szCs w:val="24"/>
        </w:rPr>
        <w:t>С оглед на това, че бенефициенти възложители по реда на Закона за обществените поръчки, одобрени за подпомагане по ПРСР, са за дейности основно свързани със строителство (строителство, ремонт и реконструкция) на публична инфраструктура в селските райони на страната. Одобрението на заявени разходи и сключването на административни договори с кандидати, с подготвени проектни предложения преди настъпването на инфлацията и изпълнението на дейностите по тях в периода на прогресираща инфлация, поставя под голям риск или в невъзможност изпълнението на одобрените дейности свързани със строителство, ремонт или реконструкция на публична инфраструктура.</w:t>
      </w:r>
    </w:p>
    <w:p w:rsidR="00DD2D11" w:rsidRPr="00DD2D11" w:rsidRDefault="00DD2D11" w:rsidP="00DD2D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D11">
        <w:rPr>
          <w:rFonts w:ascii="Times New Roman" w:hAnsi="Times New Roman" w:cs="Times New Roman"/>
          <w:sz w:val="24"/>
          <w:szCs w:val="24"/>
        </w:rPr>
        <w:lastRenderedPageBreak/>
        <w:t>В тази връзка, е предвидено по ПРСР да бъдат взети мерки за преодоляване на последиците от прогресивната инфлация в цените на строителна продукция, засегнала най-съществено инвестиции свързани със строителни дейности, чрез индексация на вече одобрени разходи по проектни предложения засегнати от инфлацията.</w:t>
      </w:r>
    </w:p>
    <w:p w:rsidR="00DD2D11" w:rsidRPr="00DD2D11" w:rsidRDefault="00DD2D11" w:rsidP="00DD2D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2D11" w:rsidRDefault="00DD2D11" w:rsidP="00DD2D11">
      <w:pPr>
        <w:spacing w:after="0" w:line="360" w:lineRule="auto"/>
        <w:ind w:firstLine="709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076F24">
          <w:footerReference w:type="default" r:id="rId8"/>
          <w:pgSz w:w="11906" w:h="16838"/>
          <w:pgMar w:top="851" w:right="1196" w:bottom="284" w:left="1260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D77E28" w:rsidRPr="00D46E00" w:rsidTr="001C0EE6">
        <w:tc>
          <w:tcPr>
            <w:tcW w:w="215" w:type="pct"/>
            <w:shd w:val="clear" w:color="auto" w:fill="D9D9D9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D77E28" w:rsidRPr="00D46E00" w:rsidRDefault="00D77E28" w:rsidP="004D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Настоящ текст на под</w:t>
            </w:r>
            <w:r w:rsidR="004D6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D6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D77E28" w:rsidRPr="00D46E00" w:rsidRDefault="00D77E28" w:rsidP="004D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Предл</w:t>
            </w:r>
            <w:r w:rsidR="004D6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ожение за нов/прецизиран текст 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под</w:t>
            </w:r>
            <w:r w:rsidR="004D6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D61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 от ПРСР</w:t>
            </w:r>
          </w:p>
        </w:tc>
      </w:tr>
      <w:tr w:rsidR="00D77E28" w:rsidRPr="00D46E00" w:rsidTr="001C0EE6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D77E28" w:rsidRPr="00D46E00" w:rsidRDefault="00D77E28" w:rsidP="007207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</w:t>
            </w:r>
            <w:r w:rsidR="004D61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</w:t>
            </w:r>
            <w:r w:rsidRPr="00D46E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</w:t>
            </w:r>
            <w:r w:rsidR="004D6182" w:rsidRPr="004D6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8.1. </w:t>
            </w:r>
            <w:r w:rsidR="0072077C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  <w:r w:rsidR="004D6182" w:rsidRPr="004D618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1305/2013“</w:t>
            </w:r>
          </w:p>
        </w:tc>
      </w:tr>
      <w:tr w:rsidR="00D0654E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D0654E" w:rsidRPr="00D46E00" w:rsidRDefault="00D0654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D0654E" w:rsidRPr="004D6182" w:rsidRDefault="00D0654E" w:rsidP="001C0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0654E">
              <w:rPr>
                <w:rFonts w:ascii="Times New Roman" w:eastAsia="Times New Roman" w:hAnsi="Times New Roman"/>
                <w:b/>
                <w:sz w:val="18"/>
                <w:szCs w:val="18"/>
              </w:rPr>
              <w:t>8.1. 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</w:t>
            </w:r>
          </w:p>
        </w:tc>
        <w:tc>
          <w:tcPr>
            <w:tcW w:w="2113" w:type="pct"/>
            <w:shd w:val="clear" w:color="auto" w:fill="auto"/>
          </w:tcPr>
          <w:p w:rsidR="00D0654E" w:rsidRDefault="00D0654E" w:rsidP="00D0654E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D0654E" w:rsidRDefault="00D0654E" w:rsidP="00D0654E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D0654E" w:rsidRPr="007F3837" w:rsidRDefault="00D0654E" w:rsidP="00D0654E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Правила за допустимост на проекти за инвестиционна подкрепа</w:t>
            </w:r>
          </w:p>
          <w:p w:rsidR="00D0654E" w:rsidRDefault="00D0654E" w:rsidP="007F3837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GB"/>
              </w:rPr>
            </w:pPr>
          </w:p>
          <w:p w:rsidR="00D0654E" w:rsidRPr="00581B3B" w:rsidRDefault="00D0654E" w:rsidP="00D0654E">
            <w:pPr>
              <w:spacing w:after="0" w:line="240" w:lineRule="auto"/>
              <w:ind w:left="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81B3B">
              <w:rPr>
                <w:rFonts w:ascii="Times New Roman" w:eastAsia="Calibri" w:hAnsi="Times New Roman" w:cs="Times New Roman"/>
                <w:sz w:val="18"/>
                <w:szCs w:val="18"/>
              </w:rPr>
              <w:t>Капацитетът на инсталациите в проекти за производства на енергия от ВЕИ, които са обект на подпомагане не трябва да надвишават мощност от 1 мегават.</w:t>
            </w:r>
          </w:p>
          <w:p w:rsidR="00D0654E" w:rsidRDefault="00D0654E" w:rsidP="007F3837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044" w:type="pct"/>
            <w:shd w:val="clear" w:color="auto" w:fill="auto"/>
          </w:tcPr>
          <w:p w:rsidR="00D0654E" w:rsidRDefault="00D0654E" w:rsidP="00D0654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Прецизиране на текста</w:t>
            </w:r>
          </w:p>
          <w:p w:rsidR="00D0654E" w:rsidRDefault="00D0654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D0654E" w:rsidRPr="007F3837" w:rsidRDefault="00D0654E" w:rsidP="00D0654E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Правила за допустимост на проекти за инвестиционна подкрепа</w:t>
            </w:r>
          </w:p>
          <w:p w:rsidR="00D0654E" w:rsidRDefault="00D0654E" w:rsidP="00D0654E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GB"/>
              </w:rPr>
            </w:pPr>
          </w:p>
          <w:p w:rsidR="00D0654E" w:rsidRPr="00581B3B" w:rsidRDefault="00D0654E" w:rsidP="00D0654E">
            <w:pPr>
              <w:spacing w:after="0" w:line="240" w:lineRule="auto"/>
              <w:ind w:left="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81B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Капацитетът на инсталациите в проекти </w:t>
            </w:r>
            <w:r w:rsidRPr="00D0654E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  <w:t xml:space="preserve">по мярка 4 „Инвестиции в материални активи“ и мярка 6 „Развитие на стопанства и предприятия“ </w:t>
            </w:r>
            <w:r w:rsidRPr="00581B3B">
              <w:rPr>
                <w:rFonts w:ascii="Times New Roman" w:eastAsia="Calibri" w:hAnsi="Times New Roman" w:cs="Times New Roman"/>
                <w:sz w:val="18"/>
                <w:szCs w:val="18"/>
              </w:rPr>
              <w:t>за производства на енергия от ВЕИ, които са обект на подпомагане не трябва да надвишават мощност от 1 мегават.</w:t>
            </w:r>
          </w:p>
          <w:p w:rsidR="00D0654E" w:rsidRDefault="00D0654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F3837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7F3837" w:rsidRPr="00D46E00" w:rsidRDefault="007F3837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7F3837" w:rsidRPr="004D6182" w:rsidRDefault="007F3837" w:rsidP="001C0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b/>
                <w:sz w:val="18"/>
                <w:szCs w:val="18"/>
              </w:rPr>
              <w:t>8.1. 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</w:t>
            </w:r>
          </w:p>
        </w:tc>
        <w:tc>
          <w:tcPr>
            <w:tcW w:w="2113" w:type="pct"/>
            <w:shd w:val="clear" w:color="auto" w:fill="auto"/>
          </w:tcPr>
          <w:p w:rsid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GB"/>
              </w:rPr>
            </w:pPr>
          </w:p>
          <w:p w:rsid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GB"/>
              </w:rPr>
            </w:pPr>
          </w:p>
          <w:p w:rsidR="007F3837" w:rsidRP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Правила за допустимост на проекти за инвестиционна подкрепа</w:t>
            </w:r>
          </w:p>
          <w:p w:rsidR="007F3837" w:rsidRDefault="007F3837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F3837" w:rsidRP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sz w:val="18"/>
                <w:szCs w:val="18"/>
              </w:rPr>
              <w:t>Крайният срок за изпълнение на проекти по инвестиционните мерки е не по-късно от 1 октомври 2023 г., освен ако не е предвидено друго в насоките за кандидатстване по конкретната процедура или в европейското законодателство.</w:t>
            </w:r>
          </w:p>
          <w:p w:rsidR="007F3837" w:rsidRDefault="007F3837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7F3837" w:rsidRDefault="007F3837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Прецизиране на текста</w:t>
            </w:r>
          </w:p>
          <w:p w:rsidR="007F3837" w:rsidRDefault="007F3837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7F3837" w:rsidRP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Правила за допустимост на проекти за инвестиционна подкрепа</w:t>
            </w:r>
          </w:p>
          <w:p w:rsid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F3837" w:rsidRPr="007F3837" w:rsidRDefault="007F3837" w:rsidP="007F3837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3837">
              <w:rPr>
                <w:rFonts w:ascii="Times New Roman" w:eastAsia="Times New Roman" w:hAnsi="Times New Roman"/>
                <w:sz w:val="18"/>
                <w:szCs w:val="18"/>
              </w:rPr>
              <w:t xml:space="preserve">Крайният срок за изпълнение на проекти по инвестиционните мерки е не по-късно от 1 октомври </w:t>
            </w:r>
            <w:r w:rsidRPr="007F3837"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  <w:t>2023</w:t>
            </w:r>
            <w:r w:rsidRPr="007F3837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7F3837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  <w:t>2025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F3837">
              <w:rPr>
                <w:rFonts w:ascii="Times New Roman" w:eastAsia="Times New Roman" w:hAnsi="Times New Roman"/>
                <w:sz w:val="18"/>
                <w:szCs w:val="18"/>
              </w:rPr>
              <w:t>г., освен ако не е предвидено друго в насоките за кандидатстване по конкретната процедура или в европейското законодателство.</w:t>
            </w:r>
          </w:p>
          <w:p w:rsidR="007F3837" w:rsidRPr="00D46E00" w:rsidRDefault="007F3837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77E28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D77E28" w:rsidRPr="00D46E00" w:rsidRDefault="004D6182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6182">
              <w:rPr>
                <w:rFonts w:ascii="Times New Roman" w:eastAsia="Times New Roman" w:hAnsi="Times New Roman"/>
                <w:b/>
                <w:sz w:val="18"/>
                <w:szCs w:val="18"/>
              </w:rPr>
              <w:t>8.1. Описание на общите условия, прилагани за повече от една мярка, включително и, когато е приложимо, определение на селски район, основни параметри, кръстосано съответствие, предназначение на финансовите инструменти, предназначение на авансите и общи разпоредби за инвестиции, включително разпоредбите на членове 45 и 46 от Регламент (ЕС) № 1305/2013</w:t>
            </w:r>
          </w:p>
        </w:tc>
        <w:tc>
          <w:tcPr>
            <w:tcW w:w="2113" w:type="pct"/>
            <w:shd w:val="clear" w:color="auto" w:fill="auto"/>
          </w:tcPr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Лостов ефект на заемния продукт</w:t>
            </w: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Лостовият  ефект, който ще се постигне е съобразен с очакваните нива на лостов ефект, идентифицирани в предварителната оценка за изпълнение на ФИ по ПРСР 2014-2020. Стойностите на ефекта на лоста са изчислени, съобразно механизма посочен в Насоките на ЕК (EGESIF_16_0008-02 19/03/2019) по чл.46 за отчитането на финансовите инструменти и във връзка с чл.37 (2), б. „в“, лостов ефект. В тази  връзка следва да се има предвид, че представените стойности на ефект на лоста и средства, които ще бъдат предоставени на крайни получатели са индикативни и могат да претърпят промени в зависимост от размера на средствата разходвани за такси и разходи за управление. Всички изчисления на очакваните нива на лостовия ефект</w:t>
            </w:r>
            <w:r w:rsidR="00076F2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са извършени на базата на методологията, посочена в Насоките на ЕК, вземайки предвид общият размер на очакваното финансиране на допустими КП под формата на заеми, мобилизирани от финансовия инструмент.</w:t>
            </w: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Мерки от ПРСР, чрез които финансовият инструмент ще предоставя подпомагане: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4.1. „Инвестиции в земеделски стопанства“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4.2. „Инвестиции в преработка/маркетинг на земеделски продукти“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6.4 „ Инвестиции в създаване и развитие на неземеделски дейности“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 xml:space="preserve">Тематична подпрограма чрез </w:t>
            </w:r>
            <w:r w:rsidR="00076F24"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</w:t>
            </w: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 xml:space="preserve"> 4.1.2, подмярка 4.2.2 и подмярка 6.4.2</w:t>
            </w:r>
          </w:p>
          <w:p w:rsidR="00D77E28" w:rsidRPr="00D46E00" w:rsidRDefault="004D6182" w:rsidP="004D61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19.2. Прилагане на операции в рамките на стратегии за водено от общностите местно развитие, за проекти, получили безвъзмездна помощ, които отговарят на целите на гореизброените инвестиционни мерки.</w:t>
            </w:r>
          </w:p>
        </w:tc>
        <w:tc>
          <w:tcPr>
            <w:tcW w:w="2044" w:type="pct"/>
            <w:shd w:val="clear" w:color="auto" w:fill="auto"/>
          </w:tcPr>
          <w:p w:rsidR="00D77E28" w:rsidRPr="00D46E00" w:rsidRDefault="00D77E28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Лостов ефект на заемния продукт</w:t>
            </w: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Лостовият  ефект, който ще се постигне е съобразен с очакваните нива на лостов ефект, идентифицирани в предварителната оценка за изпълнение на ФИ по ПРСР 2014-2020. Стойностите на ефекта на лоста са изчислени, съобразно механизма посочен в Насоките на ЕК (EGESIF_16_0008-02 19/03/2019) по чл.46 за отчитането на финансовите инструменти и във връзка с чл.37 (2), б. „в“, лостов ефект. В тази  връзка следва да се има предвид, че представените стойности на ефект на лоста и средства, които ще бъдат предоставени на крайни получатели са индикативни и могат да претърпят промени в зависимост от размера на средствата разходвани за такси и разходи за управление. Всички изчисления на очакваните нива на лостовия ефект</w:t>
            </w:r>
            <w:r w:rsidR="00076F2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са извършени на базата на методологията, посочена в Насоките на ЕК, вземайки предвид общият размер на очакваното финансиране на допустими КП под формата на заеми, мобилизирани от финансовия инструмент.</w:t>
            </w:r>
          </w:p>
          <w:p w:rsidR="004D6182" w:rsidRPr="004D6182" w:rsidRDefault="004D6182" w:rsidP="004D618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Мерки от ПРСР, чрез които финансовият инструмент ще предоставя подпомагане: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4.1. „Инвестиции в земеделски стопанства“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4.2. „Инвестиции в преработка/маркетинг на земеделски продукти“</w:t>
            </w:r>
          </w:p>
          <w:p w:rsidR="004D6182" w:rsidRPr="004D6182" w:rsidRDefault="00521CC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Подмярка 6.4 „</w:t>
            </w:r>
            <w:r w:rsidR="004D6182" w:rsidRPr="004D6182">
              <w:rPr>
                <w:rFonts w:ascii="Times New Roman" w:eastAsia="Times New Roman" w:hAnsi="Times New Roman"/>
                <w:sz w:val="18"/>
                <w:szCs w:val="18"/>
              </w:rPr>
              <w:t>Инвестиции в създаване и развитие на неземеделски дейности“</w:t>
            </w:r>
          </w:p>
          <w:p w:rsidR="004D6182" w:rsidRPr="004D6182" w:rsidRDefault="004D6182" w:rsidP="004D6182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 xml:space="preserve">Тематична подпрограма чрез </w:t>
            </w:r>
            <w:r w:rsidR="00076F24"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</w:t>
            </w: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 xml:space="preserve"> 4.1.2, подмярка 4.2.2 и подмярка 6.4.2</w:t>
            </w:r>
          </w:p>
          <w:p w:rsidR="00D77E28" w:rsidRDefault="004D6182" w:rsidP="004D6182">
            <w:pPr>
              <w:spacing w:after="1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D6182">
              <w:rPr>
                <w:rFonts w:ascii="Times New Roman" w:eastAsia="Times New Roman" w:hAnsi="Times New Roman"/>
                <w:sz w:val="18"/>
                <w:szCs w:val="18"/>
              </w:rPr>
              <w:t>Подмярка 19.2. Прилагане на операции в рамките на стратегии за водено от общностите местно развитие, за проекти, получили безвъзмездна помощ, които отговарят на целите на гореизброените инвестиционни мерки.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Индексация на разходите по вече изпълнени и/или предстоящи за изпълнение дейности, за които няма настъпило окончателно плащане от страна на ДФ „Земеделие“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От началото на 2021 г. се намираме в ситуация на прогресираща инфлация в цените на производител в целия промишлен комплекс. Към 31.12.2021 г. общият индекс на цените на производител в промишлеността (Евростат код B_TO_E36) бележи ръст </w:t>
            </w: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lastRenderedPageBreak/>
              <w:t>от 33.7 пункта спрямо стойностите към 31.12.2020 г. (от 109.4 на 143.1), което свидетелства за инфлация от 30.78 %. В средногодишен план инфлацията в промишлеността през 2021 г. спрямо 2020 г. е 16.36 %.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Прогресиращата промишлена инфлация през 2021 г. е в световен мащаб, и е обусловено от резкия дисбаланс между търсене и предлагане на основни промишлени суровини и стоки (метали, дървесина, петрол и рафинирани нефтопродукти, природен газ и енергийни суровини) в периода на възстановяване на световната икономика от последствията на глобалната пандемия от COVID-SARS-2. В началото на 2022 г. инфлационните процеси се катализират и вследствие на нарушените канали за доставки във връзка с военния конфликт между Руската федерация и Украйна. Гореописаните процеси доведоха и до рязък скок в цените на редица основни строителни продукти.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Показателите на индекса на цени на производител на вътрешния пазар на строителни материали демонстрират, че в периода 2020 – 2021 г. годишната инфлация в производствените цени на строителните продукти варира в границата между 1 % и 2 %. Считано от началото на 2021 г. се наблюдава рязко възходящ инфлационен процес, особено отчетлив през второто полугодие, като към края на годината изменението на показателя е с 20.1 пункта спрямо края на предходната година, свидетелстващо за инфлация от 20.15 %. В средногодишен план инфлацията в цените на строителните материали на вътрешния пазар през 2021 г. спрямо 2020 г. е 11.65 %.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Гореописаните обстоятелства наложиха предприемането на методически и регулаторни мерки за преодоляване на последиците от прогресивната инфлация в цените на строителната продукция, доставки и услуги с оглед обезпечаване изпълнението и завършването на възложените строително-монтажни работи.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ПРСР предвижда да анализира подкрепата на инфлационния риск чрез обективна и справедлива индексация на стойността на изпълнени и предстоящи за изпълнение дейности, чрез преценка на нуждата от индексиране на ниво бенефициент, чрез използване на методика за индексиране на разходите, за които се предоставя подпомагане по ПРСР. 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определяне на максимален процент на индексация за проекти с вече одобрени за подпомагане разходи по ПРСР ще бъде извършвана съпоставка по отношение на наличните остатъчни средства от прилаганите мерки и подмерки по ПРСР за периода 2014-2020, спрямо общия размер на ангажирания бюджет по сключени договор за предоставяне на безвъзмездна финансова помощ, по които не са разплатени средства от страна на Разплащателна агенция.</w:t>
            </w:r>
          </w:p>
          <w:p w:rsidR="004D6182" w:rsidRPr="004D6182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С определянето и прилагане на максимален процент за индексация, ще бъде осигурена равнопоставеност за всички бенефициенти в затруднено положение по отношение изпълнението на одобрените за подпомагане дейности.</w:t>
            </w:r>
          </w:p>
          <w:p w:rsidR="004D6182" w:rsidRPr="00D46E00" w:rsidRDefault="004D6182" w:rsidP="004D618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618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Чрез използването на утвърдена методика за индексиране на разходите, ще се гарантира индивидуално изчислен за всеки проект процент на индексация, съобразно вида на одобрените разходи, периодът на тяхното извършване и др. показатели.</w:t>
            </w: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AD" w:rsidRDefault="008939AD" w:rsidP="0039528E">
      <w:pPr>
        <w:spacing w:after="0" w:line="240" w:lineRule="auto"/>
      </w:pPr>
      <w:r>
        <w:separator/>
      </w:r>
    </w:p>
  </w:endnote>
  <w:endnote w:type="continuationSeparator" w:id="0">
    <w:p w:rsidR="008939AD" w:rsidRDefault="008939AD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2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AD" w:rsidRDefault="008939AD" w:rsidP="0039528E">
      <w:pPr>
        <w:spacing w:after="0" w:line="240" w:lineRule="auto"/>
      </w:pPr>
      <w:r>
        <w:separator/>
      </w:r>
    </w:p>
  </w:footnote>
  <w:footnote w:type="continuationSeparator" w:id="0">
    <w:p w:rsidR="008939AD" w:rsidRDefault="008939AD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B7C"/>
    <w:multiLevelType w:val="hybridMultilevel"/>
    <w:tmpl w:val="FB9E68E4"/>
    <w:lvl w:ilvl="0" w:tplc="D51A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5508"/>
    <w:multiLevelType w:val="hybridMultilevel"/>
    <w:tmpl w:val="2CCC1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36603"/>
    <w:multiLevelType w:val="multilevel"/>
    <w:tmpl w:val="A09AD310"/>
    <w:numStyleLink w:val="Headings"/>
  </w:abstractNum>
  <w:abstractNum w:abstractNumId="1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7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47C00"/>
    <w:multiLevelType w:val="hybridMultilevel"/>
    <w:tmpl w:val="774C2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30540"/>
    <w:multiLevelType w:val="hybridMultilevel"/>
    <w:tmpl w:val="72230540"/>
    <w:lvl w:ilvl="0" w:tplc="88966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7E9B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D650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D0ACD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ED60B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9B8C1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65AF9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607A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B4425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19"/>
  </w:num>
  <w:num w:numId="5">
    <w:abstractNumId w:val="4"/>
  </w:num>
  <w:num w:numId="6">
    <w:abstractNumId w:val="23"/>
  </w:num>
  <w:num w:numId="7">
    <w:abstractNumId w:val="9"/>
  </w:num>
  <w:num w:numId="8">
    <w:abstractNumId w:val="6"/>
  </w:num>
  <w:num w:numId="9">
    <w:abstractNumId w:val="3"/>
  </w:num>
  <w:num w:numId="10">
    <w:abstractNumId w:val="17"/>
  </w:num>
  <w:num w:numId="11">
    <w:abstractNumId w:val="18"/>
  </w:num>
  <w:num w:numId="12">
    <w:abstractNumId w:val="15"/>
  </w:num>
  <w:num w:numId="13">
    <w:abstractNumId w:val="16"/>
  </w:num>
  <w:num w:numId="14">
    <w:abstractNumId w:val="25"/>
  </w:num>
  <w:num w:numId="15">
    <w:abstractNumId w:val="36"/>
  </w:num>
  <w:num w:numId="16">
    <w:abstractNumId w:val="13"/>
  </w:num>
  <w:num w:numId="17">
    <w:abstractNumId w:val="14"/>
  </w:num>
  <w:num w:numId="18">
    <w:abstractNumId w:val="21"/>
  </w:num>
  <w:num w:numId="19">
    <w:abstractNumId w:val="7"/>
  </w:num>
  <w:num w:numId="20">
    <w:abstractNumId w:val="0"/>
  </w:num>
  <w:num w:numId="21">
    <w:abstractNumId w:val="35"/>
  </w:num>
  <w:num w:numId="22">
    <w:abstractNumId w:val="12"/>
  </w:num>
  <w:num w:numId="23">
    <w:abstractNumId w:val="34"/>
  </w:num>
  <w:num w:numId="24">
    <w:abstractNumId w:val="8"/>
  </w:num>
  <w:num w:numId="25">
    <w:abstractNumId w:val="28"/>
  </w:num>
  <w:num w:numId="26">
    <w:abstractNumId w:val="29"/>
  </w:num>
  <w:num w:numId="27">
    <w:abstractNumId w:val="5"/>
  </w:num>
  <w:num w:numId="28">
    <w:abstractNumId w:val="26"/>
  </w:num>
  <w:num w:numId="29">
    <w:abstractNumId w:val="27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24"/>
  </w:num>
  <w:num w:numId="35">
    <w:abstractNumId w:val="2"/>
  </w:num>
  <w:num w:numId="36">
    <w:abstractNumId w:val="2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135AC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76F24"/>
    <w:rsid w:val="0009360E"/>
    <w:rsid w:val="000D18B3"/>
    <w:rsid w:val="000F3B34"/>
    <w:rsid w:val="00120EE1"/>
    <w:rsid w:val="00132F30"/>
    <w:rsid w:val="001438C4"/>
    <w:rsid w:val="0014563D"/>
    <w:rsid w:val="001464C8"/>
    <w:rsid w:val="0015310C"/>
    <w:rsid w:val="00173D23"/>
    <w:rsid w:val="00180291"/>
    <w:rsid w:val="001864E4"/>
    <w:rsid w:val="00194CC3"/>
    <w:rsid w:val="00197067"/>
    <w:rsid w:val="001B2B0B"/>
    <w:rsid w:val="001C3149"/>
    <w:rsid w:val="001E2C3D"/>
    <w:rsid w:val="001E47ED"/>
    <w:rsid w:val="001F11A1"/>
    <w:rsid w:val="0021024C"/>
    <w:rsid w:val="0021565A"/>
    <w:rsid w:val="00232F4B"/>
    <w:rsid w:val="002460F2"/>
    <w:rsid w:val="00262451"/>
    <w:rsid w:val="00266328"/>
    <w:rsid w:val="00280287"/>
    <w:rsid w:val="0028548B"/>
    <w:rsid w:val="002B015A"/>
    <w:rsid w:val="002B5D2A"/>
    <w:rsid w:val="002C535D"/>
    <w:rsid w:val="002E29C4"/>
    <w:rsid w:val="002E2A09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95E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6422"/>
    <w:rsid w:val="004D6182"/>
    <w:rsid w:val="004D69B9"/>
    <w:rsid w:val="004D6C6F"/>
    <w:rsid w:val="004F641C"/>
    <w:rsid w:val="004F7459"/>
    <w:rsid w:val="00511E9A"/>
    <w:rsid w:val="0051674E"/>
    <w:rsid w:val="00521CC2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5D6E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C9D"/>
    <w:rsid w:val="00685EC5"/>
    <w:rsid w:val="006903E2"/>
    <w:rsid w:val="006C2CC4"/>
    <w:rsid w:val="006E4270"/>
    <w:rsid w:val="006F7047"/>
    <w:rsid w:val="00700A06"/>
    <w:rsid w:val="007012A0"/>
    <w:rsid w:val="00706595"/>
    <w:rsid w:val="00712DB1"/>
    <w:rsid w:val="007140C8"/>
    <w:rsid w:val="00716F43"/>
    <w:rsid w:val="0072077C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3253"/>
    <w:rsid w:val="007B60AE"/>
    <w:rsid w:val="007C0BE3"/>
    <w:rsid w:val="007E4A85"/>
    <w:rsid w:val="007F2391"/>
    <w:rsid w:val="007F3837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939AD"/>
    <w:rsid w:val="008A3DF4"/>
    <w:rsid w:val="008A5A4E"/>
    <w:rsid w:val="008B0737"/>
    <w:rsid w:val="008C74E1"/>
    <w:rsid w:val="008E611B"/>
    <w:rsid w:val="00904550"/>
    <w:rsid w:val="00924706"/>
    <w:rsid w:val="00934119"/>
    <w:rsid w:val="00982E05"/>
    <w:rsid w:val="009834BD"/>
    <w:rsid w:val="009B7211"/>
    <w:rsid w:val="009C7F38"/>
    <w:rsid w:val="009D1CEA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3667A"/>
    <w:rsid w:val="00A45EE6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1B7D"/>
    <w:rsid w:val="00B063C3"/>
    <w:rsid w:val="00B15518"/>
    <w:rsid w:val="00B212A5"/>
    <w:rsid w:val="00B318D7"/>
    <w:rsid w:val="00B32F4D"/>
    <w:rsid w:val="00B4444C"/>
    <w:rsid w:val="00B4670D"/>
    <w:rsid w:val="00B65D08"/>
    <w:rsid w:val="00B669EE"/>
    <w:rsid w:val="00B77B6E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1584B"/>
    <w:rsid w:val="00C23E3F"/>
    <w:rsid w:val="00C24939"/>
    <w:rsid w:val="00C50826"/>
    <w:rsid w:val="00C55ECF"/>
    <w:rsid w:val="00C61047"/>
    <w:rsid w:val="00C64647"/>
    <w:rsid w:val="00C95F78"/>
    <w:rsid w:val="00CC361C"/>
    <w:rsid w:val="00CE3DB8"/>
    <w:rsid w:val="00CE714D"/>
    <w:rsid w:val="00CF26DB"/>
    <w:rsid w:val="00D0654E"/>
    <w:rsid w:val="00D10C73"/>
    <w:rsid w:val="00D1404E"/>
    <w:rsid w:val="00D214C2"/>
    <w:rsid w:val="00D30AA4"/>
    <w:rsid w:val="00D36B33"/>
    <w:rsid w:val="00D36F78"/>
    <w:rsid w:val="00D3789A"/>
    <w:rsid w:val="00D46B28"/>
    <w:rsid w:val="00D514F3"/>
    <w:rsid w:val="00D57F6C"/>
    <w:rsid w:val="00D631BE"/>
    <w:rsid w:val="00D634CE"/>
    <w:rsid w:val="00D71C43"/>
    <w:rsid w:val="00D72B85"/>
    <w:rsid w:val="00D77E28"/>
    <w:rsid w:val="00DA1997"/>
    <w:rsid w:val="00DA1AAD"/>
    <w:rsid w:val="00DA40F5"/>
    <w:rsid w:val="00DA5B13"/>
    <w:rsid w:val="00DA747E"/>
    <w:rsid w:val="00DB0370"/>
    <w:rsid w:val="00DC0AF1"/>
    <w:rsid w:val="00DC0C86"/>
    <w:rsid w:val="00DC1CEA"/>
    <w:rsid w:val="00DD2D11"/>
    <w:rsid w:val="00DD7513"/>
    <w:rsid w:val="00DD7EB0"/>
    <w:rsid w:val="00DF3258"/>
    <w:rsid w:val="00DF34C2"/>
    <w:rsid w:val="00DF7A58"/>
    <w:rsid w:val="00E00519"/>
    <w:rsid w:val="00E02E16"/>
    <w:rsid w:val="00E43859"/>
    <w:rsid w:val="00E54411"/>
    <w:rsid w:val="00E569DB"/>
    <w:rsid w:val="00E7248A"/>
    <w:rsid w:val="00E83611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7CAF"/>
    <w:rsid w:val="00F03AD7"/>
    <w:rsid w:val="00F16665"/>
    <w:rsid w:val="00F377A2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78BC4-39B0-48AC-977A-7C879B45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262E-5393-499F-9961-C9CB35BB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2023-03-22T10:42:00Z</dcterms:created>
  <dcterms:modified xsi:type="dcterms:W3CDTF">2023-03-22T10:42:00Z</dcterms:modified>
</cp:coreProperties>
</file>