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A1E192" w14:textId="77777777" w:rsidR="00046086" w:rsidRPr="00B86F12" w:rsidRDefault="00EF53BE" w:rsidP="008C3309">
      <w:pPr>
        <w:spacing w:before="120" w:after="120"/>
        <w:jc w:val="center"/>
        <w:rPr>
          <w:b/>
          <w:szCs w:val="24"/>
          <w:lang w:val="bg-BG"/>
        </w:rPr>
      </w:pPr>
      <w:r w:rsidRPr="00B86F12">
        <w:rPr>
          <w:b/>
          <w:smallCaps/>
          <w:noProof/>
          <w:szCs w:val="24"/>
          <w:lang w:val="bg-BG"/>
        </w:rPr>
        <w:t>ДОГОВОР</w:t>
      </w:r>
      <w:r w:rsidR="00046086" w:rsidRPr="00B86F12">
        <w:rPr>
          <w:b/>
          <w:smallCaps/>
          <w:noProof/>
          <w:szCs w:val="24"/>
          <w:lang w:val="bg-BG"/>
        </w:rPr>
        <w:t xml:space="preserve"> </w:t>
      </w:r>
      <w:r w:rsidR="00B47CD6" w:rsidRPr="00B86F12">
        <w:rPr>
          <w:b/>
          <w:caps/>
          <w:szCs w:val="24"/>
          <w:lang w:val="bg-BG"/>
        </w:rPr>
        <w:t>за финансиране</w:t>
      </w:r>
      <w:r w:rsidR="00B47CD6" w:rsidRPr="00B86F12">
        <w:rPr>
          <w:b/>
          <w:szCs w:val="24"/>
          <w:lang w:val="bg-BG"/>
        </w:rPr>
        <w:t xml:space="preserve"> </w:t>
      </w:r>
    </w:p>
    <w:p w14:paraId="5C0A328A" w14:textId="4FFA60A5" w:rsidR="00AD2433" w:rsidRPr="00B86F12" w:rsidRDefault="00850078" w:rsidP="00AD2433">
      <w:pPr>
        <w:jc w:val="center"/>
        <w:rPr>
          <w:b/>
          <w:snapToGrid w:val="0"/>
          <w:szCs w:val="24"/>
          <w:lang w:val="bg-BG"/>
        </w:rPr>
      </w:pPr>
      <w:r w:rsidRPr="00B86F12">
        <w:rPr>
          <w:b/>
          <w:szCs w:val="24"/>
          <w:lang w:val="bg-BG"/>
        </w:rPr>
        <w:t xml:space="preserve">от Механизма за възстановяване и устойчивост </w:t>
      </w:r>
      <w:r w:rsidR="00FA57B7" w:rsidRPr="00B86F12">
        <w:rPr>
          <w:b/>
          <w:szCs w:val="24"/>
          <w:lang w:val="bg-BG"/>
        </w:rPr>
        <w:t xml:space="preserve">за изпълнение на инвестиция </w:t>
      </w:r>
      <w:r w:rsidR="00B47CD6" w:rsidRPr="00B86F12">
        <w:rPr>
          <w:b/>
          <w:szCs w:val="24"/>
          <w:lang w:val="bg-BG"/>
        </w:rPr>
        <w:t xml:space="preserve">по </w:t>
      </w:r>
      <w:r w:rsidR="00AD2433" w:rsidRPr="00B86F12">
        <w:rPr>
          <w:b/>
          <w:snapToGrid w:val="0"/>
          <w:szCs w:val="24"/>
          <w:lang w:val="bg-BG"/>
        </w:rPr>
        <w:t>Компонент: Устойчиво земеделие</w:t>
      </w:r>
    </w:p>
    <w:p w14:paraId="0E41BC9D" w14:textId="77777777" w:rsidR="00AD2433" w:rsidRPr="00B86F12" w:rsidRDefault="00AD2433" w:rsidP="00AD2433">
      <w:pPr>
        <w:jc w:val="center"/>
        <w:rPr>
          <w:b/>
          <w:snapToGrid w:val="0"/>
          <w:szCs w:val="24"/>
          <w:lang w:val="bg-BG"/>
        </w:rPr>
      </w:pPr>
      <w:r w:rsidRPr="00B86F12">
        <w:rPr>
          <w:b/>
          <w:snapToGrid w:val="0"/>
          <w:szCs w:val="24"/>
          <w:lang w:val="bg-BG"/>
        </w:rPr>
        <w:t>Инвестиция „Фонд за насърчаване на технологичния и екологичен преход на селското стопанство“</w:t>
      </w:r>
    </w:p>
    <w:p w14:paraId="1E632C29" w14:textId="77777777" w:rsidR="00C2718F" w:rsidRPr="00B56DF7" w:rsidRDefault="00C2718F">
      <w:pPr>
        <w:jc w:val="center"/>
        <w:rPr>
          <w:b/>
          <w:szCs w:val="24"/>
          <w:lang w:val="bg-BG"/>
        </w:rPr>
      </w:pPr>
    </w:p>
    <w:p w14:paraId="5DA1F50A" w14:textId="77777777" w:rsidR="00C2718F" w:rsidRPr="00B56DF7" w:rsidRDefault="00C2718F" w:rsidP="00FE349D">
      <w:pPr>
        <w:pStyle w:val="Text2"/>
        <w:tabs>
          <w:tab w:val="clear" w:pos="2161"/>
          <w:tab w:val="left" w:pos="-1701"/>
          <w:tab w:val="left" w:pos="-1560"/>
        </w:tabs>
        <w:spacing w:after="120"/>
        <w:ind w:left="0"/>
        <w:jc w:val="center"/>
        <w:rPr>
          <w:b/>
          <w:szCs w:val="24"/>
          <w:lang w:val="bg-BG"/>
        </w:rPr>
      </w:pPr>
      <w:r w:rsidRPr="00B56DF7">
        <w:rPr>
          <w:b/>
          <w:szCs w:val="24"/>
          <w:lang w:val="bg-BG"/>
        </w:rPr>
        <w:t>[</w:t>
      </w:r>
      <w:r w:rsidR="00EF2492" w:rsidRPr="00B56DF7">
        <w:rPr>
          <w:i/>
          <w:szCs w:val="24"/>
          <w:lang w:val="bg-BG"/>
        </w:rPr>
        <w:t xml:space="preserve">Идентификационен номер на договора за </w:t>
      </w:r>
      <w:r w:rsidR="0049105F" w:rsidRPr="00B56DF7">
        <w:rPr>
          <w:i/>
          <w:szCs w:val="24"/>
          <w:lang w:val="bg-BG"/>
        </w:rPr>
        <w:t>финансиране</w:t>
      </w:r>
      <w:r w:rsidRPr="00B56DF7">
        <w:rPr>
          <w:b/>
          <w:szCs w:val="24"/>
          <w:lang w:val="bg-BG"/>
        </w:rPr>
        <w:t>]</w:t>
      </w:r>
    </w:p>
    <w:p w14:paraId="294259CD" w14:textId="77777777" w:rsidR="0049105F" w:rsidRPr="00B56DF7" w:rsidRDefault="0049105F" w:rsidP="00FE349D">
      <w:pPr>
        <w:spacing w:after="120"/>
        <w:rPr>
          <w:szCs w:val="24"/>
          <w:lang w:val="bg-BG"/>
        </w:rPr>
      </w:pPr>
    </w:p>
    <w:p w14:paraId="717BC6CA" w14:textId="77777777" w:rsidR="00C2718F" w:rsidRPr="00B56DF7" w:rsidRDefault="0049105F" w:rsidP="00FE349D">
      <w:pPr>
        <w:spacing w:after="120"/>
        <w:rPr>
          <w:szCs w:val="24"/>
          <w:lang w:val="bg-BG"/>
        </w:rPr>
      </w:pPr>
      <w:r w:rsidRPr="00B56DF7">
        <w:rPr>
          <w:szCs w:val="24"/>
          <w:lang w:val="bg-BG"/>
        </w:rPr>
        <w:t>Долуподписаните страни:</w:t>
      </w:r>
    </w:p>
    <w:p w14:paraId="348631DD" w14:textId="77777777" w:rsidR="008C3309" w:rsidRPr="00B56DF7" w:rsidRDefault="008C3309" w:rsidP="00FE349D">
      <w:pPr>
        <w:autoSpaceDE w:val="0"/>
        <w:autoSpaceDN w:val="0"/>
        <w:adjustRightInd w:val="0"/>
        <w:spacing w:after="120"/>
        <w:jc w:val="both"/>
        <w:rPr>
          <w:color w:val="000000"/>
          <w:szCs w:val="24"/>
          <w:lang w:val="bg-BG"/>
        </w:rPr>
      </w:pPr>
    </w:p>
    <w:p w14:paraId="1BBCED2A" w14:textId="30D04AD3" w:rsidR="00483B90" w:rsidRPr="00483B90" w:rsidRDefault="0049105F" w:rsidP="00483B90">
      <w:pPr>
        <w:autoSpaceDE w:val="0"/>
        <w:autoSpaceDN w:val="0"/>
        <w:adjustRightInd w:val="0"/>
        <w:spacing w:after="120"/>
        <w:jc w:val="both"/>
        <w:rPr>
          <w:color w:val="000000" w:themeColor="text1"/>
          <w:szCs w:val="24"/>
          <w:lang w:val="bg-BG"/>
        </w:rPr>
      </w:pPr>
      <w:r w:rsidRPr="00483B90">
        <w:rPr>
          <w:color w:val="000000" w:themeColor="text1"/>
          <w:szCs w:val="24"/>
          <w:lang w:val="bg-BG"/>
        </w:rPr>
        <w:t xml:space="preserve">1. </w:t>
      </w:r>
      <w:r w:rsidR="00C62104" w:rsidRPr="00C62104">
        <w:rPr>
          <w:color w:val="000000" w:themeColor="text1"/>
          <w:szCs w:val="24"/>
          <w:lang w:val="bg-BG"/>
        </w:rPr>
        <w:t>……………., в качеството му на изпълнителен директор на ДФ „Земеделие“, изпълняващ делегирани функции по Механизма за възстановяване и устойчивост (МВУ) на ЕС, създаден с Регламент (ЕС) 2021/241</w:t>
      </w:r>
      <w:r w:rsidR="00483B90" w:rsidRPr="00483B90">
        <w:rPr>
          <w:color w:val="000000" w:themeColor="text1"/>
          <w:szCs w:val="24"/>
          <w:lang w:val="bg-BG"/>
        </w:rPr>
        <w:t xml:space="preserve">, </w:t>
      </w:r>
    </w:p>
    <w:p w14:paraId="1B33B624" w14:textId="4EF4ADD0" w:rsidR="004E738C" w:rsidRPr="00483B90" w:rsidRDefault="004E738C" w:rsidP="00FE349D">
      <w:pPr>
        <w:autoSpaceDE w:val="0"/>
        <w:autoSpaceDN w:val="0"/>
        <w:adjustRightInd w:val="0"/>
        <w:spacing w:after="120"/>
        <w:jc w:val="both"/>
        <w:rPr>
          <w:color w:val="000000" w:themeColor="text1"/>
          <w:szCs w:val="24"/>
          <w:lang w:val="bg-BG"/>
        </w:rPr>
      </w:pPr>
    </w:p>
    <w:p w14:paraId="75E038DD" w14:textId="5CFE38C4" w:rsidR="00EF53BE" w:rsidRPr="00B56DF7" w:rsidRDefault="00D10E19" w:rsidP="00AD2433">
      <w:pPr>
        <w:autoSpaceDE w:val="0"/>
        <w:autoSpaceDN w:val="0"/>
        <w:adjustRightInd w:val="0"/>
        <w:spacing w:after="120"/>
        <w:jc w:val="both"/>
        <w:rPr>
          <w:color w:val="000000"/>
          <w:szCs w:val="24"/>
          <w:lang w:val="bg-BG"/>
        </w:rPr>
      </w:pPr>
      <w:r w:rsidRPr="00B56DF7">
        <w:rPr>
          <w:szCs w:val="24"/>
          <w:lang w:val="bg-BG"/>
        </w:rPr>
        <w:t>наричан</w:t>
      </w:r>
      <w:r w:rsidR="007C6727" w:rsidRPr="00B56DF7">
        <w:rPr>
          <w:szCs w:val="24"/>
          <w:lang w:val="bg-BG"/>
        </w:rPr>
        <w:t>/а</w:t>
      </w:r>
      <w:r w:rsidRPr="00B56DF7">
        <w:rPr>
          <w:szCs w:val="24"/>
          <w:lang w:val="bg-BG"/>
        </w:rPr>
        <w:t xml:space="preserve"> по-нататък </w:t>
      </w:r>
      <w:r w:rsidR="00EF53BE" w:rsidRPr="00B56DF7">
        <w:rPr>
          <w:color w:val="000000"/>
          <w:szCs w:val="24"/>
          <w:lang w:val="bg-BG"/>
        </w:rPr>
        <w:t>„</w:t>
      </w:r>
      <w:r w:rsidR="00483B90">
        <w:rPr>
          <w:color w:val="000000"/>
          <w:szCs w:val="24"/>
          <w:lang w:val="bg-BG"/>
        </w:rPr>
        <w:t xml:space="preserve">Изпълнителен директор на </w:t>
      </w:r>
      <w:r w:rsidR="00B86F12">
        <w:rPr>
          <w:color w:val="000000"/>
          <w:szCs w:val="24"/>
          <w:lang w:val="bg-BG"/>
        </w:rPr>
        <w:t>ДФ „Земеделие“</w:t>
      </w:r>
      <w:r w:rsidR="00FE349D" w:rsidRPr="00B56DF7">
        <w:rPr>
          <w:color w:val="000000"/>
          <w:szCs w:val="24"/>
          <w:lang w:val="bg-BG"/>
        </w:rPr>
        <w:t xml:space="preserve"> или само „</w:t>
      </w:r>
      <w:r w:rsidR="00B86F12">
        <w:rPr>
          <w:color w:val="000000"/>
          <w:szCs w:val="24"/>
          <w:lang w:val="bg-BG"/>
        </w:rPr>
        <w:t>ДФ</w:t>
      </w:r>
      <w:r w:rsidR="00483B90">
        <w:rPr>
          <w:color w:val="000000"/>
          <w:szCs w:val="24"/>
          <w:lang w:val="bg-BG"/>
        </w:rPr>
        <w:t xml:space="preserve"> „</w:t>
      </w:r>
      <w:r w:rsidR="00B86F12">
        <w:rPr>
          <w:color w:val="000000"/>
          <w:szCs w:val="24"/>
          <w:lang w:val="bg-BG"/>
        </w:rPr>
        <w:t>З</w:t>
      </w:r>
      <w:r w:rsidR="00483B90">
        <w:rPr>
          <w:color w:val="000000"/>
          <w:szCs w:val="24"/>
          <w:lang w:val="bg-BG"/>
        </w:rPr>
        <w:t>емеделие</w:t>
      </w:r>
      <w:r w:rsidR="00FE349D" w:rsidRPr="00B56DF7">
        <w:rPr>
          <w:color w:val="000000"/>
          <w:szCs w:val="24"/>
          <w:lang w:val="bg-BG"/>
        </w:rPr>
        <w:t>“</w:t>
      </w:r>
      <w:r w:rsidR="00EF53BE" w:rsidRPr="00B56DF7">
        <w:rPr>
          <w:color w:val="000000"/>
          <w:szCs w:val="24"/>
          <w:lang w:val="bg-BG"/>
        </w:rPr>
        <w:t>,</w:t>
      </w:r>
      <w:r w:rsidR="00AD2433" w:rsidRPr="00B56DF7">
        <w:rPr>
          <w:color w:val="000000"/>
          <w:szCs w:val="24"/>
          <w:lang w:val="bg-BG"/>
        </w:rPr>
        <w:t xml:space="preserve"> </w:t>
      </w:r>
      <w:r w:rsidR="00EF53BE" w:rsidRPr="00B56DF7">
        <w:rPr>
          <w:color w:val="000000"/>
          <w:szCs w:val="24"/>
          <w:lang w:val="bg-BG"/>
        </w:rPr>
        <w:t xml:space="preserve">от една страна, </w:t>
      </w:r>
    </w:p>
    <w:p w14:paraId="35F26CAC" w14:textId="77777777" w:rsidR="00EF53BE" w:rsidRPr="00B56DF7" w:rsidRDefault="00EF53BE" w:rsidP="00FE349D">
      <w:pPr>
        <w:autoSpaceDE w:val="0"/>
        <w:autoSpaceDN w:val="0"/>
        <w:adjustRightInd w:val="0"/>
        <w:spacing w:after="120"/>
        <w:jc w:val="both"/>
        <w:rPr>
          <w:color w:val="000000"/>
          <w:szCs w:val="24"/>
          <w:lang w:val="bg-BG"/>
        </w:rPr>
      </w:pPr>
      <w:r w:rsidRPr="00B56DF7">
        <w:rPr>
          <w:color w:val="000000"/>
          <w:szCs w:val="24"/>
          <w:lang w:val="bg-BG"/>
        </w:rPr>
        <w:t xml:space="preserve">и </w:t>
      </w:r>
    </w:p>
    <w:p w14:paraId="303FDC06" w14:textId="77777777" w:rsidR="00EF2492" w:rsidRPr="00B56DF7" w:rsidRDefault="0049105F" w:rsidP="00FE349D">
      <w:pPr>
        <w:autoSpaceDE w:val="0"/>
        <w:autoSpaceDN w:val="0"/>
        <w:adjustRightInd w:val="0"/>
        <w:spacing w:after="120"/>
        <w:jc w:val="both"/>
        <w:rPr>
          <w:szCs w:val="24"/>
          <w:lang w:val="bg-BG"/>
        </w:rPr>
      </w:pPr>
      <w:r w:rsidRPr="00B56DF7">
        <w:rPr>
          <w:szCs w:val="24"/>
          <w:lang w:val="bg-BG"/>
        </w:rPr>
        <w:t xml:space="preserve">2. </w:t>
      </w:r>
      <w:r w:rsidR="001239D4" w:rsidRPr="00B56DF7">
        <w:rPr>
          <w:szCs w:val="24"/>
          <w:lang w:val="bg-BG"/>
        </w:rPr>
        <w:t>[</w:t>
      </w:r>
      <w:r w:rsidR="00EF2492" w:rsidRPr="00B56DF7">
        <w:rPr>
          <w:szCs w:val="24"/>
          <w:lang w:val="bg-BG"/>
        </w:rPr>
        <w:t xml:space="preserve">Пълно </w:t>
      </w:r>
      <w:r w:rsidR="001239D4" w:rsidRPr="00B56DF7">
        <w:rPr>
          <w:szCs w:val="24"/>
          <w:lang w:val="bg-BG"/>
        </w:rPr>
        <w:t xml:space="preserve">наименование на </w:t>
      </w:r>
      <w:r w:rsidR="00D10E19" w:rsidRPr="00B56DF7">
        <w:rPr>
          <w:szCs w:val="24"/>
          <w:lang w:val="bg-BG"/>
        </w:rPr>
        <w:t>крайния получател</w:t>
      </w:r>
      <w:r w:rsidR="009F7F5B" w:rsidRPr="00B56DF7">
        <w:rPr>
          <w:szCs w:val="24"/>
          <w:lang w:val="bg-BG"/>
        </w:rPr>
        <w:t xml:space="preserve"> съгласно регистрацията му</w:t>
      </w:r>
      <w:r w:rsidR="001239D4" w:rsidRPr="00B56DF7">
        <w:rPr>
          <w:szCs w:val="24"/>
          <w:lang w:val="bg-BG"/>
        </w:rPr>
        <w:t>]</w:t>
      </w:r>
    </w:p>
    <w:p w14:paraId="1CE8AE58" w14:textId="77777777" w:rsidR="009F7F5B" w:rsidRPr="00B56DF7" w:rsidRDefault="009F7F5B" w:rsidP="00FE349D">
      <w:pPr>
        <w:autoSpaceDE w:val="0"/>
        <w:autoSpaceDN w:val="0"/>
        <w:adjustRightInd w:val="0"/>
        <w:spacing w:after="120"/>
        <w:jc w:val="both"/>
        <w:rPr>
          <w:szCs w:val="24"/>
          <w:lang w:val="bg-BG"/>
        </w:rPr>
      </w:pPr>
      <w:r w:rsidRPr="00B56DF7">
        <w:rPr>
          <w:szCs w:val="24"/>
          <w:lang w:val="bg-BG"/>
        </w:rPr>
        <w:t>[Седалище и адрес на управление]</w:t>
      </w:r>
    </w:p>
    <w:p w14:paraId="2575297B" w14:textId="77777777" w:rsidR="008B39BC" w:rsidRPr="00B56DF7" w:rsidRDefault="001239D4" w:rsidP="00FE349D">
      <w:pPr>
        <w:autoSpaceDE w:val="0"/>
        <w:autoSpaceDN w:val="0"/>
        <w:adjustRightInd w:val="0"/>
        <w:spacing w:after="120"/>
        <w:jc w:val="both"/>
        <w:rPr>
          <w:szCs w:val="24"/>
          <w:lang w:val="bg-BG"/>
        </w:rPr>
      </w:pPr>
      <w:r w:rsidRPr="00B56DF7">
        <w:rPr>
          <w:szCs w:val="24"/>
          <w:lang w:val="bg-BG"/>
        </w:rPr>
        <w:t>[</w:t>
      </w:r>
      <w:r w:rsidR="009F7F5B" w:rsidRPr="00B56DF7">
        <w:rPr>
          <w:szCs w:val="24"/>
          <w:lang w:val="bg-BG"/>
        </w:rPr>
        <w:t>ЕИК или еквивалентен официален регистрационен номер</w:t>
      </w:r>
      <w:r w:rsidR="008B39BC" w:rsidRPr="00B56DF7">
        <w:rPr>
          <w:szCs w:val="24"/>
          <w:lang w:val="bg-BG"/>
        </w:rPr>
        <w:t>]</w:t>
      </w:r>
      <w:r w:rsidR="009F7F5B" w:rsidRPr="00B56DF7">
        <w:rPr>
          <w:szCs w:val="24"/>
          <w:lang w:val="bg-BG"/>
        </w:rPr>
        <w:t>,</w:t>
      </w:r>
    </w:p>
    <w:p w14:paraId="177935FD" w14:textId="4604A891" w:rsidR="00EF53BE" w:rsidRPr="00B56DF7" w:rsidRDefault="00D10E19" w:rsidP="00AD2433">
      <w:pPr>
        <w:autoSpaceDE w:val="0"/>
        <w:autoSpaceDN w:val="0"/>
        <w:adjustRightInd w:val="0"/>
        <w:spacing w:after="120"/>
        <w:jc w:val="both"/>
        <w:rPr>
          <w:szCs w:val="24"/>
          <w:lang w:val="bg-BG"/>
        </w:rPr>
      </w:pPr>
      <w:r w:rsidRPr="00B56DF7">
        <w:rPr>
          <w:color w:val="000000"/>
          <w:szCs w:val="24"/>
          <w:lang w:val="bg-BG"/>
        </w:rPr>
        <w:t>н</w:t>
      </w:r>
      <w:r w:rsidR="00B47CD6" w:rsidRPr="00B56DF7">
        <w:rPr>
          <w:color w:val="000000"/>
          <w:szCs w:val="24"/>
          <w:lang w:val="bg-BG"/>
        </w:rPr>
        <w:t xml:space="preserve">аричан по-нататък </w:t>
      </w:r>
      <w:r w:rsidR="00EF53BE" w:rsidRPr="00B56DF7">
        <w:rPr>
          <w:color w:val="000000"/>
          <w:szCs w:val="24"/>
          <w:lang w:val="bg-BG"/>
        </w:rPr>
        <w:t>“</w:t>
      </w:r>
      <w:r w:rsidR="00B47CD6" w:rsidRPr="00B56DF7">
        <w:rPr>
          <w:bCs/>
          <w:color w:val="000000"/>
          <w:szCs w:val="24"/>
          <w:lang w:val="bg-BG"/>
        </w:rPr>
        <w:t>Краен получател</w:t>
      </w:r>
      <w:r w:rsidR="00046086" w:rsidRPr="00B56DF7">
        <w:rPr>
          <w:bCs/>
          <w:color w:val="000000"/>
          <w:szCs w:val="24"/>
          <w:lang w:val="bg-BG"/>
        </w:rPr>
        <w:t xml:space="preserve"> на средства от МВУ</w:t>
      </w:r>
      <w:r w:rsidR="00EF53BE" w:rsidRPr="00B56DF7">
        <w:rPr>
          <w:color w:val="000000"/>
          <w:szCs w:val="24"/>
          <w:lang w:val="bg-BG"/>
        </w:rPr>
        <w:t>”</w:t>
      </w:r>
      <w:r w:rsidR="00046086" w:rsidRPr="00B56DF7">
        <w:rPr>
          <w:color w:val="000000"/>
          <w:szCs w:val="24"/>
          <w:lang w:val="bg-BG"/>
        </w:rPr>
        <w:t xml:space="preserve"> или само „Краен получател“</w:t>
      </w:r>
      <w:r w:rsidR="00B47CD6" w:rsidRPr="00B56DF7">
        <w:rPr>
          <w:color w:val="000000"/>
          <w:szCs w:val="24"/>
          <w:lang w:val="bg-BG"/>
        </w:rPr>
        <w:t>,</w:t>
      </w:r>
      <w:r w:rsidR="00EF53BE" w:rsidRPr="00B56DF7">
        <w:rPr>
          <w:color w:val="000000"/>
          <w:szCs w:val="24"/>
          <w:lang w:val="bg-BG"/>
        </w:rPr>
        <w:t xml:space="preserve"> </w:t>
      </w:r>
      <w:r w:rsidR="00EF53BE" w:rsidRPr="00B56DF7">
        <w:rPr>
          <w:szCs w:val="24"/>
          <w:lang w:val="bg-BG"/>
        </w:rPr>
        <w:t xml:space="preserve">от друга страна, </w:t>
      </w:r>
    </w:p>
    <w:p w14:paraId="2018D639" w14:textId="7B68E95B" w:rsidR="00B47CD6" w:rsidRPr="00B56DF7" w:rsidRDefault="00F263F4" w:rsidP="00AD2433">
      <w:pPr>
        <w:jc w:val="both"/>
        <w:rPr>
          <w:szCs w:val="24"/>
          <w:lang w:val="bg-BG"/>
        </w:rPr>
      </w:pPr>
      <w:r w:rsidRPr="00B56DF7">
        <w:rPr>
          <w:szCs w:val="24"/>
          <w:lang w:val="bg-BG"/>
        </w:rPr>
        <w:t>на основание чл. 27, ал.1 от Постановление на Министерски съвет № 114 от 8 юни 2022 г. за определяне на детайлни правила за предоставяне на средства на крайни получатели от Механизма за възстановяване и устойчивост</w:t>
      </w:r>
      <w:r w:rsidR="000E19CD" w:rsidRPr="00B56DF7">
        <w:rPr>
          <w:szCs w:val="24"/>
          <w:lang w:val="bg-BG"/>
        </w:rPr>
        <w:t xml:space="preserve"> (ПМС № 114/2022)</w:t>
      </w:r>
      <w:r w:rsidRPr="00B56DF7">
        <w:rPr>
          <w:szCs w:val="24"/>
          <w:lang w:val="bg-BG"/>
        </w:rPr>
        <w:t xml:space="preserve">, </w:t>
      </w:r>
      <w:r w:rsidR="0049105F" w:rsidRPr="00B56DF7">
        <w:rPr>
          <w:szCs w:val="24"/>
          <w:lang w:val="bg-BG"/>
        </w:rPr>
        <w:t>във връзка с постъпило  предложение за изпълнение на инвестиция</w:t>
      </w:r>
      <w:r w:rsidR="00445FAA" w:rsidRPr="00B56DF7">
        <w:rPr>
          <w:szCs w:val="24"/>
          <w:lang w:val="bg-BG"/>
        </w:rPr>
        <w:t xml:space="preserve"> по</w:t>
      </w:r>
      <w:r w:rsidR="00046086" w:rsidRPr="00B56DF7">
        <w:rPr>
          <w:szCs w:val="24"/>
          <w:lang w:val="bg-BG"/>
        </w:rPr>
        <w:t xml:space="preserve"> националния План за възстановяване и устойчивост (ПВУ)</w:t>
      </w:r>
      <w:r w:rsidR="0049105F" w:rsidRPr="00B56DF7">
        <w:rPr>
          <w:szCs w:val="24"/>
          <w:lang w:val="bg-BG"/>
        </w:rPr>
        <w:t xml:space="preserve"> </w:t>
      </w:r>
      <w:r w:rsidR="00002253" w:rsidRPr="00B56DF7">
        <w:rPr>
          <w:szCs w:val="24"/>
          <w:lang w:val="bg-BG"/>
        </w:rPr>
        <w:t>[</w:t>
      </w:r>
      <w:r w:rsidR="005C7440" w:rsidRPr="00B56DF7">
        <w:rPr>
          <w:i/>
          <w:iCs/>
          <w:szCs w:val="24"/>
          <w:lang w:val="bg-BG"/>
        </w:rPr>
        <w:t xml:space="preserve">референтен </w:t>
      </w:r>
      <w:r w:rsidR="00002253" w:rsidRPr="00B56DF7">
        <w:rPr>
          <w:i/>
          <w:szCs w:val="24"/>
          <w:lang w:val="bg-BG"/>
        </w:rPr>
        <w:t xml:space="preserve">номер </w:t>
      </w:r>
      <w:r w:rsidR="005C7440" w:rsidRPr="00B56DF7">
        <w:rPr>
          <w:i/>
          <w:szCs w:val="24"/>
          <w:lang w:val="bg-BG"/>
        </w:rPr>
        <w:t>и наименование</w:t>
      </w:r>
      <w:r w:rsidRPr="00B56DF7">
        <w:rPr>
          <w:szCs w:val="24"/>
          <w:lang w:val="bg-BG"/>
        </w:rPr>
        <w:t>]</w:t>
      </w:r>
      <w:r w:rsidR="0049105F" w:rsidRPr="00B56DF7">
        <w:rPr>
          <w:szCs w:val="24"/>
          <w:lang w:val="bg-BG"/>
        </w:rPr>
        <w:t xml:space="preserve"> </w:t>
      </w:r>
      <w:r w:rsidR="00C17F51" w:rsidRPr="00B56DF7">
        <w:rPr>
          <w:szCs w:val="24"/>
          <w:lang w:val="bg-BG"/>
        </w:rPr>
        <w:t>в Информационната система на Механизма за възстановяване и устойчивост (</w:t>
      </w:r>
      <w:r w:rsidR="00046086" w:rsidRPr="00B56DF7">
        <w:rPr>
          <w:szCs w:val="24"/>
          <w:lang w:val="bg-BG"/>
        </w:rPr>
        <w:t>ИС на МВУ</w:t>
      </w:r>
      <w:r w:rsidR="00C17F51" w:rsidRPr="00B56DF7">
        <w:rPr>
          <w:szCs w:val="24"/>
          <w:lang w:val="bg-BG"/>
        </w:rPr>
        <w:t xml:space="preserve">) </w:t>
      </w:r>
      <w:r w:rsidR="005C7440" w:rsidRPr="00B56DF7">
        <w:rPr>
          <w:szCs w:val="24"/>
          <w:lang w:val="bg-BG"/>
        </w:rPr>
        <w:t xml:space="preserve">по процедура за подбор на крайни получатели </w:t>
      </w:r>
      <w:r w:rsidR="00C240B0" w:rsidRPr="00B86F12">
        <w:rPr>
          <w:b/>
          <w:snapToGrid w:val="0"/>
          <w:szCs w:val="24"/>
          <w:lang w:val="bg-BG"/>
        </w:rPr>
        <w:t xml:space="preserve">№ BG-RRP-6.006 „Центрове за подготовка за предлагане на пазара и съхранение на плодове и зеленчуци“ </w:t>
      </w:r>
      <w:r w:rsidR="0049105F" w:rsidRPr="00B86F12">
        <w:rPr>
          <w:szCs w:val="24"/>
          <w:lang w:val="bg-BG"/>
        </w:rPr>
        <w:t>и</w:t>
      </w:r>
      <w:r w:rsidR="00046086" w:rsidRPr="00B86F12">
        <w:rPr>
          <w:szCs w:val="24"/>
          <w:lang w:val="bg-BG"/>
        </w:rPr>
        <w:t xml:space="preserve"> т. ..</w:t>
      </w:r>
      <w:r w:rsidR="0049105F" w:rsidRPr="00B86F12">
        <w:rPr>
          <w:szCs w:val="24"/>
          <w:lang w:val="bg-BG"/>
        </w:rPr>
        <w:t xml:space="preserve"> от Решение </w:t>
      </w:r>
      <w:r w:rsidR="00D10E19" w:rsidRPr="00B86F12">
        <w:rPr>
          <w:szCs w:val="24"/>
          <w:lang w:val="bg-BG"/>
        </w:rPr>
        <w:t>[</w:t>
      </w:r>
      <w:r w:rsidR="00D10E19" w:rsidRPr="00B86F12">
        <w:rPr>
          <w:i/>
          <w:iCs/>
          <w:szCs w:val="24"/>
          <w:lang w:val="bg-BG"/>
        </w:rPr>
        <w:t>номер и дата на решението</w:t>
      </w:r>
      <w:r w:rsidR="00D10E19" w:rsidRPr="00B86F12">
        <w:rPr>
          <w:szCs w:val="24"/>
          <w:lang w:val="bg-BG"/>
        </w:rPr>
        <w:t xml:space="preserve">] </w:t>
      </w:r>
      <w:r w:rsidR="00305006" w:rsidRPr="00B86F12">
        <w:rPr>
          <w:szCs w:val="24"/>
          <w:lang w:val="bg-BG"/>
        </w:rPr>
        <w:t xml:space="preserve">на </w:t>
      </w:r>
      <w:r w:rsidR="00483B90">
        <w:rPr>
          <w:szCs w:val="24"/>
          <w:lang w:val="bg-BG"/>
        </w:rPr>
        <w:t>Изпълнителния директор на ДФ „Земеделие“</w:t>
      </w:r>
      <w:r w:rsidR="00D10E19" w:rsidRPr="00B86F12">
        <w:rPr>
          <w:szCs w:val="24"/>
          <w:lang w:val="bg-BG"/>
        </w:rPr>
        <w:t xml:space="preserve"> </w:t>
      </w:r>
      <w:r w:rsidR="0049105F" w:rsidRPr="00B86F12">
        <w:rPr>
          <w:szCs w:val="24"/>
          <w:lang w:val="bg-BG"/>
        </w:rPr>
        <w:t>за предоставяне на средства от Механизма</w:t>
      </w:r>
      <w:r w:rsidR="00D10E19" w:rsidRPr="00B86F12">
        <w:rPr>
          <w:szCs w:val="24"/>
          <w:lang w:val="bg-BG"/>
        </w:rPr>
        <w:t xml:space="preserve"> за възстановяване и устойчивост (МВУ) </w:t>
      </w:r>
      <w:r w:rsidR="00475B8B" w:rsidRPr="00B86F12">
        <w:rPr>
          <w:szCs w:val="24"/>
          <w:lang w:val="bg-BG"/>
        </w:rPr>
        <w:t>по</w:t>
      </w:r>
      <w:r w:rsidR="0049105F" w:rsidRPr="00B86F12">
        <w:rPr>
          <w:szCs w:val="24"/>
          <w:lang w:val="bg-BG"/>
        </w:rPr>
        <w:t xml:space="preserve"> чл. 20, ал. 1 от </w:t>
      </w:r>
      <w:r w:rsidR="00475B8B" w:rsidRPr="00B86F12">
        <w:rPr>
          <w:szCs w:val="24"/>
          <w:lang w:val="bg-BG"/>
        </w:rPr>
        <w:t>ПМС № 114</w:t>
      </w:r>
      <w:r w:rsidR="00475B8B" w:rsidRPr="00B56DF7">
        <w:rPr>
          <w:szCs w:val="24"/>
          <w:lang w:val="bg-BG"/>
        </w:rPr>
        <w:t xml:space="preserve">/2022, </w:t>
      </w:r>
    </w:p>
    <w:p w14:paraId="73DEFBBB" w14:textId="77777777" w:rsidR="00BC1120" w:rsidRPr="00B56DF7" w:rsidRDefault="00EF53BE" w:rsidP="00FE349D">
      <w:pPr>
        <w:spacing w:after="120"/>
        <w:ind w:left="567" w:hanging="567"/>
        <w:rPr>
          <w:szCs w:val="24"/>
          <w:lang w:val="bg-BG"/>
        </w:rPr>
      </w:pPr>
      <w:r w:rsidRPr="00B56DF7">
        <w:rPr>
          <w:szCs w:val="24"/>
          <w:lang w:val="bg-BG"/>
        </w:rPr>
        <w:t>се споразумяха за следното:</w:t>
      </w:r>
    </w:p>
    <w:p w14:paraId="4C6C2986" w14:textId="77777777" w:rsidR="00BC1120" w:rsidRPr="00B56DF7" w:rsidRDefault="00BC1120" w:rsidP="00FE349D">
      <w:pPr>
        <w:spacing w:after="120"/>
        <w:ind w:left="567" w:hanging="567"/>
        <w:jc w:val="both"/>
        <w:rPr>
          <w:szCs w:val="24"/>
          <w:lang w:val="bg-BG"/>
        </w:rPr>
      </w:pPr>
    </w:p>
    <w:p w14:paraId="6C81C56E" w14:textId="77777777" w:rsidR="00C2718F" w:rsidRPr="00B56DF7" w:rsidRDefault="00646B1E" w:rsidP="00FE349D">
      <w:pPr>
        <w:pStyle w:val="Text1"/>
        <w:spacing w:after="120"/>
        <w:ind w:left="567" w:hanging="567"/>
        <w:jc w:val="both"/>
        <w:rPr>
          <w:b/>
          <w:szCs w:val="24"/>
          <w:lang w:val="bg-BG"/>
        </w:rPr>
      </w:pPr>
      <w:r w:rsidRPr="00B56DF7">
        <w:rPr>
          <w:b/>
          <w:szCs w:val="24"/>
          <w:lang w:val="bg-BG"/>
        </w:rPr>
        <w:t>Член 1</w:t>
      </w:r>
      <w:r w:rsidR="00533F0D" w:rsidRPr="00B56DF7">
        <w:rPr>
          <w:b/>
          <w:szCs w:val="24"/>
          <w:lang w:val="bg-BG"/>
        </w:rPr>
        <w:t>.</w:t>
      </w:r>
      <w:r w:rsidRPr="00B56DF7">
        <w:rPr>
          <w:b/>
          <w:szCs w:val="24"/>
          <w:lang w:val="bg-BG"/>
        </w:rPr>
        <w:t xml:space="preserve"> </w:t>
      </w:r>
      <w:r w:rsidR="00911E06" w:rsidRPr="00B56DF7">
        <w:rPr>
          <w:b/>
          <w:szCs w:val="24"/>
          <w:lang w:val="bg-BG"/>
        </w:rPr>
        <w:t>Предмет</w:t>
      </w:r>
    </w:p>
    <w:tbl>
      <w:tblPr>
        <w:tblW w:w="0" w:type="auto"/>
        <w:tblInd w:w="-34" w:type="dxa"/>
        <w:tblLook w:val="04A0" w:firstRow="1" w:lastRow="0" w:firstColumn="1" w:lastColumn="0" w:noHBand="0" w:noVBand="1"/>
      </w:tblPr>
      <w:tblGrid>
        <w:gridCol w:w="563"/>
        <w:gridCol w:w="8825"/>
      </w:tblGrid>
      <w:tr w:rsidR="00583EEE" w:rsidRPr="00B56DF7" w14:paraId="08901ED3" w14:textId="77777777" w:rsidTr="00812799">
        <w:tc>
          <w:tcPr>
            <w:tcW w:w="568" w:type="dxa"/>
            <w:shd w:val="clear" w:color="auto" w:fill="auto"/>
          </w:tcPr>
          <w:p w14:paraId="497FFF4D" w14:textId="77777777" w:rsidR="00583EEE" w:rsidRPr="00B56DF7" w:rsidRDefault="00583EEE" w:rsidP="00812799">
            <w:pPr>
              <w:pStyle w:val="Text1"/>
              <w:numPr>
                <w:ilvl w:val="0"/>
                <w:numId w:val="16"/>
              </w:numPr>
              <w:spacing w:after="120"/>
              <w:rPr>
                <w:bCs/>
                <w:szCs w:val="24"/>
                <w:lang w:val="bg-BG"/>
              </w:rPr>
            </w:pPr>
          </w:p>
        </w:tc>
        <w:tc>
          <w:tcPr>
            <w:tcW w:w="8930" w:type="dxa"/>
            <w:shd w:val="clear" w:color="auto" w:fill="auto"/>
          </w:tcPr>
          <w:p w14:paraId="4E720E01" w14:textId="69E8A94A" w:rsidR="00583EEE" w:rsidRPr="00B56DF7" w:rsidRDefault="00B86F12" w:rsidP="00812799">
            <w:pPr>
              <w:pStyle w:val="Text1"/>
              <w:spacing w:after="120"/>
              <w:ind w:left="0"/>
              <w:jc w:val="both"/>
              <w:rPr>
                <w:bCs/>
                <w:szCs w:val="24"/>
                <w:lang w:val="bg-BG"/>
              </w:rPr>
            </w:pPr>
            <w:r>
              <w:rPr>
                <w:szCs w:val="24"/>
                <w:lang w:val="bg-BG"/>
              </w:rPr>
              <w:t>Изпълнителният директор на ДФ „Земеделие“</w:t>
            </w:r>
            <w:r w:rsidR="00DC2AAF" w:rsidRPr="00B56DF7">
              <w:rPr>
                <w:szCs w:val="24"/>
                <w:lang w:val="bg-BG"/>
              </w:rPr>
              <w:t xml:space="preserve"> предоставя на Крайния получател безвъзмездно финансиране за изпълнение на инвестиция [</w:t>
            </w:r>
            <w:r w:rsidR="00DC2AAF" w:rsidRPr="00B56DF7">
              <w:rPr>
                <w:i/>
                <w:szCs w:val="24"/>
                <w:lang w:val="bg-BG"/>
              </w:rPr>
              <w:t>наименование и номер в ИС на МВУ</w:t>
            </w:r>
            <w:r w:rsidR="00DC2AAF" w:rsidRPr="00B56DF7">
              <w:rPr>
                <w:szCs w:val="24"/>
                <w:lang w:val="bg-BG"/>
              </w:rPr>
              <w:t xml:space="preserve">] („одобрената инвестиция“ или само „инвестицията“) от ПВУ, финансиран по МВУ, описана в Приложение </w:t>
            </w:r>
            <w:r w:rsidR="00AD2433" w:rsidRPr="00B56DF7">
              <w:rPr>
                <w:szCs w:val="24"/>
                <w:lang w:val="bg-BG"/>
              </w:rPr>
              <w:t>1</w:t>
            </w:r>
            <w:r w:rsidR="00DC2AAF" w:rsidRPr="00B56DF7">
              <w:rPr>
                <w:szCs w:val="24"/>
                <w:lang w:val="bg-BG"/>
              </w:rPr>
              <w:t>, с максимален размер</w:t>
            </w:r>
            <w:r w:rsidR="00AD2433" w:rsidRPr="00B56DF7">
              <w:rPr>
                <w:szCs w:val="24"/>
                <w:lang w:val="bg-BG"/>
              </w:rPr>
              <w:t xml:space="preserve"> ………..</w:t>
            </w:r>
            <w:r w:rsidR="00DC2AAF" w:rsidRPr="00B56DF7">
              <w:rPr>
                <w:szCs w:val="24"/>
                <w:lang w:val="bg-BG"/>
              </w:rPr>
              <w:t xml:space="preserve">, </w:t>
            </w:r>
            <w:r w:rsidR="00DC2AAF" w:rsidRPr="00B56DF7">
              <w:rPr>
                <w:szCs w:val="24"/>
                <w:lang w:val="bg-BG"/>
              </w:rPr>
              <w:lastRenderedPageBreak/>
              <w:t xml:space="preserve">интензитет </w:t>
            </w:r>
            <w:r w:rsidR="00AD2433" w:rsidRPr="00B56DF7">
              <w:rPr>
                <w:szCs w:val="24"/>
                <w:lang w:val="bg-BG"/>
              </w:rPr>
              <w:t>50%</w:t>
            </w:r>
            <w:r w:rsidR="00DC2AAF" w:rsidRPr="00B56DF7">
              <w:rPr>
                <w:szCs w:val="24"/>
                <w:lang w:val="bg-BG"/>
              </w:rPr>
              <w:t xml:space="preserve"> на съфинансиране и други условия, посочени в описанието на инвестицията, съставляващо  Приложение </w:t>
            </w:r>
            <w:r w:rsidR="00AD2433" w:rsidRPr="00B56DF7">
              <w:rPr>
                <w:szCs w:val="24"/>
                <w:lang w:val="bg-BG"/>
              </w:rPr>
              <w:t>1</w:t>
            </w:r>
            <w:r w:rsidR="00DC2AAF" w:rsidRPr="00B56DF7">
              <w:rPr>
                <w:szCs w:val="24"/>
                <w:lang w:val="bg-BG"/>
              </w:rPr>
              <w:t xml:space="preserve"> към настоящия договор.</w:t>
            </w:r>
          </w:p>
        </w:tc>
      </w:tr>
      <w:tr w:rsidR="00583EEE" w:rsidRPr="00B56DF7" w14:paraId="4A7A51EF" w14:textId="77777777" w:rsidTr="00812799">
        <w:tc>
          <w:tcPr>
            <w:tcW w:w="568" w:type="dxa"/>
            <w:shd w:val="clear" w:color="auto" w:fill="auto"/>
          </w:tcPr>
          <w:p w14:paraId="1BFB2BB1" w14:textId="77777777" w:rsidR="00583EEE" w:rsidRPr="00B56DF7" w:rsidRDefault="00583EEE" w:rsidP="00812799">
            <w:pPr>
              <w:pStyle w:val="Text1"/>
              <w:numPr>
                <w:ilvl w:val="0"/>
                <w:numId w:val="16"/>
              </w:numPr>
              <w:spacing w:after="120"/>
              <w:rPr>
                <w:bCs/>
                <w:szCs w:val="24"/>
                <w:lang w:val="bg-BG"/>
              </w:rPr>
            </w:pPr>
          </w:p>
        </w:tc>
        <w:tc>
          <w:tcPr>
            <w:tcW w:w="8930" w:type="dxa"/>
            <w:shd w:val="clear" w:color="auto" w:fill="auto"/>
          </w:tcPr>
          <w:p w14:paraId="0DC7F122" w14:textId="27DE581C" w:rsidR="00583EEE" w:rsidRPr="00B56DF7" w:rsidRDefault="00DC2AAF" w:rsidP="00812799">
            <w:pPr>
              <w:pStyle w:val="Text1"/>
              <w:spacing w:after="120"/>
              <w:ind w:left="0"/>
              <w:jc w:val="both"/>
              <w:rPr>
                <w:bCs/>
                <w:szCs w:val="24"/>
                <w:lang w:val="bg-BG"/>
              </w:rPr>
            </w:pPr>
            <w:r w:rsidRPr="00B56DF7">
              <w:rPr>
                <w:szCs w:val="24"/>
                <w:lang w:val="bg-BG"/>
              </w:rPr>
              <w:t xml:space="preserve">Безвъзмездното финансиране се предоставя съгласно условията на този договор и приложенията към него, които </w:t>
            </w:r>
            <w:r w:rsidR="0071258A" w:rsidRPr="00B56DF7">
              <w:rPr>
                <w:szCs w:val="24"/>
                <w:lang w:val="bg-BG"/>
              </w:rPr>
              <w:t>к</w:t>
            </w:r>
            <w:r w:rsidRPr="00B56DF7">
              <w:rPr>
                <w:szCs w:val="24"/>
                <w:lang w:val="bg-BG"/>
              </w:rPr>
              <w:t>райният получател декларира, че познава и приема. Крайният получател приема отпуснатото безвъзмездно финансиране и се задължава да изпълни всички задължения, произтичащи от договора и неговите приложения.</w:t>
            </w:r>
          </w:p>
        </w:tc>
      </w:tr>
      <w:tr w:rsidR="00583EEE" w:rsidRPr="00B56DF7" w14:paraId="5745C516" w14:textId="77777777" w:rsidTr="00812799">
        <w:tc>
          <w:tcPr>
            <w:tcW w:w="568" w:type="dxa"/>
            <w:shd w:val="clear" w:color="auto" w:fill="auto"/>
          </w:tcPr>
          <w:p w14:paraId="51A61A96" w14:textId="77777777" w:rsidR="00583EEE" w:rsidRPr="00B56DF7" w:rsidRDefault="00583EEE" w:rsidP="00812799">
            <w:pPr>
              <w:pStyle w:val="Text1"/>
              <w:numPr>
                <w:ilvl w:val="0"/>
                <w:numId w:val="16"/>
              </w:numPr>
              <w:spacing w:after="120"/>
              <w:rPr>
                <w:bCs/>
                <w:szCs w:val="24"/>
                <w:lang w:val="bg-BG"/>
              </w:rPr>
            </w:pPr>
          </w:p>
        </w:tc>
        <w:tc>
          <w:tcPr>
            <w:tcW w:w="8930" w:type="dxa"/>
            <w:shd w:val="clear" w:color="auto" w:fill="auto"/>
          </w:tcPr>
          <w:p w14:paraId="6C56C162" w14:textId="65DA1090" w:rsidR="00583EEE" w:rsidRPr="00B56DF7" w:rsidRDefault="00DC2AAF" w:rsidP="00812799">
            <w:pPr>
              <w:pStyle w:val="Text1"/>
              <w:spacing w:after="120"/>
              <w:ind w:left="0"/>
              <w:jc w:val="both"/>
              <w:rPr>
                <w:bCs/>
                <w:szCs w:val="24"/>
                <w:lang w:val="bg-BG"/>
              </w:rPr>
            </w:pPr>
            <w:r w:rsidRPr="00B56DF7">
              <w:rPr>
                <w:bCs/>
                <w:szCs w:val="24"/>
                <w:lang w:val="bg-BG"/>
              </w:rPr>
              <w:t xml:space="preserve">Окончателният размер на безвъзмездното финансиране се определя при спазване на разпоредбите на чл. 11 и чл.12  от Приложение </w:t>
            </w:r>
            <w:r w:rsidR="00AD2433" w:rsidRPr="00B56DF7">
              <w:rPr>
                <w:bCs/>
                <w:szCs w:val="24"/>
                <w:lang w:val="bg-BG"/>
              </w:rPr>
              <w:t>2</w:t>
            </w:r>
            <w:r w:rsidRPr="00B56DF7">
              <w:rPr>
                <w:bCs/>
                <w:szCs w:val="24"/>
                <w:lang w:val="bg-BG"/>
              </w:rPr>
              <w:t>.</w:t>
            </w:r>
          </w:p>
        </w:tc>
      </w:tr>
    </w:tbl>
    <w:p w14:paraId="2AA6B9D4" w14:textId="77777777" w:rsidR="00C2718F" w:rsidRPr="00B56DF7" w:rsidRDefault="00C2718F" w:rsidP="00FE349D">
      <w:pPr>
        <w:spacing w:after="120"/>
        <w:jc w:val="both"/>
        <w:rPr>
          <w:szCs w:val="24"/>
          <w:u w:val="single"/>
          <w:lang w:val="bg-BG"/>
        </w:rPr>
      </w:pPr>
    </w:p>
    <w:p w14:paraId="5933D5E0" w14:textId="77777777" w:rsidR="00C2718F" w:rsidRPr="00B56DF7" w:rsidRDefault="003703E8" w:rsidP="00FE349D">
      <w:pPr>
        <w:spacing w:after="120"/>
        <w:ind w:left="567" w:hanging="567"/>
        <w:jc w:val="both"/>
        <w:rPr>
          <w:b/>
          <w:szCs w:val="24"/>
          <w:lang w:val="bg-BG"/>
        </w:rPr>
      </w:pPr>
      <w:r w:rsidRPr="00B56DF7">
        <w:rPr>
          <w:b/>
          <w:szCs w:val="24"/>
          <w:lang w:val="bg-BG"/>
        </w:rPr>
        <w:t>Член 2</w:t>
      </w:r>
      <w:r w:rsidR="00533F0D" w:rsidRPr="00B56DF7">
        <w:rPr>
          <w:b/>
          <w:szCs w:val="24"/>
          <w:lang w:val="bg-BG"/>
        </w:rPr>
        <w:t>.</w:t>
      </w:r>
      <w:r w:rsidRPr="00B56DF7">
        <w:rPr>
          <w:b/>
          <w:szCs w:val="24"/>
          <w:lang w:val="bg-BG"/>
        </w:rPr>
        <w:t xml:space="preserve"> </w:t>
      </w:r>
      <w:r w:rsidR="008C17C5" w:rsidRPr="00B56DF7">
        <w:rPr>
          <w:b/>
          <w:szCs w:val="24"/>
          <w:lang w:val="bg-BG"/>
        </w:rPr>
        <w:t>Влизане в сила на договора и с</w:t>
      </w:r>
      <w:r w:rsidRPr="00B56DF7">
        <w:rPr>
          <w:b/>
          <w:szCs w:val="24"/>
          <w:lang w:val="bg-BG"/>
        </w:rPr>
        <w:t>рок на изпълнение</w:t>
      </w:r>
      <w:r w:rsidR="007D0DFB" w:rsidRPr="00B56DF7">
        <w:rPr>
          <w:b/>
          <w:szCs w:val="24"/>
          <w:lang w:val="bg-BG"/>
        </w:rPr>
        <w:t xml:space="preserve"> на инвестицията</w:t>
      </w:r>
      <w:r w:rsidR="00717F4F" w:rsidRPr="00B56DF7">
        <w:rPr>
          <w:b/>
          <w:szCs w:val="24"/>
          <w:lang w:val="bg-BG"/>
        </w:rPr>
        <w:t xml:space="preserve"> </w:t>
      </w:r>
    </w:p>
    <w:tbl>
      <w:tblPr>
        <w:tblW w:w="0" w:type="auto"/>
        <w:tblInd w:w="-34" w:type="dxa"/>
        <w:tblLook w:val="04A0" w:firstRow="1" w:lastRow="0" w:firstColumn="1" w:lastColumn="0" w:noHBand="0" w:noVBand="1"/>
      </w:tblPr>
      <w:tblGrid>
        <w:gridCol w:w="563"/>
        <w:gridCol w:w="8825"/>
      </w:tblGrid>
      <w:tr w:rsidR="00DC2AAF" w:rsidRPr="00B56DF7" w14:paraId="71B81873" w14:textId="77777777" w:rsidTr="00812799">
        <w:tc>
          <w:tcPr>
            <w:tcW w:w="568" w:type="dxa"/>
            <w:shd w:val="clear" w:color="auto" w:fill="auto"/>
          </w:tcPr>
          <w:p w14:paraId="34A0E6BD" w14:textId="77777777" w:rsidR="00DC2AAF" w:rsidRPr="00B56DF7" w:rsidRDefault="00DC2AAF" w:rsidP="00812799">
            <w:pPr>
              <w:pStyle w:val="Text1"/>
              <w:numPr>
                <w:ilvl w:val="0"/>
                <w:numId w:val="17"/>
              </w:numPr>
              <w:spacing w:after="120"/>
              <w:rPr>
                <w:bCs/>
                <w:szCs w:val="24"/>
                <w:lang w:val="bg-BG"/>
              </w:rPr>
            </w:pPr>
          </w:p>
        </w:tc>
        <w:tc>
          <w:tcPr>
            <w:tcW w:w="8930" w:type="dxa"/>
            <w:shd w:val="clear" w:color="auto" w:fill="auto"/>
          </w:tcPr>
          <w:p w14:paraId="1BC0BDE0" w14:textId="0ADA08F5" w:rsidR="00DC2AAF" w:rsidRPr="00B56DF7" w:rsidRDefault="00DC2AAF" w:rsidP="00812799">
            <w:pPr>
              <w:spacing w:after="120"/>
              <w:jc w:val="both"/>
              <w:rPr>
                <w:szCs w:val="24"/>
                <w:lang w:val="bg-BG"/>
              </w:rPr>
            </w:pPr>
            <w:r w:rsidRPr="00B56DF7">
              <w:rPr>
                <w:szCs w:val="24"/>
                <w:lang w:val="bg-BG"/>
              </w:rPr>
              <w:t>Настоящият договор влиза в сила от деня</w:t>
            </w:r>
            <w:r w:rsidRPr="00B56DF7">
              <w:rPr>
                <w:i/>
                <w:iCs/>
                <w:szCs w:val="24"/>
                <w:lang w:val="bg-BG"/>
              </w:rPr>
              <w:t xml:space="preserve"> </w:t>
            </w:r>
            <w:r w:rsidRPr="00B56DF7">
              <w:rPr>
                <w:szCs w:val="24"/>
                <w:lang w:val="bg-BG"/>
              </w:rPr>
              <w:t>на подписването му от двете страни</w:t>
            </w:r>
            <w:r w:rsidR="00E70326" w:rsidRPr="00B56DF7">
              <w:rPr>
                <w:szCs w:val="24"/>
                <w:lang w:val="bg-BG"/>
              </w:rPr>
              <w:t>.</w:t>
            </w:r>
            <w:r w:rsidRPr="00B56DF7">
              <w:rPr>
                <w:szCs w:val="24"/>
                <w:lang w:val="bg-BG"/>
              </w:rPr>
              <w:t xml:space="preserve"> </w:t>
            </w:r>
          </w:p>
          <w:p w14:paraId="4C40EC5A" w14:textId="6AA48433" w:rsidR="00DC2AAF" w:rsidRPr="00B56DF7" w:rsidRDefault="00DC2AAF" w:rsidP="00812799">
            <w:pPr>
              <w:spacing w:after="120"/>
              <w:ind w:left="37"/>
              <w:jc w:val="both"/>
              <w:rPr>
                <w:bCs/>
                <w:szCs w:val="24"/>
                <w:lang w:val="bg-BG"/>
              </w:rPr>
            </w:pPr>
          </w:p>
        </w:tc>
      </w:tr>
      <w:tr w:rsidR="00DC2AAF" w:rsidRPr="00B56DF7" w14:paraId="14BB402B" w14:textId="77777777" w:rsidTr="00812799">
        <w:tc>
          <w:tcPr>
            <w:tcW w:w="568" w:type="dxa"/>
            <w:shd w:val="clear" w:color="auto" w:fill="auto"/>
          </w:tcPr>
          <w:p w14:paraId="3E8EF93A" w14:textId="77777777" w:rsidR="00DC2AAF" w:rsidRPr="00B56DF7" w:rsidRDefault="00DC2AAF" w:rsidP="00812799">
            <w:pPr>
              <w:pStyle w:val="Text1"/>
              <w:numPr>
                <w:ilvl w:val="0"/>
                <w:numId w:val="17"/>
              </w:numPr>
              <w:spacing w:after="120"/>
              <w:rPr>
                <w:bCs/>
                <w:szCs w:val="24"/>
                <w:lang w:val="bg-BG"/>
              </w:rPr>
            </w:pPr>
          </w:p>
        </w:tc>
        <w:tc>
          <w:tcPr>
            <w:tcW w:w="8930" w:type="dxa"/>
            <w:shd w:val="clear" w:color="auto" w:fill="auto"/>
          </w:tcPr>
          <w:p w14:paraId="0DFBECE2" w14:textId="77777777" w:rsidR="00DC2AAF" w:rsidRPr="00B56DF7" w:rsidRDefault="00331976" w:rsidP="00812799">
            <w:pPr>
              <w:pStyle w:val="Text1"/>
              <w:spacing w:after="120"/>
              <w:ind w:left="0"/>
              <w:jc w:val="both"/>
              <w:rPr>
                <w:bCs/>
                <w:szCs w:val="24"/>
                <w:lang w:val="bg-BG"/>
              </w:rPr>
            </w:pPr>
            <w:r w:rsidRPr="00B56DF7">
              <w:rPr>
                <w:szCs w:val="24"/>
                <w:lang w:val="bg-BG"/>
              </w:rPr>
              <w:t>Изпълнението на одобрената инвестиция започва от датата на влизането на договора в сила, освен ако условията за кандидатстване и/или условията за изпълнение допускат изпълнението да започне след подаване на предложението за изпълнение на инвестицията в ИС на МВУ и кандидатът се е възползвал от тази възможност.</w:t>
            </w:r>
          </w:p>
        </w:tc>
      </w:tr>
      <w:tr w:rsidR="00DC2AAF" w:rsidRPr="00B56DF7" w14:paraId="25114B59" w14:textId="77777777" w:rsidTr="00812799">
        <w:tc>
          <w:tcPr>
            <w:tcW w:w="568" w:type="dxa"/>
            <w:shd w:val="clear" w:color="auto" w:fill="auto"/>
          </w:tcPr>
          <w:p w14:paraId="6E996F96" w14:textId="77777777" w:rsidR="00DC2AAF" w:rsidRPr="00B56DF7" w:rsidRDefault="00DC2AAF" w:rsidP="00812799">
            <w:pPr>
              <w:pStyle w:val="Text1"/>
              <w:numPr>
                <w:ilvl w:val="0"/>
                <w:numId w:val="17"/>
              </w:numPr>
              <w:spacing w:after="120"/>
              <w:rPr>
                <w:bCs/>
                <w:szCs w:val="24"/>
                <w:lang w:val="bg-BG"/>
              </w:rPr>
            </w:pPr>
          </w:p>
        </w:tc>
        <w:tc>
          <w:tcPr>
            <w:tcW w:w="8930" w:type="dxa"/>
            <w:shd w:val="clear" w:color="auto" w:fill="auto"/>
          </w:tcPr>
          <w:p w14:paraId="0F5AAFA7" w14:textId="2C5E8883" w:rsidR="00DC2AAF" w:rsidRPr="00B56DF7" w:rsidRDefault="00331976" w:rsidP="0018684B">
            <w:pPr>
              <w:pStyle w:val="Text1"/>
              <w:spacing w:after="120"/>
              <w:ind w:left="0"/>
              <w:jc w:val="both"/>
              <w:rPr>
                <w:bCs/>
                <w:szCs w:val="24"/>
                <w:lang w:val="bg-BG"/>
              </w:rPr>
            </w:pPr>
            <w:r w:rsidRPr="00B56DF7">
              <w:rPr>
                <w:szCs w:val="24"/>
                <w:lang w:val="bg-BG"/>
              </w:rPr>
              <w:t xml:space="preserve">Срокът на изпълнение на инвестицията е определен в [т. </w:t>
            </w:r>
            <w:r w:rsidR="0018684B" w:rsidRPr="00B56DF7">
              <w:rPr>
                <w:szCs w:val="24"/>
                <w:lang w:val="bg-BG"/>
              </w:rPr>
              <w:t>1 „Основни данни“</w:t>
            </w:r>
            <w:r w:rsidRPr="00B56DF7">
              <w:rPr>
                <w:szCs w:val="24"/>
                <w:lang w:val="bg-BG"/>
              </w:rPr>
              <w:t xml:space="preserve">] на Приложение </w:t>
            </w:r>
            <w:r w:rsidR="00EB1594" w:rsidRPr="00B56DF7">
              <w:rPr>
                <w:szCs w:val="24"/>
                <w:lang w:val="bg-BG"/>
              </w:rPr>
              <w:t>1</w:t>
            </w:r>
            <w:r w:rsidRPr="00B56DF7">
              <w:rPr>
                <w:szCs w:val="24"/>
                <w:lang w:val="bg-BG"/>
              </w:rPr>
              <w:t xml:space="preserve"> към договора, считано от датата на влизане в сила на договора</w:t>
            </w:r>
            <w:r w:rsidR="00EB1594" w:rsidRPr="00B56DF7">
              <w:rPr>
                <w:szCs w:val="24"/>
                <w:lang w:val="bg-BG"/>
              </w:rPr>
              <w:t>,</w:t>
            </w:r>
            <w:r w:rsidR="00EB1594" w:rsidRPr="00B56DF7">
              <w:rPr>
                <w:szCs w:val="24"/>
                <w:lang w:val="bg-BG" w:eastAsia="fr-FR"/>
              </w:rPr>
              <w:t xml:space="preserve"> но не повече от максималния срок, предвиден в т. 17 от Условията за кандидатстване по процедура чрез подбор на предложения за изпълнение на инвестиции от крайни получатели</w:t>
            </w:r>
            <w:r w:rsidRPr="00B56DF7">
              <w:rPr>
                <w:szCs w:val="24"/>
                <w:lang w:val="bg-BG"/>
              </w:rPr>
              <w:t xml:space="preserve"> </w:t>
            </w:r>
            <w:r w:rsidR="00EB1594" w:rsidRPr="00B56DF7">
              <w:rPr>
                <w:b/>
                <w:snapToGrid w:val="0"/>
                <w:szCs w:val="24"/>
                <w:lang w:val="bg-BG"/>
              </w:rPr>
              <w:t xml:space="preserve">№ </w:t>
            </w:r>
            <w:r w:rsidR="00E836C9" w:rsidRPr="00B56DF7">
              <w:rPr>
                <w:b/>
                <w:snapToGrid w:val="0"/>
                <w:szCs w:val="24"/>
                <w:lang w:val="bg-BG"/>
              </w:rPr>
              <w:t>BG-RRP-6.006 „Центрове за подготовка за предлагане на пазара и съхранение на плодове и зеленчуци“</w:t>
            </w:r>
            <w:r w:rsidR="00EB1594" w:rsidRPr="00B56DF7">
              <w:rPr>
                <w:szCs w:val="24"/>
                <w:lang w:val="bg-BG"/>
              </w:rPr>
              <w:t xml:space="preserve">. </w:t>
            </w:r>
            <w:r w:rsidRPr="00B56DF7">
              <w:rPr>
                <w:szCs w:val="24"/>
                <w:lang w:val="bg-BG"/>
              </w:rPr>
              <w:t xml:space="preserve">Същият може да бъде удължаван по взаимно споразумение на страните по реда на чл. 17 от Приложение </w:t>
            </w:r>
            <w:r w:rsidR="00EB1594" w:rsidRPr="00B56DF7">
              <w:rPr>
                <w:szCs w:val="24"/>
                <w:lang w:val="bg-BG"/>
              </w:rPr>
              <w:t>2</w:t>
            </w:r>
            <w:r w:rsidRPr="00B56DF7">
              <w:rPr>
                <w:szCs w:val="24"/>
                <w:lang w:val="bg-BG"/>
              </w:rPr>
              <w:t xml:space="preserve"> към договора,  но не повече от максималния срок за изпълнение на инвестициите, определен в условията за кандидатстване по процедурата за предоставяне на средства от МВУ.</w:t>
            </w:r>
          </w:p>
        </w:tc>
      </w:tr>
    </w:tbl>
    <w:p w14:paraId="23845938" w14:textId="77777777" w:rsidR="00DC2AAF" w:rsidRPr="00B56DF7" w:rsidRDefault="00DC2AAF" w:rsidP="00FE349D">
      <w:pPr>
        <w:spacing w:after="120"/>
        <w:ind w:left="567" w:hanging="567"/>
        <w:jc w:val="both"/>
        <w:rPr>
          <w:szCs w:val="24"/>
          <w:lang w:val="bg-BG"/>
        </w:rPr>
      </w:pPr>
    </w:p>
    <w:p w14:paraId="275F828D" w14:textId="77777777" w:rsidR="007C61B5" w:rsidRPr="00B56DF7" w:rsidRDefault="007C61B5" w:rsidP="00FE349D">
      <w:pPr>
        <w:pStyle w:val="Text1"/>
        <w:spacing w:after="120"/>
        <w:ind w:left="567" w:hanging="567"/>
        <w:jc w:val="both"/>
        <w:rPr>
          <w:b/>
          <w:szCs w:val="24"/>
          <w:lang w:val="bg-BG"/>
        </w:rPr>
      </w:pPr>
      <w:r w:rsidRPr="00B56DF7">
        <w:rPr>
          <w:b/>
          <w:szCs w:val="24"/>
          <w:lang w:val="bg-BG"/>
        </w:rPr>
        <w:t>Член 3</w:t>
      </w:r>
      <w:r w:rsidR="00533F0D" w:rsidRPr="00B56DF7">
        <w:rPr>
          <w:b/>
          <w:szCs w:val="24"/>
          <w:lang w:val="bg-BG"/>
        </w:rPr>
        <w:t>.</w:t>
      </w:r>
      <w:r w:rsidRPr="00B56DF7">
        <w:rPr>
          <w:b/>
          <w:szCs w:val="24"/>
          <w:lang w:val="bg-BG"/>
        </w:rPr>
        <w:t xml:space="preserve"> </w:t>
      </w:r>
      <w:r w:rsidR="009044AF" w:rsidRPr="00B56DF7">
        <w:rPr>
          <w:b/>
          <w:szCs w:val="24"/>
          <w:lang w:val="bg-BG"/>
        </w:rPr>
        <w:t>Д</w:t>
      </w:r>
      <w:r w:rsidRPr="00B56DF7">
        <w:rPr>
          <w:b/>
          <w:szCs w:val="24"/>
          <w:lang w:val="bg-BG"/>
        </w:rPr>
        <w:t>ържавна помощ</w:t>
      </w:r>
    </w:p>
    <w:tbl>
      <w:tblPr>
        <w:tblW w:w="0" w:type="auto"/>
        <w:tblInd w:w="-34" w:type="dxa"/>
        <w:tblLook w:val="04A0" w:firstRow="1" w:lastRow="0" w:firstColumn="1" w:lastColumn="0" w:noHBand="0" w:noVBand="1"/>
      </w:tblPr>
      <w:tblGrid>
        <w:gridCol w:w="563"/>
        <w:gridCol w:w="8825"/>
      </w:tblGrid>
      <w:tr w:rsidR="00331976" w:rsidRPr="00B56DF7" w14:paraId="6D974680" w14:textId="77777777" w:rsidTr="00812799">
        <w:tc>
          <w:tcPr>
            <w:tcW w:w="568" w:type="dxa"/>
            <w:shd w:val="clear" w:color="auto" w:fill="auto"/>
          </w:tcPr>
          <w:p w14:paraId="16202076" w14:textId="77777777" w:rsidR="00331976" w:rsidRPr="00B56DF7" w:rsidRDefault="00331976" w:rsidP="00812799">
            <w:pPr>
              <w:pStyle w:val="Text1"/>
              <w:numPr>
                <w:ilvl w:val="0"/>
                <w:numId w:val="18"/>
              </w:numPr>
              <w:spacing w:after="120"/>
              <w:rPr>
                <w:bCs/>
                <w:szCs w:val="24"/>
                <w:lang w:val="bg-BG"/>
              </w:rPr>
            </w:pPr>
          </w:p>
        </w:tc>
        <w:tc>
          <w:tcPr>
            <w:tcW w:w="8930" w:type="dxa"/>
            <w:shd w:val="clear" w:color="auto" w:fill="auto"/>
          </w:tcPr>
          <w:p w14:paraId="6989FC0C" w14:textId="143E3452" w:rsidR="00331976" w:rsidRPr="00B56DF7" w:rsidRDefault="00331976" w:rsidP="00942B7A">
            <w:pPr>
              <w:spacing w:after="120"/>
              <w:ind w:left="37"/>
              <w:jc w:val="both"/>
              <w:rPr>
                <w:bCs/>
                <w:szCs w:val="24"/>
                <w:lang w:val="bg-BG"/>
              </w:rPr>
            </w:pPr>
            <w:r w:rsidRPr="00B56DF7">
              <w:rPr>
                <w:szCs w:val="24"/>
                <w:lang w:val="bg-BG"/>
              </w:rPr>
              <w:t xml:space="preserve">Помощта се предоставя </w:t>
            </w:r>
            <w:r w:rsidR="00EB1594" w:rsidRPr="00B56DF7">
              <w:rPr>
                <w:szCs w:val="24"/>
                <w:lang w:eastAsia="fr-FR"/>
              </w:rPr>
              <w:t xml:space="preserve"> в </w:t>
            </w:r>
            <w:r w:rsidR="00EB1594" w:rsidRPr="00B56DF7">
              <w:rPr>
                <w:szCs w:val="24"/>
                <w:lang w:val="bg-BG" w:eastAsia="fr-FR"/>
              </w:rPr>
              <w:t xml:space="preserve">съответствие с изискванията на чл. 14 от </w:t>
            </w:r>
            <w:r w:rsidR="00EB1594" w:rsidRPr="00B56DF7">
              <w:rPr>
                <w:szCs w:val="24"/>
                <w:lang w:val="bg-BG"/>
              </w:rPr>
              <w:t>Регламент</w:t>
            </w:r>
            <w:r w:rsidR="00EB1594" w:rsidRPr="00B56DF7">
              <w:rPr>
                <w:szCs w:val="24"/>
                <w:lang w:val="ru-RU"/>
              </w:rPr>
              <w:t xml:space="preserve"> (ЕС) 2022/2472 на </w:t>
            </w:r>
            <w:r w:rsidR="00EB1594" w:rsidRPr="00B56DF7">
              <w:rPr>
                <w:szCs w:val="24"/>
              </w:rPr>
              <w:t>K</w:t>
            </w:r>
            <w:r w:rsidR="00EB1594" w:rsidRPr="00B56DF7">
              <w:rPr>
                <w:szCs w:val="24"/>
                <w:lang w:val="ru-RU"/>
              </w:rPr>
              <w:t>омисията от 14 декември 2022 година относно деклариране на някои категории помощи в секторите на селското и горското стопанство и в селските райони за съвместими с вътрешния пазар в приложение на членове 107 и 108 от Договора за функционирането на Европейския съюз.</w:t>
            </w:r>
            <w:r w:rsidRPr="00B56DF7">
              <w:rPr>
                <w:szCs w:val="24"/>
                <w:lang w:val="bg-BG"/>
              </w:rPr>
              <w:t xml:space="preserve"> Крайният получател се задължава да изпълнява, по време и след приключване изпълнението на инвестицията, всички изисквания на приложимия режим държавна помощ, и носи пълната отговорност за тяхното неспазване.</w:t>
            </w:r>
          </w:p>
        </w:tc>
      </w:tr>
      <w:tr w:rsidR="00331976" w:rsidRPr="00B56DF7" w14:paraId="0861363A" w14:textId="77777777" w:rsidTr="00812799">
        <w:tc>
          <w:tcPr>
            <w:tcW w:w="568" w:type="dxa"/>
            <w:shd w:val="clear" w:color="auto" w:fill="auto"/>
          </w:tcPr>
          <w:p w14:paraId="5F789D26" w14:textId="77777777" w:rsidR="00331976" w:rsidRPr="00B56DF7" w:rsidRDefault="00331976" w:rsidP="00812799">
            <w:pPr>
              <w:pStyle w:val="Text1"/>
              <w:numPr>
                <w:ilvl w:val="0"/>
                <w:numId w:val="18"/>
              </w:numPr>
              <w:spacing w:after="120"/>
              <w:rPr>
                <w:bCs/>
                <w:szCs w:val="24"/>
                <w:lang w:val="bg-BG"/>
              </w:rPr>
            </w:pPr>
          </w:p>
        </w:tc>
        <w:tc>
          <w:tcPr>
            <w:tcW w:w="8930" w:type="dxa"/>
            <w:shd w:val="clear" w:color="auto" w:fill="auto"/>
          </w:tcPr>
          <w:p w14:paraId="5B2DD56A" w14:textId="672BA3CA" w:rsidR="00331976" w:rsidRPr="00B56DF7" w:rsidRDefault="00D52FE3" w:rsidP="00942B7A">
            <w:pPr>
              <w:pStyle w:val="Text1"/>
              <w:spacing w:after="120"/>
              <w:ind w:left="0"/>
              <w:jc w:val="both"/>
              <w:rPr>
                <w:bCs/>
                <w:szCs w:val="24"/>
                <w:lang w:val="bg-BG"/>
              </w:rPr>
            </w:pPr>
            <w:r w:rsidRPr="00B56DF7">
              <w:rPr>
                <w:szCs w:val="24"/>
                <w:lang w:val="ru-RU"/>
              </w:rPr>
              <w:t>К</w:t>
            </w:r>
            <w:r w:rsidR="00331976" w:rsidRPr="00B56DF7">
              <w:rPr>
                <w:szCs w:val="24"/>
                <w:lang w:val="ru-RU"/>
              </w:rPr>
              <w:t>райният получател се задължава в срок от три години от окончателното плащане, да поддържа инвестицията в региона получател, като съответно не се допуска: прекратяване на дейност, промяна на собствеността на активите (включително преотстъпване и/или отдаване под наем на трети лица), както и значителна промяна, която засяга естеството, целите или условията за изпълнение на проекта и която би довела до подмяна на неговите първоначални цели.</w:t>
            </w:r>
            <w:bookmarkStart w:id="0" w:name="_GoBack"/>
            <w:bookmarkEnd w:id="0"/>
          </w:p>
        </w:tc>
      </w:tr>
    </w:tbl>
    <w:p w14:paraId="146A0612" w14:textId="77777777" w:rsidR="007C61B5" w:rsidRPr="00B56DF7" w:rsidRDefault="007C61B5" w:rsidP="00FE349D">
      <w:pPr>
        <w:pStyle w:val="Text1"/>
        <w:spacing w:after="120"/>
        <w:ind w:left="567" w:hanging="567"/>
        <w:jc w:val="both"/>
        <w:rPr>
          <w:b/>
          <w:szCs w:val="24"/>
          <w:lang w:val="bg-BG"/>
        </w:rPr>
      </w:pPr>
    </w:p>
    <w:p w14:paraId="4277A074" w14:textId="77777777" w:rsidR="00C2718F" w:rsidRPr="00B56DF7" w:rsidRDefault="003703E8" w:rsidP="00FE349D">
      <w:pPr>
        <w:pStyle w:val="Text1"/>
        <w:spacing w:after="120"/>
        <w:ind w:left="567" w:hanging="567"/>
        <w:jc w:val="both"/>
        <w:rPr>
          <w:b/>
          <w:szCs w:val="24"/>
          <w:lang w:val="bg-BG"/>
        </w:rPr>
      </w:pPr>
      <w:r w:rsidRPr="00B56DF7">
        <w:rPr>
          <w:b/>
          <w:szCs w:val="24"/>
          <w:lang w:val="bg-BG"/>
        </w:rPr>
        <w:t xml:space="preserve">Член </w:t>
      </w:r>
      <w:r w:rsidR="005E6531" w:rsidRPr="00B56DF7">
        <w:rPr>
          <w:b/>
          <w:szCs w:val="24"/>
          <w:lang w:val="bg-BG"/>
        </w:rPr>
        <w:t>4</w:t>
      </w:r>
      <w:r w:rsidR="00533F0D" w:rsidRPr="00B56DF7">
        <w:rPr>
          <w:b/>
          <w:szCs w:val="24"/>
          <w:lang w:val="bg-BG"/>
        </w:rPr>
        <w:t>.</w:t>
      </w:r>
      <w:r w:rsidRPr="00B56DF7">
        <w:rPr>
          <w:b/>
          <w:szCs w:val="24"/>
          <w:lang w:val="bg-BG"/>
        </w:rPr>
        <w:t xml:space="preserve"> </w:t>
      </w:r>
      <w:r w:rsidR="00C36181" w:rsidRPr="00B56DF7">
        <w:rPr>
          <w:b/>
          <w:szCs w:val="24"/>
          <w:lang w:val="bg-BG"/>
        </w:rPr>
        <w:t xml:space="preserve">Изисквания към изпълнението на </w:t>
      </w:r>
      <w:r w:rsidR="00FC3608" w:rsidRPr="00B56DF7">
        <w:rPr>
          <w:b/>
          <w:szCs w:val="24"/>
          <w:lang w:val="bg-BG"/>
        </w:rPr>
        <w:t>инвестицията</w:t>
      </w:r>
      <w:r w:rsidRPr="00B56DF7">
        <w:rPr>
          <w:b/>
          <w:szCs w:val="24"/>
          <w:lang w:val="bg-BG"/>
        </w:rPr>
        <w:t xml:space="preserve"> </w:t>
      </w:r>
    </w:p>
    <w:tbl>
      <w:tblPr>
        <w:tblW w:w="0" w:type="auto"/>
        <w:tblInd w:w="-34" w:type="dxa"/>
        <w:tblLook w:val="04A0" w:firstRow="1" w:lastRow="0" w:firstColumn="1" w:lastColumn="0" w:noHBand="0" w:noVBand="1"/>
      </w:tblPr>
      <w:tblGrid>
        <w:gridCol w:w="562"/>
        <w:gridCol w:w="8826"/>
      </w:tblGrid>
      <w:tr w:rsidR="00C93FD2" w:rsidRPr="00B56DF7" w14:paraId="60EE4157" w14:textId="77777777" w:rsidTr="00812799">
        <w:tc>
          <w:tcPr>
            <w:tcW w:w="568" w:type="dxa"/>
            <w:shd w:val="clear" w:color="auto" w:fill="auto"/>
          </w:tcPr>
          <w:p w14:paraId="025359A9" w14:textId="77777777" w:rsidR="00C93FD2" w:rsidRPr="00B56DF7" w:rsidRDefault="00C93FD2" w:rsidP="00812799">
            <w:pPr>
              <w:pStyle w:val="Text1"/>
              <w:numPr>
                <w:ilvl w:val="0"/>
                <w:numId w:val="19"/>
              </w:numPr>
              <w:spacing w:after="120"/>
              <w:rPr>
                <w:bCs/>
                <w:szCs w:val="24"/>
                <w:lang w:val="bg-BG"/>
              </w:rPr>
            </w:pPr>
          </w:p>
        </w:tc>
        <w:tc>
          <w:tcPr>
            <w:tcW w:w="8930" w:type="dxa"/>
            <w:shd w:val="clear" w:color="auto" w:fill="auto"/>
          </w:tcPr>
          <w:p w14:paraId="52A361DD" w14:textId="1A1E11FE" w:rsidR="00C93FD2" w:rsidRPr="00B56DF7" w:rsidRDefault="00C93FD2" w:rsidP="00812799">
            <w:pPr>
              <w:pStyle w:val="Text1"/>
              <w:spacing w:after="120"/>
              <w:ind w:left="0"/>
              <w:jc w:val="both"/>
              <w:rPr>
                <w:bCs/>
                <w:szCs w:val="24"/>
                <w:lang w:val="bg-BG"/>
              </w:rPr>
            </w:pPr>
            <w:r w:rsidRPr="00B56DF7">
              <w:rPr>
                <w:szCs w:val="24"/>
                <w:lang w:val="bg-BG"/>
              </w:rPr>
              <w:t xml:space="preserve">Крайният получател изпълнява инвестицията съгласно описанието на одобрената инвестиция (формуляр за кандидатстване ведно с приложенията към него), представляващо Приложение </w:t>
            </w:r>
            <w:r w:rsidR="00A82171" w:rsidRPr="00B56DF7">
              <w:rPr>
                <w:szCs w:val="24"/>
                <w:lang w:val="en-US"/>
              </w:rPr>
              <w:t>1</w:t>
            </w:r>
            <w:r w:rsidRPr="00B56DF7">
              <w:rPr>
                <w:szCs w:val="24"/>
                <w:lang w:val="bg-BG"/>
              </w:rPr>
              <w:t xml:space="preserve"> към договора, заведено в ИС на МВУ под номер [</w:t>
            </w:r>
            <w:r w:rsidRPr="00B56DF7">
              <w:rPr>
                <w:i/>
                <w:szCs w:val="24"/>
                <w:lang w:val="bg-BG"/>
              </w:rPr>
              <w:t>номер от ИС на МВУ</w:t>
            </w:r>
            <w:r w:rsidRPr="00B56DF7">
              <w:rPr>
                <w:szCs w:val="24"/>
                <w:lang w:val="bg-BG"/>
              </w:rPr>
              <w:t xml:space="preserve">], условията за кандидатстване и условията за изпълнение по </w:t>
            </w:r>
            <w:r w:rsidRPr="00B56DF7">
              <w:rPr>
                <w:szCs w:val="24"/>
                <w:lang w:val="bg-BG"/>
              </w:rPr>
              <w:lastRenderedPageBreak/>
              <w:t>процедурата на подбор на предложения за изпълнение на инвестиции от крайни получатели и клаузите на настоящия договор.</w:t>
            </w:r>
          </w:p>
        </w:tc>
      </w:tr>
      <w:tr w:rsidR="00C93FD2" w:rsidRPr="00B56DF7" w14:paraId="75BD52B5" w14:textId="77777777" w:rsidTr="00812799">
        <w:tc>
          <w:tcPr>
            <w:tcW w:w="568" w:type="dxa"/>
            <w:shd w:val="clear" w:color="auto" w:fill="auto"/>
          </w:tcPr>
          <w:p w14:paraId="2F4D8039" w14:textId="77777777" w:rsidR="00C93FD2" w:rsidRPr="00B56DF7" w:rsidRDefault="00C93FD2" w:rsidP="00812799">
            <w:pPr>
              <w:pStyle w:val="Text1"/>
              <w:numPr>
                <w:ilvl w:val="0"/>
                <w:numId w:val="19"/>
              </w:numPr>
              <w:spacing w:after="120"/>
              <w:rPr>
                <w:bCs/>
                <w:szCs w:val="24"/>
                <w:lang w:val="bg-BG"/>
              </w:rPr>
            </w:pPr>
          </w:p>
        </w:tc>
        <w:tc>
          <w:tcPr>
            <w:tcW w:w="8930" w:type="dxa"/>
            <w:shd w:val="clear" w:color="auto" w:fill="auto"/>
          </w:tcPr>
          <w:p w14:paraId="4B3CC779" w14:textId="7AD50FDE" w:rsidR="00C93FD2" w:rsidRPr="00B56DF7" w:rsidRDefault="00C93FD2" w:rsidP="00BE54CF">
            <w:pPr>
              <w:pStyle w:val="Text1"/>
              <w:spacing w:after="120"/>
              <w:ind w:left="0"/>
              <w:jc w:val="both"/>
              <w:rPr>
                <w:bCs/>
                <w:szCs w:val="24"/>
                <w:lang w:val="bg-BG"/>
              </w:rPr>
            </w:pPr>
            <w:r w:rsidRPr="00B56DF7">
              <w:rPr>
                <w:szCs w:val="24"/>
                <w:lang w:val="bg-BG"/>
              </w:rPr>
              <w:t xml:space="preserve">За неразделна част от клаузите на настоящия договор се считат и изискванията и процедурите относно управлението, изпълнението, отчитането и разплащането на инвестициите, регламентирани в нормативните и общите административни актове, приемани в кръга на тяхната компетентност от органите, отговорни за управлението и изпълнението на одобрения План за възстановяване и устойчивост съгласно </w:t>
            </w:r>
            <w:r w:rsidRPr="00B56DF7">
              <w:rPr>
                <w:i/>
                <w:iCs/>
                <w:szCs w:val="24"/>
                <w:lang w:val="bg-BG"/>
              </w:rPr>
              <w:t>Постановление № 157 от 7 юли 2022 г. за определяне на органите и структурите, отговорни за изпълнението на Плана за възстановяване и устойчивост на република България, и на техните основни функции (ПМС № 157/2022)</w:t>
            </w:r>
            <w:r w:rsidRPr="00B56DF7">
              <w:rPr>
                <w:szCs w:val="24"/>
                <w:lang w:val="bg-BG"/>
              </w:rPr>
              <w:t>, Ръководството за изпълнение на инвестициите по чл. 3</w:t>
            </w:r>
            <w:r w:rsidR="0082501A" w:rsidRPr="00B56DF7">
              <w:rPr>
                <w:szCs w:val="24"/>
                <w:lang w:val="bg-BG"/>
              </w:rPr>
              <w:t>1, ал. 1 от ПМС № 114/2022 г.,</w:t>
            </w:r>
            <w:r w:rsidRPr="00B56DF7">
              <w:rPr>
                <w:szCs w:val="24"/>
                <w:lang w:val="bg-BG"/>
              </w:rPr>
              <w:t xml:space="preserve"> публикувани на официалната й интернет-страница.</w:t>
            </w:r>
          </w:p>
        </w:tc>
      </w:tr>
      <w:tr w:rsidR="00C93FD2" w:rsidRPr="00B56DF7" w14:paraId="78BBADC4" w14:textId="77777777" w:rsidTr="00812799">
        <w:tc>
          <w:tcPr>
            <w:tcW w:w="568" w:type="dxa"/>
            <w:shd w:val="clear" w:color="auto" w:fill="auto"/>
          </w:tcPr>
          <w:p w14:paraId="7B1ADD37" w14:textId="77777777" w:rsidR="00C93FD2" w:rsidRPr="00B56DF7" w:rsidRDefault="00C93FD2" w:rsidP="00812799">
            <w:pPr>
              <w:pStyle w:val="Text1"/>
              <w:numPr>
                <w:ilvl w:val="0"/>
                <w:numId w:val="19"/>
              </w:numPr>
              <w:spacing w:after="120"/>
              <w:rPr>
                <w:bCs/>
                <w:szCs w:val="24"/>
                <w:lang w:val="bg-BG"/>
              </w:rPr>
            </w:pPr>
          </w:p>
        </w:tc>
        <w:tc>
          <w:tcPr>
            <w:tcW w:w="8930" w:type="dxa"/>
            <w:shd w:val="clear" w:color="auto" w:fill="auto"/>
          </w:tcPr>
          <w:p w14:paraId="50A583BC" w14:textId="77777777" w:rsidR="00C93FD2" w:rsidRPr="00B56DF7" w:rsidRDefault="00C93FD2" w:rsidP="00812799">
            <w:pPr>
              <w:pStyle w:val="Text1"/>
              <w:spacing w:after="120"/>
              <w:ind w:left="0"/>
              <w:jc w:val="both"/>
              <w:rPr>
                <w:bCs/>
                <w:szCs w:val="24"/>
                <w:lang w:val="bg-BG"/>
              </w:rPr>
            </w:pPr>
            <w:r w:rsidRPr="00B56DF7">
              <w:rPr>
                <w:szCs w:val="24"/>
                <w:lang w:val="bg-BG"/>
              </w:rPr>
              <w:t>Изпълнението на инвестицията се съобразява с всички приложими нормативни актове от националното законодателство и законодателството на ЕС.</w:t>
            </w:r>
          </w:p>
        </w:tc>
      </w:tr>
      <w:tr w:rsidR="00C93FD2" w:rsidRPr="00B56DF7" w14:paraId="48A1324C" w14:textId="77777777" w:rsidTr="00812799">
        <w:tc>
          <w:tcPr>
            <w:tcW w:w="568" w:type="dxa"/>
            <w:shd w:val="clear" w:color="auto" w:fill="auto"/>
          </w:tcPr>
          <w:p w14:paraId="53063CAD" w14:textId="77777777" w:rsidR="00C93FD2" w:rsidRPr="00B56DF7" w:rsidRDefault="00C93FD2" w:rsidP="00812799">
            <w:pPr>
              <w:pStyle w:val="Text1"/>
              <w:numPr>
                <w:ilvl w:val="0"/>
                <w:numId w:val="19"/>
              </w:numPr>
              <w:spacing w:after="120"/>
              <w:rPr>
                <w:bCs/>
                <w:szCs w:val="24"/>
                <w:lang w:val="bg-BG"/>
              </w:rPr>
            </w:pPr>
          </w:p>
        </w:tc>
        <w:tc>
          <w:tcPr>
            <w:tcW w:w="8930" w:type="dxa"/>
            <w:shd w:val="clear" w:color="auto" w:fill="auto"/>
          </w:tcPr>
          <w:p w14:paraId="31529815" w14:textId="452E9269" w:rsidR="00C93FD2" w:rsidRPr="00B56DF7" w:rsidRDefault="00C93FD2" w:rsidP="00812799">
            <w:pPr>
              <w:pStyle w:val="Text1"/>
              <w:spacing w:after="120"/>
              <w:ind w:left="0"/>
              <w:jc w:val="both"/>
              <w:rPr>
                <w:bCs/>
                <w:szCs w:val="24"/>
                <w:lang w:val="bg-BG"/>
              </w:rPr>
            </w:pPr>
            <w:r w:rsidRPr="00B56DF7">
              <w:rPr>
                <w:szCs w:val="24"/>
                <w:lang w:val="bg-BG"/>
              </w:rPr>
              <w:t>Крайният получател е длъжен да заплати изцяло дължимия ДДС върху допустимите разходи за изпълнение на инвестицията и да администрира ДДС като допустим/недопустим разход в съответствие с приложимите за това правила.</w:t>
            </w:r>
          </w:p>
        </w:tc>
      </w:tr>
    </w:tbl>
    <w:p w14:paraId="6B137130" w14:textId="77777777" w:rsidR="00433F75" w:rsidRPr="00B56DF7" w:rsidRDefault="00433F75" w:rsidP="00FE349D">
      <w:pPr>
        <w:spacing w:after="120"/>
        <w:ind w:left="567" w:hanging="567"/>
        <w:jc w:val="both"/>
        <w:rPr>
          <w:b/>
          <w:szCs w:val="24"/>
          <w:lang w:val="bg-BG"/>
        </w:rPr>
      </w:pPr>
    </w:p>
    <w:p w14:paraId="63EA27A3" w14:textId="77777777" w:rsidR="00C2718F" w:rsidRPr="00B56DF7" w:rsidRDefault="00ED25FF" w:rsidP="00FE349D">
      <w:pPr>
        <w:spacing w:after="120"/>
        <w:ind w:left="567" w:hanging="567"/>
        <w:jc w:val="both"/>
        <w:rPr>
          <w:szCs w:val="24"/>
          <w:lang w:val="bg-BG"/>
        </w:rPr>
      </w:pPr>
      <w:r w:rsidRPr="00B56DF7">
        <w:rPr>
          <w:b/>
          <w:szCs w:val="24"/>
          <w:lang w:val="bg-BG"/>
        </w:rPr>
        <w:t xml:space="preserve">Член </w:t>
      </w:r>
      <w:r w:rsidR="009A44BD" w:rsidRPr="00B56DF7">
        <w:rPr>
          <w:b/>
          <w:szCs w:val="24"/>
          <w:lang w:val="bg-BG"/>
        </w:rPr>
        <w:t>5</w:t>
      </w:r>
      <w:r w:rsidRPr="00B56DF7">
        <w:rPr>
          <w:b/>
          <w:szCs w:val="24"/>
          <w:lang w:val="bg-BG"/>
        </w:rPr>
        <w:t xml:space="preserve">. Индикатори, чието неизпълнение </w:t>
      </w:r>
      <w:r w:rsidR="009A44BD" w:rsidRPr="00B56DF7">
        <w:rPr>
          <w:b/>
          <w:szCs w:val="24"/>
          <w:lang w:val="bg-BG"/>
        </w:rPr>
        <w:t xml:space="preserve">се счита за </w:t>
      </w:r>
      <w:r w:rsidR="008A1CC9" w:rsidRPr="00B56DF7">
        <w:rPr>
          <w:b/>
          <w:szCs w:val="24"/>
          <w:lang w:val="bg-BG"/>
        </w:rPr>
        <w:t xml:space="preserve">пълно или частично </w:t>
      </w:r>
      <w:r w:rsidR="009A44BD" w:rsidRPr="00B56DF7">
        <w:rPr>
          <w:b/>
          <w:szCs w:val="24"/>
          <w:lang w:val="bg-BG"/>
        </w:rPr>
        <w:t>неизпълнение на инвестицията</w:t>
      </w:r>
      <w:r w:rsidRPr="00B56DF7">
        <w:rPr>
          <w:b/>
          <w:szCs w:val="24"/>
          <w:lang w:val="bg-BG"/>
        </w:rPr>
        <w:t xml:space="preserve"> </w:t>
      </w:r>
    </w:p>
    <w:tbl>
      <w:tblPr>
        <w:tblW w:w="0" w:type="auto"/>
        <w:tblInd w:w="-34" w:type="dxa"/>
        <w:tblLook w:val="04A0" w:firstRow="1" w:lastRow="0" w:firstColumn="1" w:lastColumn="0" w:noHBand="0" w:noVBand="1"/>
      </w:tblPr>
      <w:tblGrid>
        <w:gridCol w:w="563"/>
        <w:gridCol w:w="8825"/>
      </w:tblGrid>
      <w:tr w:rsidR="00C93FD2" w:rsidRPr="00B56DF7" w14:paraId="2758668E" w14:textId="77777777" w:rsidTr="00812799">
        <w:tc>
          <w:tcPr>
            <w:tcW w:w="568" w:type="dxa"/>
            <w:shd w:val="clear" w:color="auto" w:fill="auto"/>
          </w:tcPr>
          <w:p w14:paraId="28FF72F4" w14:textId="77777777" w:rsidR="00C93FD2" w:rsidRPr="00B56DF7" w:rsidRDefault="00C93FD2" w:rsidP="00812799">
            <w:pPr>
              <w:pStyle w:val="Text1"/>
              <w:numPr>
                <w:ilvl w:val="0"/>
                <w:numId w:val="20"/>
              </w:numPr>
              <w:spacing w:after="120"/>
              <w:rPr>
                <w:bCs/>
                <w:szCs w:val="24"/>
                <w:lang w:val="bg-BG"/>
              </w:rPr>
            </w:pPr>
          </w:p>
        </w:tc>
        <w:tc>
          <w:tcPr>
            <w:tcW w:w="8930" w:type="dxa"/>
            <w:shd w:val="clear" w:color="auto" w:fill="auto"/>
          </w:tcPr>
          <w:p w14:paraId="6AE9D334" w14:textId="51D3AEC7" w:rsidR="00C93FD2" w:rsidRPr="00B56DF7" w:rsidRDefault="00C93FD2" w:rsidP="00B86F12">
            <w:pPr>
              <w:pStyle w:val="Text1"/>
              <w:spacing w:after="120"/>
              <w:ind w:left="0"/>
              <w:jc w:val="both"/>
              <w:rPr>
                <w:bCs/>
                <w:szCs w:val="24"/>
                <w:lang w:val="bg-BG"/>
              </w:rPr>
            </w:pPr>
            <w:r w:rsidRPr="00B56DF7">
              <w:rPr>
                <w:bCs/>
                <w:szCs w:val="24"/>
                <w:lang w:val="bg-BG"/>
              </w:rPr>
              <w:t>Неизпълнението или неотчитането по предвидения ред от крайния получател на прогнозната стойност на целта/</w:t>
            </w:r>
            <w:proofErr w:type="spellStart"/>
            <w:r w:rsidRPr="00B56DF7">
              <w:rPr>
                <w:bCs/>
                <w:szCs w:val="24"/>
                <w:lang w:val="bg-BG"/>
              </w:rPr>
              <w:t>ите</w:t>
            </w:r>
            <w:proofErr w:type="spellEnd"/>
            <w:r w:rsidRPr="00B56DF7">
              <w:rPr>
                <w:bCs/>
                <w:szCs w:val="24"/>
                <w:lang w:val="bg-BG"/>
              </w:rPr>
              <w:t xml:space="preserve"> на инвестицията) [</w:t>
            </w:r>
            <w:r w:rsidRPr="00B56DF7">
              <w:rPr>
                <w:bCs/>
                <w:i/>
                <w:iCs/>
                <w:szCs w:val="24"/>
                <w:lang w:val="bg-BG"/>
              </w:rPr>
              <w:t>наименование на количествени</w:t>
            </w:r>
            <w:r w:rsidR="001F2CD3" w:rsidRPr="00B56DF7">
              <w:rPr>
                <w:bCs/>
                <w:i/>
                <w:iCs/>
                <w:szCs w:val="24"/>
                <w:lang w:val="bg-BG"/>
              </w:rPr>
              <w:t>я/</w:t>
            </w:r>
            <w:r w:rsidRPr="00B56DF7">
              <w:rPr>
                <w:bCs/>
                <w:i/>
                <w:iCs/>
                <w:szCs w:val="24"/>
                <w:lang w:val="bg-BG"/>
              </w:rPr>
              <w:t>те индикатор/и</w:t>
            </w:r>
            <w:r w:rsidRPr="00B56DF7">
              <w:rPr>
                <w:bCs/>
                <w:szCs w:val="24"/>
                <w:lang w:val="bg-BG"/>
              </w:rPr>
              <w:t xml:space="preserve">], посочена в [т. </w:t>
            </w:r>
            <w:r w:rsidR="0049673A" w:rsidRPr="00B56DF7">
              <w:rPr>
                <w:bCs/>
                <w:szCs w:val="24"/>
                <w:lang w:val="bg-BG"/>
              </w:rPr>
              <w:t>х</w:t>
            </w:r>
            <w:r w:rsidRPr="00B56DF7">
              <w:rPr>
                <w:bCs/>
                <w:szCs w:val="24"/>
                <w:lang w:val="bg-BG"/>
              </w:rPr>
              <w:t xml:space="preserve">] на Приложение </w:t>
            </w:r>
            <w:r w:rsidR="00A82171" w:rsidRPr="00B56DF7">
              <w:rPr>
                <w:bCs/>
                <w:szCs w:val="24"/>
                <w:lang w:val="en-US"/>
              </w:rPr>
              <w:t>1</w:t>
            </w:r>
            <w:r w:rsidRPr="00B56DF7">
              <w:rPr>
                <w:bCs/>
                <w:szCs w:val="24"/>
                <w:lang w:val="bg-BG"/>
              </w:rPr>
              <w:t xml:space="preserve">, дава право на </w:t>
            </w:r>
            <w:r w:rsidR="00B86F12">
              <w:rPr>
                <w:bCs/>
                <w:szCs w:val="24"/>
                <w:lang w:val="bg-BG"/>
              </w:rPr>
              <w:t>Изпълнителният директор на ДФ „Земеделие“</w:t>
            </w:r>
            <w:r w:rsidRPr="00B56DF7">
              <w:rPr>
                <w:bCs/>
                <w:szCs w:val="24"/>
                <w:lang w:val="bg-BG"/>
              </w:rPr>
              <w:t xml:space="preserve"> да изиска от крайния получател цялостно или частично възстановяване на полученото безвъзмездно финансиране съобразно степента на неизпълнение на индикатора и причините за това по реда и условията на чл. 11.4 – 11.5 от Общите условия на договора – Приложение </w:t>
            </w:r>
            <w:r w:rsidR="00A82171" w:rsidRPr="00B56DF7">
              <w:rPr>
                <w:bCs/>
                <w:szCs w:val="24"/>
                <w:lang w:val="en-US"/>
              </w:rPr>
              <w:t>2</w:t>
            </w:r>
            <w:r w:rsidRPr="00B56DF7">
              <w:rPr>
                <w:bCs/>
                <w:szCs w:val="24"/>
                <w:lang w:val="bg-BG"/>
              </w:rPr>
              <w:t>.</w:t>
            </w:r>
            <w:r w:rsidR="008C5F81" w:rsidRPr="00B56DF7">
              <w:rPr>
                <w:bCs/>
                <w:szCs w:val="24"/>
                <w:lang w:val="bg-BG"/>
              </w:rPr>
              <w:t xml:space="preserve"> </w:t>
            </w:r>
          </w:p>
        </w:tc>
      </w:tr>
    </w:tbl>
    <w:p w14:paraId="05632863" w14:textId="77777777" w:rsidR="00C93FD2" w:rsidRPr="00B56DF7" w:rsidRDefault="00C93FD2" w:rsidP="00FE349D">
      <w:pPr>
        <w:spacing w:after="120"/>
        <w:ind w:left="567" w:hanging="567"/>
        <w:jc w:val="both"/>
        <w:rPr>
          <w:bCs/>
          <w:szCs w:val="24"/>
          <w:lang w:val="bg-BG"/>
        </w:rPr>
      </w:pPr>
    </w:p>
    <w:p w14:paraId="4811066D" w14:textId="77777777" w:rsidR="00C2718F" w:rsidRPr="00B56DF7" w:rsidRDefault="003703E8" w:rsidP="00FE349D">
      <w:pPr>
        <w:spacing w:after="120"/>
        <w:jc w:val="both"/>
        <w:rPr>
          <w:b/>
          <w:szCs w:val="24"/>
          <w:lang w:val="bg-BG"/>
        </w:rPr>
      </w:pPr>
      <w:r w:rsidRPr="00B56DF7">
        <w:rPr>
          <w:b/>
          <w:szCs w:val="24"/>
          <w:lang w:val="bg-BG"/>
        </w:rPr>
        <w:t xml:space="preserve">Член </w:t>
      </w:r>
      <w:r w:rsidR="009A44BD" w:rsidRPr="00B56DF7">
        <w:rPr>
          <w:b/>
          <w:szCs w:val="24"/>
          <w:lang w:val="bg-BG"/>
        </w:rPr>
        <w:t>6</w:t>
      </w:r>
      <w:r w:rsidR="005E6531" w:rsidRPr="00B56DF7">
        <w:rPr>
          <w:b/>
          <w:szCs w:val="24"/>
          <w:lang w:val="bg-BG"/>
        </w:rPr>
        <w:t>.</w:t>
      </w:r>
      <w:r w:rsidRPr="00B56DF7">
        <w:rPr>
          <w:b/>
          <w:szCs w:val="24"/>
          <w:lang w:val="bg-BG"/>
        </w:rPr>
        <w:t xml:space="preserve"> </w:t>
      </w:r>
      <w:r w:rsidR="00DF6243" w:rsidRPr="00B56DF7">
        <w:rPr>
          <w:b/>
          <w:szCs w:val="24"/>
          <w:lang w:val="bg-BG"/>
        </w:rPr>
        <w:t>У</w:t>
      </w:r>
      <w:r w:rsidRPr="00B56DF7">
        <w:rPr>
          <w:b/>
          <w:szCs w:val="24"/>
          <w:lang w:val="bg-BG"/>
        </w:rPr>
        <w:t xml:space="preserve">словия за плащане </w:t>
      </w:r>
    </w:p>
    <w:tbl>
      <w:tblPr>
        <w:tblW w:w="0" w:type="auto"/>
        <w:tblInd w:w="-34" w:type="dxa"/>
        <w:tblLook w:val="04A0" w:firstRow="1" w:lastRow="0" w:firstColumn="1" w:lastColumn="0" w:noHBand="0" w:noVBand="1"/>
      </w:tblPr>
      <w:tblGrid>
        <w:gridCol w:w="562"/>
        <w:gridCol w:w="8826"/>
      </w:tblGrid>
      <w:tr w:rsidR="008C5F81" w:rsidRPr="00B56DF7" w14:paraId="5B73CD00" w14:textId="77777777" w:rsidTr="00812799">
        <w:tc>
          <w:tcPr>
            <w:tcW w:w="568" w:type="dxa"/>
            <w:shd w:val="clear" w:color="auto" w:fill="auto"/>
          </w:tcPr>
          <w:p w14:paraId="503060BC" w14:textId="77777777" w:rsidR="008C5F81" w:rsidRPr="00B56DF7" w:rsidRDefault="008C5F81" w:rsidP="00812799">
            <w:pPr>
              <w:numPr>
                <w:ilvl w:val="0"/>
                <w:numId w:val="21"/>
              </w:numPr>
              <w:spacing w:after="120"/>
              <w:jc w:val="both"/>
              <w:rPr>
                <w:bCs/>
                <w:szCs w:val="24"/>
                <w:lang w:val="bg-BG"/>
              </w:rPr>
            </w:pPr>
          </w:p>
        </w:tc>
        <w:tc>
          <w:tcPr>
            <w:tcW w:w="8930" w:type="dxa"/>
            <w:shd w:val="clear" w:color="auto" w:fill="auto"/>
          </w:tcPr>
          <w:p w14:paraId="6AFBDDAB" w14:textId="38E1F651" w:rsidR="008C5F81" w:rsidRPr="00B56DF7" w:rsidRDefault="008C5F81" w:rsidP="00812799">
            <w:pPr>
              <w:spacing w:after="120"/>
              <w:jc w:val="both"/>
              <w:rPr>
                <w:bCs/>
                <w:szCs w:val="24"/>
                <w:lang w:val="bg-BG"/>
              </w:rPr>
            </w:pPr>
            <w:r w:rsidRPr="00B56DF7">
              <w:rPr>
                <w:szCs w:val="24"/>
                <w:lang w:val="bg-BG"/>
              </w:rPr>
              <w:t xml:space="preserve">Исканията за плащане, се подкрепят с представяне на финансово-технически отчети (ФТО) в съответствие с членове 10.1 и 10.2 на Приложение </w:t>
            </w:r>
            <w:r w:rsidR="00A82171" w:rsidRPr="00B56DF7">
              <w:rPr>
                <w:szCs w:val="24"/>
                <w:lang w:val="en-US"/>
              </w:rPr>
              <w:t>2</w:t>
            </w:r>
            <w:r w:rsidRPr="00B56DF7">
              <w:rPr>
                <w:szCs w:val="24"/>
                <w:lang w:val="bg-BG"/>
              </w:rPr>
              <w:t>.</w:t>
            </w:r>
          </w:p>
        </w:tc>
      </w:tr>
      <w:tr w:rsidR="008C5F81" w:rsidRPr="00B56DF7" w14:paraId="5E81E63B" w14:textId="77777777" w:rsidTr="00812799">
        <w:tc>
          <w:tcPr>
            <w:tcW w:w="568" w:type="dxa"/>
            <w:shd w:val="clear" w:color="auto" w:fill="auto"/>
          </w:tcPr>
          <w:p w14:paraId="048C57CA" w14:textId="77777777" w:rsidR="008C5F81" w:rsidRPr="00B56DF7" w:rsidRDefault="008C5F81" w:rsidP="00812799">
            <w:pPr>
              <w:numPr>
                <w:ilvl w:val="0"/>
                <w:numId w:val="21"/>
              </w:numPr>
              <w:spacing w:after="120"/>
              <w:jc w:val="both"/>
              <w:rPr>
                <w:bCs/>
                <w:szCs w:val="24"/>
                <w:lang w:val="bg-BG"/>
              </w:rPr>
            </w:pPr>
          </w:p>
        </w:tc>
        <w:tc>
          <w:tcPr>
            <w:tcW w:w="8930" w:type="dxa"/>
            <w:shd w:val="clear" w:color="auto" w:fill="auto"/>
          </w:tcPr>
          <w:p w14:paraId="17108B3F" w14:textId="77777777" w:rsidR="008C5F81" w:rsidRPr="00B56DF7" w:rsidRDefault="008C5F81" w:rsidP="00812799">
            <w:pPr>
              <w:pStyle w:val="Text1"/>
              <w:spacing w:after="120"/>
              <w:ind w:left="0"/>
              <w:jc w:val="both"/>
              <w:rPr>
                <w:szCs w:val="24"/>
                <w:lang w:val="bg-BG"/>
              </w:rPr>
            </w:pPr>
            <w:r w:rsidRPr="00B56DF7">
              <w:rPr>
                <w:szCs w:val="24"/>
                <w:lang w:val="bg-BG"/>
              </w:rPr>
              <w:t>Плащанията по договора ще бъдат извършени по следният начин (по избор на крайния получател):</w:t>
            </w:r>
          </w:p>
          <w:p w14:paraId="680ABAFE" w14:textId="2E043053" w:rsidR="008C5F81" w:rsidRPr="00B56DF7" w:rsidRDefault="008C5F81" w:rsidP="00812799">
            <w:pPr>
              <w:spacing w:after="120"/>
              <w:jc w:val="both"/>
              <w:rPr>
                <w:b/>
                <w:bCs/>
                <w:szCs w:val="24"/>
                <w:lang w:val="bg-BG"/>
              </w:rPr>
            </w:pPr>
            <w:r w:rsidRPr="00B56DF7">
              <w:rPr>
                <w:b/>
                <w:bCs/>
                <w:szCs w:val="24"/>
                <w:lang w:val="bg-BG"/>
              </w:rPr>
              <w:t xml:space="preserve">Вариант </w:t>
            </w:r>
            <w:r w:rsidR="00680C1D" w:rsidRPr="00B56DF7">
              <w:rPr>
                <w:b/>
                <w:bCs/>
                <w:szCs w:val="24"/>
                <w:lang w:val="en-US"/>
              </w:rPr>
              <w:t>1</w:t>
            </w:r>
            <w:r w:rsidRPr="00B56DF7">
              <w:rPr>
                <w:b/>
                <w:bCs/>
                <w:szCs w:val="24"/>
                <w:lang w:val="bg-BG"/>
              </w:rPr>
              <w:t xml:space="preserve"> (междинн</w:t>
            </w:r>
            <w:r w:rsidR="00680C1D" w:rsidRPr="00B56DF7">
              <w:rPr>
                <w:b/>
                <w:bCs/>
                <w:szCs w:val="24"/>
                <w:lang w:val="en-US"/>
              </w:rPr>
              <w:t>o</w:t>
            </w:r>
            <w:r w:rsidRPr="00B56DF7">
              <w:rPr>
                <w:b/>
                <w:bCs/>
                <w:szCs w:val="24"/>
                <w:lang w:val="bg-BG"/>
              </w:rPr>
              <w:t xml:space="preserve"> плащан</w:t>
            </w:r>
            <w:r w:rsidR="00680C1D" w:rsidRPr="00B56DF7">
              <w:rPr>
                <w:b/>
                <w:bCs/>
                <w:szCs w:val="24"/>
                <w:lang w:val="en-US"/>
              </w:rPr>
              <w:t>e</w:t>
            </w:r>
            <w:r w:rsidRPr="00B56DF7">
              <w:rPr>
                <w:b/>
                <w:bCs/>
                <w:szCs w:val="24"/>
                <w:lang w:val="bg-BG"/>
              </w:rPr>
              <w:t xml:space="preserve"> и окончателно плащане)</w:t>
            </w:r>
          </w:p>
          <w:p w14:paraId="24197E0E" w14:textId="030B1E36" w:rsidR="008C5F81" w:rsidRPr="00B56DF7" w:rsidRDefault="008C5F81" w:rsidP="00812799">
            <w:pPr>
              <w:spacing w:after="120"/>
              <w:jc w:val="both"/>
              <w:rPr>
                <w:szCs w:val="24"/>
                <w:lang w:val="en-US"/>
              </w:rPr>
            </w:pPr>
            <w:r w:rsidRPr="00B56DF7">
              <w:rPr>
                <w:szCs w:val="24"/>
                <w:u w:val="single"/>
                <w:lang w:val="bg-BG"/>
              </w:rPr>
              <w:t>Междинни плащания</w:t>
            </w:r>
            <w:r w:rsidRPr="00B56DF7">
              <w:rPr>
                <w:szCs w:val="24"/>
                <w:lang w:val="bg-BG"/>
              </w:rPr>
              <w:t xml:space="preserve"> (едно) в размер, определен като към стойността на извършените допустими разходи за изпълнение на инвестицията в отчетния период се приложи процентът на безвъзмездно финансиране, определен в описанието на инвестицията – Приложение </w:t>
            </w:r>
            <w:r w:rsidR="00680C1D" w:rsidRPr="00B56DF7">
              <w:rPr>
                <w:szCs w:val="24"/>
                <w:lang w:val="en-US"/>
              </w:rPr>
              <w:t>1</w:t>
            </w:r>
          </w:p>
          <w:p w14:paraId="01059EB4" w14:textId="77777777" w:rsidR="008C5F81" w:rsidRPr="00B56DF7" w:rsidRDefault="008C5F81" w:rsidP="00812799">
            <w:pPr>
              <w:spacing w:after="120"/>
              <w:jc w:val="both"/>
              <w:rPr>
                <w:szCs w:val="24"/>
                <w:lang w:val="bg-BG"/>
              </w:rPr>
            </w:pPr>
            <w:r w:rsidRPr="00B56DF7">
              <w:rPr>
                <w:szCs w:val="24"/>
                <w:lang w:val="bg-BG"/>
              </w:rPr>
              <w:t>Междинното плащане се извършва при представяне чрез ИС на МВУ на:</w:t>
            </w:r>
          </w:p>
          <w:p w14:paraId="4FA61B08" w14:textId="77777777" w:rsidR="008C5F81" w:rsidRPr="00B56DF7" w:rsidRDefault="008C5F81" w:rsidP="00812799">
            <w:pPr>
              <w:numPr>
                <w:ilvl w:val="0"/>
                <w:numId w:val="12"/>
              </w:numPr>
              <w:spacing w:after="120"/>
              <w:jc w:val="both"/>
              <w:rPr>
                <w:szCs w:val="24"/>
                <w:lang w:val="bg-BG"/>
              </w:rPr>
            </w:pPr>
            <w:r w:rsidRPr="00B56DF7">
              <w:rPr>
                <w:szCs w:val="24"/>
                <w:lang w:val="bg-BG"/>
              </w:rPr>
              <w:t>искане за плащане;</w:t>
            </w:r>
          </w:p>
          <w:p w14:paraId="3267F23A" w14:textId="77777777" w:rsidR="008C5F81" w:rsidRPr="00B56DF7" w:rsidRDefault="008C5F81" w:rsidP="00812799">
            <w:pPr>
              <w:numPr>
                <w:ilvl w:val="0"/>
                <w:numId w:val="12"/>
              </w:numPr>
              <w:spacing w:after="120"/>
              <w:jc w:val="both"/>
              <w:rPr>
                <w:szCs w:val="24"/>
                <w:lang w:val="bg-BG"/>
              </w:rPr>
            </w:pPr>
            <w:r w:rsidRPr="00B56DF7">
              <w:rPr>
                <w:szCs w:val="24"/>
                <w:lang w:val="bg-BG"/>
              </w:rPr>
              <w:t>съответен Финансово-технически отчет (ФТО);</w:t>
            </w:r>
          </w:p>
          <w:p w14:paraId="58C464B9" w14:textId="21D26420" w:rsidR="008C5F81" w:rsidRPr="00B56DF7" w:rsidRDefault="008C5F81" w:rsidP="00812799">
            <w:pPr>
              <w:numPr>
                <w:ilvl w:val="0"/>
                <w:numId w:val="12"/>
              </w:numPr>
              <w:spacing w:after="120"/>
              <w:jc w:val="both"/>
              <w:rPr>
                <w:szCs w:val="24"/>
                <w:lang w:val="bg-BG"/>
              </w:rPr>
            </w:pPr>
            <w:r w:rsidRPr="00B56DF7">
              <w:rPr>
                <w:szCs w:val="24"/>
                <w:lang w:val="bg-BG"/>
              </w:rPr>
              <w:t xml:space="preserve">финансова идентификационна форма </w:t>
            </w:r>
            <w:r w:rsidR="003D78F5" w:rsidRPr="00B56DF7">
              <w:rPr>
                <w:szCs w:val="24"/>
                <w:lang w:val="bg-BG"/>
              </w:rPr>
              <w:t xml:space="preserve"> [по образец на </w:t>
            </w:r>
            <w:r w:rsidR="00B86F12">
              <w:rPr>
                <w:szCs w:val="24"/>
                <w:lang w:val="bg-BG"/>
              </w:rPr>
              <w:t>ДФ „Земеделие“</w:t>
            </w:r>
            <w:r w:rsidR="003D78F5" w:rsidRPr="00B56DF7">
              <w:rPr>
                <w:szCs w:val="24"/>
                <w:lang w:val="bg-BG"/>
              </w:rPr>
              <w:t>];</w:t>
            </w:r>
          </w:p>
          <w:p w14:paraId="0158FC41" w14:textId="2E1031E0" w:rsidR="008C5F81" w:rsidRPr="00B56DF7" w:rsidRDefault="001244BD" w:rsidP="00812799">
            <w:pPr>
              <w:numPr>
                <w:ilvl w:val="0"/>
                <w:numId w:val="12"/>
              </w:numPr>
              <w:spacing w:after="120"/>
              <w:jc w:val="both"/>
              <w:rPr>
                <w:szCs w:val="24"/>
                <w:lang w:val="bg-BG"/>
              </w:rPr>
            </w:pPr>
            <w:r w:rsidRPr="00B56DF7">
              <w:rPr>
                <w:szCs w:val="24"/>
                <w:lang w:val="bg-BG"/>
              </w:rPr>
              <w:t xml:space="preserve">декларация [по образец на </w:t>
            </w:r>
            <w:r w:rsidR="00B86F12">
              <w:rPr>
                <w:szCs w:val="24"/>
                <w:lang w:val="bg-BG"/>
              </w:rPr>
              <w:t>ДФ „Земеделие“</w:t>
            </w:r>
            <w:r w:rsidRPr="00B56DF7">
              <w:rPr>
                <w:szCs w:val="24"/>
                <w:lang w:val="bg-BG"/>
              </w:rPr>
              <w:t xml:space="preserve">] </w:t>
            </w:r>
            <w:r w:rsidR="008C5F81" w:rsidRPr="00B56DF7">
              <w:rPr>
                <w:szCs w:val="24"/>
                <w:lang w:val="bg-BG"/>
              </w:rPr>
              <w:t xml:space="preserve">за спазване на принципите и основните изисквания към изпълнението на МВУ съгласно Регламент (ЕС) 2021/241 (принципа за непричиняване на значителна вреда съгл. чл. 5, пар. 2, забрана за двойно финансиране съгласно чл. 9, изречение 2, забраната за </w:t>
            </w:r>
            <w:r w:rsidR="008C5F81" w:rsidRPr="00B56DF7">
              <w:rPr>
                <w:szCs w:val="24"/>
                <w:lang w:val="bg-BG"/>
              </w:rPr>
              <w:lastRenderedPageBreak/>
              <w:t>измама, корупция и конфликт на интереси съгласно чл. 22 от посочения регламент)</w:t>
            </w:r>
          </w:p>
          <w:p w14:paraId="0D00E05C" w14:textId="5B809CFF" w:rsidR="008C5F81" w:rsidRPr="00B56DF7" w:rsidRDefault="008C5F81" w:rsidP="00812799">
            <w:pPr>
              <w:spacing w:after="120"/>
              <w:jc w:val="both"/>
              <w:rPr>
                <w:szCs w:val="24"/>
                <w:lang w:val="bg-BG"/>
              </w:rPr>
            </w:pPr>
            <w:r w:rsidRPr="00B56DF7">
              <w:rPr>
                <w:szCs w:val="24"/>
                <w:u w:val="single"/>
                <w:lang w:val="bg-BG"/>
              </w:rPr>
              <w:t>Окончателно плащане</w:t>
            </w:r>
            <w:r w:rsidRPr="00B56DF7">
              <w:rPr>
                <w:szCs w:val="24"/>
                <w:lang w:val="bg-BG"/>
              </w:rPr>
              <w:t xml:space="preserve"> в размер на разликата между общата стойност на безвъзмездното финансиране, изчислена като се приложи процентът на безвъзмездно финансиране, определен в описанието на инвестицията – Приложение </w:t>
            </w:r>
            <w:r w:rsidR="00680C1D" w:rsidRPr="00B56DF7">
              <w:rPr>
                <w:szCs w:val="24"/>
                <w:lang w:val="en-US"/>
              </w:rPr>
              <w:t>1</w:t>
            </w:r>
            <w:r w:rsidRPr="00B56DF7">
              <w:rPr>
                <w:szCs w:val="24"/>
                <w:lang w:val="bg-BG"/>
              </w:rPr>
              <w:t>, към общия размер на одобрените разходи за изпълнение на инвестицията, след приспадане на сумата по полученото междинн</w:t>
            </w:r>
            <w:r w:rsidR="00680C1D" w:rsidRPr="00B56DF7">
              <w:rPr>
                <w:szCs w:val="24"/>
                <w:lang w:val="en-US"/>
              </w:rPr>
              <w:t>o</w:t>
            </w:r>
            <w:r w:rsidRPr="00B56DF7">
              <w:rPr>
                <w:szCs w:val="24"/>
                <w:lang w:val="bg-BG"/>
              </w:rPr>
              <w:t xml:space="preserve"> плащан</w:t>
            </w:r>
            <w:r w:rsidR="00680C1D" w:rsidRPr="00B56DF7">
              <w:rPr>
                <w:szCs w:val="24"/>
                <w:lang w:val="en-US"/>
              </w:rPr>
              <w:t>e</w:t>
            </w:r>
            <w:r w:rsidRPr="00B56DF7">
              <w:rPr>
                <w:szCs w:val="24"/>
                <w:lang w:val="bg-BG"/>
              </w:rPr>
              <w:t>.</w:t>
            </w:r>
          </w:p>
          <w:p w14:paraId="75ABD3AE" w14:textId="77777777" w:rsidR="008C5F81" w:rsidRPr="00B56DF7" w:rsidRDefault="008C5F81" w:rsidP="00812799">
            <w:pPr>
              <w:spacing w:after="120"/>
              <w:jc w:val="both"/>
              <w:rPr>
                <w:szCs w:val="24"/>
                <w:lang w:val="bg-BG"/>
              </w:rPr>
            </w:pPr>
            <w:r w:rsidRPr="00B56DF7">
              <w:rPr>
                <w:szCs w:val="24"/>
                <w:lang w:val="bg-BG"/>
              </w:rPr>
              <w:t>Окончателното плащане се извършва при представяне чрез ИС на МВУ на:</w:t>
            </w:r>
          </w:p>
          <w:p w14:paraId="5BE4A522" w14:textId="77777777" w:rsidR="008C5F81" w:rsidRPr="00B56DF7" w:rsidRDefault="008C5F81" w:rsidP="00812799">
            <w:pPr>
              <w:numPr>
                <w:ilvl w:val="0"/>
                <w:numId w:val="11"/>
              </w:numPr>
              <w:spacing w:after="120"/>
              <w:jc w:val="both"/>
              <w:rPr>
                <w:szCs w:val="24"/>
                <w:lang w:val="bg-BG"/>
              </w:rPr>
            </w:pPr>
            <w:r w:rsidRPr="00B56DF7">
              <w:rPr>
                <w:szCs w:val="24"/>
                <w:lang w:val="bg-BG"/>
              </w:rPr>
              <w:t>искане за плащане;</w:t>
            </w:r>
          </w:p>
          <w:p w14:paraId="6D9FEAFB" w14:textId="77777777" w:rsidR="008C5F81" w:rsidRPr="00B56DF7" w:rsidRDefault="008C5F81" w:rsidP="00812799">
            <w:pPr>
              <w:numPr>
                <w:ilvl w:val="0"/>
                <w:numId w:val="11"/>
              </w:numPr>
              <w:spacing w:after="120"/>
              <w:jc w:val="both"/>
              <w:rPr>
                <w:szCs w:val="24"/>
                <w:lang w:val="bg-BG"/>
              </w:rPr>
            </w:pPr>
            <w:r w:rsidRPr="00B56DF7">
              <w:rPr>
                <w:szCs w:val="24"/>
                <w:lang w:val="bg-BG"/>
              </w:rPr>
              <w:t>окончателен Финансово-технически отчет (ФТО);</w:t>
            </w:r>
          </w:p>
          <w:p w14:paraId="48344863" w14:textId="403C1940" w:rsidR="008C5F81" w:rsidRPr="00B56DF7" w:rsidRDefault="001244BD" w:rsidP="00812799">
            <w:pPr>
              <w:numPr>
                <w:ilvl w:val="0"/>
                <w:numId w:val="11"/>
              </w:numPr>
              <w:spacing w:after="120"/>
              <w:jc w:val="both"/>
              <w:rPr>
                <w:szCs w:val="24"/>
                <w:lang w:val="bg-BG"/>
              </w:rPr>
            </w:pPr>
            <w:r w:rsidRPr="00B56DF7">
              <w:rPr>
                <w:szCs w:val="24"/>
                <w:lang w:val="bg-BG"/>
              </w:rPr>
              <w:t>декларация [по образец на</w:t>
            </w:r>
            <w:r w:rsidR="00B86F12" w:rsidRPr="00B86F12">
              <w:rPr>
                <w:szCs w:val="24"/>
                <w:lang w:val="bg-BG"/>
              </w:rPr>
              <w:t xml:space="preserve"> ДФ „Земеделие“</w:t>
            </w:r>
            <w:r w:rsidRPr="00B56DF7">
              <w:rPr>
                <w:szCs w:val="24"/>
                <w:lang w:val="bg-BG"/>
              </w:rPr>
              <w:t>]</w:t>
            </w:r>
            <w:r w:rsidR="008C5F81" w:rsidRPr="00B56DF7">
              <w:rPr>
                <w:szCs w:val="24"/>
                <w:lang w:val="bg-BG"/>
              </w:rPr>
              <w:t xml:space="preserve"> за спазване на принципите и основните изисквания към изпълнението на МВУ съгласно Регламент (ЕС) 2021/241 (принципа за непричиняване на значителна вреда съгл. чл. 5, пар.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18C9D2DC" w14:textId="1947D122" w:rsidR="008C5F81" w:rsidRPr="00B56DF7" w:rsidRDefault="008C5F81" w:rsidP="00812799">
            <w:pPr>
              <w:numPr>
                <w:ilvl w:val="0"/>
                <w:numId w:val="11"/>
              </w:numPr>
              <w:spacing w:after="120"/>
              <w:jc w:val="both"/>
              <w:rPr>
                <w:bCs/>
                <w:szCs w:val="24"/>
                <w:lang w:val="bg-BG"/>
              </w:rPr>
            </w:pPr>
            <w:r w:rsidRPr="00B56DF7">
              <w:rPr>
                <w:szCs w:val="24"/>
                <w:lang w:val="bg-BG"/>
              </w:rPr>
              <w:t xml:space="preserve">финансова идентификационна форма </w:t>
            </w:r>
            <w:r w:rsidR="00C166BF" w:rsidRPr="00B56DF7">
              <w:rPr>
                <w:szCs w:val="24"/>
                <w:lang w:val="bg-BG"/>
              </w:rPr>
              <w:t xml:space="preserve"> [по образец на </w:t>
            </w:r>
            <w:r w:rsidR="00B86F12">
              <w:rPr>
                <w:szCs w:val="24"/>
                <w:lang w:val="bg-BG"/>
              </w:rPr>
              <w:t>ДФ „Земеделие“</w:t>
            </w:r>
            <w:r w:rsidR="00C166BF" w:rsidRPr="00B56DF7">
              <w:rPr>
                <w:szCs w:val="24"/>
                <w:lang w:val="bg-BG"/>
              </w:rPr>
              <w:t>]</w:t>
            </w:r>
            <w:r w:rsidR="003D78F5" w:rsidRPr="00B56DF7">
              <w:rPr>
                <w:szCs w:val="24"/>
                <w:lang w:val="bg-BG"/>
              </w:rPr>
              <w:t>.</w:t>
            </w:r>
          </w:p>
          <w:p w14:paraId="11AB140C" w14:textId="2DE34445" w:rsidR="008C5F81" w:rsidRPr="00B56DF7" w:rsidRDefault="008C5F81" w:rsidP="00812799">
            <w:pPr>
              <w:spacing w:after="120"/>
              <w:jc w:val="both"/>
              <w:rPr>
                <w:b/>
                <w:bCs/>
                <w:szCs w:val="24"/>
                <w:lang w:val="bg-BG"/>
              </w:rPr>
            </w:pPr>
            <w:r w:rsidRPr="00B56DF7">
              <w:rPr>
                <w:b/>
                <w:bCs/>
                <w:szCs w:val="24"/>
                <w:lang w:val="bg-BG"/>
              </w:rPr>
              <w:t xml:space="preserve">Вариант </w:t>
            </w:r>
            <w:r w:rsidR="00680C1D" w:rsidRPr="00B56DF7">
              <w:rPr>
                <w:b/>
                <w:bCs/>
                <w:szCs w:val="24"/>
                <w:lang w:val="en-US"/>
              </w:rPr>
              <w:t>2</w:t>
            </w:r>
            <w:r w:rsidRPr="00B56DF7">
              <w:rPr>
                <w:b/>
                <w:bCs/>
                <w:szCs w:val="24"/>
                <w:lang w:val="bg-BG"/>
              </w:rPr>
              <w:t xml:space="preserve"> (само окончателно плащане): </w:t>
            </w:r>
          </w:p>
          <w:p w14:paraId="6B2CC6D4" w14:textId="77777777" w:rsidR="008C5F81" w:rsidRPr="00B56DF7" w:rsidRDefault="008C5F81" w:rsidP="00812799">
            <w:pPr>
              <w:spacing w:after="120"/>
              <w:jc w:val="both"/>
              <w:rPr>
                <w:szCs w:val="24"/>
                <w:lang w:val="bg-BG"/>
              </w:rPr>
            </w:pPr>
            <w:r w:rsidRPr="00B56DF7">
              <w:rPr>
                <w:szCs w:val="24"/>
                <w:u w:val="single"/>
                <w:lang w:val="bg-BG"/>
              </w:rPr>
              <w:t>Окончателно плащане</w:t>
            </w:r>
            <w:r w:rsidRPr="00B56DF7">
              <w:rPr>
                <w:szCs w:val="24"/>
                <w:lang w:val="bg-BG"/>
              </w:rPr>
              <w:t xml:space="preserve"> в размер, определен като към общата стойност на извършените допустими разходи за изпълнение на инвестицията се приложи процентът на безвъзмездно финансиране съгласно условията на  чл. 1.1 от Договора.</w:t>
            </w:r>
          </w:p>
          <w:p w14:paraId="2FD4B53E" w14:textId="77777777" w:rsidR="008C5F81" w:rsidRPr="00B56DF7" w:rsidRDefault="008C5F81" w:rsidP="00812799">
            <w:pPr>
              <w:spacing w:after="120"/>
              <w:jc w:val="both"/>
              <w:rPr>
                <w:szCs w:val="24"/>
                <w:lang w:val="bg-BG"/>
              </w:rPr>
            </w:pPr>
            <w:r w:rsidRPr="00B56DF7">
              <w:rPr>
                <w:szCs w:val="24"/>
                <w:lang w:val="bg-BG"/>
              </w:rPr>
              <w:t>Окончателното плащане се извършва при представяне чрез ИС на МВУ на:</w:t>
            </w:r>
          </w:p>
          <w:p w14:paraId="0E39D9AD" w14:textId="77777777" w:rsidR="008C5F81" w:rsidRPr="00B56DF7" w:rsidRDefault="008C5F81" w:rsidP="00812799">
            <w:pPr>
              <w:numPr>
                <w:ilvl w:val="0"/>
                <w:numId w:val="10"/>
              </w:numPr>
              <w:spacing w:after="120"/>
              <w:jc w:val="both"/>
              <w:rPr>
                <w:szCs w:val="24"/>
                <w:lang w:val="bg-BG"/>
              </w:rPr>
            </w:pPr>
            <w:r w:rsidRPr="00B56DF7">
              <w:rPr>
                <w:szCs w:val="24"/>
                <w:lang w:val="bg-BG"/>
              </w:rPr>
              <w:t>искане за плащане;</w:t>
            </w:r>
          </w:p>
          <w:p w14:paraId="5C6086A1" w14:textId="77777777" w:rsidR="008C5F81" w:rsidRPr="00B56DF7" w:rsidRDefault="008C5F81" w:rsidP="00812799">
            <w:pPr>
              <w:numPr>
                <w:ilvl w:val="0"/>
                <w:numId w:val="10"/>
              </w:numPr>
              <w:spacing w:after="120"/>
              <w:jc w:val="both"/>
              <w:rPr>
                <w:szCs w:val="24"/>
                <w:lang w:val="bg-BG"/>
              </w:rPr>
            </w:pPr>
            <w:r w:rsidRPr="00B56DF7">
              <w:rPr>
                <w:szCs w:val="24"/>
                <w:lang w:val="bg-BG"/>
              </w:rPr>
              <w:t>окончателен Финансово-технически отчет (ФТО);</w:t>
            </w:r>
          </w:p>
          <w:p w14:paraId="10FDBD10" w14:textId="6EF00E04" w:rsidR="008C5F81" w:rsidRPr="00B56DF7" w:rsidRDefault="00852522" w:rsidP="00812799">
            <w:pPr>
              <w:numPr>
                <w:ilvl w:val="0"/>
                <w:numId w:val="10"/>
              </w:numPr>
              <w:spacing w:after="120"/>
              <w:jc w:val="both"/>
              <w:rPr>
                <w:szCs w:val="24"/>
                <w:lang w:val="bg-BG"/>
              </w:rPr>
            </w:pPr>
            <w:r w:rsidRPr="00B56DF7">
              <w:rPr>
                <w:szCs w:val="24"/>
                <w:lang w:val="bg-BG"/>
              </w:rPr>
              <w:t xml:space="preserve">декларация [по образец на </w:t>
            </w:r>
            <w:r w:rsidR="00B86F12">
              <w:rPr>
                <w:szCs w:val="24"/>
                <w:lang w:val="bg-BG"/>
              </w:rPr>
              <w:t>ДФ „Земеделие“</w:t>
            </w:r>
            <w:r w:rsidRPr="00B56DF7">
              <w:rPr>
                <w:szCs w:val="24"/>
                <w:lang w:val="bg-BG"/>
              </w:rPr>
              <w:t xml:space="preserve">] </w:t>
            </w:r>
            <w:r w:rsidR="008C5F81" w:rsidRPr="00B56DF7">
              <w:rPr>
                <w:szCs w:val="24"/>
                <w:lang w:val="bg-BG"/>
              </w:rPr>
              <w:t>за спазване на принципите и основните изисквания към изпълнението на МВУ съгласно Регламент (ЕС) 2021/241 (принципа за непричиняване на значителна вреда съгл. чл. 5, пар. 2, забрана за двойно финансиране съгласно чл. 9, изречение 2, забраната за измама, корупция и конфликт на интереси съгласно чл. 22 от посочения регламент);</w:t>
            </w:r>
          </w:p>
          <w:p w14:paraId="714AD2B2" w14:textId="088DFAE2" w:rsidR="008C5F81" w:rsidRPr="00B56DF7" w:rsidRDefault="008C5F81" w:rsidP="00812799">
            <w:pPr>
              <w:numPr>
                <w:ilvl w:val="0"/>
                <w:numId w:val="10"/>
              </w:numPr>
              <w:spacing w:after="120"/>
              <w:jc w:val="both"/>
              <w:rPr>
                <w:bCs/>
                <w:szCs w:val="24"/>
                <w:lang w:val="bg-BG"/>
              </w:rPr>
            </w:pPr>
            <w:r w:rsidRPr="00B56DF7">
              <w:rPr>
                <w:szCs w:val="24"/>
                <w:lang w:val="bg-BG"/>
              </w:rPr>
              <w:t xml:space="preserve">финансова идентификационна форма </w:t>
            </w:r>
            <w:r w:rsidR="00C166BF" w:rsidRPr="00B56DF7">
              <w:rPr>
                <w:szCs w:val="24"/>
                <w:lang w:val="bg-BG"/>
              </w:rPr>
              <w:t>[</w:t>
            </w:r>
            <w:r w:rsidRPr="00B56DF7">
              <w:rPr>
                <w:szCs w:val="24"/>
                <w:lang w:val="bg-BG"/>
              </w:rPr>
              <w:t xml:space="preserve">по образец </w:t>
            </w:r>
            <w:r w:rsidR="00B86F12">
              <w:rPr>
                <w:szCs w:val="24"/>
                <w:lang w:val="bg-BG"/>
              </w:rPr>
              <w:t>ДФ „Земеделие“</w:t>
            </w:r>
            <w:r w:rsidR="00C166BF" w:rsidRPr="00B56DF7">
              <w:rPr>
                <w:szCs w:val="24"/>
                <w:lang w:val="bg-BG"/>
              </w:rPr>
              <w:t>]</w:t>
            </w:r>
            <w:r w:rsidRPr="00B56DF7">
              <w:rPr>
                <w:szCs w:val="24"/>
                <w:lang w:val="bg-BG"/>
              </w:rPr>
              <w:t>.</w:t>
            </w:r>
          </w:p>
        </w:tc>
      </w:tr>
      <w:tr w:rsidR="008C5F81" w:rsidRPr="00B56DF7" w14:paraId="2AA75AD0" w14:textId="77777777" w:rsidTr="00812799">
        <w:tc>
          <w:tcPr>
            <w:tcW w:w="568" w:type="dxa"/>
            <w:shd w:val="clear" w:color="auto" w:fill="auto"/>
          </w:tcPr>
          <w:p w14:paraId="386A511B" w14:textId="77777777" w:rsidR="008C5F81" w:rsidRPr="00B56DF7" w:rsidRDefault="008C5F81" w:rsidP="00812799">
            <w:pPr>
              <w:numPr>
                <w:ilvl w:val="0"/>
                <w:numId w:val="21"/>
              </w:numPr>
              <w:spacing w:after="120"/>
              <w:jc w:val="both"/>
              <w:rPr>
                <w:bCs/>
                <w:szCs w:val="24"/>
                <w:lang w:val="bg-BG"/>
              </w:rPr>
            </w:pPr>
          </w:p>
        </w:tc>
        <w:tc>
          <w:tcPr>
            <w:tcW w:w="8930" w:type="dxa"/>
            <w:shd w:val="clear" w:color="auto" w:fill="auto"/>
          </w:tcPr>
          <w:p w14:paraId="61B65352" w14:textId="38B964C5" w:rsidR="008C5F81" w:rsidRPr="00B56DF7" w:rsidRDefault="00BD6759" w:rsidP="00B86F12">
            <w:pPr>
              <w:spacing w:after="120"/>
              <w:jc w:val="both"/>
              <w:rPr>
                <w:szCs w:val="24"/>
                <w:lang w:val="bg-BG"/>
              </w:rPr>
            </w:pPr>
            <w:r w:rsidRPr="00B56DF7">
              <w:rPr>
                <w:szCs w:val="24"/>
                <w:lang w:val="bg-BG"/>
              </w:rPr>
              <w:t>В рамките на срока по чл. 9.7</w:t>
            </w:r>
            <w:r w:rsidR="008C5F81" w:rsidRPr="00B56DF7">
              <w:rPr>
                <w:szCs w:val="24"/>
                <w:lang w:val="bg-BG"/>
              </w:rPr>
              <w:t xml:space="preserve"> от Приложение </w:t>
            </w:r>
            <w:r w:rsidR="00680C1D" w:rsidRPr="00B56DF7">
              <w:rPr>
                <w:szCs w:val="24"/>
                <w:lang w:val="en-US"/>
              </w:rPr>
              <w:t>2</w:t>
            </w:r>
            <w:r w:rsidR="00680C1D" w:rsidRPr="00B56DF7">
              <w:rPr>
                <w:szCs w:val="24"/>
                <w:lang w:val="bg-BG"/>
              </w:rPr>
              <w:t xml:space="preserve"> </w:t>
            </w:r>
            <w:r w:rsidRPr="00B56DF7">
              <w:rPr>
                <w:szCs w:val="24"/>
                <w:lang w:val="bg-BG"/>
              </w:rPr>
              <w:t>във връзка с членове 9.3 - 9.5</w:t>
            </w:r>
            <w:r w:rsidR="008C5F81" w:rsidRPr="00B56DF7">
              <w:rPr>
                <w:szCs w:val="24"/>
                <w:lang w:val="bg-BG"/>
              </w:rPr>
              <w:t xml:space="preserve"> от Приложение </w:t>
            </w:r>
            <w:r w:rsidR="00680C1D" w:rsidRPr="00B56DF7">
              <w:rPr>
                <w:szCs w:val="24"/>
                <w:lang w:val="en-US"/>
              </w:rPr>
              <w:t>2</w:t>
            </w:r>
            <w:r w:rsidR="008C5F81" w:rsidRPr="00B56DF7">
              <w:rPr>
                <w:szCs w:val="24"/>
                <w:lang w:val="bg-BG"/>
              </w:rPr>
              <w:t xml:space="preserve">, когато извършени и потвърдени от крайния получател, признати  за допустими и изплатени от </w:t>
            </w:r>
            <w:r w:rsidR="00B86F12">
              <w:rPr>
                <w:szCs w:val="24"/>
                <w:lang w:val="bg-BG"/>
              </w:rPr>
              <w:t>ДФ „Земеделие“</w:t>
            </w:r>
            <w:r w:rsidR="008C5F81" w:rsidRPr="00B56DF7">
              <w:rPr>
                <w:szCs w:val="24"/>
                <w:lang w:val="bg-BG"/>
              </w:rPr>
              <w:t xml:space="preserve"> към крайния получател разходи впоследствие бъдат признати за недопустими от </w:t>
            </w:r>
            <w:r w:rsidR="00B86F12">
              <w:rPr>
                <w:szCs w:val="24"/>
                <w:lang w:val="bg-BG"/>
              </w:rPr>
              <w:t>ДФ „Земеделие“</w:t>
            </w:r>
            <w:r w:rsidR="008C5F81" w:rsidRPr="00B56DF7">
              <w:rPr>
                <w:szCs w:val="24"/>
                <w:lang w:val="bg-BG"/>
              </w:rPr>
              <w:t>, контролен или одитиращ орган, същите подлежат на възстановяване от крайния получател по установения за това ред.</w:t>
            </w:r>
          </w:p>
        </w:tc>
      </w:tr>
    </w:tbl>
    <w:p w14:paraId="7153B839" w14:textId="77777777" w:rsidR="00345476" w:rsidRPr="00B56DF7" w:rsidRDefault="00345476" w:rsidP="00FE349D">
      <w:pPr>
        <w:tabs>
          <w:tab w:val="left" w:pos="-1440"/>
          <w:tab w:val="left" w:pos="-720"/>
        </w:tabs>
        <w:spacing w:after="120"/>
        <w:jc w:val="both"/>
        <w:rPr>
          <w:szCs w:val="24"/>
          <w:lang w:val="bg-BG"/>
        </w:rPr>
      </w:pPr>
    </w:p>
    <w:p w14:paraId="33CF5AAB" w14:textId="77777777" w:rsidR="00C2718F" w:rsidRPr="00B56DF7" w:rsidRDefault="006E5F30" w:rsidP="00FE349D">
      <w:pPr>
        <w:pStyle w:val="Text1"/>
        <w:spacing w:after="120"/>
        <w:ind w:left="567" w:hanging="567"/>
        <w:jc w:val="both"/>
        <w:rPr>
          <w:b/>
          <w:szCs w:val="24"/>
          <w:lang w:val="bg-BG"/>
        </w:rPr>
      </w:pPr>
      <w:r w:rsidRPr="00B56DF7">
        <w:rPr>
          <w:b/>
          <w:szCs w:val="24"/>
          <w:lang w:val="bg-BG"/>
        </w:rPr>
        <w:t xml:space="preserve">Член </w:t>
      </w:r>
      <w:r w:rsidR="00CF2D5A" w:rsidRPr="00B56DF7">
        <w:rPr>
          <w:b/>
          <w:szCs w:val="24"/>
          <w:lang w:val="bg-BG"/>
        </w:rPr>
        <w:t>7</w:t>
      </w:r>
      <w:r w:rsidR="001C4904" w:rsidRPr="00B56DF7">
        <w:rPr>
          <w:b/>
          <w:szCs w:val="24"/>
          <w:lang w:val="bg-BG"/>
        </w:rPr>
        <w:t>.</w:t>
      </w:r>
      <w:r w:rsidRPr="00B56DF7">
        <w:rPr>
          <w:b/>
          <w:szCs w:val="24"/>
          <w:lang w:val="bg-BG"/>
        </w:rPr>
        <w:t xml:space="preserve"> Адрес</w:t>
      </w:r>
      <w:r w:rsidR="00DF4F17" w:rsidRPr="00B56DF7">
        <w:rPr>
          <w:b/>
          <w:szCs w:val="24"/>
          <w:lang w:val="bg-BG"/>
        </w:rPr>
        <w:t>и</w:t>
      </w:r>
      <w:r w:rsidRPr="00B56DF7">
        <w:rPr>
          <w:b/>
          <w:szCs w:val="24"/>
          <w:lang w:val="bg-BG"/>
        </w:rPr>
        <w:t xml:space="preserve"> за </w:t>
      </w:r>
      <w:r w:rsidR="00AA0518" w:rsidRPr="00B56DF7">
        <w:rPr>
          <w:b/>
          <w:szCs w:val="24"/>
          <w:lang w:val="bg-BG"/>
        </w:rPr>
        <w:t>ко</w:t>
      </w:r>
      <w:r w:rsidR="00CF2D5A" w:rsidRPr="00B56DF7">
        <w:rPr>
          <w:b/>
          <w:szCs w:val="24"/>
          <w:lang w:val="bg-BG"/>
        </w:rPr>
        <w:t>респонденция</w:t>
      </w:r>
    </w:p>
    <w:tbl>
      <w:tblPr>
        <w:tblW w:w="0" w:type="auto"/>
        <w:tblInd w:w="-34" w:type="dxa"/>
        <w:tblLook w:val="04A0" w:firstRow="1" w:lastRow="0" w:firstColumn="1" w:lastColumn="0" w:noHBand="0" w:noVBand="1"/>
      </w:tblPr>
      <w:tblGrid>
        <w:gridCol w:w="561"/>
        <w:gridCol w:w="8827"/>
      </w:tblGrid>
      <w:tr w:rsidR="00CF2D5A" w:rsidRPr="00B56DF7" w14:paraId="540725BD" w14:textId="77777777" w:rsidTr="00812799">
        <w:tc>
          <w:tcPr>
            <w:tcW w:w="568" w:type="dxa"/>
            <w:shd w:val="clear" w:color="auto" w:fill="auto"/>
          </w:tcPr>
          <w:p w14:paraId="34D6249E" w14:textId="77777777" w:rsidR="00CF2D5A" w:rsidRPr="00B56DF7" w:rsidRDefault="00CF2D5A" w:rsidP="00812799">
            <w:pPr>
              <w:pStyle w:val="Text1"/>
              <w:numPr>
                <w:ilvl w:val="0"/>
                <w:numId w:val="22"/>
              </w:numPr>
              <w:spacing w:after="120"/>
              <w:rPr>
                <w:bCs/>
                <w:szCs w:val="24"/>
                <w:lang w:val="bg-BG"/>
              </w:rPr>
            </w:pPr>
          </w:p>
        </w:tc>
        <w:tc>
          <w:tcPr>
            <w:tcW w:w="8930" w:type="dxa"/>
            <w:shd w:val="clear" w:color="auto" w:fill="auto"/>
          </w:tcPr>
          <w:p w14:paraId="16479AB7" w14:textId="77777777" w:rsidR="00CF2D5A" w:rsidRPr="00B56DF7" w:rsidRDefault="00CF2D5A" w:rsidP="00812799">
            <w:pPr>
              <w:pStyle w:val="Text1"/>
              <w:spacing w:after="120"/>
              <w:ind w:left="0"/>
              <w:jc w:val="both"/>
              <w:rPr>
                <w:bCs/>
                <w:szCs w:val="24"/>
                <w:lang w:val="bg-BG"/>
              </w:rPr>
            </w:pPr>
            <w:r w:rsidRPr="00B56DF7">
              <w:rPr>
                <w:szCs w:val="24"/>
                <w:lang w:val="bg-BG"/>
              </w:rPr>
              <w:t>Кореспонденцията, свързана с настоящия договор, трябва да бъде в писмена форма, да съдържа номера на договора за финансиране и наименованието на одобрената инвестиция, и трябва да бъде изпращана посредством ИС на МВУ.</w:t>
            </w:r>
          </w:p>
        </w:tc>
      </w:tr>
      <w:tr w:rsidR="00CF2D5A" w:rsidRPr="00B56DF7" w14:paraId="464D5126" w14:textId="77777777" w:rsidTr="00812799">
        <w:tc>
          <w:tcPr>
            <w:tcW w:w="568" w:type="dxa"/>
            <w:shd w:val="clear" w:color="auto" w:fill="auto"/>
          </w:tcPr>
          <w:p w14:paraId="313F9389" w14:textId="77777777" w:rsidR="00CF2D5A" w:rsidRPr="00B56DF7" w:rsidRDefault="00CF2D5A" w:rsidP="00812799">
            <w:pPr>
              <w:pStyle w:val="Text1"/>
              <w:numPr>
                <w:ilvl w:val="0"/>
                <w:numId w:val="22"/>
              </w:numPr>
              <w:spacing w:after="120"/>
              <w:rPr>
                <w:bCs/>
                <w:szCs w:val="24"/>
                <w:lang w:val="bg-BG"/>
              </w:rPr>
            </w:pPr>
          </w:p>
        </w:tc>
        <w:tc>
          <w:tcPr>
            <w:tcW w:w="8930" w:type="dxa"/>
            <w:shd w:val="clear" w:color="auto" w:fill="auto"/>
          </w:tcPr>
          <w:p w14:paraId="6F0BBA5F" w14:textId="77777777" w:rsidR="00CF2D5A" w:rsidRPr="00B56DF7" w:rsidRDefault="00CF2D5A" w:rsidP="00812799">
            <w:pPr>
              <w:spacing w:after="120"/>
              <w:ind w:left="37"/>
              <w:jc w:val="both"/>
              <w:rPr>
                <w:szCs w:val="24"/>
                <w:lang w:val="bg-BG"/>
              </w:rPr>
            </w:pPr>
            <w:r w:rsidRPr="00B56DF7">
              <w:rPr>
                <w:szCs w:val="24"/>
                <w:lang w:val="bg-BG"/>
              </w:rPr>
              <w:t>Страни по договора за финансиране могат да осъществяват кореспонденция и  на следните адреси:</w:t>
            </w:r>
          </w:p>
          <w:tbl>
            <w:tblPr>
              <w:tblW w:w="0" w:type="auto"/>
              <w:tblInd w:w="37" w:type="dxa"/>
              <w:tblLook w:val="04A0" w:firstRow="1" w:lastRow="0" w:firstColumn="1" w:lastColumn="0" w:noHBand="0" w:noVBand="1"/>
            </w:tblPr>
            <w:tblGrid>
              <w:gridCol w:w="2680"/>
              <w:gridCol w:w="5894"/>
            </w:tblGrid>
            <w:tr w:rsidR="005F18B2" w:rsidRPr="00B56DF7" w14:paraId="6C12801E" w14:textId="77777777" w:rsidTr="00812799">
              <w:tc>
                <w:tcPr>
                  <w:tcW w:w="2695" w:type="dxa"/>
                  <w:shd w:val="clear" w:color="auto" w:fill="auto"/>
                </w:tcPr>
                <w:p w14:paraId="2FF9B2EB" w14:textId="489592F1" w:rsidR="005F18B2" w:rsidRPr="00B56DF7" w:rsidRDefault="005F18B2" w:rsidP="00812799">
                  <w:pPr>
                    <w:spacing w:after="120"/>
                    <w:jc w:val="both"/>
                    <w:rPr>
                      <w:szCs w:val="24"/>
                      <w:lang w:val="bg-BG"/>
                    </w:rPr>
                  </w:pPr>
                  <w:r w:rsidRPr="00B56DF7">
                    <w:rPr>
                      <w:szCs w:val="24"/>
                      <w:lang w:val="bg-BG"/>
                    </w:rPr>
                    <w:lastRenderedPageBreak/>
                    <w:t xml:space="preserve">За </w:t>
                  </w:r>
                  <w:r w:rsidR="00B86F12">
                    <w:rPr>
                      <w:szCs w:val="24"/>
                      <w:lang w:val="bg-BG"/>
                    </w:rPr>
                    <w:t xml:space="preserve">изпълнителен директор на </w:t>
                  </w:r>
                  <w:r w:rsidR="00B86F12" w:rsidRPr="00B86F12">
                    <w:rPr>
                      <w:szCs w:val="24"/>
                      <w:lang w:val="bg-BG"/>
                    </w:rPr>
                    <w:t>ДФ „Земеделие“</w:t>
                  </w:r>
                  <w:r w:rsidRPr="00B56DF7">
                    <w:rPr>
                      <w:szCs w:val="24"/>
                      <w:lang w:val="bg-BG"/>
                    </w:rPr>
                    <w:t>:</w:t>
                  </w:r>
                </w:p>
              </w:tc>
              <w:tc>
                <w:tcPr>
                  <w:tcW w:w="5953" w:type="dxa"/>
                  <w:shd w:val="clear" w:color="auto" w:fill="auto"/>
                </w:tcPr>
                <w:p w14:paraId="1951A423" w14:textId="6E72F4C4" w:rsidR="005F18B2" w:rsidRPr="00B56DF7" w:rsidRDefault="005F18B2" w:rsidP="00B86F12">
                  <w:pPr>
                    <w:spacing w:after="120"/>
                    <w:jc w:val="both"/>
                    <w:rPr>
                      <w:szCs w:val="24"/>
                      <w:lang w:val="bg-BG"/>
                    </w:rPr>
                  </w:pPr>
                  <w:r w:rsidRPr="00B56DF7">
                    <w:rPr>
                      <w:szCs w:val="24"/>
                      <w:lang w:val="bg-BG"/>
                    </w:rPr>
                    <w:t>[</w:t>
                  </w:r>
                  <w:r w:rsidRPr="00B56DF7">
                    <w:rPr>
                      <w:i/>
                      <w:iCs/>
                      <w:szCs w:val="24"/>
                      <w:lang w:val="bg-BG"/>
                    </w:rPr>
                    <w:t xml:space="preserve">адрес за кореспонденция на </w:t>
                  </w:r>
                  <w:r w:rsidR="00B86F12">
                    <w:rPr>
                      <w:szCs w:val="24"/>
                      <w:lang w:val="bg-BG"/>
                    </w:rPr>
                    <w:t>ДФ „Земеделие“</w:t>
                  </w:r>
                  <w:r w:rsidRPr="00B56DF7">
                    <w:rPr>
                      <w:szCs w:val="24"/>
                      <w:lang w:val="bg-BG"/>
                    </w:rPr>
                    <w:t>]</w:t>
                  </w:r>
                </w:p>
              </w:tc>
            </w:tr>
            <w:tr w:rsidR="005F18B2" w:rsidRPr="00B56DF7" w14:paraId="46A0A201" w14:textId="77777777" w:rsidTr="00812799">
              <w:tc>
                <w:tcPr>
                  <w:tcW w:w="2695" w:type="dxa"/>
                  <w:shd w:val="clear" w:color="auto" w:fill="auto"/>
                </w:tcPr>
                <w:p w14:paraId="1CCA01F3" w14:textId="77777777" w:rsidR="005F18B2" w:rsidRPr="00B56DF7" w:rsidRDefault="005F18B2" w:rsidP="00812799">
                  <w:pPr>
                    <w:spacing w:after="120"/>
                    <w:jc w:val="both"/>
                    <w:rPr>
                      <w:szCs w:val="24"/>
                      <w:lang w:val="bg-BG"/>
                    </w:rPr>
                  </w:pPr>
                  <w:r w:rsidRPr="00B56DF7">
                    <w:rPr>
                      <w:szCs w:val="24"/>
                      <w:lang w:val="bg-BG"/>
                    </w:rPr>
                    <w:t>За Крайния получател:</w:t>
                  </w:r>
                </w:p>
              </w:tc>
              <w:tc>
                <w:tcPr>
                  <w:tcW w:w="5953" w:type="dxa"/>
                  <w:shd w:val="clear" w:color="auto" w:fill="auto"/>
                </w:tcPr>
                <w:p w14:paraId="0CB99548" w14:textId="77777777" w:rsidR="005F18B2" w:rsidRPr="00B56DF7" w:rsidRDefault="005F18B2" w:rsidP="00812799">
                  <w:pPr>
                    <w:spacing w:after="120"/>
                    <w:jc w:val="both"/>
                    <w:rPr>
                      <w:szCs w:val="24"/>
                      <w:lang w:val="bg-BG"/>
                    </w:rPr>
                  </w:pPr>
                  <w:r w:rsidRPr="00B56DF7">
                    <w:rPr>
                      <w:szCs w:val="24"/>
                      <w:lang w:val="bg-BG"/>
                    </w:rPr>
                    <w:t>[</w:t>
                  </w:r>
                  <w:r w:rsidRPr="00B56DF7">
                    <w:rPr>
                      <w:i/>
                      <w:iCs/>
                      <w:szCs w:val="24"/>
                      <w:lang w:val="bg-BG"/>
                    </w:rPr>
                    <w:t>адрес за кореспонденция на крайния получател</w:t>
                  </w:r>
                  <w:r w:rsidRPr="00B56DF7">
                    <w:rPr>
                      <w:szCs w:val="24"/>
                      <w:lang w:val="bg-BG"/>
                    </w:rPr>
                    <w:t>]</w:t>
                  </w:r>
                </w:p>
              </w:tc>
            </w:tr>
          </w:tbl>
          <w:p w14:paraId="1B73D8B5" w14:textId="77777777" w:rsidR="00CF2D5A" w:rsidRPr="00B56DF7" w:rsidRDefault="00CF2D5A" w:rsidP="00812799">
            <w:pPr>
              <w:pStyle w:val="Text1"/>
              <w:spacing w:after="120"/>
              <w:ind w:left="37"/>
              <w:jc w:val="both"/>
              <w:rPr>
                <w:bCs/>
                <w:szCs w:val="24"/>
                <w:lang w:val="bg-BG"/>
              </w:rPr>
            </w:pPr>
          </w:p>
        </w:tc>
      </w:tr>
    </w:tbl>
    <w:p w14:paraId="1F2EFDE4" w14:textId="77777777" w:rsidR="00CF2D5A" w:rsidRPr="00B56DF7" w:rsidRDefault="00CF2D5A" w:rsidP="00FE349D">
      <w:pPr>
        <w:spacing w:after="120"/>
        <w:ind w:left="567" w:hanging="567"/>
        <w:jc w:val="both"/>
        <w:rPr>
          <w:szCs w:val="24"/>
          <w:lang w:val="bg-BG"/>
        </w:rPr>
      </w:pPr>
    </w:p>
    <w:p w14:paraId="68CEDA8F" w14:textId="77777777" w:rsidR="00C2718F" w:rsidRPr="00B56DF7" w:rsidRDefault="006E5F30" w:rsidP="00FE349D">
      <w:pPr>
        <w:pStyle w:val="Text1"/>
        <w:spacing w:after="120"/>
        <w:ind w:left="567" w:hanging="567"/>
        <w:jc w:val="both"/>
        <w:rPr>
          <w:b/>
          <w:i/>
          <w:szCs w:val="24"/>
          <w:lang w:val="bg-BG"/>
        </w:rPr>
      </w:pPr>
      <w:r w:rsidRPr="00B56DF7">
        <w:rPr>
          <w:b/>
          <w:szCs w:val="24"/>
          <w:lang w:val="bg-BG"/>
        </w:rPr>
        <w:t xml:space="preserve">Член </w:t>
      </w:r>
      <w:r w:rsidR="00CF2D5A" w:rsidRPr="00B56DF7">
        <w:rPr>
          <w:b/>
          <w:szCs w:val="24"/>
          <w:lang w:val="bg-BG"/>
        </w:rPr>
        <w:t>8</w:t>
      </w:r>
      <w:r w:rsidR="001C4904" w:rsidRPr="00B56DF7">
        <w:rPr>
          <w:b/>
          <w:szCs w:val="24"/>
          <w:lang w:val="bg-BG"/>
        </w:rPr>
        <w:t>.</w:t>
      </w:r>
      <w:r w:rsidRPr="00B56DF7">
        <w:rPr>
          <w:b/>
          <w:szCs w:val="24"/>
          <w:lang w:val="bg-BG"/>
        </w:rPr>
        <w:t xml:space="preserve"> Приложения </w:t>
      </w:r>
    </w:p>
    <w:tbl>
      <w:tblPr>
        <w:tblW w:w="0" w:type="auto"/>
        <w:tblInd w:w="-34" w:type="dxa"/>
        <w:tblLook w:val="04A0" w:firstRow="1" w:lastRow="0" w:firstColumn="1" w:lastColumn="0" w:noHBand="0" w:noVBand="1"/>
      </w:tblPr>
      <w:tblGrid>
        <w:gridCol w:w="561"/>
        <w:gridCol w:w="8827"/>
      </w:tblGrid>
      <w:tr w:rsidR="00CF2D5A" w:rsidRPr="00B56DF7" w14:paraId="31BFE15C" w14:textId="77777777" w:rsidTr="00812799">
        <w:tc>
          <w:tcPr>
            <w:tcW w:w="568" w:type="dxa"/>
            <w:shd w:val="clear" w:color="auto" w:fill="auto"/>
          </w:tcPr>
          <w:p w14:paraId="62A38BC5" w14:textId="77777777" w:rsidR="00CF2D5A" w:rsidRPr="00B56DF7" w:rsidRDefault="00CF2D5A" w:rsidP="00812799">
            <w:pPr>
              <w:pStyle w:val="Text1"/>
              <w:numPr>
                <w:ilvl w:val="0"/>
                <w:numId w:val="23"/>
              </w:numPr>
              <w:spacing w:after="120"/>
              <w:rPr>
                <w:bCs/>
                <w:szCs w:val="24"/>
                <w:lang w:val="bg-BG"/>
              </w:rPr>
            </w:pPr>
          </w:p>
        </w:tc>
        <w:tc>
          <w:tcPr>
            <w:tcW w:w="8930" w:type="dxa"/>
            <w:shd w:val="clear" w:color="auto" w:fill="auto"/>
          </w:tcPr>
          <w:p w14:paraId="3735ED04" w14:textId="77777777" w:rsidR="00CF2D5A" w:rsidRPr="00B56DF7" w:rsidRDefault="00CF2D5A" w:rsidP="00812799">
            <w:pPr>
              <w:spacing w:after="120"/>
              <w:ind w:left="37"/>
              <w:jc w:val="both"/>
              <w:rPr>
                <w:szCs w:val="24"/>
                <w:lang w:val="bg-BG"/>
              </w:rPr>
            </w:pPr>
            <w:r w:rsidRPr="00B56DF7">
              <w:rPr>
                <w:szCs w:val="24"/>
                <w:lang w:val="bg-BG"/>
              </w:rPr>
              <w:t>Следните документи представляват приложения към настоящия договор и са неразделна част от него:</w:t>
            </w:r>
          </w:p>
          <w:tbl>
            <w:tblPr>
              <w:tblW w:w="0" w:type="auto"/>
              <w:tblInd w:w="37" w:type="dxa"/>
              <w:tblLook w:val="04A0" w:firstRow="1" w:lastRow="0" w:firstColumn="1" w:lastColumn="0" w:noHBand="0" w:noVBand="1"/>
            </w:tblPr>
            <w:tblGrid>
              <w:gridCol w:w="1975"/>
              <w:gridCol w:w="6599"/>
            </w:tblGrid>
            <w:tr w:rsidR="00E67ED2" w:rsidRPr="00B56DF7" w14:paraId="32D4EB2C" w14:textId="77777777" w:rsidTr="00BD6759">
              <w:tc>
                <w:tcPr>
                  <w:tcW w:w="1975" w:type="dxa"/>
                  <w:shd w:val="clear" w:color="auto" w:fill="auto"/>
                </w:tcPr>
                <w:p w14:paraId="2AD2943C" w14:textId="39B4063B" w:rsidR="00E67ED2" w:rsidRPr="00B56DF7" w:rsidRDefault="00E67ED2" w:rsidP="00812799">
                  <w:pPr>
                    <w:spacing w:after="120"/>
                    <w:jc w:val="both"/>
                    <w:rPr>
                      <w:szCs w:val="24"/>
                      <w:lang w:val="bg-BG"/>
                    </w:rPr>
                  </w:pPr>
                  <w:r w:rsidRPr="00B56DF7">
                    <w:rPr>
                      <w:szCs w:val="24"/>
                      <w:lang w:val="bg-BG"/>
                    </w:rPr>
                    <w:t xml:space="preserve">Приложение </w:t>
                  </w:r>
                  <w:r w:rsidR="00293A37" w:rsidRPr="00B56DF7">
                    <w:rPr>
                      <w:szCs w:val="24"/>
                      <w:lang w:val="en-US"/>
                    </w:rPr>
                    <w:t>1</w:t>
                  </w:r>
                  <w:r w:rsidRPr="00B56DF7">
                    <w:rPr>
                      <w:szCs w:val="24"/>
                      <w:lang w:val="bg-BG"/>
                    </w:rPr>
                    <w:t>:</w:t>
                  </w:r>
                </w:p>
              </w:tc>
              <w:tc>
                <w:tcPr>
                  <w:tcW w:w="6599" w:type="dxa"/>
                  <w:shd w:val="clear" w:color="auto" w:fill="auto"/>
                </w:tcPr>
                <w:p w14:paraId="6B8D9D35" w14:textId="55635613" w:rsidR="00E67ED2" w:rsidRPr="00B56DF7" w:rsidRDefault="00E67ED2" w:rsidP="00812799">
                  <w:pPr>
                    <w:spacing w:after="120"/>
                    <w:jc w:val="both"/>
                    <w:rPr>
                      <w:szCs w:val="24"/>
                      <w:lang w:val="bg-BG"/>
                    </w:rPr>
                  </w:pPr>
                  <w:r w:rsidRPr="00B56DF7">
                    <w:rPr>
                      <w:szCs w:val="24"/>
                      <w:lang w:val="bg-BG"/>
                    </w:rPr>
                    <w:t xml:space="preserve">Описание на одобрената инвестиция (предложението на крайния получател за изпълнение на инвестицията - формуляр за кандидатстване, подаден в ИС на МВУ, ведно с приложените към него документи), във вида, в който е окончателно одобрен от </w:t>
                  </w:r>
                  <w:r w:rsidR="00B86F12">
                    <w:rPr>
                      <w:szCs w:val="24"/>
                      <w:lang w:val="bg-BG"/>
                    </w:rPr>
                    <w:t>ДФ „Земеделие“</w:t>
                  </w:r>
                  <w:r w:rsidRPr="00B56DF7">
                    <w:rPr>
                      <w:szCs w:val="24"/>
                      <w:lang w:val="bg-BG"/>
                    </w:rPr>
                    <w:t xml:space="preserve"> след съответните корекции, ако такива са били извършвани</w:t>
                  </w:r>
                </w:p>
              </w:tc>
            </w:tr>
            <w:tr w:rsidR="00E67ED2" w:rsidRPr="00B56DF7" w14:paraId="6FE70869" w14:textId="77777777" w:rsidTr="00BD6759">
              <w:tc>
                <w:tcPr>
                  <w:tcW w:w="1975" w:type="dxa"/>
                  <w:shd w:val="clear" w:color="auto" w:fill="auto"/>
                </w:tcPr>
                <w:p w14:paraId="2D4EC6A2" w14:textId="4A5FE33E" w:rsidR="00E67ED2" w:rsidRPr="00B56DF7" w:rsidRDefault="00E67ED2" w:rsidP="00812799">
                  <w:pPr>
                    <w:spacing w:after="120"/>
                    <w:jc w:val="both"/>
                    <w:rPr>
                      <w:szCs w:val="24"/>
                      <w:lang w:val="bg-BG"/>
                    </w:rPr>
                  </w:pPr>
                  <w:r w:rsidRPr="00B56DF7">
                    <w:rPr>
                      <w:szCs w:val="24"/>
                      <w:lang w:val="bg-BG"/>
                    </w:rPr>
                    <w:t xml:space="preserve">Приложение </w:t>
                  </w:r>
                  <w:r w:rsidR="00293A37" w:rsidRPr="00B56DF7">
                    <w:rPr>
                      <w:szCs w:val="24"/>
                      <w:lang w:val="en-US"/>
                    </w:rPr>
                    <w:t>2</w:t>
                  </w:r>
                  <w:r w:rsidRPr="00B56DF7">
                    <w:rPr>
                      <w:szCs w:val="24"/>
                      <w:lang w:val="bg-BG"/>
                    </w:rPr>
                    <w:t>:</w:t>
                  </w:r>
                </w:p>
              </w:tc>
              <w:tc>
                <w:tcPr>
                  <w:tcW w:w="6599" w:type="dxa"/>
                  <w:shd w:val="clear" w:color="auto" w:fill="auto"/>
                </w:tcPr>
                <w:p w14:paraId="422711EA" w14:textId="77777777" w:rsidR="00E67ED2" w:rsidRPr="00B56DF7" w:rsidRDefault="00E67ED2" w:rsidP="00812799">
                  <w:pPr>
                    <w:spacing w:after="120"/>
                    <w:jc w:val="both"/>
                    <w:rPr>
                      <w:szCs w:val="24"/>
                      <w:lang w:val="bg-BG"/>
                    </w:rPr>
                  </w:pPr>
                  <w:r w:rsidRPr="00B56DF7">
                    <w:rPr>
                      <w:szCs w:val="24"/>
                      <w:lang w:val="bg-BG"/>
                    </w:rPr>
                    <w:t>Общи условия към договорите за финансиране по Механизма за възстановяване и устойчивост  (в електронен вариант в ИС на МВУ</w:t>
                  </w:r>
                </w:p>
              </w:tc>
            </w:tr>
            <w:tr w:rsidR="00E67ED2" w:rsidRPr="00B56DF7" w14:paraId="3CC4B112" w14:textId="77777777" w:rsidTr="00BD6759">
              <w:tc>
                <w:tcPr>
                  <w:tcW w:w="1975" w:type="dxa"/>
                  <w:shd w:val="clear" w:color="auto" w:fill="auto"/>
                </w:tcPr>
                <w:p w14:paraId="0D3A8C26" w14:textId="5B9DAB3F" w:rsidR="00E67ED2" w:rsidRPr="00B56DF7" w:rsidRDefault="00E67ED2" w:rsidP="00812799">
                  <w:pPr>
                    <w:spacing w:after="120"/>
                    <w:jc w:val="both"/>
                    <w:rPr>
                      <w:szCs w:val="24"/>
                      <w:lang w:val="bg-BG"/>
                    </w:rPr>
                  </w:pPr>
                  <w:r w:rsidRPr="00B56DF7">
                    <w:rPr>
                      <w:szCs w:val="24"/>
                      <w:lang w:val="bg-BG"/>
                    </w:rPr>
                    <w:t xml:space="preserve">Приложение </w:t>
                  </w:r>
                  <w:r w:rsidR="00293A37" w:rsidRPr="00B56DF7">
                    <w:rPr>
                      <w:szCs w:val="24"/>
                      <w:lang w:val="en-US"/>
                    </w:rPr>
                    <w:t>3</w:t>
                  </w:r>
                  <w:r w:rsidRPr="00B56DF7">
                    <w:rPr>
                      <w:szCs w:val="24"/>
                      <w:lang w:val="bg-BG"/>
                    </w:rPr>
                    <w:t>:</w:t>
                  </w:r>
                </w:p>
              </w:tc>
              <w:tc>
                <w:tcPr>
                  <w:tcW w:w="6599" w:type="dxa"/>
                  <w:shd w:val="clear" w:color="auto" w:fill="auto"/>
                </w:tcPr>
                <w:p w14:paraId="1A1F45C7" w14:textId="21DE33BB" w:rsidR="00E67ED2" w:rsidRPr="00B56DF7" w:rsidRDefault="00E67ED2" w:rsidP="00812799">
                  <w:pPr>
                    <w:spacing w:after="120"/>
                    <w:jc w:val="both"/>
                    <w:rPr>
                      <w:szCs w:val="24"/>
                      <w:lang w:val="bg-BG"/>
                    </w:rPr>
                  </w:pPr>
                  <w:r w:rsidRPr="00B56DF7">
                    <w:rPr>
                      <w:szCs w:val="24"/>
                      <w:lang w:val="bg-BG"/>
                    </w:rPr>
                    <w:t>Декларация при кандидатстване</w:t>
                  </w:r>
                  <w:r w:rsidR="00BE54CF" w:rsidRPr="00B56DF7">
                    <w:rPr>
                      <w:szCs w:val="24"/>
                      <w:lang w:val="bg-BG"/>
                    </w:rPr>
                    <w:t xml:space="preserve"> – приложение № 1 към УК.</w:t>
                  </w:r>
                </w:p>
              </w:tc>
            </w:tr>
            <w:tr w:rsidR="00E67ED2" w:rsidRPr="00B56DF7" w14:paraId="21CF0C9F" w14:textId="77777777" w:rsidTr="00BD6759">
              <w:tc>
                <w:tcPr>
                  <w:tcW w:w="1975" w:type="dxa"/>
                  <w:shd w:val="clear" w:color="auto" w:fill="auto"/>
                </w:tcPr>
                <w:p w14:paraId="60C9C7D8" w14:textId="24D4EADA" w:rsidR="00E67ED2" w:rsidRPr="00B56DF7" w:rsidRDefault="00E67ED2" w:rsidP="00812799">
                  <w:pPr>
                    <w:spacing w:after="120"/>
                    <w:jc w:val="both"/>
                    <w:rPr>
                      <w:szCs w:val="24"/>
                      <w:lang w:val="bg-BG"/>
                    </w:rPr>
                  </w:pPr>
                </w:p>
              </w:tc>
              <w:tc>
                <w:tcPr>
                  <w:tcW w:w="6599" w:type="dxa"/>
                  <w:shd w:val="clear" w:color="auto" w:fill="auto"/>
                </w:tcPr>
                <w:p w14:paraId="38048E2C" w14:textId="3B7F006F" w:rsidR="00E67ED2" w:rsidRPr="00B56DF7" w:rsidRDefault="00E67ED2" w:rsidP="00812799">
                  <w:pPr>
                    <w:spacing w:after="120"/>
                    <w:jc w:val="both"/>
                    <w:rPr>
                      <w:szCs w:val="24"/>
                      <w:lang w:val="bg-BG"/>
                    </w:rPr>
                  </w:pPr>
                </w:p>
              </w:tc>
            </w:tr>
          </w:tbl>
          <w:p w14:paraId="5A956E93" w14:textId="77777777" w:rsidR="00CF2D5A" w:rsidRPr="00B56DF7" w:rsidRDefault="00CF2D5A" w:rsidP="00812799">
            <w:pPr>
              <w:spacing w:after="120"/>
              <w:ind w:left="2160" w:hanging="2160"/>
              <w:jc w:val="both"/>
              <w:rPr>
                <w:bCs/>
                <w:szCs w:val="24"/>
                <w:lang w:val="bg-BG"/>
              </w:rPr>
            </w:pPr>
          </w:p>
        </w:tc>
      </w:tr>
      <w:tr w:rsidR="00CF2D5A" w:rsidRPr="00B56DF7" w14:paraId="3C6D2B2F" w14:textId="77777777" w:rsidTr="00812799">
        <w:tc>
          <w:tcPr>
            <w:tcW w:w="568" w:type="dxa"/>
            <w:shd w:val="clear" w:color="auto" w:fill="auto"/>
          </w:tcPr>
          <w:p w14:paraId="293545BD" w14:textId="77777777" w:rsidR="00CF2D5A" w:rsidRPr="00B56DF7" w:rsidRDefault="00CF2D5A" w:rsidP="00812799">
            <w:pPr>
              <w:pStyle w:val="Text1"/>
              <w:numPr>
                <w:ilvl w:val="0"/>
                <w:numId w:val="23"/>
              </w:numPr>
              <w:spacing w:after="120"/>
              <w:rPr>
                <w:bCs/>
                <w:szCs w:val="24"/>
                <w:lang w:val="bg-BG"/>
              </w:rPr>
            </w:pPr>
          </w:p>
        </w:tc>
        <w:tc>
          <w:tcPr>
            <w:tcW w:w="8930" w:type="dxa"/>
            <w:shd w:val="clear" w:color="auto" w:fill="auto"/>
          </w:tcPr>
          <w:p w14:paraId="7BC129CA" w14:textId="74EF7B37" w:rsidR="00CF2D5A" w:rsidRPr="00B56DF7" w:rsidRDefault="00346386" w:rsidP="00812799">
            <w:pPr>
              <w:pStyle w:val="Text1"/>
              <w:spacing w:after="120"/>
              <w:ind w:left="0"/>
              <w:jc w:val="both"/>
              <w:rPr>
                <w:bCs/>
                <w:szCs w:val="24"/>
                <w:lang w:val="bg-BG"/>
              </w:rPr>
            </w:pPr>
            <w:r w:rsidRPr="00B56DF7">
              <w:rPr>
                <w:szCs w:val="24"/>
                <w:lang w:val="bg-BG"/>
              </w:rPr>
              <w:t xml:space="preserve">В случай на противоречие между разпоредбите на Приложенията и тези на настоящия договор, с предимство се прилагат разпоредбите на договора. В случай на противоречие между разпоредбите на Приложение </w:t>
            </w:r>
            <w:r w:rsidR="00293A37" w:rsidRPr="00B56DF7">
              <w:rPr>
                <w:szCs w:val="24"/>
                <w:lang w:val="en-US"/>
              </w:rPr>
              <w:t>2</w:t>
            </w:r>
            <w:r w:rsidR="00293A37" w:rsidRPr="00B56DF7">
              <w:rPr>
                <w:szCs w:val="24"/>
                <w:lang w:val="bg-BG"/>
              </w:rPr>
              <w:t xml:space="preserve"> </w:t>
            </w:r>
            <w:r w:rsidRPr="00B56DF7">
              <w:rPr>
                <w:szCs w:val="24"/>
                <w:lang w:val="bg-BG"/>
              </w:rPr>
              <w:t xml:space="preserve">и тези на другите приложения, с предимство се прилагат разпоредбите на Приложение </w:t>
            </w:r>
            <w:r w:rsidR="00293A37" w:rsidRPr="00B56DF7">
              <w:rPr>
                <w:szCs w:val="24"/>
                <w:lang w:val="en-US"/>
              </w:rPr>
              <w:t>2</w:t>
            </w:r>
            <w:r w:rsidRPr="00B56DF7">
              <w:rPr>
                <w:szCs w:val="24"/>
                <w:lang w:val="bg-BG"/>
              </w:rPr>
              <w:t>.</w:t>
            </w:r>
          </w:p>
        </w:tc>
      </w:tr>
    </w:tbl>
    <w:p w14:paraId="431E8D34" w14:textId="77777777" w:rsidR="00C2718F" w:rsidRPr="00B56DF7" w:rsidRDefault="00C2718F" w:rsidP="00FE349D">
      <w:pPr>
        <w:spacing w:after="120"/>
        <w:ind w:left="567" w:hanging="567"/>
        <w:jc w:val="both"/>
        <w:rPr>
          <w:szCs w:val="24"/>
          <w:lang w:val="bg-BG"/>
        </w:rPr>
      </w:pPr>
    </w:p>
    <w:p w14:paraId="061BE9A6" w14:textId="77777777" w:rsidR="00C2718F" w:rsidRPr="00B56DF7" w:rsidRDefault="00422873" w:rsidP="00FE349D">
      <w:pPr>
        <w:spacing w:after="120"/>
        <w:jc w:val="both"/>
        <w:rPr>
          <w:b/>
          <w:szCs w:val="24"/>
          <w:lang w:val="bg-BG"/>
        </w:rPr>
      </w:pPr>
      <w:r w:rsidRPr="00B56DF7">
        <w:rPr>
          <w:b/>
          <w:szCs w:val="24"/>
          <w:lang w:val="bg-BG"/>
        </w:rPr>
        <w:t xml:space="preserve">Член </w:t>
      </w:r>
      <w:r w:rsidR="00CF2D5A" w:rsidRPr="00B56DF7">
        <w:rPr>
          <w:b/>
          <w:szCs w:val="24"/>
          <w:lang w:val="bg-BG"/>
        </w:rPr>
        <w:t>9</w:t>
      </w:r>
      <w:r w:rsidR="001C4904" w:rsidRPr="00B56DF7">
        <w:rPr>
          <w:b/>
          <w:szCs w:val="24"/>
          <w:lang w:val="bg-BG"/>
        </w:rPr>
        <w:t>.</w:t>
      </w:r>
      <w:r w:rsidRPr="00B56DF7">
        <w:rPr>
          <w:b/>
          <w:szCs w:val="24"/>
          <w:lang w:val="bg-BG"/>
        </w:rPr>
        <w:t xml:space="preserve"> Други условия</w:t>
      </w:r>
      <w:r w:rsidR="001C4904" w:rsidRPr="00B56DF7">
        <w:rPr>
          <w:b/>
          <w:szCs w:val="24"/>
          <w:lang w:val="bg-BG"/>
        </w:rPr>
        <w:t xml:space="preserve"> по Договора</w:t>
      </w:r>
    </w:p>
    <w:tbl>
      <w:tblPr>
        <w:tblW w:w="0" w:type="auto"/>
        <w:tblInd w:w="-34" w:type="dxa"/>
        <w:tblLook w:val="04A0" w:firstRow="1" w:lastRow="0" w:firstColumn="1" w:lastColumn="0" w:noHBand="0" w:noVBand="1"/>
      </w:tblPr>
      <w:tblGrid>
        <w:gridCol w:w="558"/>
        <w:gridCol w:w="8830"/>
      </w:tblGrid>
      <w:tr w:rsidR="00346386" w:rsidRPr="00B56DF7" w14:paraId="538C5640" w14:textId="77777777" w:rsidTr="002C3999">
        <w:tc>
          <w:tcPr>
            <w:tcW w:w="558" w:type="dxa"/>
            <w:shd w:val="clear" w:color="auto" w:fill="auto"/>
          </w:tcPr>
          <w:p w14:paraId="77DF2C0A" w14:textId="77777777" w:rsidR="00346386" w:rsidRPr="00B56DF7" w:rsidRDefault="00346386" w:rsidP="00812799">
            <w:pPr>
              <w:pStyle w:val="Text1"/>
              <w:numPr>
                <w:ilvl w:val="0"/>
                <w:numId w:val="24"/>
              </w:numPr>
              <w:spacing w:after="120"/>
              <w:rPr>
                <w:bCs/>
                <w:szCs w:val="24"/>
                <w:lang w:val="bg-BG"/>
              </w:rPr>
            </w:pPr>
          </w:p>
        </w:tc>
        <w:tc>
          <w:tcPr>
            <w:tcW w:w="8830" w:type="dxa"/>
            <w:shd w:val="clear" w:color="auto" w:fill="auto"/>
          </w:tcPr>
          <w:p w14:paraId="47A97850" w14:textId="2256E864" w:rsidR="00346386" w:rsidRPr="00B56DF7" w:rsidRDefault="00346386" w:rsidP="00812799">
            <w:pPr>
              <w:pStyle w:val="Text1"/>
              <w:spacing w:after="120"/>
              <w:ind w:left="0"/>
              <w:jc w:val="both"/>
              <w:rPr>
                <w:szCs w:val="24"/>
                <w:lang w:val="bg-BG"/>
              </w:rPr>
            </w:pPr>
            <w:r w:rsidRPr="00B56DF7">
              <w:rPr>
                <w:szCs w:val="24"/>
                <w:lang w:val="bg-BG"/>
              </w:rPr>
              <w:t xml:space="preserve">Общите условия – Приложение </w:t>
            </w:r>
            <w:r w:rsidR="00D52FE3" w:rsidRPr="00B56DF7">
              <w:rPr>
                <w:szCs w:val="24"/>
                <w:lang w:val="bg-BG"/>
              </w:rPr>
              <w:t xml:space="preserve">2 </w:t>
            </w:r>
            <w:r w:rsidRPr="00B56DF7">
              <w:rPr>
                <w:szCs w:val="24"/>
                <w:lang w:val="bg-BG"/>
              </w:rPr>
              <w:t>към договора се допълват, както следва:</w:t>
            </w:r>
          </w:p>
          <w:tbl>
            <w:tblPr>
              <w:tblW w:w="0" w:type="auto"/>
              <w:tblLook w:val="04A0" w:firstRow="1" w:lastRow="0" w:firstColumn="1" w:lastColumn="0" w:noHBand="0" w:noVBand="1"/>
            </w:tblPr>
            <w:tblGrid>
              <w:gridCol w:w="876"/>
              <w:gridCol w:w="7738"/>
            </w:tblGrid>
            <w:tr w:rsidR="00346386" w:rsidRPr="00B56DF7" w14:paraId="5801A263" w14:textId="77777777" w:rsidTr="000B01B1">
              <w:tc>
                <w:tcPr>
                  <w:tcW w:w="876" w:type="dxa"/>
                  <w:shd w:val="clear" w:color="auto" w:fill="auto"/>
                </w:tcPr>
                <w:p w14:paraId="7E760582" w14:textId="77777777" w:rsidR="00346386" w:rsidRPr="00B56DF7" w:rsidRDefault="00346386" w:rsidP="00812799">
                  <w:pPr>
                    <w:pStyle w:val="Text1"/>
                    <w:numPr>
                      <w:ilvl w:val="0"/>
                      <w:numId w:val="30"/>
                    </w:numPr>
                    <w:spacing w:after="120"/>
                    <w:jc w:val="both"/>
                    <w:rPr>
                      <w:bCs/>
                      <w:szCs w:val="24"/>
                      <w:lang w:val="bg-BG"/>
                    </w:rPr>
                  </w:pPr>
                </w:p>
              </w:tc>
              <w:tc>
                <w:tcPr>
                  <w:tcW w:w="7738" w:type="dxa"/>
                  <w:shd w:val="clear" w:color="auto" w:fill="auto"/>
                </w:tcPr>
                <w:p w14:paraId="152BC45D" w14:textId="77777777" w:rsidR="000B01B1" w:rsidRPr="00B56DF7" w:rsidRDefault="000B01B1" w:rsidP="000B01B1">
                  <w:pPr>
                    <w:spacing w:after="120"/>
                    <w:jc w:val="both"/>
                    <w:rPr>
                      <w:i/>
                      <w:szCs w:val="24"/>
                      <w:u w:val="single"/>
                      <w:lang w:val="bg-BG"/>
                    </w:rPr>
                  </w:pPr>
                  <w:r w:rsidRPr="00B56DF7">
                    <w:rPr>
                      <w:i/>
                      <w:szCs w:val="24"/>
                      <w:u w:val="single"/>
                      <w:lang w:val="bg-BG"/>
                    </w:rPr>
                    <w:t>Чл. 13 от Приложение 2 към настоящия договор се допълва, както следва:</w:t>
                  </w:r>
                </w:p>
                <w:p w14:paraId="298E6D3E" w14:textId="4B18D311" w:rsidR="00346386" w:rsidRPr="00B56DF7" w:rsidRDefault="000B01B1" w:rsidP="000B01B1">
                  <w:pPr>
                    <w:spacing w:after="120"/>
                    <w:jc w:val="both"/>
                    <w:rPr>
                      <w:bCs/>
                      <w:szCs w:val="24"/>
                      <w:lang w:val="bg-BG"/>
                    </w:rPr>
                  </w:pPr>
                  <w:r w:rsidRPr="00B56DF7">
                    <w:rPr>
                      <w:i/>
                      <w:iCs/>
                      <w:szCs w:val="24"/>
                      <w:lang w:val="bg-BG"/>
                    </w:rPr>
                    <w:t>Крайният получател се задължава да изпълнява задълженията си и да оказва съдействие на съответните компетентните органи в случай на необходимост от възстановяването на неправомерно предоставена държавна помощ, което се извършва по реда на чл. 38 от Закона за държавните помощи, съгласно който решение на Европейската комисия за възстановяване на неправомерна и несъвместима или на неправилно използвана държавна помощ подлежи на принудително изпълнение по реда на Данъчно-осигурителния процесуален кодекс (ДОПК). Когато с решението на Европейската комисия за възстановяване на неправомерна и несъвместима или на неправилно използвана държавна помощ не са индивидуализирани получателите на помощ и размерът на сумата, която трябва да се възстанови, администраторът на помощ издава допълнително и акт за установяване на публично вземане по реда на чл. 166, ал. 2 и 3 от ДОПК. Не се разрешава предоставяне на нова държавна помощ на предприятие, което не е изпълнило решение на Европейската комисия за възстановяване на неправомерно предоставена държавна помощ и не е възстановило изцяло неправомерно получената държавна помощ.</w:t>
                  </w:r>
                </w:p>
              </w:tc>
            </w:tr>
            <w:tr w:rsidR="000B01B1" w:rsidRPr="00B56DF7" w14:paraId="207079C9" w14:textId="77777777" w:rsidTr="000B01B1">
              <w:tc>
                <w:tcPr>
                  <w:tcW w:w="876" w:type="dxa"/>
                  <w:shd w:val="clear" w:color="auto" w:fill="auto"/>
                </w:tcPr>
                <w:p w14:paraId="51BF9903" w14:textId="77777777" w:rsidR="000B01B1" w:rsidRPr="00B56DF7" w:rsidRDefault="000B01B1" w:rsidP="000B01B1">
                  <w:pPr>
                    <w:pStyle w:val="Text1"/>
                    <w:numPr>
                      <w:ilvl w:val="0"/>
                      <w:numId w:val="30"/>
                    </w:numPr>
                    <w:spacing w:after="120"/>
                    <w:jc w:val="both"/>
                    <w:rPr>
                      <w:bCs/>
                      <w:szCs w:val="24"/>
                      <w:lang w:val="bg-BG"/>
                    </w:rPr>
                  </w:pPr>
                </w:p>
              </w:tc>
              <w:tc>
                <w:tcPr>
                  <w:tcW w:w="7738" w:type="dxa"/>
                  <w:shd w:val="clear" w:color="auto" w:fill="auto"/>
                </w:tcPr>
                <w:p w14:paraId="746BCFED" w14:textId="77777777" w:rsidR="000B01B1" w:rsidRPr="00B56DF7" w:rsidRDefault="000B01B1" w:rsidP="000B01B1">
                  <w:pPr>
                    <w:spacing w:after="120"/>
                    <w:jc w:val="both"/>
                    <w:rPr>
                      <w:i/>
                      <w:iCs/>
                      <w:szCs w:val="24"/>
                      <w:u w:val="single"/>
                      <w:lang w:val="bg-BG"/>
                    </w:rPr>
                  </w:pPr>
                  <w:r w:rsidRPr="00B56DF7">
                    <w:rPr>
                      <w:i/>
                      <w:iCs/>
                      <w:szCs w:val="24"/>
                      <w:u w:val="single"/>
                      <w:lang w:val="bg-BG"/>
                    </w:rPr>
                    <w:t>Чл. 17.4 от Приложение 2 към договора се допълва, както следва:</w:t>
                  </w:r>
                </w:p>
                <w:p w14:paraId="67149D39" w14:textId="77777777" w:rsidR="000B01B1" w:rsidRPr="00B56DF7" w:rsidRDefault="000B01B1" w:rsidP="000B01B1">
                  <w:pPr>
                    <w:spacing w:after="120"/>
                    <w:jc w:val="both"/>
                    <w:rPr>
                      <w:i/>
                      <w:iCs/>
                      <w:szCs w:val="24"/>
                      <w:lang w:val="bg-BG"/>
                    </w:rPr>
                  </w:pPr>
                  <w:r w:rsidRPr="00B56DF7">
                    <w:rPr>
                      <w:i/>
                      <w:iCs/>
                      <w:szCs w:val="24"/>
                      <w:lang w:val="bg-BG"/>
                    </w:rPr>
                    <w:t xml:space="preserve">17.4.1 За изменението на договора не се подписва изричен двустранен писмен или електронен документ в следните случаи: </w:t>
                  </w:r>
                </w:p>
                <w:p w14:paraId="1CE083BA" w14:textId="77777777" w:rsidR="000B01B1" w:rsidRPr="00B56DF7" w:rsidRDefault="000B01B1" w:rsidP="000B01B1">
                  <w:pPr>
                    <w:numPr>
                      <w:ilvl w:val="0"/>
                      <w:numId w:val="14"/>
                    </w:numPr>
                    <w:spacing w:after="120"/>
                    <w:ind w:left="720"/>
                    <w:jc w:val="both"/>
                    <w:rPr>
                      <w:i/>
                      <w:iCs/>
                      <w:szCs w:val="24"/>
                      <w:lang w:val="bg-BG"/>
                    </w:rPr>
                  </w:pPr>
                  <w:r w:rsidRPr="00B56DF7">
                    <w:rPr>
                      <w:i/>
                      <w:iCs/>
                      <w:szCs w:val="24"/>
                      <w:lang w:val="bg-BG"/>
                    </w:rPr>
                    <w:t>при промяна в адреса за кореспонденция и контакти;</w:t>
                  </w:r>
                </w:p>
                <w:p w14:paraId="6C2A3F40" w14:textId="77777777" w:rsidR="000B01B1" w:rsidRPr="00B56DF7" w:rsidRDefault="000B01B1" w:rsidP="000B01B1">
                  <w:pPr>
                    <w:numPr>
                      <w:ilvl w:val="0"/>
                      <w:numId w:val="14"/>
                    </w:numPr>
                    <w:spacing w:after="120"/>
                    <w:ind w:left="720"/>
                    <w:jc w:val="both"/>
                    <w:rPr>
                      <w:i/>
                      <w:iCs/>
                      <w:szCs w:val="24"/>
                      <w:lang w:val="bg-BG"/>
                    </w:rPr>
                  </w:pPr>
                  <w:r w:rsidRPr="00B56DF7">
                    <w:rPr>
                      <w:i/>
                      <w:iCs/>
                      <w:szCs w:val="24"/>
                      <w:lang w:val="bg-BG"/>
                    </w:rPr>
                    <w:t>при отстраняване на технически грешки в проекта с изключение на промяна на минималните технически и функционални характеристики, индикатори, етапи и цели;</w:t>
                  </w:r>
                </w:p>
                <w:p w14:paraId="2BC95B6F" w14:textId="77777777" w:rsidR="000B01B1" w:rsidRPr="00B56DF7" w:rsidRDefault="000B01B1" w:rsidP="000B01B1">
                  <w:pPr>
                    <w:numPr>
                      <w:ilvl w:val="0"/>
                      <w:numId w:val="14"/>
                    </w:numPr>
                    <w:spacing w:after="120"/>
                    <w:ind w:left="720"/>
                    <w:jc w:val="both"/>
                    <w:rPr>
                      <w:i/>
                      <w:iCs/>
                      <w:szCs w:val="24"/>
                      <w:lang w:val="bg-BG"/>
                    </w:rPr>
                  </w:pPr>
                  <w:r w:rsidRPr="00B56DF7">
                    <w:rPr>
                      <w:i/>
                      <w:iCs/>
                      <w:szCs w:val="24"/>
                      <w:lang w:val="bg-BG"/>
                    </w:rPr>
                    <w:t>при промяна в седалището и адреса на управление на крайния получател, в случай, че това не противоречи на изискванията на условията за кандидатстване или за изпълнение по процедурата за предоставяне на средства от МВУ;</w:t>
                  </w:r>
                </w:p>
                <w:p w14:paraId="66C57B6D" w14:textId="77777777" w:rsidR="000B01B1" w:rsidRPr="00B56DF7" w:rsidRDefault="000B01B1" w:rsidP="000B01B1">
                  <w:pPr>
                    <w:numPr>
                      <w:ilvl w:val="0"/>
                      <w:numId w:val="14"/>
                    </w:numPr>
                    <w:spacing w:after="120"/>
                    <w:ind w:left="720"/>
                    <w:jc w:val="both"/>
                    <w:rPr>
                      <w:i/>
                      <w:iCs/>
                      <w:szCs w:val="24"/>
                      <w:lang w:val="bg-BG"/>
                    </w:rPr>
                  </w:pPr>
                  <w:r w:rsidRPr="00B56DF7">
                    <w:rPr>
                      <w:i/>
                      <w:iCs/>
                      <w:szCs w:val="24"/>
                      <w:lang w:val="bg-BG"/>
                    </w:rPr>
                    <w:t>при уеднаквяване на текстове в договора и/или приложенията към него;</w:t>
                  </w:r>
                </w:p>
                <w:p w14:paraId="411CF717" w14:textId="77777777" w:rsidR="000B01B1" w:rsidRPr="00B56DF7" w:rsidRDefault="000B01B1" w:rsidP="000B01B1">
                  <w:pPr>
                    <w:numPr>
                      <w:ilvl w:val="0"/>
                      <w:numId w:val="14"/>
                    </w:numPr>
                    <w:spacing w:after="120"/>
                    <w:ind w:left="720"/>
                    <w:jc w:val="both"/>
                    <w:rPr>
                      <w:i/>
                      <w:iCs/>
                      <w:szCs w:val="24"/>
                      <w:lang w:val="bg-BG"/>
                    </w:rPr>
                  </w:pPr>
                  <w:r w:rsidRPr="00B56DF7">
                    <w:rPr>
                      <w:i/>
                      <w:iCs/>
                      <w:szCs w:val="24"/>
                      <w:lang w:val="bg-BG"/>
                    </w:rPr>
                    <w:t>при  промяна в плана за изпълнение на дейностите, в случай, че това не се отразява на заложените срокове за изпълнение на ключовите етапи на инвестицията;</w:t>
                  </w:r>
                </w:p>
                <w:p w14:paraId="0F3FF5D0" w14:textId="77777777" w:rsidR="000B01B1" w:rsidRPr="00B56DF7" w:rsidRDefault="000B01B1" w:rsidP="000B01B1">
                  <w:pPr>
                    <w:numPr>
                      <w:ilvl w:val="0"/>
                      <w:numId w:val="14"/>
                    </w:numPr>
                    <w:spacing w:after="120"/>
                    <w:ind w:left="720"/>
                    <w:jc w:val="both"/>
                    <w:rPr>
                      <w:i/>
                      <w:iCs/>
                      <w:szCs w:val="24"/>
                      <w:lang w:val="bg-BG"/>
                    </w:rPr>
                  </w:pPr>
                  <w:r w:rsidRPr="00B56DF7">
                    <w:rPr>
                      <w:i/>
                      <w:iCs/>
                      <w:szCs w:val="24"/>
                      <w:lang w:val="bg-BG"/>
                    </w:rPr>
                    <w:t>при промяна в наименованието на крайния получател.</w:t>
                  </w:r>
                </w:p>
                <w:p w14:paraId="23C5F8D7" w14:textId="77777777" w:rsidR="000B01B1" w:rsidRPr="00B56DF7" w:rsidRDefault="000B01B1" w:rsidP="000B01B1">
                  <w:pPr>
                    <w:numPr>
                      <w:ilvl w:val="0"/>
                      <w:numId w:val="14"/>
                    </w:numPr>
                    <w:spacing w:after="120"/>
                    <w:ind w:left="720"/>
                    <w:jc w:val="both"/>
                    <w:rPr>
                      <w:i/>
                      <w:iCs/>
                      <w:szCs w:val="24"/>
                      <w:lang w:val="bg-BG"/>
                    </w:rPr>
                  </w:pPr>
                  <w:r w:rsidRPr="00B56DF7">
                    <w:rPr>
                      <w:i/>
                      <w:iCs/>
                      <w:szCs w:val="24"/>
                      <w:lang w:val="bg-BG"/>
                    </w:rPr>
                    <w:t>при  промяна на банкова сметка на крайния получател;</w:t>
                  </w:r>
                </w:p>
                <w:p w14:paraId="7CE8267F" w14:textId="5E60E208" w:rsidR="000B01B1" w:rsidRPr="00B56DF7" w:rsidRDefault="000B01B1" w:rsidP="000B01B1">
                  <w:pPr>
                    <w:spacing w:after="120"/>
                    <w:jc w:val="both"/>
                    <w:rPr>
                      <w:i/>
                      <w:iCs/>
                      <w:szCs w:val="24"/>
                      <w:lang w:val="bg-BG"/>
                    </w:rPr>
                  </w:pPr>
                  <w:r w:rsidRPr="00B56DF7">
                    <w:rPr>
                      <w:i/>
                      <w:iCs/>
                      <w:szCs w:val="24"/>
                      <w:lang w:val="bg-BG"/>
                    </w:rPr>
                    <w:t xml:space="preserve">В посочените случаи, крайният получател следва да уведоми незабавно </w:t>
                  </w:r>
                  <w:r w:rsidR="00B86F12" w:rsidRPr="00B86F12">
                    <w:rPr>
                      <w:i/>
                      <w:iCs/>
                      <w:szCs w:val="24"/>
                      <w:lang w:val="bg-BG"/>
                    </w:rPr>
                    <w:t>ДФ „Земеделие“</w:t>
                  </w:r>
                  <w:r w:rsidRPr="00B56DF7">
                    <w:rPr>
                      <w:i/>
                      <w:iCs/>
                      <w:szCs w:val="24"/>
                      <w:lang w:val="bg-BG"/>
                    </w:rPr>
                    <w:t xml:space="preserve"> чрез ИС на МВУ и да обоснове необходимостта от извършване на съответната промяна. Крайният получател има право да приложи изменението, за което е уведомил </w:t>
                  </w:r>
                  <w:r w:rsidR="00B86F12">
                    <w:rPr>
                      <w:szCs w:val="24"/>
                      <w:lang w:val="bg-BG"/>
                    </w:rPr>
                    <w:t>ДФ „Земеделие“</w:t>
                  </w:r>
                  <w:r w:rsidRPr="00B56DF7">
                    <w:rPr>
                      <w:i/>
                      <w:iCs/>
                      <w:szCs w:val="24"/>
                      <w:lang w:val="bg-BG"/>
                    </w:rPr>
                    <w:t xml:space="preserve">, която, от своя страна,  може да възрази в срок от 15 работни дни от получаване на писменото уведомление, а в случаите на допълнително изискани пояснения и документи – от тяхното получаване. </w:t>
                  </w:r>
                  <w:r w:rsidR="00B86F12">
                    <w:rPr>
                      <w:szCs w:val="24"/>
                      <w:lang w:val="bg-BG"/>
                    </w:rPr>
                    <w:t>ДФ „Земеделие“</w:t>
                  </w:r>
                  <w:r w:rsidR="00B86F12" w:rsidRPr="00B56DF7">
                    <w:rPr>
                      <w:szCs w:val="24"/>
                      <w:lang w:val="bg-BG"/>
                    </w:rPr>
                    <w:t xml:space="preserve"> </w:t>
                  </w:r>
                  <w:r w:rsidRPr="00B56DF7">
                    <w:rPr>
                      <w:i/>
                      <w:iCs/>
                      <w:szCs w:val="24"/>
                      <w:lang w:val="bg-BG"/>
                    </w:rPr>
                    <w:t xml:space="preserve">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В случай, че </w:t>
                  </w:r>
                  <w:r w:rsidR="00B86F12">
                    <w:rPr>
                      <w:szCs w:val="24"/>
                      <w:lang w:val="bg-BG"/>
                    </w:rPr>
                    <w:t>ДФ „Земеделие“</w:t>
                  </w:r>
                  <w:r w:rsidRPr="00B56DF7">
                    <w:rPr>
                      <w:i/>
                      <w:iCs/>
                      <w:szCs w:val="24"/>
                      <w:lang w:val="bg-BG"/>
                    </w:rPr>
                    <w:t xml:space="preserve"> се съгласи с, или не възрази на исканата промяна в посочения срок, се счита, че предлаганото изменение е прието.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p w14:paraId="7119C088" w14:textId="77777777" w:rsidR="000B01B1" w:rsidRPr="00B56DF7" w:rsidRDefault="000B01B1" w:rsidP="000B01B1">
                  <w:pPr>
                    <w:spacing w:after="120"/>
                    <w:jc w:val="both"/>
                    <w:rPr>
                      <w:i/>
                      <w:iCs/>
                      <w:szCs w:val="24"/>
                      <w:lang w:val="bg-BG"/>
                    </w:rPr>
                  </w:pPr>
                  <w:r w:rsidRPr="00B56DF7">
                    <w:rPr>
                      <w:i/>
                      <w:iCs/>
                      <w:szCs w:val="24"/>
                      <w:lang w:val="bg-BG"/>
                    </w:rPr>
                    <w:t>17.4.2.   За изменението на договора не се подписва изричен двустранен писмен или електронен документ и в следните случаи:</w:t>
                  </w:r>
                </w:p>
                <w:p w14:paraId="03FC1EEA" w14:textId="77777777" w:rsidR="000B01B1" w:rsidRPr="00B56DF7" w:rsidRDefault="000B01B1" w:rsidP="000B01B1">
                  <w:pPr>
                    <w:numPr>
                      <w:ilvl w:val="0"/>
                      <w:numId w:val="15"/>
                    </w:numPr>
                    <w:spacing w:after="120"/>
                    <w:ind w:left="720"/>
                    <w:jc w:val="both"/>
                    <w:rPr>
                      <w:i/>
                      <w:iCs/>
                      <w:szCs w:val="24"/>
                      <w:lang w:val="bg-BG"/>
                    </w:rPr>
                  </w:pPr>
                  <w:r w:rsidRPr="00B56DF7">
                    <w:rPr>
                      <w:i/>
                      <w:iCs/>
                      <w:szCs w:val="24"/>
                      <w:lang w:val="bg-BG"/>
                    </w:rPr>
                    <w:t>при промяна на законния/</w:t>
                  </w:r>
                  <w:proofErr w:type="spellStart"/>
                  <w:r w:rsidRPr="00B56DF7">
                    <w:rPr>
                      <w:i/>
                      <w:iCs/>
                      <w:szCs w:val="24"/>
                      <w:lang w:val="bg-BG"/>
                    </w:rPr>
                    <w:t>ите</w:t>
                  </w:r>
                  <w:proofErr w:type="spellEnd"/>
                  <w:r w:rsidRPr="00B56DF7">
                    <w:rPr>
                      <w:i/>
                      <w:iCs/>
                      <w:szCs w:val="24"/>
                      <w:lang w:val="bg-BG"/>
                    </w:rPr>
                    <w:t xml:space="preserve"> представляващ/и на крайния получател;</w:t>
                  </w:r>
                </w:p>
                <w:p w14:paraId="7A3AB412" w14:textId="77777777" w:rsidR="000B01B1" w:rsidRPr="00B56DF7" w:rsidRDefault="000B01B1" w:rsidP="000B01B1">
                  <w:pPr>
                    <w:numPr>
                      <w:ilvl w:val="0"/>
                      <w:numId w:val="15"/>
                    </w:numPr>
                    <w:spacing w:after="120"/>
                    <w:ind w:left="720"/>
                    <w:jc w:val="both"/>
                    <w:rPr>
                      <w:i/>
                      <w:iCs/>
                      <w:szCs w:val="24"/>
                      <w:lang w:val="bg-BG"/>
                    </w:rPr>
                  </w:pPr>
                  <w:r w:rsidRPr="00B56DF7">
                    <w:rPr>
                      <w:i/>
                      <w:iCs/>
                      <w:szCs w:val="24"/>
                      <w:lang w:val="bg-BG"/>
                    </w:rPr>
                    <w:t>при промяна в правно-организационната форма на крайния получател;</w:t>
                  </w:r>
                </w:p>
                <w:p w14:paraId="391B182A" w14:textId="77777777" w:rsidR="000B01B1" w:rsidRPr="00B56DF7" w:rsidRDefault="000B01B1" w:rsidP="000B01B1">
                  <w:pPr>
                    <w:numPr>
                      <w:ilvl w:val="0"/>
                      <w:numId w:val="15"/>
                    </w:numPr>
                    <w:spacing w:after="120"/>
                    <w:ind w:left="720"/>
                    <w:jc w:val="both"/>
                    <w:rPr>
                      <w:i/>
                      <w:iCs/>
                      <w:szCs w:val="24"/>
                      <w:lang w:val="bg-BG"/>
                    </w:rPr>
                  </w:pPr>
                  <w:r w:rsidRPr="00B56DF7">
                    <w:rPr>
                      <w:i/>
                      <w:iCs/>
                      <w:szCs w:val="24"/>
                      <w:lang w:val="bg-BG"/>
                    </w:rPr>
                    <w:lastRenderedPageBreak/>
                    <w:t>при промени на минималните технически параметри на предвиденото за придобиване във връзка с изпълнението на инвестицията оборудването;</w:t>
                  </w:r>
                </w:p>
                <w:p w14:paraId="5F7AE663" w14:textId="77777777" w:rsidR="000B01B1" w:rsidRPr="00B56DF7" w:rsidRDefault="000B01B1" w:rsidP="000B01B1">
                  <w:pPr>
                    <w:numPr>
                      <w:ilvl w:val="0"/>
                      <w:numId w:val="15"/>
                    </w:numPr>
                    <w:spacing w:after="120"/>
                    <w:ind w:left="720"/>
                    <w:jc w:val="both"/>
                    <w:rPr>
                      <w:i/>
                      <w:iCs/>
                      <w:szCs w:val="24"/>
                      <w:lang w:val="bg-BG"/>
                    </w:rPr>
                  </w:pPr>
                  <w:r w:rsidRPr="00B56DF7">
                    <w:rPr>
                      <w:i/>
                      <w:iCs/>
                      <w:szCs w:val="24"/>
                      <w:lang w:val="bg-BG"/>
                    </w:rPr>
                    <w:t>при промяна в мястото на изпълнение и/или поддържане на инвестицията след приключване на изпълнението;</w:t>
                  </w:r>
                </w:p>
                <w:p w14:paraId="08E549B9" w14:textId="77777777" w:rsidR="000B01B1" w:rsidRPr="00B56DF7" w:rsidRDefault="000B01B1" w:rsidP="000B01B1">
                  <w:pPr>
                    <w:numPr>
                      <w:ilvl w:val="0"/>
                      <w:numId w:val="15"/>
                    </w:numPr>
                    <w:spacing w:after="120"/>
                    <w:ind w:left="720"/>
                    <w:jc w:val="both"/>
                    <w:rPr>
                      <w:szCs w:val="24"/>
                      <w:lang w:val="bg-BG"/>
                    </w:rPr>
                  </w:pPr>
                  <w:r w:rsidRPr="00B56DF7">
                    <w:rPr>
                      <w:i/>
                      <w:iCs/>
                      <w:szCs w:val="24"/>
                      <w:lang w:val="bg-BG"/>
                    </w:rPr>
                    <w:t>в случаите по чл. 19 от Общите условия – Приложение 2.</w:t>
                  </w:r>
                </w:p>
                <w:p w14:paraId="6CE175C8" w14:textId="3E233AE7" w:rsidR="000B01B1" w:rsidRPr="00B56DF7" w:rsidRDefault="000B01B1" w:rsidP="000B01B1">
                  <w:pPr>
                    <w:pStyle w:val="Text1"/>
                    <w:spacing w:after="120"/>
                    <w:ind w:left="0"/>
                    <w:jc w:val="both"/>
                    <w:rPr>
                      <w:bCs/>
                      <w:szCs w:val="24"/>
                      <w:lang w:val="bg-BG"/>
                    </w:rPr>
                  </w:pPr>
                  <w:r w:rsidRPr="00B56DF7">
                    <w:rPr>
                      <w:i/>
                      <w:iCs/>
                      <w:szCs w:val="24"/>
                      <w:lang w:val="bg-BG"/>
                    </w:rPr>
                    <w:t xml:space="preserve">В посочените случаи крайният получател следва да уведоми незабавно </w:t>
                  </w:r>
                  <w:r w:rsidR="00B86F12">
                    <w:rPr>
                      <w:szCs w:val="24"/>
                      <w:lang w:val="bg-BG"/>
                    </w:rPr>
                    <w:t>ДФ „Земеделие“</w:t>
                  </w:r>
                  <w:r w:rsidRPr="00B56DF7">
                    <w:rPr>
                      <w:i/>
                      <w:iCs/>
                      <w:szCs w:val="24"/>
                      <w:lang w:val="bg-BG"/>
                    </w:rPr>
                    <w:t xml:space="preserve"> чрез ИС на МВУ за съответната промяна, като да обоснове необходимостта от нея в случаите по точки iii) – v). </w:t>
                  </w:r>
                  <w:r w:rsidR="00B86F12">
                    <w:rPr>
                      <w:szCs w:val="24"/>
                      <w:lang w:val="bg-BG"/>
                    </w:rPr>
                    <w:t>ДФ „Земеделие“</w:t>
                  </w:r>
                  <w:r w:rsidRPr="00B56DF7">
                    <w:rPr>
                      <w:i/>
                      <w:iCs/>
                      <w:szCs w:val="24"/>
                      <w:lang w:val="bg-BG"/>
                    </w:rPr>
                    <w:t xml:space="preserve"> се произнася по искането в срок до 15 работни дни от получаване на уведомлението, съответно от получаването на допълнително изискани пояснения и/или документи. </w:t>
                  </w:r>
                  <w:r w:rsidR="00B86F12">
                    <w:rPr>
                      <w:szCs w:val="24"/>
                      <w:lang w:val="bg-BG"/>
                    </w:rPr>
                    <w:t>ДФ „Земеделие“</w:t>
                  </w:r>
                  <w:r w:rsidRPr="00B56DF7">
                    <w:rPr>
                      <w:i/>
                      <w:iCs/>
                      <w:szCs w:val="24"/>
                      <w:lang w:val="bg-BG"/>
                    </w:rPr>
                    <w:t xml:space="preserve"> може да не приеме направеното изменение или да даде допълнителни указания на крайния получател, когато: исканото изменение не е сред изброените в по-горе; изменението противоречи на изрични изисквания на условията за кандидатстване или изпълнение по процедурата за предоставяне на средства, при които инвестицията е била одобрена; исканото изменение не е приемливо обосновано или противоречи на действителното положение; се нарушават условията на чл. 17.5 от Общите условия – Приложение 2. Исканото изменение влиза в сила само  след получаване на изричното съгласие от страна на </w:t>
                  </w:r>
                  <w:r w:rsidR="00B86F12">
                    <w:rPr>
                      <w:szCs w:val="24"/>
                      <w:lang w:val="bg-BG"/>
                    </w:rPr>
                    <w:t>ДФ „Земеделие“</w:t>
                  </w:r>
                  <w:r w:rsidRPr="00B56DF7">
                    <w:rPr>
                      <w:i/>
                      <w:iCs/>
                      <w:szCs w:val="24"/>
                      <w:lang w:val="bg-BG"/>
                    </w:rPr>
                    <w:t>, като се прилага между страните занапред. В такъв случай допълнителното споразумение за изменение на договора се счита за сключено по силата и при условията на разменената кореспонденция между страните чрез ИС на МВУ във връзка с изменението, без за това да е необходимо изричното подписване на нарочен двустранен писмен или електронен документ.</w:t>
                  </w:r>
                </w:p>
              </w:tc>
            </w:tr>
            <w:tr w:rsidR="000B01B1" w:rsidRPr="00B56DF7" w14:paraId="139EBC39" w14:textId="77777777" w:rsidTr="000B01B1">
              <w:tc>
                <w:tcPr>
                  <w:tcW w:w="876" w:type="dxa"/>
                  <w:shd w:val="clear" w:color="auto" w:fill="auto"/>
                </w:tcPr>
                <w:p w14:paraId="15FCDEE0" w14:textId="77777777" w:rsidR="000B01B1" w:rsidRPr="00B56DF7" w:rsidRDefault="000B01B1" w:rsidP="000B01B1">
                  <w:pPr>
                    <w:pStyle w:val="Text1"/>
                    <w:numPr>
                      <w:ilvl w:val="0"/>
                      <w:numId w:val="30"/>
                    </w:numPr>
                    <w:spacing w:after="120"/>
                    <w:jc w:val="both"/>
                    <w:rPr>
                      <w:bCs/>
                      <w:szCs w:val="24"/>
                      <w:lang w:val="bg-BG"/>
                    </w:rPr>
                  </w:pPr>
                </w:p>
              </w:tc>
              <w:tc>
                <w:tcPr>
                  <w:tcW w:w="7738" w:type="dxa"/>
                  <w:shd w:val="clear" w:color="auto" w:fill="auto"/>
                </w:tcPr>
                <w:p w14:paraId="25715FAC" w14:textId="77777777" w:rsidR="000B01B1" w:rsidRPr="00B56DF7" w:rsidRDefault="000B01B1" w:rsidP="000B01B1">
                  <w:pPr>
                    <w:spacing w:after="120"/>
                    <w:jc w:val="both"/>
                    <w:rPr>
                      <w:i/>
                      <w:szCs w:val="24"/>
                      <w:u w:val="single"/>
                      <w:lang w:val="bg-BG"/>
                    </w:rPr>
                  </w:pPr>
                  <w:r w:rsidRPr="00B56DF7">
                    <w:rPr>
                      <w:i/>
                      <w:szCs w:val="24"/>
                      <w:u w:val="single"/>
                      <w:lang w:val="bg-BG"/>
                    </w:rPr>
                    <w:t xml:space="preserve">Чл. 20.2 от Приложение 2 към договора се допълва, както следва: </w:t>
                  </w:r>
                </w:p>
                <w:p w14:paraId="097002E2" w14:textId="4116B087" w:rsidR="000B01B1" w:rsidRPr="00B56DF7" w:rsidRDefault="000B01B1" w:rsidP="000B01B1">
                  <w:pPr>
                    <w:pStyle w:val="Text1"/>
                    <w:spacing w:after="120"/>
                    <w:ind w:left="0"/>
                    <w:jc w:val="both"/>
                    <w:rPr>
                      <w:iCs/>
                      <w:szCs w:val="24"/>
                      <w:lang w:val="bg-BG"/>
                    </w:rPr>
                  </w:pPr>
                  <w:r w:rsidRPr="00B56DF7">
                    <w:rPr>
                      <w:i/>
                      <w:szCs w:val="24"/>
                      <w:lang w:val="bg-BG"/>
                    </w:rPr>
                    <w:t xml:space="preserve">В </w:t>
                  </w:r>
                  <w:r w:rsidRPr="00B86F12">
                    <w:rPr>
                      <w:i/>
                      <w:szCs w:val="24"/>
                      <w:lang w:val="bg-BG"/>
                    </w:rPr>
                    <w:t xml:space="preserve">случай, че крайният получател не изпълни и/или не отчете пред </w:t>
                  </w:r>
                  <w:r w:rsidR="00B86F12" w:rsidRPr="00B86F12">
                    <w:rPr>
                      <w:szCs w:val="24"/>
                      <w:lang w:val="bg-BG"/>
                    </w:rPr>
                    <w:t xml:space="preserve">ДФ „Земеделие“ </w:t>
                  </w:r>
                  <w:r w:rsidRPr="00B86F12">
                    <w:rPr>
                      <w:i/>
                      <w:szCs w:val="24"/>
                      <w:lang w:val="bg-BG"/>
                    </w:rPr>
                    <w:t xml:space="preserve"> по реда на чл. 11 от Приложение 2 изпълнението на ключов етап по изпълнението на инвестицията, посочен в описанието на инвестицията – Приложение 1, в срока, предвиден за това, и изпълнението на договора не се намира в някоя от ситуациите, посочени в членове 19.2, 19.3 или 19.5, </w:t>
                  </w:r>
                  <w:r w:rsidR="00B86F12" w:rsidRPr="00B86F12">
                    <w:rPr>
                      <w:szCs w:val="24"/>
                      <w:lang w:val="bg-BG"/>
                    </w:rPr>
                    <w:t>ДФ „Земеделие“</w:t>
                  </w:r>
                  <w:r w:rsidRPr="00B86F12">
                    <w:rPr>
                      <w:i/>
                      <w:szCs w:val="24"/>
                      <w:lang w:val="bg-BG"/>
                    </w:rPr>
                    <w:t xml:space="preserve"> може да прекрати едностранно договора с последиците по</w:t>
                  </w:r>
                  <w:r w:rsidRPr="00B56DF7">
                    <w:rPr>
                      <w:i/>
                      <w:szCs w:val="24"/>
                      <w:lang w:val="bg-BG"/>
                    </w:rPr>
                    <w:t xml:space="preserve"> чл. 20.3, след като вземе становището на крайния получател и, по негово искане, му предостави 1-месечен срок за изпълнението и/или отчитането на съответния ключов етап.</w:t>
                  </w:r>
                </w:p>
                <w:p w14:paraId="4372511E" w14:textId="084B3392" w:rsidR="000B01B1" w:rsidRPr="00B56DF7" w:rsidRDefault="000B01B1" w:rsidP="000B01B1">
                  <w:pPr>
                    <w:pStyle w:val="Text1"/>
                    <w:spacing w:after="120"/>
                    <w:ind w:left="0"/>
                    <w:jc w:val="both"/>
                    <w:rPr>
                      <w:bCs/>
                      <w:szCs w:val="24"/>
                      <w:lang w:val="bg-BG"/>
                    </w:rPr>
                  </w:pPr>
                </w:p>
              </w:tc>
            </w:tr>
            <w:tr w:rsidR="000B01B1" w:rsidRPr="00B56DF7" w14:paraId="4D47A9C5" w14:textId="77777777" w:rsidTr="000B01B1">
              <w:tc>
                <w:tcPr>
                  <w:tcW w:w="876" w:type="dxa"/>
                  <w:shd w:val="clear" w:color="auto" w:fill="auto"/>
                </w:tcPr>
                <w:p w14:paraId="4BA7A5C2" w14:textId="77777777" w:rsidR="000B01B1" w:rsidRPr="00B56DF7" w:rsidRDefault="000B01B1" w:rsidP="000B01B1">
                  <w:pPr>
                    <w:pStyle w:val="Text1"/>
                    <w:numPr>
                      <w:ilvl w:val="0"/>
                      <w:numId w:val="30"/>
                    </w:numPr>
                    <w:spacing w:after="120"/>
                    <w:jc w:val="both"/>
                    <w:rPr>
                      <w:bCs/>
                      <w:szCs w:val="24"/>
                      <w:lang w:val="bg-BG"/>
                    </w:rPr>
                  </w:pPr>
                </w:p>
              </w:tc>
              <w:tc>
                <w:tcPr>
                  <w:tcW w:w="7738" w:type="dxa"/>
                  <w:shd w:val="clear" w:color="auto" w:fill="auto"/>
                </w:tcPr>
                <w:p w14:paraId="48061CA3" w14:textId="77777777" w:rsidR="002C3999" w:rsidRPr="00B56DF7" w:rsidRDefault="002C3999" w:rsidP="002C3999">
                  <w:pPr>
                    <w:spacing w:after="120"/>
                    <w:jc w:val="both"/>
                    <w:rPr>
                      <w:i/>
                      <w:szCs w:val="24"/>
                      <w:u w:val="single"/>
                      <w:lang w:val="bg-BG"/>
                    </w:rPr>
                  </w:pPr>
                  <w:r w:rsidRPr="00B56DF7">
                    <w:rPr>
                      <w:i/>
                      <w:szCs w:val="24"/>
                      <w:u w:val="single"/>
                      <w:lang w:val="bg-BG"/>
                    </w:rPr>
                    <w:t xml:space="preserve">Чл. 20.4 от Приложение 2 към договора се допълва, както следва: </w:t>
                  </w:r>
                </w:p>
                <w:p w14:paraId="4D2CDDD9" w14:textId="2D8586B0" w:rsidR="000B01B1" w:rsidRPr="00B56DF7" w:rsidRDefault="002C3999" w:rsidP="002C3999">
                  <w:pPr>
                    <w:pStyle w:val="Text1"/>
                    <w:spacing w:after="120"/>
                    <w:ind w:left="0"/>
                    <w:jc w:val="both"/>
                    <w:rPr>
                      <w:bCs/>
                      <w:szCs w:val="24"/>
                      <w:lang w:val="bg-BG"/>
                    </w:rPr>
                  </w:pPr>
                  <w:r w:rsidRPr="00B56DF7">
                    <w:rPr>
                      <w:i/>
                      <w:iCs/>
                      <w:szCs w:val="24"/>
                      <w:lang w:val="bg-BG"/>
                    </w:rPr>
                    <w:t>20.4.1. Частично възстановяване след изплащане на финансовата помощ се изисква при нарушения и в размерите, посочени в Приложение № 2 към чл. 2, ал. 3 към Наредба за посочване на нередности, представляващи основания за извършване на финансови корекции, и процентните показатели за определяне размера на финансовите корекции по реда на закона за управление на средствата от европейските структурни и инвестиционни фондове.</w:t>
                  </w:r>
                </w:p>
              </w:tc>
            </w:tr>
            <w:tr w:rsidR="000B01B1" w:rsidRPr="00B56DF7" w14:paraId="15EBD0B2" w14:textId="77777777" w:rsidTr="000B01B1">
              <w:tc>
                <w:tcPr>
                  <w:tcW w:w="876" w:type="dxa"/>
                  <w:shd w:val="clear" w:color="auto" w:fill="auto"/>
                </w:tcPr>
                <w:p w14:paraId="5148BF89" w14:textId="77777777" w:rsidR="000B01B1" w:rsidRPr="00B56DF7" w:rsidRDefault="000B01B1" w:rsidP="002C3999">
                  <w:pPr>
                    <w:pStyle w:val="Text1"/>
                    <w:spacing w:after="120"/>
                    <w:ind w:left="360"/>
                    <w:jc w:val="both"/>
                    <w:rPr>
                      <w:bCs/>
                      <w:szCs w:val="24"/>
                      <w:lang w:val="bg-BG"/>
                    </w:rPr>
                  </w:pPr>
                </w:p>
              </w:tc>
              <w:tc>
                <w:tcPr>
                  <w:tcW w:w="7738" w:type="dxa"/>
                  <w:shd w:val="clear" w:color="auto" w:fill="auto"/>
                </w:tcPr>
                <w:p w14:paraId="3161F474" w14:textId="324700AB" w:rsidR="000B01B1" w:rsidRPr="00B56DF7" w:rsidRDefault="000B01B1" w:rsidP="000B01B1">
                  <w:pPr>
                    <w:pStyle w:val="Text1"/>
                    <w:spacing w:after="120"/>
                    <w:ind w:left="0"/>
                    <w:jc w:val="both"/>
                    <w:rPr>
                      <w:bCs/>
                      <w:iCs/>
                      <w:szCs w:val="24"/>
                      <w:lang w:val="bg-BG"/>
                    </w:rPr>
                  </w:pPr>
                </w:p>
              </w:tc>
            </w:tr>
          </w:tbl>
          <w:p w14:paraId="12B20C3E" w14:textId="77777777" w:rsidR="00346386" w:rsidRPr="00B56DF7" w:rsidRDefault="00346386" w:rsidP="00812799">
            <w:pPr>
              <w:pStyle w:val="Text1"/>
              <w:spacing w:after="120"/>
              <w:ind w:left="0"/>
              <w:jc w:val="both"/>
              <w:rPr>
                <w:bCs/>
                <w:szCs w:val="24"/>
                <w:lang w:val="bg-BG"/>
              </w:rPr>
            </w:pPr>
          </w:p>
        </w:tc>
      </w:tr>
    </w:tbl>
    <w:p w14:paraId="229AD288" w14:textId="284EF27F" w:rsidR="00C2718F" w:rsidRPr="00B56DF7" w:rsidRDefault="00EF0F9D" w:rsidP="00FE349D">
      <w:pPr>
        <w:spacing w:after="120"/>
        <w:jc w:val="both"/>
        <w:rPr>
          <w:szCs w:val="24"/>
          <w:lang w:val="bg-BG"/>
        </w:rPr>
      </w:pPr>
      <w:r w:rsidRPr="00B56DF7">
        <w:rPr>
          <w:szCs w:val="24"/>
          <w:lang w:val="bg-BG"/>
        </w:rPr>
        <w:lastRenderedPageBreak/>
        <w:t>Настоящият договор се с</w:t>
      </w:r>
      <w:r w:rsidR="00422873" w:rsidRPr="00B56DF7">
        <w:rPr>
          <w:szCs w:val="24"/>
          <w:lang w:val="bg-BG"/>
        </w:rPr>
        <w:t>ъст</w:t>
      </w:r>
      <w:r w:rsidRPr="00B56DF7">
        <w:rPr>
          <w:szCs w:val="24"/>
          <w:lang w:val="bg-BG"/>
        </w:rPr>
        <w:t>ави</w:t>
      </w:r>
      <w:r w:rsidR="00200410" w:rsidRPr="00B56DF7">
        <w:rPr>
          <w:szCs w:val="24"/>
          <w:lang w:val="bg-BG"/>
        </w:rPr>
        <w:t xml:space="preserve"> </w:t>
      </w:r>
      <w:r w:rsidRPr="00B56DF7">
        <w:rPr>
          <w:szCs w:val="24"/>
          <w:lang w:val="bg-BG"/>
        </w:rPr>
        <w:t>и подписа</w:t>
      </w:r>
      <w:r w:rsidR="00767163" w:rsidRPr="00B56DF7">
        <w:rPr>
          <w:szCs w:val="24"/>
          <w:lang w:val="bg-BG"/>
        </w:rPr>
        <w:t xml:space="preserve"> </w:t>
      </w:r>
      <w:r w:rsidR="00200410" w:rsidRPr="00B56DF7">
        <w:rPr>
          <w:szCs w:val="24"/>
          <w:lang w:val="bg-BG"/>
        </w:rPr>
        <w:t>в</w:t>
      </w:r>
      <w:r w:rsidR="00422873" w:rsidRPr="00B56DF7">
        <w:rPr>
          <w:szCs w:val="24"/>
          <w:lang w:val="bg-BG"/>
        </w:rPr>
        <w:t xml:space="preserve"> </w:t>
      </w:r>
      <w:r w:rsidR="00194E20" w:rsidRPr="00B56DF7">
        <w:rPr>
          <w:szCs w:val="24"/>
          <w:lang w:val="bg-BG"/>
        </w:rPr>
        <w:t xml:space="preserve">гр. </w:t>
      </w:r>
      <w:r w:rsidR="00835634" w:rsidRPr="00B56DF7">
        <w:rPr>
          <w:i/>
          <w:szCs w:val="24"/>
          <w:lang w:val="bg-BG"/>
        </w:rPr>
        <w:t>София</w:t>
      </w:r>
      <w:r w:rsidR="00194E20" w:rsidRPr="00B56DF7">
        <w:rPr>
          <w:szCs w:val="24"/>
          <w:lang w:val="bg-BG"/>
        </w:rPr>
        <w:t xml:space="preserve"> </w:t>
      </w:r>
      <w:r w:rsidR="00422873" w:rsidRPr="00B56DF7">
        <w:rPr>
          <w:szCs w:val="24"/>
          <w:lang w:val="bg-BG"/>
        </w:rPr>
        <w:t xml:space="preserve">в </w:t>
      </w:r>
      <w:r w:rsidR="009207FF" w:rsidRPr="00B56DF7">
        <w:rPr>
          <w:szCs w:val="24"/>
          <w:lang w:val="bg-BG"/>
        </w:rPr>
        <w:t>2</w:t>
      </w:r>
      <w:r w:rsidR="00422873" w:rsidRPr="00B56DF7">
        <w:rPr>
          <w:szCs w:val="24"/>
          <w:lang w:val="bg-BG"/>
        </w:rPr>
        <w:t xml:space="preserve"> </w:t>
      </w:r>
      <w:r w:rsidR="00767163" w:rsidRPr="00B56DF7">
        <w:rPr>
          <w:szCs w:val="24"/>
          <w:lang w:val="bg-BG"/>
        </w:rPr>
        <w:t>еднообразни</w:t>
      </w:r>
      <w:r w:rsidR="00422873" w:rsidRPr="00B56DF7">
        <w:rPr>
          <w:szCs w:val="24"/>
          <w:lang w:val="bg-BG"/>
        </w:rPr>
        <w:t xml:space="preserve"> екземпляра</w:t>
      </w:r>
      <w:r w:rsidR="00767163" w:rsidRPr="00B56DF7">
        <w:rPr>
          <w:szCs w:val="24"/>
          <w:lang w:val="bg-BG"/>
        </w:rPr>
        <w:t xml:space="preserve"> </w:t>
      </w:r>
      <w:r w:rsidRPr="00B56DF7">
        <w:rPr>
          <w:szCs w:val="24"/>
          <w:lang w:val="bg-BG"/>
        </w:rPr>
        <w:t xml:space="preserve">- </w:t>
      </w:r>
      <w:r w:rsidR="00767163" w:rsidRPr="00B56DF7">
        <w:rPr>
          <w:szCs w:val="24"/>
          <w:lang w:val="bg-BG"/>
        </w:rPr>
        <w:t>по един за всяка от страните</w:t>
      </w:r>
      <w:r w:rsidR="00C2718F" w:rsidRPr="00B56DF7">
        <w:rPr>
          <w:szCs w:val="24"/>
          <w:lang w:val="bg-BG"/>
        </w:rPr>
        <w:t>.</w:t>
      </w:r>
    </w:p>
    <w:p w14:paraId="288B737D" w14:textId="77777777" w:rsidR="009F3D06" w:rsidRPr="00B56DF7" w:rsidRDefault="009F3D06" w:rsidP="00FE349D">
      <w:pPr>
        <w:spacing w:after="120"/>
        <w:jc w:val="both"/>
        <w:rPr>
          <w:szCs w:val="24"/>
          <w:lang w:val="bg-BG"/>
        </w:rPr>
      </w:pPr>
      <w:r w:rsidRPr="00B56DF7">
        <w:rPr>
          <w:szCs w:val="24"/>
          <w:lang w:val="bg-BG"/>
        </w:rPr>
        <w:t xml:space="preserve">[алтернативно: </w:t>
      </w:r>
      <w:r w:rsidR="00EF0F9D" w:rsidRPr="00B56DF7">
        <w:rPr>
          <w:i/>
          <w:szCs w:val="24"/>
          <w:lang w:val="bg-BG"/>
        </w:rPr>
        <w:t>Настоящият договор е с</w:t>
      </w:r>
      <w:r w:rsidRPr="00B56DF7">
        <w:rPr>
          <w:i/>
          <w:szCs w:val="24"/>
          <w:lang w:val="bg-BG"/>
        </w:rPr>
        <w:t>ъстав</w:t>
      </w:r>
      <w:r w:rsidR="00EF0F9D" w:rsidRPr="00B56DF7">
        <w:rPr>
          <w:i/>
          <w:szCs w:val="24"/>
          <w:lang w:val="bg-BG"/>
        </w:rPr>
        <w:t>ен</w:t>
      </w:r>
      <w:r w:rsidRPr="00B56DF7">
        <w:rPr>
          <w:i/>
          <w:szCs w:val="24"/>
          <w:lang w:val="bg-BG"/>
        </w:rPr>
        <w:t xml:space="preserve"> като електронен документ </w:t>
      </w:r>
      <w:r w:rsidR="00EF0F9D" w:rsidRPr="00B56DF7">
        <w:rPr>
          <w:i/>
          <w:szCs w:val="24"/>
          <w:lang w:val="bg-BG"/>
        </w:rPr>
        <w:t>и подписан с електронни</w:t>
      </w:r>
      <w:r w:rsidRPr="00B56DF7">
        <w:rPr>
          <w:i/>
          <w:szCs w:val="24"/>
          <w:lang w:val="bg-BG"/>
        </w:rPr>
        <w:t xml:space="preserve"> подпис</w:t>
      </w:r>
      <w:r w:rsidR="00EF0F9D" w:rsidRPr="00B56DF7">
        <w:rPr>
          <w:i/>
          <w:szCs w:val="24"/>
          <w:lang w:val="bg-BG"/>
        </w:rPr>
        <w:t>и</w:t>
      </w:r>
      <w:r w:rsidRPr="00B56DF7">
        <w:rPr>
          <w:i/>
          <w:szCs w:val="24"/>
          <w:lang w:val="bg-BG"/>
        </w:rPr>
        <w:t xml:space="preserve"> </w:t>
      </w:r>
      <w:bookmarkStart w:id="1" w:name="_Hlk109500137"/>
      <w:r w:rsidRPr="00B56DF7">
        <w:rPr>
          <w:i/>
          <w:szCs w:val="24"/>
          <w:lang w:val="bg-BG"/>
        </w:rPr>
        <w:t>в съответствие със Закона за електронния документ и електронните удостоверителни услуги</w:t>
      </w:r>
      <w:bookmarkEnd w:id="1"/>
      <w:r w:rsidRPr="00B56DF7">
        <w:rPr>
          <w:i/>
          <w:szCs w:val="24"/>
          <w:lang w:val="bg-BG"/>
        </w:rPr>
        <w:t>]</w:t>
      </w:r>
      <w:r w:rsidRPr="00B56DF7">
        <w:rPr>
          <w:szCs w:val="24"/>
          <w:lang w:val="bg-BG"/>
        </w:rPr>
        <w:t>.</w:t>
      </w:r>
    </w:p>
    <w:p w14:paraId="08DA5236" w14:textId="77777777" w:rsidR="00A5759C" w:rsidRPr="00B56DF7" w:rsidRDefault="00A5759C" w:rsidP="00FE349D">
      <w:pPr>
        <w:spacing w:after="120"/>
        <w:ind w:left="5812" w:hanging="5812"/>
        <w:rPr>
          <w:szCs w:val="24"/>
          <w:lang w:val="bg-BG"/>
        </w:rPr>
      </w:pPr>
    </w:p>
    <w:tbl>
      <w:tblPr>
        <w:tblW w:w="0" w:type="auto"/>
        <w:tblLayout w:type="fixed"/>
        <w:tblLook w:val="0000" w:firstRow="0" w:lastRow="0" w:firstColumn="0" w:lastColumn="0" w:noHBand="0" w:noVBand="0"/>
      </w:tblPr>
      <w:tblGrid>
        <w:gridCol w:w="1384"/>
        <w:gridCol w:w="3259"/>
        <w:gridCol w:w="2321"/>
        <w:gridCol w:w="2500"/>
      </w:tblGrid>
      <w:tr w:rsidR="009A0B27" w:rsidRPr="00B56DF7" w14:paraId="69510DAD" w14:textId="77777777" w:rsidTr="00850078">
        <w:tc>
          <w:tcPr>
            <w:tcW w:w="4643" w:type="dxa"/>
            <w:gridSpan w:val="2"/>
          </w:tcPr>
          <w:p w14:paraId="3A90A641" w14:textId="77777777" w:rsidR="009A0B27" w:rsidRPr="00B56DF7" w:rsidRDefault="00C94AFA" w:rsidP="00FE349D">
            <w:pPr>
              <w:pStyle w:val="BodyText"/>
              <w:spacing w:after="120"/>
              <w:rPr>
                <w:b/>
                <w:szCs w:val="24"/>
                <w:lang w:val="bg-BG"/>
              </w:rPr>
            </w:pPr>
            <w:r w:rsidRPr="00B56DF7">
              <w:rPr>
                <w:b/>
                <w:szCs w:val="24"/>
                <w:lang w:val="bg-BG"/>
              </w:rPr>
              <w:t xml:space="preserve">За </w:t>
            </w:r>
            <w:r w:rsidR="00850078" w:rsidRPr="00B56DF7">
              <w:rPr>
                <w:b/>
                <w:szCs w:val="24"/>
                <w:lang w:val="bg-BG"/>
              </w:rPr>
              <w:t>Краен получател</w:t>
            </w:r>
            <w:r w:rsidRPr="00B56DF7">
              <w:rPr>
                <w:b/>
                <w:szCs w:val="24"/>
                <w:lang w:val="bg-BG"/>
              </w:rPr>
              <w:t xml:space="preserve"> </w:t>
            </w:r>
          </w:p>
        </w:tc>
        <w:tc>
          <w:tcPr>
            <w:tcW w:w="4821" w:type="dxa"/>
            <w:gridSpan w:val="2"/>
          </w:tcPr>
          <w:p w14:paraId="5A46CDC6" w14:textId="4C66DB22" w:rsidR="009A0B27" w:rsidRPr="00B56DF7" w:rsidRDefault="00850078" w:rsidP="00483B90">
            <w:pPr>
              <w:pStyle w:val="BodyText"/>
              <w:spacing w:after="120"/>
              <w:rPr>
                <w:b/>
                <w:szCs w:val="24"/>
                <w:lang w:val="bg-BG"/>
              </w:rPr>
            </w:pPr>
            <w:r w:rsidRPr="00B56DF7">
              <w:rPr>
                <w:b/>
                <w:szCs w:val="24"/>
                <w:lang w:val="bg-BG"/>
              </w:rPr>
              <w:t xml:space="preserve">За </w:t>
            </w:r>
            <w:r w:rsidR="00483B90">
              <w:rPr>
                <w:b/>
                <w:szCs w:val="24"/>
                <w:lang w:val="bg-BG"/>
              </w:rPr>
              <w:t>ДФ „Земеделие“</w:t>
            </w:r>
          </w:p>
        </w:tc>
      </w:tr>
      <w:tr w:rsidR="00594CD3" w:rsidRPr="00B56DF7" w14:paraId="4ED75FB6" w14:textId="77777777" w:rsidTr="00850078">
        <w:trPr>
          <w:cantSplit/>
        </w:trPr>
        <w:tc>
          <w:tcPr>
            <w:tcW w:w="1384" w:type="dxa"/>
          </w:tcPr>
          <w:p w14:paraId="6586A380" w14:textId="77777777" w:rsidR="00594CD3" w:rsidRPr="00B56DF7" w:rsidRDefault="00594CD3" w:rsidP="00FE349D">
            <w:pPr>
              <w:pStyle w:val="BodyText"/>
              <w:spacing w:after="120"/>
              <w:rPr>
                <w:szCs w:val="24"/>
                <w:lang w:val="bg-BG"/>
              </w:rPr>
            </w:pPr>
            <w:r w:rsidRPr="00B56DF7">
              <w:rPr>
                <w:szCs w:val="24"/>
                <w:lang w:val="bg-BG"/>
              </w:rPr>
              <w:t>Име</w:t>
            </w:r>
          </w:p>
        </w:tc>
        <w:tc>
          <w:tcPr>
            <w:tcW w:w="3259" w:type="dxa"/>
          </w:tcPr>
          <w:p w14:paraId="793B56CA" w14:textId="77777777" w:rsidR="00594CD3" w:rsidRPr="00B56DF7" w:rsidRDefault="00594CD3" w:rsidP="00FE349D">
            <w:pPr>
              <w:pStyle w:val="BodyText"/>
              <w:spacing w:after="120"/>
              <w:rPr>
                <w:szCs w:val="24"/>
                <w:lang w:val="bg-BG"/>
              </w:rPr>
            </w:pPr>
          </w:p>
        </w:tc>
        <w:tc>
          <w:tcPr>
            <w:tcW w:w="2321" w:type="dxa"/>
          </w:tcPr>
          <w:p w14:paraId="747D75CC" w14:textId="77777777" w:rsidR="00594CD3" w:rsidRPr="00B56DF7" w:rsidRDefault="00594CD3" w:rsidP="00FE349D">
            <w:pPr>
              <w:pStyle w:val="BodyText"/>
              <w:spacing w:after="120"/>
              <w:rPr>
                <w:szCs w:val="24"/>
                <w:lang w:val="bg-BG"/>
              </w:rPr>
            </w:pPr>
            <w:r w:rsidRPr="00B56DF7">
              <w:rPr>
                <w:szCs w:val="24"/>
                <w:lang w:val="bg-BG"/>
              </w:rPr>
              <w:t>Име</w:t>
            </w:r>
          </w:p>
        </w:tc>
        <w:tc>
          <w:tcPr>
            <w:tcW w:w="2500" w:type="dxa"/>
          </w:tcPr>
          <w:p w14:paraId="0C1CFB0A" w14:textId="77777777" w:rsidR="00594CD3" w:rsidRPr="00B56DF7" w:rsidRDefault="00594CD3" w:rsidP="00FE349D">
            <w:pPr>
              <w:pStyle w:val="BodyText"/>
              <w:spacing w:after="120"/>
              <w:rPr>
                <w:szCs w:val="24"/>
                <w:lang w:val="bg-BG"/>
              </w:rPr>
            </w:pPr>
          </w:p>
        </w:tc>
      </w:tr>
      <w:tr w:rsidR="00594CD3" w:rsidRPr="00B56DF7" w14:paraId="450DFBEC" w14:textId="77777777" w:rsidTr="00850078">
        <w:trPr>
          <w:cantSplit/>
        </w:trPr>
        <w:tc>
          <w:tcPr>
            <w:tcW w:w="1384" w:type="dxa"/>
          </w:tcPr>
          <w:p w14:paraId="377FA1FC" w14:textId="77777777" w:rsidR="00594CD3" w:rsidRPr="00B56DF7" w:rsidRDefault="00594CD3" w:rsidP="00FE349D">
            <w:pPr>
              <w:pStyle w:val="BodyText"/>
              <w:spacing w:after="120"/>
              <w:rPr>
                <w:szCs w:val="24"/>
                <w:lang w:val="bg-BG"/>
              </w:rPr>
            </w:pPr>
            <w:r w:rsidRPr="00B56DF7">
              <w:rPr>
                <w:szCs w:val="24"/>
                <w:lang w:val="bg-BG"/>
              </w:rPr>
              <w:t>Длъжност</w:t>
            </w:r>
          </w:p>
        </w:tc>
        <w:tc>
          <w:tcPr>
            <w:tcW w:w="3259" w:type="dxa"/>
          </w:tcPr>
          <w:p w14:paraId="3676045C" w14:textId="77777777" w:rsidR="00594CD3" w:rsidRPr="00B56DF7" w:rsidRDefault="00594CD3" w:rsidP="00FE349D">
            <w:pPr>
              <w:pStyle w:val="BodyText"/>
              <w:spacing w:after="120"/>
              <w:rPr>
                <w:szCs w:val="24"/>
                <w:lang w:val="bg-BG"/>
              </w:rPr>
            </w:pPr>
          </w:p>
        </w:tc>
        <w:tc>
          <w:tcPr>
            <w:tcW w:w="2321" w:type="dxa"/>
          </w:tcPr>
          <w:p w14:paraId="6891FFA8" w14:textId="77777777" w:rsidR="00594CD3" w:rsidRPr="00B56DF7" w:rsidRDefault="00594CD3" w:rsidP="00FE349D">
            <w:pPr>
              <w:pStyle w:val="BodyText"/>
              <w:spacing w:after="120"/>
              <w:rPr>
                <w:szCs w:val="24"/>
                <w:lang w:val="bg-BG"/>
              </w:rPr>
            </w:pPr>
            <w:r w:rsidRPr="00B56DF7">
              <w:rPr>
                <w:szCs w:val="24"/>
                <w:lang w:val="bg-BG"/>
              </w:rPr>
              <w:t>Длъжност</w:t>
            </w:r>
          </w:p>
        </w:tc>
        <w:tc>
          <w:tcPr>
            <w:tcW w:w="2500" w:type="dxa"/>
          </w:tcPr>
          <w:p w14:paraId="4409BFC0" w14:textId="77777777" w:rsidR="00594CD3" w:rsidRPr="00B56DF7" w:rsidRDefault="00594CD3" w:rsidP="00FE349D">
            <w:pPr>
              <w:pStyle w:val="BodyText"/>
              <w:spacing w:after="120"/>
              <w:rPr>
                <w:szCs w:val="24"/>
                <w:lang w:val="bg-BG"/>
              </w:rPr>
            </w:pPr>
          </w:p>
        </w:tc>
      </w:tr>
      <w:tr w:rsidR="00594CD3" w:rsidRPr="00B56DF7" w14:paraId="0352DC00" w14:textId="77777777" w:rsidTr="00850078">
        <w:trPr>
          <w:cantSplit/>
        </w:trPr>
        <w:tc>
          <w:tcPr>
            <w:tcW w:w="1384" w:type="dxa"/>
          </w:tcPr>
          <w:p w14:paraId="4486580A" w14:textId="77777777" w:rsidR="00594CD3" w:rsidRPr="00B56DF7" w:rsidRDefault="00594CD3" w:rsidP="00FE349D">
            <w:pPr>
              <w:pStyle w:val="BodyText"/>
              <w:spacing w:after="120"/>
              <w:rPr>
                <w:szCs w:val="24"/>
                <w:lang w:val="bg-BG"/>
              </w:rPr>
            </w:pPr>
            <w:r w:rsidRPr="00B56DF7">
              <w:rPr>
                <w:szCs w:val="24"/>
                <w:lang w:val="bg-BG"/>
              </w:rPr>
              <w:t>Подпис</w:t>
            </w:r>
          </w:p>
        </w:tc>
        <w:tc>
          <w:tcPr>
            <w:tcW w:w="3259" w:type="dxa"/>
          </w:tcPr>
          <w:p w14:paraId="70EC4029" w14:textId="77777777" w:rsidR="00594CD3" w:rsidRPr="00B56DF7" w:rsidRDefault="00594CD3" w:rsidP="00FE349D">
            <w:pPr>
              <w:pStyle w:val="BodyText"/>
              <w:spacing w:after="120"/>
              <w:rPr>
                <w:szCs w:val="24"/>
                <w:lang w:val="bg-BG"/>
              </w:rPr>
            </w:pPr>
          </w:p>
        </w:tc>
        <w:tc>
          <w:tcPr>
            <w:tcW w:w="2321" w:type="dxa"/>
          </w:tcPr>
          <w:p w14:paraId="32665E81" w14:textId="77777777" w:rsidR="00594CD3" w:rsidRPr="00B56DF7" w:rsidRDefault="00594CD3" w:rsidP="00FE349D">
            <w:pPr>
              <w:pStyle w:val="BodyText"/>
              <w:spacing w:after="120"/>
              <w:rPr>
                <w:szCs w:val="24"/>
                <w:lang w:val="bg-BG"/>
              </w:rPr>
            </w:pPr>
            <w:r w:rsidRPr="00B56DF7">
              <w:rPr>
                <w:szCs w:val="24"/>
                <w:lang w:val="bg-BG"/>
              </w:rPr>
              <w:t>Подпис</w:t>
            </w:r>
          </w:p>
        </w:tc>
        <w:tc>
          <w:tcPr>
            <w:tcW w:w="2500" w:type="dxa"/>
          </w:tcPr>
          <w:p w14:paraId="1C444D36" w14:textId="77777777" w:rsidR="00594CD3" w:rsidRPr="00B56DF7" w:rsidRDefault="00594CD3" w:rsidP="00FE349D">
            <w:pPr>
              <w:pStyle w:val="BodyText"/>
              <w:spacing w:after="120"/>
              <w:rPr>
                <w:szCs w:val="24"/>
                <w:lang w:val="bg-BG"/>
              </w:rPr>
            </w:pPr>
          </w:p>
        </w:tc>
      </w:tr>
      <w:tr w:rsidR="00594CD3" w:rsidRPr="00B56DF7" w14:paraId="0F2B7AE4" w14:textId="77777777" w:rsidTr="00850078">
        <w:trPr>
          <w:cantSplit/>
        </w:trPr>
        <w:tc>
          <w:tcPr>
            <w:tcW w:w="1384" w:type="dxa"/>
          </w:tcPr>
          <w:p w14:paraId="1CCE9523" w14:textId="77777777" w:rsidR="00594CD3" w:rsidRPr="00B56DF7" w:rsidRDefault="00594CD3" w:rsidP="00FE349D">
            <w:pPr>
              <w:pStyle w:val="BodyText"/>
              <w:spacing w:after="120"/>
              <w:rPr>
                <w:szCs w:val="24"/>
                <w:lang w:val="bg-BG"/>
              </w:rPr>
            </w:pPr>
            <w:r w:rsidRPr="00B56DF7">
              <w:rPr>
                <w:szCs w:val="24"/>
                <w:lang w:val="bg-BG"/>
              </w:rPr>
              <w:t>Дата</w:t>
            </w:r>
          </w:p>
        </w:tc>
        <w:tc>
          <w:tcPr>
            <w:tcW w:w="3259" w:type="dxa"/>
          </w:tcPr>
          <w:p w14:paraId="3C3C2ED8" w14:textId="77777777" w:rsidR="00594CD3" w:rsidRPr="00B56DF7" w:rsidRDefault="00594CD3" w:rsidP="00FE349D">
            <w:pPr>
              <w:pStyle w:val="BodyText"/>
              <w:spacing w:after="120"/>
              <w:rPr>
                <w:szCs w:val="24"/>
                <w:lang w:val="bg-BG"/>
              </w:rPr>
            </w:pPr>
          </w:p>
        </w:tc>
        <w:tc>
          <w:tcPr>
            <w:tcW w:w="2321" w:type="dxa"/>
          </w:tcPr>
          <w:p w14:paraId="6BDDD7C1" w14:textId="77777777" w:rsidR="00594CD3" w:rsidRPr="00B56DF7" w:rsidRDefault="00594CD3" w:rsidP="00FE349D">
            <w:pPr>
              <w:pStyle w:val="BodyText"/>
              <w:spacing w:after="120"/>
              <w:rPr>
                <w:szCs w:val="24"/>
                <w:lang w:val="bg-BG"/>
              </w:rPr>
            </w:pPr>
            <w:r w:rsidRPr="00B56DF7">
              <w:rPr>
                <w:szCs w:val="24"/>
                <w:lang w:val="bg-BG"/>
              </w:rPr>
              <w:t>Дата</w:t>
            </w:r>
          </w:p>
        </w:tc>
        <w:tc>
          <w:tcPr>
            <w:tcW w:w="2500" w:type="dxa"/>
          </w:tcPr>
          <w:p w14:paraId="38AAE54D" w14:textId="77777777" w:rsidR="00594CD3" w:rsidRPr="00B56DF7" w:rsidRDefault="00594CD3" w:rsidP="00FE349D">
            <w:pPr>
              <w:pStyle w:val="BodyText"/>
              <w:spacing w:after="120"/>
              <w:rPr>
                <w:szCs w:val="24"/>
                <w:lang w:val="bg-BG"/>
              </w:rPr>
            </w:pPr>
          </w:p>
        </w:tc>
      </w:tr>
    </w:tbl>
    <w:p w14:paraId="12162DFC" w14:textId="77777777" w:rsidR="009A0B27" w:rsidRPr="00B56DF7" w:rsidRDefault="009A0B27" w:rsidP="00FE349D">
      <w:pPr>
        <w:spacing w:after="120"/>
        <w:ind w:left="5812" w:hanging="5812"/>
        <w:rPr>
          <w:szCs w:val="24"/>
          <w:lang w:val="bg-BG"/>
        </w:rPr>
      </w:pPr>
    </w:p>
    <w:sectPr w:rsidR="009A0B27" w:rsidRPr="00B56DF7" w:rsidSect="00EE27D0">
      <w:headerReference w:type="default" r:id="rId8"/>
      <w:footerReference w:type="default" r:id="rId9"/>
      <w:headerReference w:type="first" r:id="rId10"/>
      <w:pgSz w:w="11906" w:h="16838" w:code="9"/>
      <w:pgMar w:top="284" w:right="1134" w:bottom="426" w:left="1418" w:header="709" w:footer="709" w:gutter="0"/>
      <w:cols w:space="708"/>
      <w:titlePg/>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B737A0" w16cex:dateUtc="2023-03-11T15:23:00Z"/>
  <w16cex:commentExtensible w16cex:durableId="27B737D9" w16cex:dateUtc="2023-03-11T15: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8FCEE5" w16cid:durableId="27B737A0"/>
  <w16cid:commentId w16cid:paraId="11D3AEC9" w16cid:durableId="27B737D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123C78" w14:textId="77777777" w:rsidR="008E7AC6" w:rsidRDefault="008E7AC6">
      <w:r>
        <w:separator/>
      </w:r>
    </w:p>
  </w:endnote>
  <w:endnote w:type="continuationSeparator" w:id="0">
    <w:p w14:paraId="5B39C551" w14:textId="77777777" w:rsidR="008E7AC6" w:rsidRDefault="008E7A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61EB62" w14:textId="7C252CAE" w:rsidR="00D135A3" w:rsidRPr="00A62371" w:rsidRDefault="00D135A3" w:rsidP="008A6199">
    <w:pPr>
      <w:pStyle w:val="Footer"/>
      <w:tabs>
        <w:tab w:val="clear" w:pos="8640"/>
        <w:tab w:val="right" w:pos="9356"/>
      </w:tabs>
      <w:rPr>
        <w:rFonts w:ascii="Calibri Light" w:hAnsi="Calibri Light" w:cs="Calibri Light"/>
        <w:sz w:val="22"/>
        <w:szCs w:val="22"/>
        <w:lang w:val="fr-BE"/>
      </w:rPr>
    </w:pPr>
    <w:r w:rsidRPr="008A6199">
      <w:rPr>
        <w:sz w:val="18"/>
        <w:szCs w:val="18"/>
        <w:lang w:val="fr-BE"/>
      </w:rPr>
      <w:tab/>
    </w:r>
    <w:r w:rsidRPr="008A6199">
      <w:rPr>
        <w:sz w:val="18"/>
        <w:szCs w:val="18"/>
        <w:lang w:val="fr-BE"/>
      </w:rPr>
      <w:tab/>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PAGE </w:instrText>
    </w:r>
    <w:r w:rsidRPr="00A62371">
      <w:rPr>
        <w:rStyle w:val="PageNumber"/>
        <w:rFonts w:ascii="Calibri Light" w:hAnsi="Calibri Light" w:cs="Calibri Light"/>
        <w:sz w:val="22"/>
        <w:szCs w:val="22"/>
      </w:rPr>
      <w:fldChar w:fldCharType="separate"/>
    </w:r>
    <w:r w:rsidR="00C62104">
      <w:rPr>
        <w:rStyle w:val="PageNumber"/>
        <w:rFonts w:ascii="Calibri Light" w:hAnsi="Calibri Light" w:cs="Calibri Light"/>
        <w:noProof/>
        <w:sz w:val="22"/>
        <w:szCs w:val="22"/>
      </w:rPr>
      <w:t>2</w:t>
    </w:r>
    <w:r w:rsidRPr="00A62371">
      <w:rPr>
        <w:rStyle w:val="PageNumber"/>
        <w:rFonts w:ascii="Calibri Light" w:hAnsi="Calibri Light" w:cs="Calibri Light"/>
        <w:sz w:val="22"/>
        <w:szCs w:val="22"/>
      </w:rPr>
      <w:fldChar w:fldCharType="end"/>
    </w:r>
    <w:r w:rsidRPr="00A62371">
      <w:rPr>
        <w:rStyle w:val="PageNumber"/>
        <w:rFonts w:ascii="Calibri Light" w:hAnsi="Calibri Light" w:cs="Calibri Light"/>
        <w:sz w:val="22"/>
        <w:szCs w:val="22"/>
      </w:rPr>
      <w:t>/</w:t>
    </w:r>
    <w:r w:rsidRPr="00A62371">
      <w:rPr>
        <w:rStyle w:val="PageNumber"/>
        <w:rFonts w:ascii="Calibri Light" w:hAnsi="Calibri Light" w:cs="Calibri Light"/>
        <w:sz w:val="22"/>
        <w:szCs w:val="22"/>
      </w:rPr>
      <w:fldChar w:fldCharType="begin"/>
    </w:r>
    <w:r w:rsidRPr="00A62371">
      <w:rPr>
        <w:rStyle w:val="PageNumber"/>
        <w:rFonts w:ascii="Calibri Light" w:hAnsi="Calibri Light" w:cs="Calibri Light"/>
        <w:sz w:val="22"/>
        <w:szCs w:val="22"/>
      </w:rPr>
      <w:instrText xml:space="preserve"> NUMPAGES </w:instrText>
    </w:r>
    <w:r w:rsidRPr="00A62371">
      <w:rPr>
        <w:rStyle w:val="PageNumber"/>
        <w:rFonts w:ascii="Calibri Light" w:hAnsi="Calibri Light" w:cs="Calibri Light"/>
        <w:sz w:val="22"/>
        <w:szCs w:val="22"/>
      </w:rPr>
      <w:fldChar w:fldCharType="separate"/>
    </w:r>
    <w:r w:rsidR="00C62104">
      <w:rPr>
        <w:rStyle w:val="PageNumber"/>
        <w:rFonts w:ascii="Calibri Light" w:hAnsi="Calibri Light" w:cs="Calibri Light"/>
        <w:noProof/>
        <w:sz w:val="22"/>
        <w:szCs w:val="22"/>
      </w:rPr>
      <w:t>8</w:t>
    </w:r>
    <w:r w:rsidRPr="00A62371">
      <w:rPr>
        <w:rStyle w:val="PageNumber"/>
        <w:rFonts w:ascii="Calibri Light" w:hAnsi="Calibri Light" w:cs="Calibri Light"/>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785127" w14:textId="77777777" w:rsidR="008E7AC6" w:rsidRDefault="008E7AC6">
      <w:r>
        <w:separator/>
      </w:r>
    </w:p>
  </w:footnote>
  <w:footnote w:type="continuationSeparator" w:id="0">
    <w:p w14:paraId="3A327C4D" w14:textId="77777777" w:rsidR="008E7AC6" w:rsidRDefault="008E7A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07F854" w14:textId="77777777" w:rsidR="00D135A3" w:rsidRDefault="00D135A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3941"/>
      <w:gridCol w:w="2863"/>
    </w:tblGrid>
    <w:tr w:rsidR="00905594" w:rsidRPr="00905594" w14:paraId="1F616F1B" w14:textId="77777777" w:rsidTr="00922004">
      <w:trPr>
        <w:trHeight w:val="1545"/>
      </w:trPr>
      <w:tc>
        <w:tcPr>
          <w:tcW w:w="2830" w:type="dxa"/>
          <w:shd w:val="clear" w:color="auto" w:fill="auto"/>
        </w:tcPr>
        <w:p w14:paraId="0C3F0D12" w14:textId="2CE9A5BD" w:rsidR="00905594" w:rsidRPr="00905594" w:rsidRDefault="00A309E0" w:rsidP="00922004">
          <w:pPr>
            <w:spacing w:after="160" w:line="259" w:lineRule="auto"/>
            <w:jc w:val="center"/>
            <w:rPr>
              <w:sz w:val="28"/>
              <w:szCs w:val="28"/>
              <w:lang w:val="bg-BG"/>
            </w:rPr>
          </w:pPr>
          <w:r>
            <w:rPr>
              <w:noProof/>
              <w:lang w:val="bg-BG" w:eastAsia="bg-BG"/>
            </w:rPr>
            <w:drawing>
              <wp:anchor distT="0" distB="0" distL="114300" distR="114300" simplePos="0" relativeHeight="251657216" behindDoc="0" locked="0" layoutInCell="1" allowOverlap="1" wp14:anchorId="3DA0CF1A" wp14:editId="5428664E">
                <wp:simplePos x="0" y="0"/>
                <wp:positionH relativeFrom="column">
                  <wp:posOffset>252095</wp:posOffset>
                </wp:positionH>
                <wp:positionV relativeFrom="paragraph">
                  <wp:posOffset>82550</wp:posOffset>
                </wp:positionV>
                <wp:extent cx="1002665" cy="600075"/>
                <wp:effectExtent l="0" t="0" r="0" b="0"/>
                <wp:wrapNone/>
                <wp:docPr id="2" name="Picture 1"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eu_flag_1"/>
                        <pic:cNvPicPr>
                          <a:picLocks noChangeAspect="1" noChangeArrowheads="1"/>
                        </pic:cNvPicPr>
                      </pic:nvPicPr>
                      <pic:blipFill>
                        <a:blip r:embed="rId1">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9E528E7" w14:textId="77777777" w:rsidR="00905594" w:rsidRPr="00905594" w:rsidRDefault="00905594" w:rsidP="00922004">
          <w:pPr>
            <w:spacing w:after="160" w:line="259" w:lineRule="auto"/>
            <w:jc w:val="center"/>
            <w:rPr>
              <w:b/>
              <w:sz w:val="14"/>
              <w:szCs w:val="14"/>
              <w:lang w:val="bg-BG"/>
            </w:rPr>
          </w:pPr>
        </w:p>
        <w:p w14:paraId="175F1D0F" w14:textId="77777777" w:rsidR="00905594" w:rsidRPr="00905594" w:rsidRDefault="00905594" w:rsidP="00922004">
          <w:pPr>
            <w:spacing w:after="160" w:line="259" w:lineRule="auto"/>
            <w:jc w:val="center"/>
            <w:rPr>
              <w:b/>
              <w:sz w:val="14"/>
              <w:szCs w:val="14"/>
              <w:lang w:val="bg-BG"/>
            </w:rPr>
          </w:pPr>
        </w:p>
        <w:p w14:paraId="36EA7495" w14:textId="77777777" w:rsidR="00905594" w:rsidRPr="00905594" w:rsidRDefault="00905594" w:rsidP="00922004">
          <w:pPr>
            <w:tabs>
              <w:tab w:val="center" w:pos="4153"/>
              <w:tab w:val="right" w:pos="9356"/>
            </w:tabs>
            <w:jc w:val="center"/>
            <w:rPr>
              <w:rFonts w:ascii="Arial" w:hAnsi="Arial" w:cs="Arial"/>
              <w:b/>
              <w:sz w:val="20"/>
              <w:lang w:val="bg-BG"/>
            </w:rPr>
          </w:pPr>
          <w:r w:rsidRPr="00922004">
            <w:rPr>
              <w:rFonts w:ascii="Arial" w:hAnsi="Arial" w:cs="Arial"/>
              <w:b/>
              <w:color w:val="234071"/>
              <w:lang w:val="bg-BG"/>
            </w:rPr>
            <w:t>Финансирано от Европейския съюз</w:t>
          </w:r>
        </w:p>
        <w:p w14:paraId="5B875171" w14:textId="147B7D69" w:rsidR="00905594" w:rsidRPr="00905594" w:rsidRDefault="00905594" w:rsidP="00922004">
          <w:pPr>
            <w:tabs>
              <w:tab w:val="center" w:pos="4153"/>
              <w:tab w:val="right" w:pos="9356"/>
            </w:tabs>
            <w:jc w:val="center"/>
            <w:rPr>
              <w:rFonts w:ascii="Candara" w:hAnsi="Candara" w:cs="Calibri"/>
              <w:b/>
              <w:bCs/>
              <w:snapToGrid w:val="0"/>
              <w:lang w:val="bg-BG"/>
            </w:rPr>
          </w:pPr>
          <w:r w:rsidRPr="00922004">
            <w:rPr>
              <w:rFonts w:ascii="Candara" w:hAnsi="Candara" w:cs="Calibri"/>
              <w:b/>
              <w:bCs/>
              <w:snapToGrid w:val="0"/>
              <w:color w:val="262F3C"/>
              <w:lang w:val="bg-BG"/>
            </w:rPr>
            <w:t>Следващо</w:t>
          </w:r>
          <w:r w:rsidR="009136CA">
            <w:rPr>
              <w:rFonts w:ascii="Candara" w:hAnsi="Candara" w:cs="Calibri"/>
              <w:b/>
              <w:bCs/>
              <w:snapToGrid w:val="0"/>
              <w:color w:val="262F3C"/>
              <w:lang w:val="bg-BG"/>
            </w:rPr>
            <w:t xml:space="preserve"> </w:t>
          </w:r>
          <w:r w:rsidRPr="00922004">
            <w:rPr>
              <w:rFonts w:ascii="Candara" w:hAnsi="Candara" w:cs="Calibri"/>
              <w:b/>
              <w:bCs/>
              <w:snapToGrid w:val="0"/>
              <w:color w:val="262F3C"/>
              <w:lang w:val="bg-BG"/>
            </w:rPr>
            <w:t>Поколение</w:t>
          </w:r>
          <w:r w:rsidR="009136CA">
            <w:rPr>
              <w:rFonts w:ascii="Candara" w:hAnsi="Candara" w:cs="Calibri"/>
              <w:b/>
              <w:bCs/>
              <w:snapToGrid w:val="0"/>
              <w:color w:val="262F3C"/>
              <w:lang w:val="bg-BG"/>
            </w:rPr>
            <w:t xml:space="preserve"> </w:t>
          </w:r>
          <w:r w:rsidRPr="00922004">
            <w:rPr>
              <w:rFonts w:ascii="Candara" w:hAnsi="Candara" w:cs="Calibri"/>
              <w:b/>
              <w:bCs/>
              <w:snapToGrid w:val="0"/>
              <w:color w:val="262F3C"/>
              <w:lang w:val="bg-BG"/>
            </w:rPr>
            <w:t>ЕС</w:t>
          </w:r>
        </w:p>
      </w:tc>
      <w:tc>
        <w:tcPr>
          <w:tcW w:w="3941" w:type="dxa"/>
          <w:shd w:val="clear" w:color="auto" w:fill="auto"/>
        </w:tcPr>
        <w:p w14:paraId="714C49AB" w14:textId="7A6D8A97" w:rsidR="00905594" w:rsidRPr="00905594" w:rsidRDefault="00A309E0" w:rsidP="00922004">
          <w:pPr>
            <w:spacing w:before="120" w:after="120"/>
            <w:jc w:val="center"/>
            <w:rPr>
              <w:rFonts w:ascii="Arial" w:hAnsi="Arial" w:cs="Arial"/>
              <w:b/>
              <w:bCs/>
              <w:sz w:val="22"/>
              <w:szCs w:val="22"/>
              <w:lang w:val="bg-BG"/>
            </w:rPr>
          </w:pPr>
          <w:r w:rsidRPr="00922004">
            <w:rPr>
              <w:noProof/>
              <w:sz w:val="20"/>
              <w:lang w:val="bg-BG" w:eastAsia="bg-BG"/>
            </w:rPr>
            <w:drawing>
              <wp:inline distT="0" distB="0" distL="0" distR="0" wp14:anchorId="5D35DC8E" wp14:editId="1EBE025E">
                <wp:extent cx="685800" cy="609600"/>
                <wp:effectExtent l="0" t="0" r="0" b="0"/>
                <wp:docPr id="5"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85800" cy="609600"/>
                        </a:xfrm>
                        <a:prstGeom prst="rect">
                          <a:avLst/>
                        </a:prstGeom>
                        <a:noFill/>
                        <a:ln>
                          <a:noFill/>
                        </a:ln>
                      </pic:spPr>
                    </pic:pic>
                  </a:graphicData>
                </a:graphic>
              </wp:inline>
            </w:drawing>
          </w:r>
        </w:p>
        <w:p w14:paraId="16B31B5C" w14:textId="77777777" w:rsidR="00905594" w:rsidRPr="00905594" w:rsidRDefault="00905594" w:rsidP="00922004">
          <w:pPr>
            <w:spacing w:before="120" w:after="120"/>
            <w:jc w:val="center"/>
            <w:rPr>
              <w:rFonts w:ascii="Arial" w:hAnsi="Arial" w:cs="Arial"/>
              <w:snapToGrid w:val="0"/>
              <w:lang w:val="bg-BG"/>
            </w:rPr>
          </w:pPr>
          <w:r w:rsidRPr="00905594">
            <w:rPr>
              <w:rFonts w:ascii="Arial" w:hAnsi="Arial" w:cs="Arial"/>
              <w:b/>
              <w:bCs/>
              <w:szCs w:val="24"/>
              <w:lang w:val="bg-BG"/>
            </w:rPr>
            <w:t>План за възстановяване и устойчивост</w:t>
          </w:r>
        </w:p>
      </w:tc>
      <w:tc>
        <w:tcPr>
          <w:tcW w:w="2863" w:type="dxa"/>
          <w:shd w:val="clear" w:color="auto" w:fill="auto"/>
        </w:tcPr>
        <w:p w14:paraId="702D642C" w14:textId="089AEEB6" w:rsidR="00905594" w:rsidRPr="00905594" w:rsidRDefault="00A309E0" w:rsidP="00922004">
          <w:pPr>
            <w:tabs>
              <w:tab w:val="center" w:pos="4153"/>
              <w:tab w:val="right" w:pos="9356"/>
            </w:tabs>
            <w:jc w:val="both"/>
            <w:rPr>
              <w:rFonts w:ascii="Arial" w:hAnsi="Arial" w:cs="Arial"/>
              <w:b/>
              <w:bCs/>
              <w:snapToGrid w:val="0"/>
              <w:lang w:val="bg-BG"/>
            </w:rPr>
          </w:pPr>
          <w:r>
            <w:rPr>
              <w:noProof/>
              <w:lang w:val="bg-BG" w:eastAsia="bg-BG"/>
            </w:rPr>
            <w:drawing>
              <wp:anchor distT="0" distB="0" distL="114300" distR="114300" simplePos="0" relativeHeight="251658240" behindDoc="0" locked="0" layoutInCell="1" allowOverlap="1" wp14:anchorId="765B11B1" wp14:editId="3E66CB88">
                <wp:simplePos x="0" y="0"/>
                <wp:positionH relativeFrom="column">
                  <wp:posOffset>347980</wp:posOffset>
                </wp:positionH>
                <wp:positionV relativeFrom="paragraph">
                  <wp:posOffset>137795</wp:posOffset>
                </wp:positionV>
                <wp:extent cx="790575" cy="662305"/>
                <wp:effectExtent l="0" t="0" r="0" b="0"/>
                <wp:wrapSquare wrapText="bothSides"/>
                <wp:docPr id="6" name="Picture 6"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Преглед на изображението източник"/>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868DE54" w14:textId="77777777" w:rsidR="00905594" w:rsidRPr="00905594" w:rsidRDefault="00905594" w:rsidP="00922004">
          <w:pPr>
            <w:tabs>
              <w:tab w:val="center" w:pos="4153"/>
              <w:tab w:val="right" w:pos="9356"/>
            </w:tabs>
            <w:jc w:val="both"/>
            <w:rPr>
              <w:rFonts w:ascii="Arial" w:hAnsi="Arial" w:cs="Arial"/>
              <w:b/>
              <w:bCs/>
              <w:snapToGrid w:val="0"/>
              <w:lang w:val="bg-BG"/>
            </w:rPr>
          </w:pPr>
        </w:p>
        <w:p w14:paraId="0A25F730" w14:textId="77777777" w:rsidR="00905594" w:rsidRPr="00905594" w:rsidRDefault="00905594" w:rsidP="00922004">
          <w:pPr>
            <w:tabs>
              <w:tab w:val="center" w:pos="4153"/>
              <w:tab w:val="right" w:pos="9356"/>
            </w:tabs>
            <w:jc w:val="both"/>
            <w:rPr>
              <w:rFonts w:ascii="Arial" w:hAnsi="Arial" w:cs="Arial"/>
              <w:b/>
              <w:bCs/>
              <w:snapToGrid w:val="0"/>
              <w:lang w:val="bg-BG"/>
            </w:rPr>
          </w:pPr>
        </w:p>
        <w:p w14:paraId="6D88A887" w14:textId="77777777" w:rsidR="00905594" w:rsidRPr="00905594" w:rsidRDefault="00905594" w:rsidP="00922004">
          <w:pPr>
            <w:tabs>
              <w:tab w:val="center" w:pos="4153"/>
              <w:tab w:val="right" w:pos="9356"/>
            </w:tabs>
            <w:jc w:val="both"/>
            <w:rPr>
              <w:rFonts w:ascii="Arial" w:hAnsi="Arial" w:cs="Arial"/>
              <w:b/>
              <w:bCs/>
              <w:snapToGrid w:val="0"/>
              <w:lang w:val="bg-BG"/>
            </w:rPr>
          </w:pPr>
        </w:p>
        <w:p w14:paraId="2EB636CF" w14:textId="77777777" w:rsidR="00905594" w:rsidRPr="00905594" w:rsidRDefault="00905594" w:rsidP="00922004">
          <w:pPr>
            <w:tabs>
              <w:tab w:val="center" w:pos="4153"/>
              <w:tab w:val="right" w:pos="9356"/>
            </w:tabs>
            <w:jc w:val="both"/>
            <w:rPr>
              <w:rFonts w:ascii="Arial" w:hAnsi="Arial" w:cs="Arial"/>
              <w:b/>
              <w:bCs/>
              <w:snapToGrid w:val="0"/>
              <w:lang w:val="bg-BG"/>
            </w:rPr>
          </w:pPr>
          <w:r w:rsidRPr="00905594">
            <w:rPr>
              <w:rFonts w:ascii="Arial" w:hAnsi="Arial" w:cs="Arial"/>
              <w:b/>
              <w:bCs/>
              <w:snapToGrid w:val="0"/>
              <w:lang w:val="en-US"/>
            </w:rPr>
            <w:t xml:space="preserve">  </w:t>
          </w:r>
          <w:r w:rsidRPr="00905594">
            <w:rPr>
              <w:rFonts w:ascii="Arial" w:hAnsi="Arial" w:cs="Arial"/>
              <w:b/>
              <w:bCs/>
              <w:snapToGrid w:val="0"/>
              <w:lang w:val="bg-BG"/>
            </w:rPr>
            <w:t>Република България</w:t>
          </w:r>
        </w:p>
      </w:tc>
    </w:tr>
  </w:tbl>
  <w:p w14:paraId="77F0125B" w14:textId="77777777" w:rsidR="00905594" w:rsidRDefault="009055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2CF8AF48"/>
    <w:lvl w:ilvl="0">
      <w:start w:val="1"/>
      <w:numFmt w:val="decimal"/>
      <w:pStyle w:val="Heading1"/>
      <w:lvlText w:val="%1."/>
      <w:legacy w:legacy="1" w:legacySpace="120" w:legacyIndent="480"/>
      <w:lvlJc w:val="left"/>
      <w:pPr>
        <w:ind w:left="406" w:hanging="480"/>
      </w:pPr>
    </w:lvl>
    <w:lvl w:ilvl="1">
      <w:start w:val="1"/>
      <w:numFmt w:val="decimal"/>
      <w:lvlText w:val="%1.%2."/>
      <w:legacy w:legacy="1" w:legacySpace="120" w:legacyIndent="600"/>
      <w:lvlJc w:val="left"/>
      <w:pPr>
        <w:ind w:left="1001" w:hanging="600"/>
      </w:pPr>
    </w:lvl>
    <w:lvl w:ilvl="2">
      <w:start w:val="1"/>
      <w:numFmt w:val="decimal"/>
      <w:pStyle w:val="Heading3"/>
      <w:lvlText w:val="%1.%2.%3."/>
      <w:legacy w:legacy="1" w:legacySpace="120" w:legacyIndent="840"/>
      <w:lvlJc w:val="left"/>
      <w:pPr>
        <w:ind w:left="1840" w:hanging="840"/>
      </w:pPr>
    </w:lvl>
    <w:lvl w:ilvl="3">
      <w:start w:val="1"/>
      <w:numFmt w:val="decimal"/>
      <w:pStyle w:val="Heading4"/>
      <w:lvlText w:val="%1.%2.%3.%4."/>
      <w:legacy w:legacy="1" w:legacySpace="120" w:legacyIndent="960"/>
      <w:lvlJc w:val="left"/>
      <w:pPr>
        <w:ind w:left="2804" w:hanging="960"/>
      </w:pPr>
    </w:lvl>
    <w:lvl w:ilvl="4">
      <w:start w:val="1"/>
      <w:numFmt w:val="decimal"/>
      <w:lvlText w:val="%1.%2.%3.%4.%5."/>
      <w:legacy w:legacy="1" w:legacySpace="0" w:legacyIndent="708"/>
      <w:lvlJc w:val="left"/>
      <w:pPr>
        <w:ind w:left="3256" w:hanging="708"/>
      </w:pPr>
    </w:lvl>
    <w:lvl w:ilvl="5">
      <w:start w:val="1"/>
      <w:numFmt w:val="decimal"/>
      <w:lvlText w:val="%1.%2.%3.%4.%5.%6."/>
      <w:legacy w:legacy="1" w:legacySpace="0" w:legacyIndent="708"/>
      <w:lvlJc w:val="left"/>
      <w:pPr>
        <w:ind w:left="3964" w:hanging="708"/>
      </w:pPr>
    </w:lvl>
    <w:lvl w:ilvl="6">
      <w:start w:val="1"/>
      <w:numFmt w:val="decimal"/>
      <w:lvlText w:val="%1.%2.%3.%4.%5.%6.%7."/>
      <w:legacy w:legacy="1" w:legacySpace="0" w:legacyIndent="708"/>
      <w:lvlJc w:val="left"/>
      <w:pPr>
        <w:ind w:left="4672" w:hanging="708"/>
      </w:pPr>
    </w:lvl>
    <w:lvl w:ilvl="7">
      <w:start w:val="1"/>
      <w:numFmt w:val="decimal"/>
      <w:lvlText w:val="%1.%2.%3.%4.%5.%6.%7.%8."/>
      <w:legacy w:legacy="1" w:legacySpace="0" w:legacyIndent="708"/>
      <w:lvlJc w:val="left"/>
      <w:pPr>
        <w:ind w:left="5380" w:hanging="708"/>
      </w:pPr>
    </w:lvl>
    <w:lvl w:ilvl="8">
      <w:numFmt w:val="none"/>
      <w:lvlText w:val=""/>
      <w:lvlJc w:val="left"/>
    </w:lvl>
  </w:abstractNum>
  <w:abstractNum w:abstractNumId="1" w15:restartNumberingAfterBreak="0">
    <w:nsid w:val="08ED1D86"/>
    <w:multiLevelType w:val="hybridMultilevel"/>
    <w:tmpl w:val="E32CC64A"/>
    <w:lvl w:ilvl="0" w:tplc="89BA123A">
      <w:start w:val="1"/>
      <w:numFmt w:val="decimal"/>
      <w:lvlText w:val="4.%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90F4298"/>
    <w:multiLevelType w:val="hybridMultilevel"/>
    <w:tmpl w:val="0282B6A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0B950899"/>
    <w:multiLevelType w:val="hybridMultilevel"/>
    <w:tmpl w:val="74DC9656"/>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1F077DF2"/>
    <w:multiLevelType w:val="hybridMultilevel"/>
    <w:tmpl w:val="51382324"/>
    <w:lvl w:ilvl="0" w:tplc="3684D802">
      <w:start w:val="1"/>
      <w:numFmt w:val="bullet"/>
      <w:lvlText w:val="-"/>
      <w:lvlJc w:val="left"/>
      <w:rPr>
        <w:rFonts w:ascii="Calibri" w:eastAsia="Calibri" w:hAnsi="Calibri" w:cs="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15:restartNumberingAfterBreak="0">
    <w:nsid w:val="22653390"/>
    <w:multiLevelType w:val="hybridMultilevel"/>
    <w:tmpl w:val="6E2CEFE4"/>
    <w:lvl w:ilvl="0" w:tplc="E75C6516">
      <w:start w:val="1"/>
      <w:numFmt w:val="lowerRoman"/>
      <w:lvlText w:val="%1)"/>
      <w:lvlJc w:val="righ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 w15:restartNumberingAfterBreak="0">
    <w:nsid w:val="25834EF9"/>
    <w:multiLevelType w:val="hybridMultilevel"/>
    <w:tmpl w:val="E4F646B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276F1800"/>
    <w:multiLevelType w:val="hybridMultilevel"/>
    <w:tmpl w:val="19CC16EC"/>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7AC35DB"/>
    <w:multiLevelType w:val="hybridMultilevel"/>
    <w:tmpl w:val="688A0004"/>
    <w:lvl w:ilvl="0" w:tplc="0D3AE558">
      <w:start w:val="1"/>
      <w:numFmt w:val="lowerRoman"/>
      <w:lvlText w:val="%1)"/>
      <w:lvlJc w:val="right"/>
      <w:pPr>
        <w:ind w:left="1800" w:hanging="360"/>
      </w:pPr>
      <w:rPr>
        <w:rFonts w:hint="default"/>
        <w:i/>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9" w15:restartNumberingAfterBreak="0">
    <w:nsid w:val="2A1B037B"/>
    <w:multiLevelType w:val="hybridMultilevel"/>
    <w:tmpl w:val="841455F6"/>
    <w:lvl w:ilvl="0" w:tplc="E75C6516">
      <w:start w:val="1"/>
      <w:numFmt w:val="lowerRoman"/>
      <w:lvlText w:val="%1)"/>
      <w:lvlJc w:val="right"/>
      <w:pPr>
        <w:ind w:left="759" w:hanging="360"/>
      </w:pPr>
      <w:rPr>
        <w:rFonts w:hint="default"/>
      </w:rPr>
    </w:lvl>
    <w:lvl w:ilvl="1" w:tplc="04020019" w:tentative="1">
      <w:start w:val="1"/>
      <w:numFmt w:val="lowerLetter"/>
      <w:lvlText w:val="%2."/>
      <w:lvlJc w:val="left"/>
      <w:pPr>
        <w:ind w:left="1479" w:hanging="360"/>
      </w:pPr>
    </w:lvl>
    <w:lvl w:ilvl="2" w:tplc="0402001B" w:tentative="1">
      <w:start w:val="1"/>
      <w:numFmt w:val="lowerRoman"/>
      <w:lvlText w:val="%3."/>
      <w:lvlJc w:val="right"/>
      <w:pPr>
        <w:ind w:left="2199" w:hanging="180"/>
      </w:pPr>
    </w:lvl>
    <w:lvl w:ilvl="3" w:tplc="0402000F" w:tentative="1">
      <w:start w:val="1"/>
      <w:numFmt w:val="decimal"/>
      <w:lvlText w:val="%4."/>
      <w:lvlJc w:val="left"/>
      <w:pPr>
        <w:ind w:left="2919" w:hanging="360"/>
      </w:pPr>
    </w:lvl>
    <w:lvl w:ilvl="4" w:tplc="04020019" w:tentative="1">
      <w:start w:val="1"/>
      <w:numFmt w:val="lowerLetter"/>
      <w:lvlText w:val="%5."/>
      <w:lvlJc w:val="left"/>
      <w:pPr>
        <w:ind w:left="3639" w:hanging="360"/>
      </w:pPr>
    </w:lvl>
    <w:lvl w:ilvl="5" w:tplc="0402001B" w:tentative="1">
      <w:start w:val="1"/>
      <w:numFmt w:val="lowerRoman"/>
      <w:lvlText w:val="%6."/>
      <w:lvlJc w:val="right"/>
      <w:pPr>
        <w:ind w:left="4359" w:hanging="180"/>
      </w:pPr>
    </w:lvl>
    <w:lvl w:ilvl="6" w:tplc="0402000F" w:tentative="1">
      <w:start w:val="1"/>
      <w:numFmt w:val="decimal"/>
      <w:lvlText w:val="%7."/>
      <w:lvlJc w:val="left"/>
      <w:pPr>
        <w:ind w:left="5079" w:hanging="360"/>
      </w:pPr>
    </w:lvl>
    <w:lvl w:ilvl="7" w:tplc="04020019" w:tentative="1">
      <w:start w:val="1"/>
      <w:numFmt w:val="lowerLetter"/>
      <w:lvlText w:val="%8."/>
      <w:lvlJc w:val="left"/>
      <w:pPr>
        <w:ind w:left="5799" w:hanging="360"/>
      </w:pPr>
    </w:lvl>
    <w:lvl w:ilvl="8" w:tplc="0402001B" w:tentative="1">
      <w:start w:val="1"/>
      <w:numFmt w:val="lowerRoman"/>
      <w:lvlText w:val="%9."/>
      <w:lvlJc w:val="right"/>
      <w:pPr>
        <w:ind w:left="6519" w:hanging="180"/>
      </w:pPr>
    </w:lvl>
  </w:abstractNum>
  <w:abstractNum w:abstractNumId="10" w15:restartNumberingAfterBreak="0">
    <w:nsid w:val="31170976"/>
    <w:multiLevelType w:val="hybridMultilevel"/>
    <w:tmpl w:val="EA3ED9F4"/>
    <w:lvl w:ilvl="0" w:tplc="BBF8CE64">
      <w:start w:val="1"/>
      <w:numFmt w:val="decimal"/>
      <w:lvlText w:val="1.%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6547575"/>
    <w:multiLevelType w:val="hybridMultilevel"/>
    <w:tmpl w:val="437C80BA"/>
    <w:lvl w:ilvl="0" w:tplc="AA48380E">
      <w:start w:val="1"/>
      <w:numFmt w:val="decimal"/>
      <w:lvlText w:val="7.%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38D50BA8"/>
    <w:multiLevelType w:val="hybridMultilevel"/>
    <w:tmpl w:val="A998BC3A"/>
    <w:lvl w:ilvl="0" w:tplc="5C3CC55E">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3" w15:restartNumberingAfterBreak="0">
    <w:nsid w:val="3C01307C"/>
    <w:multiLevelType w:val="multilevel"/>
    <w:tmpl w:val="A0BA6BC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3E0216B9"/>
    <w:multiLevelType w:val="multilevel"/>
    <w:tmpl w:val="A738B850"/>
    <w:lvl w:ilvl="0">
      <w:start w:val="1"/>
      <w:numFmt w:val="decimal"/>
      <w:lvlText w:val="%1."/>
      <w:lvlJc w:val="left"/>
      <w:pPr>
        <w:tabs>
          <w:tab w:val="num" w:pos="1440"/>
        </w:tabs>
        <w:ind w:left="1440" w:hanging="1440"/>
      </w:pPr>
    </w:lvl>
    <w:lvl w:ilvl="1">
      <w:start w:val="1"/>
      <w:numFmt w:val="decimal"/>
      <w:pStyle w:val="NumPar2"/>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9591614"/>
    <w:multiLevelType w:val="hybridMultilevel"/>
    <w:tmpl w:val="4E265898"/>
    <w:lvl w:ilvl="0" w:tplc="C9401692">
      <w:numFmt w:val="bullet"/>
      <w:lvlText w:val="-"/>
      <w:lvlJc w:val="left"/>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15:restartNumberingAfterBreak="0">
    <w:nsid w:val="4A7F1C2E"/>
    <w:multiLevelType w:val="hybridMultilevel"/>
    <w:tmpl w:val="D1B83054"/>
    <w:lvl w:ilvl="0" w:tplc="266C4A0C">
      <w:start w:val="1"/>
      <w:numFmt w:val="decimal"/>
      <w:lvlText w:val="8.%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4DAD188C"/>
    <w:multiLevelType w:val="hybridMultilevel"/>
    <w:tmpl w:val="08EA5618"/>
    <w:lvl w:ilvl="0" w:tplc="CD0248DC">
      <w:start w:val="1"/>
      <w:numFmt w:val="decimal"/>
      <w:lvlText w:val="5.%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19213E7"/>
    <w:multiLevelType w:val="hybridMultilevel"/>
    <w:tmpl w:val="5E06653E"/>
    <w:lvl w:ilvl="0" w:tplc="906E62B2">
      <w:start w:val="1"/>
      <w:numFmt w:val="decimal"/>
      <w:lvlText w:val="3.%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3896A0D"/>
    <w:multiLevelType w:val="hybridMultilevel"/>
    <w:tmpl w:val="5B5AF604"/>
    <w:lvl w:ilvl="0" w:tplc="7A22D18C">
      <w:start w:val="1"/>
      <w:numFmt w:val="decimal"/>
      <w:lvlText w:val="9.%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6610228"/>
    <w:multiLevelType w:val="hybridMultilevel"/>
    <w:tmpl w:val="E3467E36"/>
    <w:lvl w:ilvl="0" w:tplc="E75C6516">
      <w:start w:val="1"/>
      <w:numFmt w:val="lowerRoman"/>
      <w:lvlText w:val="%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15:restartNumberingAfterBreak="0">
    <w:nsid w:val="571F7782"/>
    <w:multiLevelType w:val="hybridMultilevel"/>
    <w:tmpl w:val="7FD2FE44"/>
    <w:lvl w:ilvl="0" w:tplc="D89210AA">
      <w:start w:val="1"/>
      <w:numFmt w:val="decimal"/>
      <w:lvlText w:val="9.2.%1."/>
      <w:lvlJc w:val="center"/>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2" w15:restartNumberingAfterBreak="0">
    <w:nsid w:val="575E005E"/>
    <w:multiLevelType w:val="hybridMultilevel"/>
    <w:tmpl w:val="407AECCA"/>
    <w:lvl w:ilvl="0" w:tplc="382A1732">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3" w15:restartNumberingAfterBreak="0">
    <w:nsid w:val="628427DC"/>
    <w:multiLevelType w:val="hybridMultilevel"/>
    <w:tmpl w:val="571C439E"/>
    <w:lvl w:ilvl="0" w:tplc="D778998A">
      <w:start w:val="1"/>
      <w:numFmt w:val="decimal"/>
      <w:lvlText w:val="6.%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65397AA2"/>
    <w:multiLevelType w:val="hybridMultilevel"/>
    <w:tmpl w:val="A120E804"/>
    <w:lvl w:ilvl="0" w:tplc="C940169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5" w15:restartNumberingAfterBreak="0">
    <w:nsid w:val="673A5C9A"/>
    <w:multiLevelType w:val="hybridMultilevel"/>
    <w:tmpl w:val="87B6E526"/>
    <w:lvl w:ilvl="0" w:tplc="E75C6516">
      <w:start w:val="1"/>
      <w:numFmt w:val="lowerRoman"/>
      <w:lvlText w:val="%1)"/>
      <w:lvlJc w:val="right"/>
      <w:pPr>
        <w:ind w:left="1069"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6" w15:restartNumberingAfterBreak="0">
    <w:nsid w:val="6A132E7F"/>
    <w:multiLevelType w:val="hybridMultilevel"/>
    <w:tmpl w:val="BF56DCAC"/>
    <w:lvl w:ilvl="0" w:tplc="FFFFFFFF">
      <w:start w:val="1"/>
      <w:numFmt w:val="decimal"/>
      <w:lvlText w:val="9.2.%1."/>
      <w:lvlJc w:val="righ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15:restartNumberingAfterBreak="0">
    <w:nsid w:val="742B748B"/>
    <w:multiLevelType w:val="hybridMultilevel"/>
    <w:tmpl w:val="1A6E7026"/>
    <w:lvl w:ilvl="0" w:tplc="1BB4442A">
      <w:start w:val="1"/>
      <w:numFmt w:val="decimal"/>
      <w:lvlText w:val="2.%1."/>
      <w:lvlJc w:val="righ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757C59F5"/>
    <w:multiLevelType w:val="hybridMultilevel"/>
    <w:tmpl w:val="4FB2EB86"/>
    <w:lvl w:ilvl="0" w:tplc="CBDC706E">
      <w:start w:val="1"/>
      <w:numFmt w:val="decimal"/>
      <w:lvlText w:val="9.2.%1."/>
      <w:lvlJc w:val="center"/>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D2A04A9"/>
    <w:multiLevelType w:val="hybridMultilevel"/>
    <w:tmpl w:val="6FE0864E"/>
    <w:lvl w:ilvl="0" w:tplc="5482868E">
      <w:start w:val="4"/>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4"/>
  </w:num>
  <w:num w:numId="3">
    <w:abstractNumId w:val="13"/>
  </w:num>
  <w:num w:numId="4">
    <w:abstractNumId w:val="29"/>
  </w:num>
  <w:num w:numId="5">
    <w:abstractNumId w:val="4"/>
  </w:num>
  <w:num w:numId="6">
    <w:abstractNumId w:val="7"/>
  </w:num>
  <w:num w:numId="7">
    <w:abstractNumId w:val="12"/>
  </w:num>
  <w:num w:numId="8">
    <w:abstractNumId w:val="8"/>
  </w:num>
  <w:num w:numId="9">
    <w:abstractNumId w:val="15"/>
  </w:num>
  <w:num w:numId="10">
    <w:abstractNumId w:val="3"/>
  </w:num>
  <w:num w:numId="11">
    <w:abstractNumId w:val="24"/>
  </w:num>
  <w:num w:numId="12">
    <w:abstractNumId w:val="6"/>
  </w:num>
  <w:num w:numId="13">
    <w:abstractNumId w:val="2"/>
  </w:num>
  <w:num w:numId="14">
    <w:abstractNumId w:val="5"/>
  </w:num>
  <w:num w:numId="15">
    <w:abstractNumId w:val="25"/>
  </w:num>
  <w:num w:numId="16">
    <w:abstractNumId w:val="10"/>
  </w:num>
  <w:num w:numId="17">
    <w:abstractNumId w:val="27"/>
  </w:num>
  <w:num w:numId="18">
    <w:abstractNumId w:val="18"/>
  </w:num>
  <w:num w:numId="19">
    <w:abstractNumId w:val="1"/>
  </w:num>
  <w:num w:numId="20">
    <w:abstractNumId w:val="17"/>
  </w:num>
  <w:num w:numId="21">
    <w:abstractNumId w:val="23"/>
  </w:num>
  <w:num w:numId="22">
    <w:abstractNumId w:val="11"/>
  </w:num>
  <w:num w:numId="23">
    <w:abstractNumId w:val="16"/>
  </w:num>
  <w:num w:numId="24">
    <w:abstractNumId w:val="19"/>
  </w:num>
  <w:num w:numId="25">
    <w:abstractNumId w:val="9"/>
  </w:num>
  <w:num w:numId="26">
    <w:abstractNumId w:val="20"/>
  </w:num>
  <w:num w:numId="27">
    <w:abstractNumId w:val="22"/>
  </w:num>
  <w:num w:numId="28">
    <w:abstractNumId w:val="28"/>
  </w:num>
  <w:num w:numId="29">
    <w:abstractNumId w:val="26"/>
  </w:num>
  <w:num w:numId="30">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activeWritingStyle w:appName="MSWord" w:lang="fr-FR"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826814"/>
    <w:rsid w:val="00002253"/>
    <w:rsid w:val="00034D41"/>
    <w:rsid w:val="00037EE0"/>
    <w:rsid w:val="00046086"/>
    <w:rsid w:val="00050EB9"/>
    <w:rsid w:val="00053BA0"/>
    <w:rsid w:val="00073597"/>
    <w:rsid w:val="00083FFF"/>
    <w:rsid w:val="000A033C"/>
    <w:rsid w:val="000B01B1"/>
    <w:rsid w:val="000B1CCA"/>
    <w:rsid w:val="000C13E7"/>
    <w:rsid w:val="000C1B9F"/>
    <w:rsid w:val="000D33AA"/>
    <w:rsid w:val="000D68DA"/>
    <w:rsid w:val="000E19CD"/>
    <w:rsid w:val="00105BB8"/>
    <w:rsid w:val="001103EA"/>
    <w:rsid w:val="001239D4"/>
    <w:rsid w:val="001244BD"/>
    <w:rsid w:val="00135118"/>
    <w:rsid w:val="00135A0A"/>
    <w:rsid w:val="0015067A"/>
    <w:rsid w:val="0015149F"/>
    <w:rsid w:val="001603EA"/>
    <w:rsid w:val="00163BD1"/>
    <w:rsid w:val="00173CA8"/>
    <w:rsid w:val="00182178"/>
    <w:rsid w:val="00182C9B"/>
    <w:rsid w:val="0018427B"/>
    <w:rsid w:val="0018684B"/>
    <w:rsid w:val="00190ED2"/>
    <w:rsid w:val="00194C60"/>
    <w:rsid w:val="00194E20"/>
    <w:rsid w:val="001A1681"/>
    <w:rsid w:val="001B31FD"/>
    <w:rsid w:val="001C4904"/>
    <w:rsid w:val="001E475F"/>
    <w:rsid w:val="001F2CAD"/>
    <w:rsid w:val="001F2CD3"/>
    <w:rsid w:val="001F4FE2"/>
    <w:rsid w:val="00200410"/>
    <w:rsid w:val="00200C50"/>
    <w:rsid w:val="0020254F"/>
    <w:rsid w:val="00227038"/>
    <w:rsid w:val="00242A9A"/>
    <w:rsid w:val="00246B9D"/>
    <w:rsid w:val="002479E7"/>
    <w:rsid w:val="0025307C"/>
    <w:rsid w:val="00263C71"/>
    <w:rsid w:val="00265252"/>
    <w:rsid w:val="00272296"/>
    <w:rsid w:val="0027627A"/>
    <w:rsid w:val="00281031"/>
    <w:rsid w:val="00293A37"/>
    <w:rsid w:val="002972A6"/>
    <w:rsid w:val="002A58E4"/>
    <w:rsid w:val="002A7515"/>
    <w:rsid w:val="002B42E9"/>
    <w:rsid w:val="002B4C21"/>
    <w:rsid w:val="002C3999"/>
    <w:rsid w:val="002D06A2"/>
    <w:rsid w:val="002D6076"/>
    <w:rsid w:val="002E60D5"/>
    <w:rsid w:val="002F1067"/>
    <w:rsid w:val="00305006"/>
    <w:rsid w:val="00326D72"/>
    <w:rsid w:val="00331976"/>
    <w:rsid w:val="00332C77"/>
    <w:rsid w:val="003420B1"/>
    <w:rsid w:val="00343BEA"/>
    <w:rsid w:val="00345476"/>
    <w:rsid w:val="00346386"/>
    <w:rsid w:val="003703E8"/>
    <w:rsid w:val="003903B0"/>
    <w:rsid w:val="003B6F35"/>
    <w:rsid w:val="003C005F"/>
    <w:rsid w:val="003C43BD"/>
    <w:rsid w:val="003D1571"/>
    <w:rsid w:val="003D357B"/>
    <w:rsid w:val="003D70DF"/>
    <w:rsid w:val="003D78F5"/>
    <w:rsid w:val="003E53BA"/>
    <w:rsid w:val="003E55BD"/>
    <w:rsid w:val="003E5AF9"/>
    <w:rsid w:val="003F6606"/>
    <w:rsid w:val="00407EB0"/>
    <w:rsid w:val="00414EED"/>
    <w:rsid w:val="00416C67"/>
    <w:rsid w:val="004205EB"/>
    <w:rsid w:val="004219C3"/>
    <w:rsid w:val="00422873"/>
    <w:rsid w:val="00424E92"/>
    <w:rsid w:val="00433F75"/>
    <w:rsid w:val="00434FCB"/>
    <w:rsid w:val="00436AD4"/>
    <w:rsid w:val="00443051"/>
    <w:rsid w:val="00443E4E"/>
    <w:rsid w:val="00445FAA"/>
    <w:rsid w:val="00455A04"/>
    <w:rsid w:val="0046194F"/>
    <w:rsid w:val="00466F6E"/>
    <w:rsid w:val="0047227A"/>
    <w:rsid w:val="00474608"/>
    <w:rsid w:val="00475B8B"/>
    <w:rsid w:val="00483B90"/>
    <w:rsid w:val="00486B03"/>
    <w:rsid w:val="00490ED3"/>
    <w:rsid w:val="00490FB1"/>
    <w:rsid w:val="0049105F"/>
    <w:rsid w:val="00491340"/>
    <w:rsid w:val="00493922"/>
    <w:rsid w:val="00495609"/>
    <w:rsid w:val="00495DFE"/>
    <w:rsid w:val="0049673A"/>
    <w:rsid w:val="00497C89"/>
    <w:rsid w:val="004A6C6F"/>
    <w:rsid w:val="004A7EBB"/>
    <w:rsid w:val="004B3109"/>
    <w:rsid w:val="004B5CC4"/>
    <w:rsid w:val="004C0628"/>
    <w:rsid w:val="004C3E8A"/>
    <w:rsid w:val="004D02A0"/>
    <w:rsid w:val="004D4AE7"/>
    <w:rsid w:val="004E738C"/>
    <w:rsid w:val="004F179E"/>
    <w:rsid w:val="004F2C21"/>
    <w:rsid w:val="004F2DD1"/>
    <w:rsid w:val="00500F74"/>
    <w:rsid w:val="00514493"/>
    <w:rsid w:val="0052602D"/>
    <w:rsid w:val="0053142F"/>
    <w:rsid w:val="00533F0D"/>
    <w:rsid w:val="00542F41"/>
    <w:rsid w:val="0055668F"/>
    <w:rsid w:val="005619D5"/>
    <w:rsid w:val="00561D62"/>
    <w:rsid w:val="00570B62"/>
    <w:rsid w:val="00583EEE"/>
    <w:rsid w:val="00592CA5"/>
    <w:rsid w:val="00594CD3"/>
    <w:rsid w:val="005C3BD0"/>
    <w:rsid w:val="005C7440"/>
    <w:rsid w:val="005D10B4"/>
    <w:rsid w:val="005D1610"/>
    <w:rsid w:val="005E6531"/>
    <w:rsid w:val="005E6808"/>
    <w:rsid w:val="005E709A"/>
    <w:rsid w:val="005F18B2"/>
    <w:rsid w:val="005F3086"/>
    <w:rsid w:val="00601823"/>
    <w:rsid w:val="0061446D"/>
    <w:rsid w:val="0062244D"/>
    <w:rsid w:val="0062316D"/>
    <w:rsid w:val="00625D72"/>
    <w:rsid w:val="00633F63"/>
    <w:rsid w:val="006368F1"/>
    <w:rsid w:val="00644C93"/>
    <w:rsid w:val="00646B1E"/>
    <w:rsid w:val="00647FD7"/>
    <w:rsid w:val="00650B15"/>
    <w:rsid w:val="00651C38"/>
    <w:rsid w:val="00653A16"/>
    <w:rsid w:val="00656C54"/>
    <w:rsid w:val="00656CAA"/>
    <w:rsid w:val="00677603"/>
    <w:rsid w:val="0068085C"/>
    <w:rsid w:val="00680C1D"/>
    <w:rsid w:val="006916E1"/>
    <w:rsid w:val="00693325"/>
    <w:rsid w:val="006957C3"/>
    <w:rsid w:val="006973C5"/>
    <w:rsid w:val="006C0F5D"/>
    <w:rsid w:val="006D41D3"/>
    <w:rsid w:val="006D4C81"/>
    <w:rsid w:val="006E127F"/>
    <w:rsid w:val="006E1F62"/>
    <w:rsid w:val="006E5F30"/>
    <w:rsid w:val="006E7138"/>
    <w:rsid w:val="006F280B"/>
    <w:rsid w:val="006F35FC"/>
    <w:rsid w:val="0071258A"/>
    <w:rsid w:val="00717F4F"/>
    <w:rsid w:val="0072782C"/>
    <w:rsid w:val="00727B25"/>
    <w:rsid w:val="0074161E"/>
    <w:rsid w:val="007479AE"/>
    <w:rsid w:val="007500EA"/>
    <w:rsid w:val="007541B9"/>
    <w:rsid w:val="0076084E"/>
    <w:rsid w:val="00767163"/>
    <w:rsid w:val="00770A82"/>
    <w:rsid w:val="00772F19"/>
    <w:rsid w:val="00786EE7"/>
    <w:rsid w:val="00791CFE"/>
    <w:rsid w:val="007B759D"/>
    <w:rsid w:val="007C3974"/>
    <w:rsid w:val="007C61B5"/>
    <w:rsid w:val="007C6727"/>
    <w:rsid w:val="007D0DFB"/>
    <w:rsid w:val="007D224B"/>
    <w:rsid w:val="007D24B4"/>
    <w:rsid w:val="007D310D"/>
    <w:rsid w:val="00806EFC"/>
    <w:rsid w:val="00812799"/>
    <w:rsid w:val="0082501A"/>
    <w:rsid w:val="00826814"/>
    <w:rsid w:val="00831890"/>
    <w:rsid w:val="00835634"/>
    <w:rsid w:val="00835FA2"/>
    <w:rsid w:val="00845286"/>
    <w:rsid w:val="00845377"/>
    <w:rsid w:val="00850078"/>
    <w:rsid w:val="00851CE3"/>
    <w:rsid w:val="00852522"/>
    <w:rsid w:val="008641B9"/>
    <w:rsid w:val="00866C4F"/>
    <w:rsid w:val="00867F75"/>
    <w:rsid w:val="00881498"/>
    <w:rsid w:val="00884179"/>
    <w:rsid w:val="00884525"/>
    <w:rsid w:val="00897539"/>
    <w:rsid w:val="008A1CC9"/>
    <w:rsid w:val="008A6199"/>
    <w:rsid w:val="008A6B0E"/>
    <w:rsid w:val="008B39BC"/>
    <w:rsid w:val="008B7122"/>
    <w:rsid w:val="008C17C5"/>
    <w:rsid w:val="008C3309"/>
    <w:rsid w:val="008C4A82"/>
    <w:rsid w:val="008C5F81"/>
    <w:rsid w:val="008C6A20"/>
    <w:rsid w:val="008D616A"/>
    <w:rsid w:val="008D7A9B"/>
    <w:rsid w:val="008E4E3C"/>
    <w:rsid w:val="008E7AC6"/>
    <w:rsid w:val="008F5ECA"/>
    <w:rsid w:val="00904140"/>
    <w:rsid w:val="009044AF"/>
    <w:rsid w:val="00905594"/>
    <w:rsid w:val="00911C25"/>
    <w:rsid w:val="00911E06"/>
    <w:rsid w:val="009136CA"/>
    <w:rsid w:val="009207FF"/>
    <w:rsid w:val="00921874"/>
    <w:rsid w:val="00922004"/>
    <w:rsid w:val="00922E04"/>
    <w:rsid w:val="00930151"/>
    <w:rsid w:val="00942B7A"/>
    <w:rsid w:val="009462FA"/>
    <w:rsid w:val="0094739B"/>
    <w:rsid w:val="009518C8"/>
    <w:rsid w:val="00965E2A"/>
    <w:rsid w:val="00967B57"/>
    <w:rsid w:val="009743C2"/>
    <w:rsid w:val="009766E5"/>
    <w:rsid w:val="009827F5"/>
    <w:rsid w:val="00987952"/>
    <w:rsid w:val="009A0B27"/>
    <w:rsid w:val="009A44BD"/>
    <w:rsid w:val="009B0CA9"/>
    <w:rsid w:val="009B0F60"/>
    <w:rsid w:val="009C1BD5"/>
    <w:rsid w:val="009D182E"/>
    <w:rsid w:val="009D3122"/>
    <w:rsid w:val="009D3142"/>
    <w:rsid w:val="009D7C90"/>
    <w:rsid w:val="009E2482"/>
    <w:rsid w:val="009E39FE"/>
    <w:rsid w:val="009E5267"/>
    <w:rsid w:val="009F0486"/>
    <w:rsid w:val="009F3D06"/>
    <w:rsid w:val="009F4E41"/>
    <w:rsid w:val="009F7F5B"/>
    <w:rsid w:val="00A01ECD"/>
    <w:rsid w:val="00A26261"/>
    <w:rsid w:val="00A27F82"/>
    <w:rsid w:val="00A309E0"/>
    <w:rsid w:val="00A3407A"/>
    <w:rsid w:val="00A40385"/>
    <w:rsid w:val="00A40FB6"/>
    <w:rsid w:val="00A4154D"/>
    <w:rsid w:val="00A53821"/>
    <w:rsid w:val="00A5759C"/>
    <w:rsid w:val="00A62371"/>
    <w:rsid w:val="00A64338"/>
    <w:rsid w:val="00A73E12"/>
    <w:rsid w:val="00A767C8"/>
    <w:rsid w:val="00A82171"/>
    <w:rsid w:val="00A910C9"/>
    <w:rsid w:val="00AA0518"/>
    <w:rsid w:val="00AA0D35"/>
    <w:rsid w:val="00AA2DBC"/>
    <w:rsid w:val="00AA65A6"/>
    <w:rsid w:val="00AC3BBC"/>
    <w:rsid w:val="00AD2433"/>
    <w:rsid w:val="00AE1C08"/>
    <w:rsid w:val="00AE69B0"/>
    <w:rsid w:val="00AF1D96"/>
    <w:rsid w:val="00B05CA6"/>
    <w:rsid w:val="00B33155"/>
    <w:rsid w:val="00B35883"/>
    <w:rsid w:val="00B37404"/>
    <w:rsid w:val="00B47CD6"/>
    <w:rsid w:val="00B52F27"/>
    <w:rsid w:val="00B53CF3"/>
    <w:rsid w:val="00B53F71"/>
    <w:rsid w:val="00B56DF7"/>
    <w:rsid w:val="00B60E07"/>
    <w:rsid w:val="00B73556"/>
    <w:rsid w:val="00B86F12"/>
    <w:rsid w:val="00BA37F5"/>
    <w:rsid w:val="00BB24CD"/>
    <w:rsid w:val="00BB3E02"/>
    <w:rsid w:val="00BC023E"/>
    <w:rsid w:val="00BC1120"/>
    <w:rsid w:val="00BC2544"/>
    <w:rsid w:val="00BC4951"/>
    <w:rsid w:val="00BC6F0F"/>
    <w:rsid w:val="00BD6759"/>
    <w:rsid w:val="00BE17E7"/>
    <w:rsid w:val="00BE512A"/>
    <w:rsid w:val="00BE54CF"/>
    <w:rsid w:val="00BF0A0B"/>
    <w:rsid w:val="00BF6D22"/>
    <w:rsid w:val="00C166BF"/>
    <w:rsid w:val="00C17786"/>
    <w:rsid w:val="00C17F51"/>
    <w:rsid w:val="00C240B0"/>
    <w:rsid w:val="00C25AAA"/>
    <w:rsid w:val="00C2718F"/>
    <w:rsid w:val="00C27880"/>
    <w:rsid w:val="00C329DD"/>
    <w:rsid w:val="00C36181"/>
    <w:rsid w:val="00C417A9"/>
    <w:rsid w:val="00C439B6"/>
    <w:rsid w:val="00C47B46"/>
    <w:rsid w:val="00C54FFF"/>
    <w:rsid w:val="00C60D6D"/>
    <w:rsid w:val="00C62104"/>
    <w:rsid w:val="00C63B41"/>
    <w:rsid w:val="00C6490F"/>
    <w:rsid w:val="00C75563"/>
    <w:rsid w:val="00C76FC5"/>
    <w:rsid w:val="00C839EA"/>
    <w:rsid w:val="00C8737C"/>
    <w:rsid w:val="00C93FD2"/>
    <w:rsid w:val="00C94AFA"/>
    <w:rsid w:val="00CA6252"/>
    <w:rsid w:val="00CB362C"/>
    <w:rsid w:val="00CC2C66"/>
    <w:rsid w:val="00CD202F"/>
    <w:rsid w:val="00CD24E6"/>
    <w:rsid w:val="00CD7B38"/>
    <w:rsid w:val="00CE5986"/>
    <w:rsid w:val="00CF2D5A"/>
    <w:rsid w:val="00CF320E"/>
    <w:rsid w:val="00D10E19"/>
    <w:rsid w:val="00D11A9B"/>
    <w:rsid w:val="00D135A3"/>
    <w:rsid w:val="00D30C08"/>
    <w:rsid w:val="00D329F7"/>
    <w:rsid w:val="00D37918"/>
    <w:rsid w:val="00D52FE3"/>
    <w:rsid w:val="00D5323F"/>
    <w:rsid w:val="00D663D9"/>
    <w:rsid w:val="00D93C97"/>
    <w:rsid w:val="00D95485"/>
    <w:rsid w:val="00DA7770"/>
    <w:rsid w:val="00DB40EB"/>
    <w:rsid w:val="00DC2AAF"/>
    <w:rsid w:val="00DD5B85"/>
    <w:rsid w:val="00DE1A0C"/>
    <w:rsid w:val="00DF2103"/>
    <w:rsid w:val="00DF4BB3"/>
    <w:rsid w:val="00DF4F17"/>
    <w:rsid w:val="00DF6243"/>
    <w:rsid w:val="00E02D77"/>
    <w:rsid w:val="00E03FD5"/>
    <w:rsid w:val="00E13D51"/>
    <w:rsid w:val="00E20BF3"/>
    <w:rsid w:val="00E20CF9"/>
    <w:rsid w:val="00E27E52"/>
    <w:rsid w:val="00E3167A"/>
    <w:rsid w:val="00E418F9"/>
    <w:rsid w:val="00E42A92"/>
    <w:rsid w:val="00E52EA7"/>
    <w:rsid w:val="00E5309D"/>
    <w:rsid w:val="00E67ED2"/>
    <w:rsid w:val="00E70326"/>
    <w:rsid w:val="00E836C9"/>
    <w:rsid w:val="00E85C20"/>
    <w:rsid w:val="00E876DD"/>
    <w:rsid w:val="00E95731"/>
    <w:rsid w:val="00E95A0F"/>
    <w:rsid w:val="00EA35AE"/>
    <w:rsid w:val="00EA5CE3"/>
    <w:rsid w:val="00EB1594"/>
    <w:rsid w:val="00EB5743"/>
    <w:rsid w:val="00EC164F"/>
    <w:rsid w:val="00ED25FF"/>
    <w:rsid w:val="00EE1AA0"/>
    <w:rsid w:val="00EE27D0"/>
    <w:rsid w:val="00EE44C8"/>
    <w:rsid w:val="00EF0F9D"/>
    <w:rsid w:val="00EF2492"/>
    <w:rsid w:val="00EF53BE"/>
    <w:rsid w:val="00EF78FA"/>
    <w:rsid w:val="00F205B1"/>
    <w:rsid w:val="00F220C0"/>
    <w:rsid w:val="00F2578A"/>
    <w:rsid w:val="00F263F4"/>
    <w:rsid w:val="00F305A3"/>
    <w:rsid w:val="00F3375F"/>
    <w:rsid w:val="00F51955"/>
    <w:rsid w:val="00F525CF"/>
    <w:rsid w:val="00F5756B"/>
    <w:rsid w:val="00F60A56"/>
    <w:rsid w:val="00F63509"/>
    <w:rsid w:val="00F664F0"/>
    <w:rsid w:val="00F70048"/>
    <w:rsid w:val="00F80301"/>
    <w:rsid w:val="00F840F9"/>
    <w:rsid w:val="00F9125F"/>
    <w:rsid w:val="00FA348E"/>
    <w:rsid w:val="00FA57B7"/>
    <w:rsid w:val="00FA6249"/>
    <w:rsid w:val="00FA6303"/>
    <w:rsid w:val="00FC3608"/>
    <w:rsid w:val="00FC710A"/>
    <w:rsid w:val="00FD6D8A"/>
    <w:rsid w:val="00FE1320"/>
    <w:rsid w:val="00FE349D"/>
    <w:rsid w:val="00FE43BD"/>
    <w:rsid w:val="00FE4C8B"/>
    <w:rsid w:val="00FF2C3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80880F"/>
  <w15:docId w15:val="{EECF7021-49D0-4EB4-BA5B-540AC58D5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lang w:val="fr-FR" w:eastAsia="en-US"/>
    </w:rPr>
  </w:style>
  <w:style w:type="paragraph" w:styleId="Heading1">
    <w:name w:val="heading 1"/>
    <w:basedOn w:val="Normal"/>
    <w:next w:val="Text1"/>
    <w:qFormat/>
    <w:pPr>
      <w:keepNext/>
      <w:numPr>
        <w:numId w:val="1"/>
      </w:numPr>
      <w:spacing w:before="240" w:after="240"/>
      <w:ind w:hanging="482"/>
      <w:outlineLvl w:val="0"/>
    </w:pPr>
    <w:rPr>
      <w:b/>
      <w:smallCaps/>
    </w:rPr>
  </w:style>
  <w:style w:type="paragraph" w:styleId="Heading2">
    <w:name w:val="heading 2"/>
    <w:basedOn w:val="Normal"/>
    <w:next w:val="Normal"/>
    <w:qFormat/>
    <w:pPr>
      <w:keepNext/>
      <w:spacing w:before="240" w:after="60"/>
      <w:outlineLvl w:val="1"/>
    </w:pPr>
    <w:rPr>
      <w:rFonts w:ascii="Arial" w:hAnsi="Arial"/>
      <w:b/>
      <w:i/>
    </w:rPr>
  </w:style>
  <w:style w:type="paragraph" w:styleId="Heading3">
    <w:name w:val="heading 3"/>
    <w:basedOn w:val="Normal"/>
    <w:next w:val="Text3"/>
    <w:qFormat/>
    <w:pPr>
      <w:keepNext/>
      <w:numPr>
        <w:ilvl w:val="2"/>
        <w:numId w:val="1"/>
      </w:numPr>
      <w:spacing w:after="240"/>
      <w:ind w:hanging="839"/>
      <w:outlineLvl w:val="2"/>
    </w:pPr>
    <w:rPr>
      <w:i/>
    </w:rPr>
  </w:style>
  <w:style w:type="paragraph" w:styleId="Heading4">
    <w:name w:val="heading 4"/>
    <w:basedOn w:val="Normal"/>
    <w:next w:val="Text4"/>
    <w:qFormat/>
    <w:pPr>
      <w:keepNext/>
      <w:numPr>
        <w:ilvl w:val="3"/>
        <w:numId w:val="1"/>
      </w:numPr>
      <w:spacing w:after="240"/>
      <w:ind w:hanging="964"/>
      <w:outlineLvl w:val="3"/>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pPr>
      <w:spacing w:after="240"/>
      <w:ind w:left="483"/>
    </w:pPr>
  </w:style>
  <w:style w:type="paragraph" w:customStyle="1" w:styleId="Text2">
    <w:name w:val="Text 2"/>
    <w:basedOn w:val="Normal"/>
    <w:pPr>
      <w:tabs>
        <w:tab w:val="left" w:pos="2161"/>
      </w:tabs>
      <w:spacing w:after="240"/>
      <w:ind w:left="1077"/>
    </w:pPr>
  </w:style>
  <w:style w:type="paragraph" w:customStyle="1" w:styleId="Text3">
    <w:name w:val="Text 3"/>
    <w:basedOn w:val="Normal"/>
    <w:pPr>
      <w:tabs>
        <w:tab w:val="left" w:pos="2302"/>
      </w:tabs>
      <w:spacing w:after="240"/>
      <w:ind w:left="1917"/>
    </w:pPr>
  </w:style>
  <w:style w:type="paragraph" w:customStyle="1" w:styleId="Text4">
    <w:name w:val="Text 4"/>
    <w:basedOn w:val="Normal"/>
    <w:pPr>
      <w:spacing w:after="240"/>
      <w:ind w:left="2880"/>
    </w:pPr>
  </w:style>
  <w:style w:type="paragraph" w:styleId="Title">
    <w:name w:val="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BodyText">
    <w:name w:val="Body Text"/>
    <w:basedOn w:val="Normal"/>
  </w:style>
  <w:style w:type="paragraph" w:styleId="FootnoteText">
    <w:name w:val="footnote text"/>
    <w:basedOn w:val="Normal"/>
    <w:semiHidden/>
    <w:pPr>
      <w:ind w:left="720" w:hanging="720"/>
    </w:pPr>
    <w:rPr>
      <w:sz w:val="20"/>
    </w:rPr>
  </w:style>
  <w:style w:type="character" w:styleId="FootnoteReference">
    <w:name w:val="footnote reference"/>
    <w:semiHidden/>
    <w:rPr>
      <w:vertAlign w:val="superscript"/>
    </w:rPr>
  </w:style>
  <w:style w:type="paragraph" w:styleId="Header">
    <w:name w:val="header"/>
    <w:basedOn w:val="Normal"/>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character" w:styleId="PageNumber">
    <w:name w:val="page number"/>
    <w:basedOn w:val="DefaultParagraphFont"/>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191" w:hanging="1191"/>
    </w:pPr>
    <w:rPr>
      <w:b/>
    </w:rPr>
  </w:style>
  <w:style w:type="paragraph" w:customStyle="1" w:styleId="Enclosures">
    <w:name w:val="Enclosures"/>
    <w:basedOn w:val="Normal"/>
    <w:next w:val="Participants"/>
    <w:pPr>
      <w:keepNext/>
      <w:keepLines/>
      <w:tabs>
        <w:tab w:val="left" w:pos="5642"/>
      </w:tabs>
      <w:spacing w:before="480"/>
      <w:ind w:left="1792" w:hanging="1792"/>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pPr>
      <w:tabs>
        <w:tab w:val="left" w:pos="2512"/>
        <w:tab w:val="left" w:pos="2762"/>
        <w:tab w:val="left" w:pos="5642"/>
        <w:tab w:val="left" w:pos="6362"/>
        <w:tab w:val="left" w:pos="6720"/>
      </w:tabs>
      <w:spacing w:before="480"/>
      <w:ind w:left="1792" w:hanging="1792"/>
    </w:pPr>
  </w:style>
  <w:style w:type="character" w:customStyle="1" w:styleId="tw4winMark">
    <w:name w:val="tw4winMark"/>
    <w:rPr>
      <w:vanish/>
      <w:color w:val="800080"/>
      <w:vertAlign w:val="subscript"/>
    </w:rPr>
  </w:style>
  <w:style w:type="paragraph" w:customStyle="1" w:styleId="NumPar2">
    <w:name w:val="NumPar 2"/>
    <w:basedOn w:val="Heading2"/>
    <w:next w:val="Normal"/>
    <w:pPr>
      <w:keepNext w:val="0"/>
      <w:numPr>
        <w:ilvl w:val="1"/>
        <w:numId w:val="2"/>
      </w:numPr>
      <w:spacing w:before="0" w:after="240"/>
      <w:jc w:val="both"/>
      <w:outlineLvl w:val="9"/>
    </w:pPr>
    <w:rPr>
      <w:rFonts w:ascii="Times New Roman" w:hAnsi="Times New Roman"/>
      <w:b w:val="0"/>
      <w:i w:val="0"/>
      <w:sz w:val="28"/>
      <w:lang w:val="en-GB"/>
    </w:rPr>
  </w:style>
  <w:style w:type="paragraph" w:styleId="BalloonText">
    <w:name w:val="Balloon Text"/>
    <w:basedOn w:val="Normal"/>
    <w:semiHidden/>
    <w:rsid w:val="00466F6E"/>
    <w:rPr>
      <w:rFonts w:ascii="Tahoma" w:hAnsi="Tahoma" w:cs="Tahoma"/>
      <w:sz w:val="16"/>
      <w:szCs w:val="16"/>
    </w:rPr>
  </w:style>
  <w:style w:type="paragraph" w:styleId="BodyTextIndent">
    <w:name w:val="Body Text Indent"/>
    <w:basedOn w:val="Normal"/>
    <w:rsid w:val="006E5F30"/>
    <w:pPr>
      <w:spacing w:after="120"/>
      <w:ind w:left="283"/>
      <w:jc w:val="both"/>
    </w:pPr>
    <w:rPr>
      <w:lang w:val="en-GB"/>
    </w:rPr>
  </w:style>
  <w:style w:type="character" w:styleId="CommentReference">
    <w:name w:val="annotation reference"/>
    <w:semiHidden/>
    <w:rsid w:val="00625D72"/>
    <w:rPr>
      <w:sz w:val="16"/>
      <w:szCs w:val="16"/>
    </w:rPr>
  </w:style>
  <w:style w:type="paragraph" w:styleId="CommentText">
    <w:name w:val="annotation text"/>
    <w:basedOn w:val="Normal"/>
    <w:semiHidden/>
    <w:rsid w:val="00625D72"/>
    <w:rPr>
      <w:sz w:val="20"/>
    </w:rPr>
  </w:style>
  <w:style w:type="paragraph" w:styleId="CommentSubject">
    <w:name w:val="annotation subject"/>
    <w:basedOn w:val="CommentText"/>
    <w:next w:val="CommentText"/>
    <w:semiHidden/>
    <w:rsid w:val="00625D72"/>
    <w:rPr>
      <w:b/>
      <w:bCs/>
    </w:rPr>
  </w:style>
  <w:style w:type="paragraph" w:customStyle="1" w:styleId="CharCharCharCharCharCharChar">
    <w:name w:val="Char Char Char Char Char Char Char"/>
    <w:basedOn w:val="Normal"/>
    <w:rsid w:val="00BB3E02"/>
    <w:pPr>
      <w:tabs>
        <w:tab w:val="left" w:pos="709"/>
      </w:tabs>
    </w:pPr>
    <w:rPr>
      <w:rFonts w:ascii="Tahoma" w:hAnsi="Tahoma"/>
      <w:szCs w:val="24"/>
      <w:lang w:val="pl-PL" w:eastAsia="pl-PL"/>
    </w:rPr>
  </w:style>
  <w:style w:type="paragraph" w:customStyle="1" w:styleId="CharCharChar1CharCharChar1CharCharCharCharCharCharChar">
    <w:name w:val="Char Char Char1 Char Char Char1 Char Char Char Char Char Char Char"/>
    <w:basedOn w:val="Normal"/>
    <w:rsid w:val="00897539"/>
    <w:pPr>
      <w:tabs>
        <w:tab w:val="left" w:pos="709"/>
      </w:tabs>
    </w:pPr>
    <w:rPr>
      <w:rFonts w:ascii="Tahoma" w:hAnsi="Tahoma"/>
      <w:szCs w:val="24"/>
      <w:lang w:val="pl-PL" w:eastAsia="pl-PL"/>
    </w:rPr>
  </w:style>
  <w:style w:type="table" w:styleId="TableGrid">
    <w:name w:val="Table Grid"/>
    <w:basedOn w:val="TableNormal"/>
    <w:uiPriority w:val="39"/>
    <w:rsid w:val="009055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45FAA"/>
    <w:rPr>
      <w:sz w:val="24"/>
      <w:lang w:val="fr-FR" w:eastAsia="en-US"/>
    </w:rPr>
  </w:style>
  <w:style w:type="character" w:customStyle="1" w:styleId="FooterChar">
    <w:name w:val="Footer Char"/>
    <w:basedOn w:val="DefaultParagraphFont"/>
    <w:link w:val="Footer"/>
    <w:uiPriority w:val="99"/>
    <w:rsid w:val="00A62371"/>
    <w:rPr>
      <w:sz w:val="24"/>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829152">
      <w:bodyDiv w:val="1"/>
      <w:marLeft w:val="0"/>
      <w:marRight w:val="0"/>
      <w:marTop w:val="0"/>
      <w:marBottom w:val="0"/>
      <w:divBdr>
        <w:top w:val="none" w:sz="0" w:space="0" w:color="auto"/>
        <w:left w:val="none" w:sz="0" w:space="0" w:color="auto"/>
        <w:bottom w:val="none" w:sz="0" w:space="0" w:color="auto"/>
        <w:right w:val="none" w:sz="0" w:space="0" w:color="auto"/>
      </w:divBdr>
    </w:div>
    <w:div w:id="239146387">
      <w:bodyDiv w:val="1"/>
      <w:marLeft w:val="0"/>
      <w:marRight w:val="0"/>
      <w:marTop w:val="0"/>
      <w:marBottom w:val="0"/>
      <w:divBdr>
        <w:top w:val="none" w:sz="0" w:space="0" w:color="auto"/>
        <w:left w:val="none" w:sz="0" w:space="0" w:color="auto"/>
        <w:bottom w:val="none" w:sz="0" w:space="0" w:color="auto"/>
        <w:right w:val="none" w:sz="0" w:space="0" w:color="auto"/>
      </w:divBdr>
    </w:div>
    <w:div w:id="905727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5AAFA0-7DC1-409A-AC38-F01552F8C4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8</Pages>
  <Words>2807</Words>
  <Characters>16002</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User</dc:creator>
  <cp:keywords/>
  <dc:description/>
  <cp:lastModifiedBy>Milen M. Krastev</cp:lastModifiedBy>
  <cp:revision>21</cp:revision>
  <cp:lastPrinted>2007-08-16T07:53:00Z</cp:lastPrinted>
  <dcterms:created xsi:type="dcterms:W3CDTF">2023-03-11T16:00:00Z</dcterms:created>
  <dcterms:modified xsi:type="dcterms:W3CDTF">2023-04-05T07:06:00Z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cajalja</vt:lpwstr>
  </property>
  <property fmtid="{D5CDD505-2E9C-101B-9397-08002B2CF9AE}" pid="3" name="GrammarlyDocumentId">
    <vt:lpwstr>54e876caed7fae5fa933c505cdcd90241fa6e413a94a932fbbb55c25c452b8fa</vt:lpwstr>
  </property>
</Properties>
</file>