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3179" w:rsidRPr="004C4AF0" w:rsidRDefault="00583179" w:rsidP="00583179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3D9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Приложение № </w:t>
      </w:r>
      <w:r w:rsidR="003D2EA3">
        <w:rPr>
          <w:rFonts w:ascii="Times New Roman" w:eastAsia="Times New Roman" w:hAnsi="Times New Roman"/>
          <w:b/>
          <w:sz w:val="24"/>
          <w:szCs w:val="24"/>
          <w:lang w:eastAsia="bg-BG"/>
        </w:rPr>
        <w:t>6</w:t>
      </w:r>
    </w:p>
    <w:p w:rsidR="00583179" w:rsidRPr="00D73D9F" w:rsidRDefault="00583179" w:rsidP="00583179">
      <w:pPr>
        <w:spacing w:after="0"/>
        <w:jc w:val="right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 w:rsidRPr="00D73D9F">
        <w:rPr>
          <w:rFonts w:ascii="Times New Roman" w:eastAsia="Times New Roman" w:hAnsi="Times New Roman"/>
          <w:b/>
          <w:sz w:val="24"/>
          <w:szCs w:val="24"/>
          <w:lang w:eastAsia="bg-BG"/>
        </w:rPr>
        <w:t>Към Условията за кандидатстване</w:t>
      </w:r>
    </w:p>
    <w:p w:rsidR="00583179" w:rsidRPr="00AA1BEE" w:rsidRDefault="00583179" w:rsidP="00583179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D73D9F"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по процедура чрез подбор № </w:t>
      </w:r>
      <w:r w:rsidRPr="00CF108C">
        <w:rPr>
          <w:rFonts w:ascii="Times New Roman" w:hAnsi="Times New Roman"/>
          <w:b/>
          <w:bCs/>
          <w:sz w:val="24"/>
          <w:szCs w:val="24"/>
        </w:rPr>
        <w:t>BG-R</w:t>
      </w:r>
      <w:bookmarkStart w:id="0" w:name="_GoBack"/>
      <w:bookmarkEnd w:id="0"/>
      <w:r w:rsidRPr="00CF108C">
        <w:rPr>
          <w:rFonts w:ascii="Times New Roman" w:hAnsi="Times New Roman"/>
          <w:b/>
          <w:bCs/>
          <w:sz w:val="24"/>
          <w:szCs w:val="24"/>
        </w:rPr>
        <w:t>RP-6.006</w:t>
      </w:r>
    </w:p>
    <w:p w:rsidR="002634E4" w:rsidRPr="0059626F" w:rsidRDefault="002634E4" w:rsidP="002B49AA">
      <w:pPr>
        <w:spacing w:before="240"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E55D68" w:rsidRPr="0059626F" w:rsidRDefault="00E55D68" w:rsidP="002634E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p w:rsidR="002634E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СПИСЪК С НАИМЕНОВАНИЯТА НА АКТИВИТЕ, ДЕЙНОСТИТЕ И УСЛУГИТЕ, ЗА КОИТО СА ОПРЕДЕЛЕНИ РЕФЕРЕНТНИ РАЗХОДИ</w:t>
      </w:r>
    </w:p>
    <w:p w:rsidR="00060E94" w:rsidRPr="0059626F" w:rsidRDefault="00060E94" w:rsidP="00060E94">
      <w:pPr>
        <w:spacing w:before="240" w:after="0" w:line="300" w:lineRule="exact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54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9"/>
        <w:gridCol w:w="1560"/>
        <w:gridCol w:w="9"/>
        <w:gridCol w:w="3960"/>
        <w:gridCol w:w="708"/>
        <w:gridCol w:w="993"/>
        <w:gridCol w:w="567"/>
        <w:gridCol w:w="14"/>
        <w:gridCol w:w="694"/>
        <w:gridCol w:w="709"/>
        <w:gridCol w:w="595"/>
      </w:tblGrid>
      <w:tr w:rsidR="00492124" w:rsidRPr="0059626F" w:rsidTr="00D624E5">
        <w:trPr>
          <w:cantSplit/>
          <w:jc w:val="center"/>
        </w:trPr>
        <w:tc>
          <w:tcPr>
            <w:tcW w:w="739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Реф. СМР№</w:t>
            </w:r>
          </w:p>
        </w:tc>
        <w:tc>
          <w:tcPr>
            <w:tcW w:w="1560" w:type="dxa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СМР</w:t>
            </w:r>
          </w:p>
        </w:tc>
        <w:tc>
          <w:tcPr>
            <w:tcW w:w="3969" w:type="dxa"/>
            <w:gridSpan w:val="2"/>
            <w:vMerge w:val="restart"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Описание</w:t>
            </w:r>
          </w:p>
        </w:tc>
        <w:tc>
          <w:tcPr>
            <w:tcW w:w="708" w:type="dxa"/>
            <w:vMerge w:val="restart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Мерна единица</w:t>
            </w: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Ново строителство – цена в лв.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Реконст рукция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Основен ремонт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Текущ ремонт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Довърши телни работи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60" w:type="dxa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969" w:type="dxa"/>
            <w:gridSpan w:val="2"/>
            <w:vMerge/>
            <w:shd w:val="clear" w:color="auto" w:fill="D9D9D9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/лв/м2;лв м3; лв/м'</w:t>
            </w:r>
          </w:p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лв/дка/</w:t>
            </w:r>
          </w:p>
        </w:tc>
        <w:tc>
          <w:tcPr>
            <w:tcW w:w="567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8" w:type="dxa"/>
            <w:gridSpan w:val="2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709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  <w:tc>
          <w:tcPr>
            <w:tcW w:w="595" w:type="dxa"/>
            <w:shd w:val="clear" w:color="auto" w:fill="D9D9D9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 xml:space="preserve">/% от колона </w:t>
            </w: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  <w:r w:rsidRPr="0059626F">
              <w:rPr>
                <w:rFonts w:ascii="Times New Roman" w:hAnsi="Times New Roman"/>
                <w:i/>
                <w:sz w:val="24"/>
                <w:szCs w:val="24"/>
              </w:rPr>
              <w:t>/</w:t>
            </w:r>
          </w:p>
        </w:tc>
      </w:tr>
      <w:tr w:rsidR="00492124" w:rsidRPr="0059626F" w:rsidTr="00E40A2C">
        <w:trPr>
          <w:cantSplit/>
          <w:jc w:val="center"/>
        </w:trPr>
        <w:tc>
          <w:tcPr>
            <w:tcW w:w="739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tabs>
                <w:tab w:val="left" w:pos="645"/>
              </w:tabs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А</w:t>
            </w:r>
          </w:p>
        </w:tc>
        <w:tc>
          <w:tcPr>
            <w:tcW w:w="1560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Б</w:t>
            </w:r>
          </w:p>
        </w:tc>
        <w:tc>
          <w:tcPr>
            <w:tcW w:w="3969" w:type="dxa"/>
            <w:gridSpan w:val="2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В</w:t>
            </w:r>
          </w:p>
        </w:tc>
        <w:tc>
          <w:tcPr>
            <w:tcW w:w="708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Г</w:t>
            </w:r>
          </w:p>
        </w:tc>
        <w:tc>
          <w:tcPr>
            <w:tcW w:w="993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Д</w:t>
            </w:r>
          </w:p>
        </w:tc>
        <w:tc>
          <w:tcPr>
            <w:tcW w:w="567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Е</w:t>
            </w:r>
          </w:p>
        </w:tc>
        <w:tc>
          <w:tcPr>
            <w:tcW w:w="708" w:type="dxa"/>
            <w:gridSpan w:val="2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Ж</w:t>
            </w:r>
          </w:p>
        </w:tc>
        <w:tc>
          <w:tcPr>
            <w:tcW w:w="709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З</w:t>
            </w:r>
          </w:p>
        </w:tc>
        <w:tc>
          <w:tcPr>
            <w:tcW w:w="595" w:type="dxa"/>
            <w:shd w:val="clear" w:color="auto" w:fill="F2F2F2"/>
            <w:vAlign w:val="center"/>
          </w:tcPr>
          <w:p w:rsidR="00492124" w:rsidRPr="0059626F" w:rsidRDefault="00492124" w:rsidP="00E40A2C">
            <w:pPr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9626F">
              <w:rPr>
                <w:rFonts w:ascii="Times New Roman" w:hAnsi="Times New Roman"/>
                <w:b/>
                <w:i/>
                <w:sz w:val="24"/>
                <w:szCs w:val="24"/>
              </w:rPr>
              <w:t>И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Основни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, 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помощни и обслужващи сгради, прилежащи площи към тях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Административно - битова сграда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града, вкл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>ючваща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в обема си 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само административно - битови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помещения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без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Всеки тип сграда, свързана с изпълнението на обекта и непопадаща в определенията за СМР по точка 1, 3 и 4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Производствена сграда със система за климатизация (самостоятелна сграда)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Стопански сгради с технологично изискуема климатизация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br/>
            </w: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Метален навес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Включва всички дейности по изграждането, както и площадката в очертанията на навеса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shd w:val="clear" w:color="auto" w:fill="auto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 xml:space="preserve">Вертикална </w:t>
            </w:r>
            <w:r w:rsidRPr="0059626F">
              <w:rPr>
                <w:rFonts w:ascii="Times New Roman" w:hAnsi="Times New Roman"/>
                <w:b/>
                <w:sz w:val="24"/>
                <w:szCs w:val="24"/>
                <w:shd w:val="clear" w:color="auto" w:fill="D9D9D9"/>
                <w:lang w:val="ru-RU"/>
              </w:rPr>
              <w:t>планировка и озеленяване:</w:t>
            </w: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5.1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без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 и площадки с прилежащи функции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площи с настилки от асфалтобетон, бетон, бетонови или тротоарни плочи, паркоместа и др.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Прилага се в случаите, когато не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са предвидени 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дейности, свързани с площадкови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инженерни мрежи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>.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по:</w:t>
            </w:r>
          </w:p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– озеленяване;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подпорни стени;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подземни и надземни резервоари;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ПСОВ;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авторазтоварища;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автомобилни везни;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дезинфекционни площадки;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 xml:space="preserve">– дейностите, описани в СМР 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(фундаментна плоча силози)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5.2</w:t>
            </w:r>
          </w:p>
        </w:tc>
        <w:tc>
          <w:tcPr>
            <w:tcW w:w="15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Вертикална планировка с площадкови мрежи (без вкл. дейности по озеленяване)</w:t>
            </w:r>
          </w:p>
        </w:tc>
        <w:tc>
          <w:tcPr>
            <w:tcW w:w="3969" w:type="dxa"/>
            <w:gridSpan w:val="2"/>
            <w:shd w:val="clear" w:color="auto" w:fill="auto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свободната дворна площ на поземления или урегулирания имот, предвидени за транспортно - комуникационни трасета, площадки с прилежащи функции и съоръжения и обекти на техническата инфраструктура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  <w:lang w:val="ru-RU"/>
              </w:rPr>
              <w:t xml:space="preserve"> -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 xml:space="preserve"> площи с настилки от асфалтобетон, бетон, бетонови или тротоарни плочи, паркоместа и др., с предвидени площадкови мрежи и др., необходими за експлоатацията на обекта;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включват площите, определени за дейности описани в </w:t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„Забележка”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към СМР 5.1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8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5.3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Озеленяване/Ландшафтна архитектура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t>Включва дейностите по частта от територията на поземления или урегулирания имот, предвидени за озеленяване с тревиста, дървесна, храстова и/или цветна растителност, както и за градински архитектурни елементи и форми;</w:t>
            </w:r>
            <w:r w:rsidRPr="0059626F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са допустими дейности по засаждане с едногодишни растения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10548" w:type="dxa"/>
            <w:gridSpan w:val="11"/>
            <w:shd w:val="clear" w:color="auto" w:fill="D9D9D9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b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b/>
                <w:sz w:val="24"/>
                <w:szCs w:val="24"/>
                <w:lang w:val="ru-RU"/>
              </w:rPr>
              <w:t>Огради:</w:t>
            </w: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6.1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Плътна масивна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Масивни огради - плътни в пълната им височина, вкл. фундаментите към нея,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</w:t>
            </w: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.2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Ажурна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Ограда, състояща се от: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плътна част: с височина до 0.60м и/или плътни (масивни) елементи с височина над 0.60м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и/или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– прозирни елементи: метални, дървени (или др. материал) пана или отделни елементи;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  <w:t>включват се фундаментите на оградните елементи, както и врати/портали в оградата</w:t>
            </w:r>
            <w:r w:rsidRPr="0059626F">
              <w:rPr>
                <w:rFonts w:ascii="Times New Roman" w:hAnsi="Times New Roman"/>
                <w:sz w:val="24"/>
                <w:szCs w:val="24"/>
              </w:rPr>
              <w:br/>
            </w:r>
            <w:r w:rsidRPr="0059626F">
              <w:rPr>
                <w:rFonts w:ascii="Times New Roman" w:hAnsi="Times New Roman"/>
                <w:b/>
                <w:sz w:val="24"/>
                <w:szCs w:val="24"/>
              </w:rPr>
              <w:t>Забележка:</w:t>
            </w:r>
            <w:r w:rsidRPr="0059626F">
              <w:rPr>
                <w:rFonts w:ascii="Times New Roman" w:hAnsi="Times New Roman"/>
                <w:sz w:val="24"/>
                <w:szCs w:val="24"/>
              </w:rPr>
              <w:t xml:space="preserve"> не се включва лека прозирна ограда, описана в СМР 6.3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  <w:tr w:rsidR="00492124" w:rsidRPr="0059626F" w:rsidTr="00D624E5">
        <w:trPr>
          <w:cantSplit/>
          <w:jc w:val="center"/>
        </w:trPr>
        <w:tc>
          <w:tcPr>
            <w:tcW w:w="73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.3</w:t>
            </w:r>
          </w:p>
        </w:tc>
        <w:tc>
          <w:tcPr>
            <w:tcW w:w="1569" w:type="dxa"/>
            <w:gridSpan w:val="2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59626F">
              <w:rPr>
                <w:rFonts w:ascii="Times New Roman" w:hAnsi="Times New Roman"/>
                <w:sz w:val="24"/>
                <w:szCs w:val="24"/>
                <w:lang w:val="ru-RU"/>
              </w:rPr>
              <w:t>Телена ограда</w:t>
            </w:r>
          </w:p>
        </w:tc>
        <w:tc>
          <w:tcPr>
            <w:tcW w:w="3960" w:type="dxa"/>
            <w:vAlign w:val="center"/>
          </w:tcPr>
          <w:p w:rsidR="00492124" w:rsidRPr="0059626F" w:rsidRDefault="00492124" w:rsidP="00D624E5">
            <w:pPr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Лека прозирна ограда, изградена от опорни елементи (бетонови колове, метални, дървени или от друг материал колонки) и метална мрежа (оградна мрежа, бодлива тел и др.), вкл. фундаментите на оградните елементи, както и врати/портали в оградата</w:t>
            </w:r>
          </w:p>
        </w:tc>
        <w:tc>
          <w:tcPr>
            <w:tcW w:w="708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9626F">
              <w:rPr>
                <w:rFonts w:ascii="Times New Roman" w:hAnsi="Times New Roman"/>
                <w:sz w:val="24"/>
                <w:szCs w:val="24"/>
              </w:rPr>
              <w:t>м`</w:t>
            </w:r>
          </w:p>
        </w:tc>
        <w:tc>
          <w:tcPr>
            <w:tcW w:w="993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" w:type="dxa"/>
            <w:gridSpan w:val="2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694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595" w:type="dxa"/>
            <w:vAlign w:val="center"/>
          </w:tcPr>
          <w:p w:rsidR="00492124" w:rsidRPr="0059626F" w:rsidRDefault="00492124" w:rsidP="00D624E5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</w:tr>
    </w:tbl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  <w:lang w:val="en-US"/>
        </w:rPr>
      </w:pP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определяне на допустимите разходи за реконструкция, основен ремонт, текущ ремонт и довършителни работи за отделните видове строежи, се използва съответното процентно съотношение от цялата стойност на строително-монтажните работи за съответния вид строеж, описани в колони </w:t>
      </w:r>
      <w:r w:rsidRPr="0059626F">
        <w:rPr>
          <w:b/>
          <w:i/>
          <w:szCs w:val="24"/>
        </w:rPr>
        <w:t>Е, Ж, З</w:t>
      </w:r>
      <w:r w:rsidRPr="0059626F">
        <w:rPr>
          <w:i/>
          <w:szCs w:val="24"/>
        </w:rPr>
        <w:t xml:space="preserve"> </w:t>
      </w:r>
      <w:r w:rsidRPr="0059626F">
        <w:rPr>
          <w:szCs w:val="24"/>
        </w:rPr>
        <w:t>и</w:t>
      </w:r>
      <w:r w:rsidRPr="0059626F">
        <w:rPr>
          <w:i/>
          <w:szCs w:val="24"/>
        </w:rPr>
        <w:t xml:space="preserve"> </w:t>
      </w:r>
      <w:r w:rsidRPr="0059626F">
        <w:rPr>
          <w:b/>
          <w:i/>
          <w:szCs w:val="24"/>
        </w:rPr>
        <w:t>И</w:t>
      </w:r>
      <w:r w:rsidRPr="0059626F">
        <w:rPr>
          <w:szCs w:val="24"/>
        </w:rPr>
        <w:t>.</w:t>
      </w:r>
    </w:p>
    <w:p w:rsidR="00492124" w:rsidRPr="0059626F" w:rsidRDefault="00492124" w:rsidP="00492124">
      <w:pPr>
        <w:pStyle w:val="BodyText3"/>
        <w:numPr>
          <w:ilvl w:val="0"/>
          <w:numId w:val="7"/>
        </w:numPr>
        <w:spacing w:line="320" w:lineRule="exact"/>
        <w:ind w:left="0" w:firstLine="284"/>
        <w:rPr>
          <w:szCs w:val="24"/>
        </w:rPr>
      </w:pPr>
      <w:r w:rsidRPr="0059626F">
        <w:rPr>
          <w:szCs w:val="24"/>
        </w:rPr>
        <w:t xml:space="preserve">При оценка на </w:t>
      </w:r>
      <w:r w:rsidR="00111927">
        <w:rPr>
          <w:szCs w:val="24"/>
        </w:rPr>
        <w:t>ПИИ</w:t>
      </w:r>
      <w:r w:rsidRPr="0059626F">
        <w:rPr>
          <w:szCs w:val="24"/>
        </w:rPr>
        <w:t xml:space="preserve"> </w:t>
      </w:r>
      <w:r w:rsidRPr="0059626F">
        <w:rPr>
          <w:rFonts w:eastAsia="Calibri"/>
          <w:szCs w:val="24"/>
        </w:rPr>
        <w:t>се</w:t>
      </w:r>
      <w:r w:rsidRPr="0059626F">
        <w:rPr>
          <w:szCs w:val="24"/>
        </w:rPr>
        <w:t xml:space="preserve"> определя максимално допустим размер на площта (измерена в метри на квадрат /м</w:t>
      </w:r>
      <w:r w:rsidRPr="0059626F">
        <w:rPr>
          <w:szCs w:val="24"/>
          <w:vertAlign w:val="superscript"/>
        </w:rPr>
        <w:t>2</w:t>
      </w:r>
      <w:r w:rsidRPr="0059626F">
        <w:rPr>
          <w:szCs w:val="24"/>
        </w:rPr>
        <w:t xml:space="preserve">/) за финансиране на разходи за строително-монтажни работи за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.1 „</w:t>
      </w:r>
      <w:r w:rsidRPr="0059626F">
        <w:rPr>
          <w:b/>
          <w:i/>
          <w:szCs w:val="24"/>
          <w:lang w:val="ru-RU"/>
        </w:rPr>
        <w:t>Вертикална планировка без площадкови мрежи</w:t>
      </w:r>
      <w:r w:rsidRPr="0059626F">
        <w:rPr>
          <w:b/>
          <w:i/>
          <w:szCs w:val="24"/>
          <w:lang w:val="en-US"/>
        </w:rPr>
        <w:t>”</w:t>
      </w:r>
      <w:r w:rsidRPr="0059626F">
        <w:rPr>
          <w:szCs w:val="24"/>
        </w:rPr>
        <w:t xml:space="preserve">, позиция </w:t>
      </w:r>
      <w:r w:rsidRPr="0059626F">
        <w:rPr>
          <w:b/>
          <w:i/>
          <w:szCs w:val="24"/>
          <w:lang w:val="en-US"/>
        </w:rPr>
        <w:t>5</w:t>
      </w:r>
      <w:r w:rsidRPr="0059626F">
        <w:rPr>
          <w:b/>
          <w:i/>
          <w:szCs w:val="24"/>
        </w:rPr>
        <w:t>.2 „Вертикална</w:t>
      </w:r>
      <w:r w:rsidRPr="0059626F">
        <w:rPr>
          <w:b/>
          <w:i/>
          <w:szCs w:val="24"/>
          <w:lang w:val="ru-RU"/>
        </w:rPr>
        <w:t xml:space="preserve"> планировка с площадкови мрежи”</w:t>
      </w:r>
      <w:r w:rsidRPr="0059626F">
        <w:rPr>
          <w:szCs w:val="24"/>
          <w:lang w:eastAsia="zh-TW"/>
        </w:rPr>
        <w:t xml:space="preserve"> и позиция </w:t>
      </w:r>
      <w:r w:rsidRPr="0059626F">
        <w:rPr>
          <w:b/>
          <w:i/>
          <w:szCs w:val="24"/>
          <w:lang w:val="en-US" w:eastAsia="zh-TW"/>
        </w:rPr>
        <w:t>5</w:t>
      </w:r>
      <w:r w:rsidRPr="0059626F">
        <w:rPr>
          <w:b/>
          <w:i/>
          <w:szCs w:val="24"/>
          <w:lang w:eastAsia="zh-TW"/>
        </w:rPr>
        <w:t xml:space="preserve">.3 „Озеленяване/Ландшафтна </w:t>
      </w:r>
      <w:r w:rsidRPr="0059626F">
        <w:rPr>
          <w:b/>
          <w:i/>
          <w:szCs w:val="24"/>
          <w:lang w:eastAsia="zh-TW"/>
        </w:rPr>
        <w:lastRenderedPageBreak/>
        <w:t>архитектура”</w:t>
      </w:r>
      <w:r w:rsidRPr="0059626F">
        <w:rPr>
          <w:szCs w:val="24"/>
          <w:lang w:eastAsia="zh-TW"/>
        </w:rPr>
        <w:t xml:space="preserve"> като същите да не надвишават</w:t>
      </w:r>
      <w:r w:rsidRPr="0059626F">
        <w:rPr>
          <w:szCs w:val="24"/>
        </w:rPr>
        <w:t xml:space="preserve"> </w:t>
      </w:r>
      <w:r w:rsidRPr="0059626F">
        <w:rPr>
          <w:szCs w:val="24"/>
          <w:lang w:val="en-US"/>
        </w:rPr>
        <w:t>2.5</w:t>
      </w:r>
      <w:r w:rsidRPr="0059626F">
        <w:rPr>
          <w:szCs w:val="24"/>
        </w:rPr>
        <w:t xml:space="preserve"> /два и половина/ пъти размера на разгънатата застроена площ на заявените за подпомагане разходи за строително-монтажни работи по изграждане, реконструкция, основен ремонт, текущ ремонт и довършителни работи на сгради, свързани с допустимите дейности определени в </w:t>
      </w:r>
      <w:r w:rsidR="00111927">
        <w:rPr>
          <w:szCs w:val="24"/>
        </w:rPr>
        <w:t>процедурата.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</w:rPr>
      </w:pPr>
      <w:r w:rsidRPr="0059626F">
        <w:rPr>
          <w:szCs w:val="24"/>
        </w:rPr>
        <w:t>2.1. При изчислението на разгънатата застроена площ /РЗП/ да бъдат включени само сградите, за чиито строително-монтажни работи по изграждане, реконструкция, основен ремонт, текущ ремонт, довършителни работи и др. се кандидатства за подпомагане.</w:t>
      </w:r>
    </w:p>
    <w:p w:rsidR="00492124" w:rsidRPr="0059626F" w:rsidRDefault="00492124" w:rsidP="00492124">
      <w:pPr>
        <w:pStyle w:val="BodyText3"/>
        <w:spacing w:line="320" w:lineRule="exact"/>
        <w:ind w:firstLine="284"/>
        <w:rPr>
          <w:szCs w:val="24"/>
          <w:lang w:val="en-US"/>
        </w:rPr>
      </w:pPr>
      <w:r w:rsidRPr="0059626F">
        <w:rPr>
          <w:szCs w:val="24"/>
        </w:rPr>
        <w:t>2.2. При изчислението на разгънатата застроена площ /РЗП/ да бъдат включени само сградите, които действително функционират и се използват по предназначение и касаят допустими дейности, свързани със земеделското производство, включително такива, използвани за опазване на компонентите на околната среда.</w:t>
      </w:r>
    </w:p>
    <w:p w:rsidR="00492124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A62D5B" w:rsidRPr="0059626F" w:rsidRDefault="00492124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  <w:r w:rsidRPr="0059626F">
        <w:rPr>
          <w:rFonts w:ascii="Times New Roman" w:hAnsi="Times New Roman"/>
          <w:b/>
          <w:sz w:val="24"/>
          <w:szCs w:val="24"/>
        </w:rPr>
        <w:t>*</w:t>
      </w:r>
      <w:r w:rsidR="00A62D5B" w:rsidRPr="0059626F">
        <w:rPr>
          <w:rFonts w:ascii="Times New Roman" w:hAnsi="Times New Roman"/>
          <w:b/>
          <w:sz w:val="24"/>
          <w:szCs w:val="24"/>
        </w:rPr>
        <w:t>Забележка: Пределните разходи са определени в лв/м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A62D5B" w:rsidRPr="0059626F">
        <w:rPr>
          <w:rFonts w:ascii="Times New Roman" w:hAnsi="Times New Roman"/>
          <w:b/>
          <w:sz w:val="24"/>
          <w:szCs w:val="24"/>
        </w:rPr>
        <w:t>. Мерните единици лв/м</w:t>
      </w:r>
      <w:r w:rsidR="00A62D5B" w:rsidRPr="0059626F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A62D5B" w:rsidRPr="0059626F">
        <w:rPr>
          <w:rFonts w:ascii="Times New Roman" w:hAnsi="Times New Roman"/>
          <w:b/>
          <w:sz w:val="24"/>
          <w:szCs w:val="24"/>
        </w:rPr>
        <w:t>; лв/м' и лв/дка се използват само където е приложимо.</w:t>
      </w:r>
    </w:p>
    <w:p w:rsidR="00A62D5B" w:rsidRPr="0059626F" w:rsidRDefault="00A62D5B" w:rsidP="00A62D5B">
      <w:pPr>
        <w:spacing w:after="0" w:line="30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5550C9" w:rsidRPr="0059626F" w:rsidRDefault="005550C9" w:rsidP="005550C9">
      <w:pPr>
        <w:spacing w:after="0" w:line="300" w:lineRule="exact"/>
        <w:jc w:val="both"/>
        <w:rPr>
          <w:rFonts w:ascii="Times New Roman" w:hAnsi="Times New Roman"/>
          <w:sz w:val="24"/>
          <w:szCs w:val="24"/>
        </w:rPr>
      </w:pPr>
    </w:p>
    <w:sectPr w:rsidR="005550C9" w:rsidRPr="0059626F" w:rsidSect="009E2D7F">
      <w:footerReference w:type="default" r:id="rId8"/>
      <w:pgSz w:w="11906" w:h="16838"/>
      <w:pgMar w:top="851" w:right="1134" w:bottom="85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2DAC" w:rsidRDefault="00A02DAC" w:rsidP="009E2D7F">
      <w:pPr>
        <w:spacing w:after="0" w:line="240" w:lineRule="auto"/>
      </w:pPr>
      <w:r>
        <w:separator/>
      </w:r>
    </w:p>
  </w:endnote>
  <w:endnote w:type="continuationSeparator" w:id="0">
    <w:p w:rsidR="00A02DAC" w:rsidRDefault="00A02DAC" w:rsidP="009E2D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2D7F" w:rsidRPr="009E2D7F" w:rsidRDefault="009E2D7F" w:rsidP="009E2D7F">
    <w:pPr>
      <w:pStyle w:val="Footer"/>
      <w:spacing w:after="0" w:line="240" w:lineRule="auto"/>
      <w:jc w:val="right"/>
      <w:rPr>
        <w:rFonts w:ascii="Times New Roman" w:hAnsi="Times New Roman"/>
        <w:sz w:val="20"/>
        <w:szCs w:val="20"/>
      </w:rPr>
    </w:pPr>
    <w:r w:rsidRPr="009E2D7F">
      <w:rPr>
        <w:rFonts w:ascii="Times New Roman" w:hAnsi="Times New Roman"/>
        <w:sz w:val="20"/>
        <w:szCs w:val="20"/>
      </w:rPr>
      <w:t xml:space="preserve">Page </w:t>
    </w:r>
    <w:r w:rsidR="003B6CE8" w:rsidRPr="009E2D7F">
      <w:rPr>
        <w:rFonts w:ascii="Times New Roman" w:hAnsi="Times New Roman"/>
        <w:b/>
        <w:sz w:val="20"/>
        <w:szCs w:val="20"/>
      </w:rPr>
      <w:fldChar w:fldCharType="begin"/>
    </w:r>
    <w:r w:rsidRPr="009E2D7F">
      <w:rPr>
        <w:rFonts w:ascii="Times New Roman" w:hAnsi="Times New Roman"/>
        <w:b/>
        <w:sz w:val="20"/>
        <w:szCs w:val="20"/>
      </w:rPr>
      <w:instrText xml:space="preserve"> PAGE </w:instrText>
    </w:r>
    <w:r w:rsidR="003B6CE8" w:rsidRPr="009E2D7F">
      <w:rPr>
        <w:rFonts w:ascii="Times New Roman" w:hAnsi="Times New Roman"/>
        <w:b/>
        <w:sz w:val="20"/>
        <w:szCs w:val="20"/>
      </w:rPr>
      <w:fldChar w:fldCharType="separate"/>
    </w:r>
    <w:r w:rsidR="003D2EA3">
      <w:rPr>
        <w:rFonts w:ascii="Times New Roman" w:hAnsi="Times New Roman"/>
        <w:b/>
        <w:noProof/>
        <w:sz w:val="20"/>
        <w:szCs w:val="20"/>
      </w:rPr>
      <w:t>1</w:t>
    </w:r>
    <w:r w:rsidR="003B6CE8" w:rsidRPr="009E2D7F">
      <w:rPr>
        <w:rFonts w:ascii="Times New Roman" w:hAnsi="Times New Roman"/>
        <w:b/>
        <w:sz w:val="20"/>
        <w:szCs w:val="20"/>
      </w:rPr>
      <w:fldChar w:fldCharType="end"/>
    </w:r>
    <w:r w:rsidRPr="009E2D7F">
      <w:rPr>
        <w:rFonts w:ascii="Times New Roman" w:hAnsi="Times New Roman"/>
        <w:sz w:val="20"/>
        <w:szCs w:val="20"/>
      </w:rPr>
      <w:t xml:space="preserve"> of </w:t>
    </w:r>
    <w:r w:rsidR="00E9201F">
      <w:rPr>
        <w:rFonts w:ascii="Times New Roman" w:hAnsi="Times New Roman"/>
        <w:b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2DAC" w:rsidRDefault="00A02DAC" w:rsidP="009E2D7F">
      <w:pPr>
        <w:spacing w:after="0" w:line="240" w:lineRule="auto"/>
      </w:pPr>
      <w:r>
        <w:separator/>
      </w:r>
    </w:p>
  </w:footnote>
  <w:footnote w:type="continuationSeparator" w:id="0">
    <w:p w:rsidR="00A02DAC" w:rsidRDefault="00A02DAC" w:rsidP="009E2D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747DE"/>
    <w:multiLevelType w:val="hybridMultilevel"/>
    <w:tmpl w:val="AAECA92E"/>
    <w:lvl w:ilvl="0" w:tplc="D178A07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3A2FE4"/>
    <w:multiLevelType w:val="hybridMultilevel"/>
    <w:tmpl w:val="051417B8"/>
    <w:lvl w:ilvl="0" w:tplc="04020013">
      <w:start w:val="1"/>
      <w:numFmt w:val="upperRoman"/>
      <w:lvlText w:val="%1."/>
      <w:lvlJc w:val="righ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190BC4"/>
    <w:multiLevelType w:val="multilevel"/>
    <w:tmpl w:val="34A4D504"/>
    <w:lvl w:ilvl="0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9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" w15:restartNumberingAfterBreak="0">
    <w:nsid w:val="46AA1BD5"/>
    <w:multiLevelType w:val="hybridMultilevel"/>
    <w:tmpl w:val="EB12BFE0"/>
    <w:lvl w:ilvl="0" w:tplc="E902B9D8">
      <w:start w:val="1"/>
      <w:numFmt w:val="decimal"/>
      <w:lvlText w:val="%1."/>
      <w:lvlJc w:val="left"/>
      <w:pPr>
        <w:ind w:left="180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6D065FB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7BB643D3"/>
    <w:multiLevelType w:val="hybridMultilevel"/>
    <w:tmpl w:val="D8C240E4"/>
    <w:lvl w:ilvl="0" w:tplc="B98A635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7C9838EE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567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DEF"/>
    <w:rsid w:val="00020E8C"/>
    <w:rsid w:val="000226B6"/>
    <w:rsid w:val="00037A4B"/>
    <w:rsid w:val="00045769"/>
    <w:rsid w:val="000557A2"/>
    <w:rsid w:val="00060E94"/>
    <w:rsid w:val="00066104"/>
    <w:rsid w:val="00086061"/>
    <w:rsid w:val="0008756C"/>
    <w:rsid w:val="000B0A8D"/>
    <w:rsid w:val="000E3D82"/>
    <w:rsid w:val="00111927"/>
    <w:rsid w:val="00123620"/>
    <w:rsid w:val="001B19E9"/>
    <w:rsid w:val="001C443F"/>
    <w:rsid w:val="001D222F"/>
    <w:rsid w:val="00226CD6"/>
    <w:rsid w:val="0024611E"/>
    <w:rsid w:val="00257EA2"/>
    <w:rsid w:val="002634E4"/>
    <w:rsid w:val="00265914"/>
    <w:rsid w:val="00271170"/>
    <w:rsid w:val="0028080B"/>
    <w:rsid w:val="00292AC7"/>
    <w:rsid w:val="002B49AA"/>
    <w:rsid w:val="002D4FAC"/>
    <w:rsid w:val="00351D49"/>
    <w:rsid w:val="0035348E"/>
    <w:rsid w:val="0036610F"/>
    <w:rsid w:val="003B6CE8"/>
    <w:rsid w:val="003D1D2A"/>
    <w:rsid w:val="003D2EA3"/>
    <w:rsid w:val="003E39D5"/>
    <w:rsid w:val="003F77F9"/>
    <w:rsid w:val="004025E0"/>
    <w:rsid w:val="00402FE4"/>
    <w:rsid w:val="004058E0"/>
    <w:rsid w:val="00492124"/>
    <w:rsid w:val="004B3DC9"/>
    <w:rsid w:val="004C5219"/>
    <w:rsid w:val="004C75BF"/>
    <w:rsid w:val="004D7A4A"/>
    <w:rsid w:val="004E29BF"/>
    <w:rsid w:val="00520293"/>
    <w:rsid w:val="00530C1C"/>
    <w:rsid w:val="00532D2A"/>
    <w:rsid w:val="005550C9"/>
    <w:rsid w:val="00561550"/>
    <w:rsid w:val="00565F9B"/>
    <w:rsid w:val="0058244B"/>
    <w:rsid w:val="00583179"/>
    <w:rsid w:val="005928CB"/>
    <w:rsid w:val="0059626F"/>
    <w:rsid w:val="005A69D2"/>
    <w:rsid w:val="005B02A7"/>
    <w:rsid w:val="005B3F1F"/>
    <w:rsid w:val="005E6525"/>
    <w:rsid w:val="00600482"/>
    <w:rsid w:val="00612EA8"/>
    <w:rsid w:val="0062687F"/>
    <w:rsid w:val="0068468C"/>
    <w:rsid w:val="006851C8"/>
    <w:rsid w:val="00696E7D"/>
    <w:rsid w:val="006E0D64"/>
    <w:rsid w:val="00703C38"/>
    <w:rsid w:val="007205DB"/>
    <w:rsid w:val="00726D4B"/>
    <w:rsid w:val="00727264"/>
    <w:rsid w:val="007333CB"/>
    <w:rsid w:val="00754972"/>
    <w:rsid w:val="00755A7A"/>
    <w:rsid w:val="007719B7"/>
    <w:rsid w:val="00771AA6"/>
    <w:rsid w:val="00780B66"/>
    <w:rsid w:val="00796AB1"/>
    <w:rsid w:val="00797862"/>
    <w:rsid w:val="007D1D09"/>
    <w:rsid w:val="007E493A"/>
    <w:rsid w:val="007F6998"/>
    <w:rsid w:val="00824D17"/>
    <w:rsid w:val="008255D8"/>
    <w:rsid w:val="0082582A"/>
    <w:rsid w:val="008451E0"/>
    <w:rsid w:val="00851FE7"/>
    <w:rsid w:val="0086611B"/>
    <w:rsid w:val="008A3F7E"/>
    <w:rsid w:val="008B69D9"/>
    <w:rsid w:val="008D17C1"/>
    <w:rsid w:val="0091036A"/>
    <w:rsid w:val="00912F18"/>
    <w:rsid w:val="00951942"/>
    <w:rsid w:val="00955088"/>
    <w:rsid w:val="00957251"/>
    <w:rsid w:val="009B4CAA"/>
    <w:rsid w:val="009B5E24"/>
    <w:rsid w:val="009B7609"/>
    <w:rsid w:val="009D062A"/>
    <w:rsid w:val="009E2D7F"/>
    <w:rsid w:val="009E3C34"/>
    <w:rsid w:val="00A02DAC"/>
    <w:rsid w:val="00A0344E"/>
    <w:rsid w:val="00A1498B"/>
    <w:rsid w:val="00A14AE6"/>
    <w:rsid w:val="00A17634"/>
    <w:rsid w:val="00A2013D"/>
    <w:rsid w:val="00A207B7"/>
    <w:rsid w:val="00A4157D"/>
    <w:rsid w:val="00A50E84"/>
    <w:rsid w:val="00A61B94"/>
    <w:rsid w:val="00A62D5B"/>
    <w:rsid w:val="00A66548"/>
    <w:rsid w:val="00A84299"/>
    <w:rsid w:val="00AB4D5A"/>
    <w:rsid w:val="00AC618D"/>
    <w:rsid w:val="00AC6F5C"/>
    <w:rsid w:val="00AD1B9E"/>
    <w:rsid w:val="00AF04E8"/>
    <w:rsid w:val="00B00FA5"/>
    <w:rsid w:val="00B147E0"/>
    <w:rsid w:val="00B14EA6"/>
    <w:rsid w:val="00B259D5"/>
    <w:rsid w:val="00B747C3"/>
    <w:rsid w:val="00B81417"/>
    <w:rsid w:val="00B900B2"/>
    <w:rsid w:val="00B9246D"/>
    <w:rsid w:val="00B97A28"/>
    <w:rsid w:val="00BB2344"/>
    <w:rsid w:val="00BB534F"/>
    <w:rsid w:val="00BD648D"/>
    <w:rsid w:val="00BD71B6"/>
    <w:rsid w:val="00BE5E08"/>
    <w:rsid w:val="00BF4CE2"/>
    <w:rsid w:val="00BF7822"/>
    <w:rsid w:val="00C034D8"/>
    <w:rsid w:val="00C7290C"/>
    <w:rsid w:val="00C8375B"/>
    <w:rsid w:val="00CA402F"/>
    <w:rsid w:val="00CA6D63"/>
    <w:rsid w:val="00CB7C51"/>
    <w:rsid w:val="00CC0F7F"/>
    <w:rsid w:val="00CE41DB"/>
    <w:rsid w:val="00D00DEF"/>
    <w:rsid w:val="00D157A4"/>
    <w:rsid w:val="00D52250"/>
    <w:rsid w:val="00D53252"/>
    <w:rsid w:val="00DB0256"/>
    <w:rsid w:val="00DC666F"/>
    <w:rsid w:val="00E0324A"/>
    <w:rsid w:val="00E12736"/>
    <w:rsid w:val="00E37E2F"/>
    <w:rsid w:val="00E40A2C"/>
    <w:rsid w:val="00E425B5"/>
    <w:rsid w:val="00E42CEB"/>
    <w:rsid w:val="00E55D68"/>
    <w:rsid w:val="00E65300"/>
    <w:rsid w:val="00E87E5B"/>
    <w:rsid w:val="00E9201F"/>
    <w:rsid w:val="00EA4F0C"/>
    <w:rsid w:val="00F10978"/>
    <w:rsid w:val="00F1314E"/>
    <w:rsid w:val="00F167ED"/>
    <w:rsid w:val="00F25B52"/>
    <w:rsid w:val="00F35485"/>
    <w:rsid w:val="00F473AC"/>
    <w:rsid w:val="00F628FD"/>
    <w:rsid w:val="00F63A91"/>
    <w:rsid w:val="00F70869"/>
    <w:rsid w:val="00F77AFA"/>
    <w:rsid w:val="00F823C4"/>
    <w:rsid w:val="00FC1E8B"/>
    <w:rsid w:val="00FF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D229FE"/>
  <w15:docId w15:val="{D9904ED2-310D-41A7-9A7A-FAE62C5AC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00DEF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719B7"/>
    <w:pPr>
      <w:ind w:left="720"/>
      <w:contextualSpacing/>
    </w:pPr>
  </w:style>
  <w:style w:type="table" w:styleId="TableGrid">
    <w:name w:val="Table Grid"/>
    <w:basedOn w:val="TableNormal"/>
    <w:uiPriority w:val="59"/>
    <w:rsid w:val="00CA4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534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348E"/>
    <w:rPr>
      <w:rFonts w:ascii="Tahoma" w:hAnsi="Tahoma" w:cs="Tahoma"/>
      <w:sz w:val="16"/>
      <w:szCs w:val="16"/>
      <w:lang w:eastAsia="en-US"/>
    </w:rPr>
  </w:style>
  <w:style w:type="character" w:styleId="Hyperlink">
    <w:name w:val="Hyperlink"/>
    <w:basedOn w:val="DefaultParagraphFont"/>
    <w:uiPriority w:val="99"/>
    <w:rsid w:val="002634E4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9E2D7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E2D7F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E2D7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E2D7F"/>
    <w:rPr>
      <w:sz w:val="22"/>
      <w:szCs w:val="22"/>
      <w:lang w:eastAsia="en-US"/>
    </w:rPr>
  </w:style>
  <w:style w:type="paragraph" w:styleId="BodyText3">
    <w:name w:val="Body Text 3"/>
    <w:basedOn w:val="Normal"/>
    <w:link w:val="BodyText3Char"/>
    <w:rsid w:val="00492124"/>
    <w:pPr>
      <w:spacing w:after="0" w:line="240" w:lineRule="auto"/>
      <w:jc w:val="both"/>
    </w:pPr>
    <w:rPr>
      <w:rFonts w:ascii="Times New Roman" w:eastAsia="PMingLiU" w:hAnsi="Times New Roman"/>
      <w:sz w:val="24"/>
      <w:szCs w:val="20"/>
    </w:rPr>
  </w:style>
  <w:style w:type="character" w:customStyle="1" w:styleId="BodyText3Char">
    <w:name w:val="Body Text 3 Char"/>
    <w:basedOn w:val="DefaultParagraphFont"/>
    <w:link w:val="BodyText3"/>
    <w:rsid w:val="00492124"/>
    <w:rPr>
      <w:rFonts w:ascii="Times New Roman" w:eastAsia="PMingLiU" w:hAnsi="Times New Roman"/>
      <w:sz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94D2E3-287D-4431-901C-643C84D07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788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5271</CharactersWithSpaces>
  <SharedDoc>false</SharedDoc>
  <HLinks>
    <vt:vector size="6" baseType="variant">
      <vt:variant>
        <vt:i4>36</vt:i4>
      </vt:variant>
      <vt:variant>
        <vt:i4>0</vt:i4>
      </vt:variant>
      <vt:variant>
        <vt:i4>0</vt:i4>
      </vt:variant>
      <vt:variant>
        <vt:i4>5</vt:i4>
      </vt:variant>
      <vt:variant>
        <vt:lpwstr>mailto:dfz@dfz.bg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krasimirk</dc:creator>
  <cp:lastModifiedBy>Milen M. Krastev</cp:lastModifiedBy>
  <cp:revision>15</cp:revision>
  <cp:lastPrinted>2021-03-01T13:22:00Z</cp:lastPrinted>
  <dcterms:created xsi:type="dcterms:W3CDTF">2021-07-14T14:06:00Z</dcterms:created>
  <dcterms:modified xsi:type="dcterms:W3CDTF">2023-03-29T13:39:00Z</dcterms:modified>
</cp:coreProperties>
</file>