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005DD" w14:textId="7C7B9BCB" w:rsidR="00D92E0D" w:rsidRPr="002A6EDB" w:rsidRDefault="00D92E0D" w:rsidP="002A6EDB">
      <w:pPr>
        <w:spacing w:after="0" w:line="276" w:lineRule="auto"/>
        <w:jc w:val="right"/>
        <w:rPr>
          <w:rFonts w:ascii="Times New Roman" w:hAnsi="Times New Roman" w:cs="Times New Roman"/>
          <w:b/>
          <w:sz w:val="24"/>
          <w:szCs w:val="24"/>
        </w:rPr>
      </w:pPr>
      <w:r w:rsidRPr="002A6EDB">
        <w:rPr>
          <w:rFonts w:ascii="Times New Roman" w:hAnsi="Times New Roman" w:cs="Times New Roman"/>
          <w:b/>
          <w:sz w:val="24"/>
          <w:szCs w:val="24"/>
        </w:rPr>
        <w:t xml:space="preserve">Приложение № </w:t>
      </w:r>
      <w:r w:rsidR="008F0A8C">
        <w:rPr>
          <w:rFonts w:ascii="Times New Roman" w:hAnsi="Times New Roman" w:cs="Times New Roman"/>
          <w:b/>
          <w:sz w:val="24"/>
          <w:szCs w:val="24"/>
        </w:rPr>
        <w:t>4б</w:t>
      </w:r>
      <w:bookmarkStart w:id="0" w:name="_GoBack"/>
      <w:bookmarkEnd w:id="0"/>
    </w:p>
    <w:p w14:paraId="23F71455" w14:textId="1909CBFC" w:rsidR="00CF52FE" w:rsidRPr="002A6EDB" w:rsidRDefault="00D92E0D" w:rsidP="002A6EDB">
      <w:pPr>
        <w:spacing w:after="0" w:line="276" w:lineRule="auto"/>
        <w:jc w:val="right"/>
        <w:rPr>
          <w:rFonts w:ascii="Times New Roman" w:hAnsi="Times New Roman" w:cs="Times New Roman"/>
          <w:b/>
          <w:i/>
          <w:sz w:val="24"/>
          <w:szCs w:val="24"/>
        </w:rPr>
      </w:pPr>
      <w:r w:rsidRPr="002A6EDB">
        <w:rPr>
          <w:rFonts w:ascii="Times New Roman" w:hAnsi="Times New Roman" w:cs="Times New Roman"/>
          <w:b/>
          <w:sz w:val="24"/>
          <w:szCs w:val="24"/>
        </w:rPr>
        <w:t>към Условия за кандидатстване</w:t>
      </w:r>
    </w:p>
    <w:p w14:paraId="27E345D6" w14:textId="77777777" w:rsidR="00D92E0D" w:rsidRPr="002A6EDB" w:rsidRDefault="00D92E0D" w:rsidP="002A6EDB">
      <w:pPr>
        <w:spacing w:after="0" w:line="276" w:lineRule="auto"/>
        <w:jc w:val="right"/>
        <w:rPr>
          <w:rFonts w:ascii="Times New Roman" w:hAnsi="Times New Roman" w:cs="Times New Roman"/>
          <w:b/>
          <w:sz w:val="24"/>
          <w:szCs w:val="24"/>
        </w:rPr>
      </w:pPr>
    </w:p>
    <w:p w14:paraId="6F55C625" w14:textId="4CB4AED9" w:rsidR="00BA0597" w:rsidRPr="002A6EDB" w:rsidRDefault="00BA0597" w:rsidP="002A6EDB">
      <w:pPr>
        <w:spacing w:after="0" w:line="276" w:lineRule="auto"/>
        <w:jc w:val="center"/>
        <w:rPr>
          <w:rFonts w:ascii="Times New Roman" w:hAnsi="Times New Roman" w:cs="Times New Roman"/>
          <w:b/>
          <w:sz w:val="24"/>
          <w:szCs w:val="24"/>
        </w:rPr>
      </w:pPr>
      <w:r w:rsidRPr="002A6EDB">
        <w:rPr>
          <w:rFonts w:ascii="Times New Roman" w:hAnsi="Times New Roman" w:cs="Times New Roman"/>
          <w:b/>
          <w:sz w:val="24"/>
          <w:szCs w:val="24"/>
        </w:rPr>
        <w:t xml:space="preserve">ИНФОРМАЦИЯ ОТНОСНО СПАЗВАНЕ НА ПРИНЦИПА ЗА „НЕНАНАСЯНЕ НА ЗНАЧИТЕЛНИ ВРЕДИ“ (ПНЗВ) или </w:t>
      </w:r>
      <w:r w:rsidR="0040335A" w:rsidRPr="002A6EDB">
        <w:rPr>
          <w:rFonts w:ascii="Times New Roman" w:hAnsi="Times New Roman" w:cs="Times New Roman"/>
          <w:b/>
          <w:sz w:val="24"/>
          <w:szCs w:val="24"/>
        </w:rPr>
        <w:t>„</w:t>
      </w:r>
      <w:r w:rsidRPr="002A6EDB">
        <w:rPr>
          <w:rFonts w:ascii="Times New Roman" w:hAnsi="Times New Roman" w:cs="Times New Roman"/>
          <w:b/>
          <w:sz w:val="24"/>
          <w:szCs w:val="24"/>
          <w:lang w:val="en-US"/>
        </w:rPr>
        <w:t>Do</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not</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significant</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harm</w:t>
      </w:r>
      <w:r w:rsidR="0040335A" w:rsidRPr="002A6EDB">
        <w:rPr>
          <w:rFonts w:ascii="Times New Roman" w:hAnsi="Times New Roman" w:cs="Times New Roman"/>
          <w:b/>
          <w:sz w:val="24"/>
          <w:szCs w:val="24"/>
        </w:rPr>
        <w:t>“</w:t>
      </w:r>
      <w:r w:rsidRPr="002A6EDB">
        <w:rPr>
          <w:rFonts w:ascii="Times New Roman" w:hAnsi="Times New Roman" w:cs="Times New Roman"/>
          <w:b/>
          <w:sz w:val="24"/>
          <w:szCs w:val="24"/>
        </w:rPr>
        <w:t xml:space="preserve"> (</w:t>
      </w:r>
      <w:r w:rsidRPr="002A6EDB">
        <w:rPr>
          <w:rFonts w:ascii="Times New Roman" w:hAnsi="Times New Roman" w:cs="Times New Roman"/>
          <w:b/>
          <w:sz w:val="24"/>
          <w:szCs w:val="24"/>
          <w:lang w:val="en-US"/>
        </w:rPr>
        <w:t>DNSH</w:t>
      </w:r>
      <w:r w:rsidRPr="002A6EDB">
        <w:rPr>
          <w:rFonts w:ascii="Times New Roman" w:hAnsi="Times New Roman" w:cs="Times New Roman"/>
          <w:b/>
          <w:sz w:val="24"/>
          <w:szCs w:val="24"/>
        </w:rPr>
        <w:t>)</w:t>
      </w:r>
    </w:p>
    <w:p w14:paraId="4AA48CCE" w14:textId="3BEB4AC2" w:rsidR="005453AF" w:rsidRPr="002A6EDB" w:rsidRDefault="005453AF" w:rsidP="002A6EDB">
      <w:pPr>
        <w:spacing w:after="0" w:line="276" w:lineRule="auto"/>
        <w:jc w:val="center"/>
        <w:rPr>
          <w:rFonts w:ascii="Times New Roman" w:hAnsi="Times New Roman" w:cs="Times New Roman"/>
          <w:b/>
          <w:sz w:val="24"/>
          <w:szCs w:val="24"/>
        </w:rPr>
      </w:pPr>
      <w:r w:rsidRPr="002A6EDB">
        <w:rPr>
          <w:rFonts w:ascii="Times New Roman" w:hAnsi="Times New Roman" w:cs="Times New Roman"/>
          <w:b/>
          <w:sz w:val="24"/>
          <w:szCs w:val="24"/>
        </w:rPr>
        <w:t>при изпълнението на инвестиции по НПВУ</w:t>
      </w:r>
    </w:p>
    <w:p w14:paraId="48479956" w14:textId="77777777" w:rsidR="00D92E0D" w:rsidRPr="002A6EDB" w:rsidRDefault="00D92E0D" w:rsidP="002A6EDB">
      <w:pPr>
        <w:spacing w:after="0" w:line="276" w:lineRule="auto"/>
        <w:jc w:val="center"/>
        <w:rPr>
          <w:rFonts w:ascii="Times New Roman" w:hAnsi="Times New Roman" w:cs="Times New Roman"/>
          <w:sz w:val="24"/>
          <w:szCs w:val="24"/>
        </w:rPr>
      </w:pPr>
    </w:p>
    <w:p w14:paraId="772BDD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Регламентът за създаване на Механизъм за възстановяване и устойчивост (МВУ) (Регламент (ЕС) 2021/241) определя целите на механизма, формите на финансиране от Съюза и правилата за предоставяне на такова финансиране. Регламент (ЕС) 2021/241 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(Регламент за таксономията).</w:t>
      </w:r>
    </w:p>
    <w:p w14:paraId="68CDB1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 база посоченото, всички мерки/дейности/</w:t>
      </w:r>
      <w:r w:rsidRPr="002A6EDB">
        <w:rPr>
          <w:rFonts w:ascii="Times New Roman" w:hAnsi="Times New Roman" w:cs="Times New Roman"/>
          <w:b/>
          <w:bCs/>
          <w:sz w:val="24"/>
          <w:szCs w:val="24"/>
        </w:rPr>
        <w:t>инвестиции</w:t>
      </w:r>
      <w:r w:rsidRPr="002A6EDB">
        <w:rPr>
          <w:rFonts w:ascii="Times New Roman" w:hAnsi="Times New Roman" w:cs="Times New Roman"/>
          <w:sz w:val="24"/>
          <w:szCs w:val="24"/>
        </w:rPr>
        <w:t>, включени в Националния план за възстановяване и устойчивост на България (НПВУ), следва да бъдат в съответствие с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и да допринасят за екологичния преход като отчитат </w:t>
      </w:r>
      <w:r w:rsidRPr="002A6EDB">
        <w:rPr>
          <w:rFonts w:ascii="Times New Roman" w:hAnsi="Times New Roman" w:cs="Times New Roman"/>
          <w:b/>
          <w:sz w:val="24"/>
          <w:szCs w:val="24"/>
        </w:rPr>
        <w:t>шестте екологични цели</w:t>
      </w:r>
      <w:r w:rsidRPr="002A6EDB">
        <w:rPr>
          <w:rFonts w:ascii="Times New Roman" w:hAnsi="Times New Roman" w:cs="Times New Roman"/>
          <w:sz w:val="24"/>
          <w:szCs w:val="24"/>
        </w:rPr>
        <w:t>, заложени в чл. 9 от Регламента за таксономията, а именно:</w:t>
      </w:r>
    </w:p>
    <w:p w14:paraId="361480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 смекчаване на изменението на климата;</w:t>
      </w:r>
    </w:p>
    <w:p w14:paraId="4B942E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2) адаптиране към изменението на климата;</w:t>
      </w:r>
    </w:p>
    <w:p w14:paraId="0EB9CB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3) устойчиво използване и опазване на водните и морските ресурси;</w:t>
      </w:r>
    </w:p>
    <w:p w14:paraId="08B92E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 преход към кръгова икономика;</w:t>
      </w:r>
    </w:p>
    <w:p w14:paraId="434262A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5) предотвратяване и контрол на замърсяването;</w:t>
      </w:r>
    </w:p>
    <w:p w14:paraId="64D036C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6) защита и възстановяване на биологичното разнообразие и екосистемите.</w:t>
      </w:r>
    </w:p>
    <w:p w14:paraId="22D339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noProof/>
          <w:sz w:val="24"/>
          <w:szCs w:val="24"/>
          <w:lang w:eastAsia="bg-BG"/>
        </w:rPr>
        <w:drawing>
          <wp:inline distT="0" distB="0" distL="0" distR="0" wp14:anchorId="28645F10" wp14:editId="2D9FC37A">
            <wp:extent cx="5760720" cy="1827530"/>
            <wp:effectExtent l="0" t="0" r="0" b="1270"/>
            <wp:docPr id="2" name="Picture 13">
              <a:extLst xmlns:a="http://schemas.openxmlformats.org/drawingml/2006/main">
                <a:ext uri="{FF2B5EF4-FFF2-40B4-BE49-F238E27FC236}">
                  <a16:creationId xmlns:a16="http://schemas.microsoft.com/office/drawing/2014/main" id="{8C57BE34-99D9-6C80-E25D-D4C1C0CCA7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8C57BE34-99D9-6C80-E25D-D4C1C0CCA7AD}"/>
                        </a:ext>
                      </a:extLst>
                    </pic:cNvPr>
                    <pic:cNvPicPr>
                      <a:picLocks noChangeAspect="1"/>
                    </pic:cNvPicPr>
                  </pic:nvPicPr>
                  <pic:blipFill>
                    <a:blip r:embed="rId7"/>
                    <a:stretch>
                      <a:fillRect/>
                    </a:stretch>
                  </pic:blipFill>
                  <pic:spPr>
                    <a:xfrm>
                      <a:off x="0" y="0"/>
                      <a:ext cx="5760720" cy="1827530"/>
                    </a:xfrm>
                    <a:prstGeom prst="rect">
                      <a:avLst/>
                    </a:prstGeom>
                  </pic:spPr>
                </pic:pic>
              </a:graphicData>
            </a:graphic>
          </wp:inline>
        </w:drawing>
      </w:r>
    </w:p>
    <w:p w14:paraId="1C612E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 тази връзка, всяка една инвестиция по НПВУ следва да бъде в съответствие с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w:t>
      </w:r>
    </w:p>
    <w:p w14:paraId="57357DB1" w14:textId="77777777" w:rsidR="002A6EDB" w:rsidRPr="002A6EDB" w:rsidRDefault="002A6EDB" w:rsidP="002A6EDB">
      <w:pPr>
        <w:spacing w:after="0" w:line="276" w:lineRule="auto"/>
        <w:jc w:val="both"/>
        <w:rPr>
          <w:rFonts w:ascii="Times New Roman" w:hAnsi="Times New Roman" w:cs="Times New Roman"/>
          <w:b/>
          <w:bCs/>
          <w:color w:val="FF0000"/>
          <w:sz w:val="24"/>
          <w:szCs w:val="24"/>
        </w:rPr>
      </w:pPr>
      <w:r w:rsidRPr="002A6EDB">
        <w:rPr>
          <w:rFonts w:ascii="Times New Roman" w:hAnsi="Times New Roman" w:cs="Times New Roman"/>
          <w:sz w:val="24"/>
          <w:szCs w:val="24"/>
        </w:rPr>
        <w:t>За целите на Регламента за Механизма за възстановяване и устойчивост  принципът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в него. В тази връзка, като се отчита целият жизнен цикъл на продуктите  и услугите (като се отчитат по-специално производството, употребата и излизането от употреба на тези продукти и услуги), предоставяни посредством дадена икономическа дейност, се приема, че дейността нанася значителни вреди за някой от шестте екологични цели, и съответно </w:t>
      </w:r>
      <w:r w:rsidRPr="002A6EDB">
        <w:rPr>
          <w:rFonts w:ascii="Times New Roman" w:hAnsi="Times New Roman" w:cs="Times New Roman"/>
          <w:b/>
          <w:bCs/>
          <w:color w:val="FF0000"/>
          <w:sz w:val="24"/>
          <w:szCs w:val="24"/>
        </w:rPr>
        <w:t>НЕ е налице</w:t>
      </w:r>
      <w:r w:rsidRPr="002A6EDB">
        <w:rPr>
          <w:rFonts w:ascii="Times New Roman" w:hAnsi="Times New Roman" w:cs="Times New Roman"/>
          <w:color w:val="FF0000"/>
          <w:sz w:val="24"/>
          <w:szCs w:val="24"/>
        </w:rPr>
        <w:t xml:space="preserve"> </w:t>
      </w:r>
      <w:r w:rsidRPr="002A6EDB">
        <w:rPr>
          <w:rFonts w:ascii="Times New Roman" w:hAnsi="Times New Roman" w:cs="Times New Roman"/>
          <w:b/>
          <w:bCs/>
          <w:color w:val="FF0000"/>
          <w:sz w:val="24"/>
          <w:szCs w:val="24"/>
        </w:rPr>
        <w:t>спазването на принципа за „</w:t>
      </w:r>
      <w:proofErr w:type="spellStart"/>
      <w:r w:rsidRPr="002A6EDB">
        <w:rPr>
          <w:rFonts w:ascii="Times New Roman" w:hAnsi="Times New Roman" w:cs="Times New Roman"/>
          <w:b/>
          <w:bCs/>
          <w:color w:val="FF0000"/>
          <w:sz w:val="24"/>
          <w:szCs w:val="24"/>
        </w:rPr>
        <w:t>ненанасяне</w:t>
      </w:r>
      <w:proofErr w:type="spellEnd"/>
      <w:r w:rsidRPr="002A6EDB">
        <w:rPr>
          <w:rFonts w:ascii="Times New Roman" w:hAnsi="Times New Roman" w:cs="Times New Roman"/>
          <w:b/>
          <w:bCs/>
          <w:color w:val="FF0000"/>
          <w:sz w:val="24"/>
          <w:szCs w:val="24"/>
        </w:rPr>
        <w:t xml:space="preserve"> на значителни вреди”, ако при:</w:t>
      </w:r>
    </w:p>
    <w:p w14:paraId="3A23C71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lastRenderedPageBreak/>
        <w:t>1) смекчаването на изменението на климата</w:t>
      </w:r>
      <w:r w:rsidRPr="002A6EDB">
        <w:rPr>
          <w:rFonts w:ascii="Times New Roman" w:hAnsi="Times New Roman" w:cs="Times New Roman"/>
          <w:sz w:val="24"/>
          <w:szCs w:val="24"/>
        </w:rPr>
        <w:t>, когато тази дейност води до значителни емисии на парникови газове;</w:t>
      </w:r>
    </w:p>
    <w:p w14:paraId="099A9F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2) адаптирането към изменението на климата</w:t>
      </w:r>
      <w:r w:rsidRPr="002A6EDB">
        <w:rPr>
          <w:rFonts w:ascii="Times New Roman" w:hAnsi="Times New Roman" w:cs="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0BDBE3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3) устойчивото използване и опазването на водните и морските ресурси</w:t>
      </w:r>
      <w:r w:rsidRPr="002A6EDB">
        <w:rPr>
          <w:rFonts w:ascii="Times New Roman" w:hAnsi="Times New Roman" w:cs="Times New Roman"/>
          <w:sz w:val="24"/>
          <w:szCs w:val="24"/>
        </w:rPr>
        <w:t>, когато тази дейност влошава:</w:t>
      </w:r>
    </w:p>
    <w:p w14:paraId="0DA3D3D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доброто състояние или добрия екологичен потенциал на водните обекти, включително на повърхностните и подземните води; или</w:t>
      </w:r>
    </w:p>
    <w:p w14:paraId="61024A2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доброто екологично състояние на морските води;</w:t>
      </w:r>
    </w:p>
    <w:p w14:paraId="2FE28CD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4) кръговата икономика</w:t>
      </w:r>
      <w:r w:rsidRPr="002A6EDB">
        <w:rPr>
          <w:rFonts w:ascii="Times New Roman" w:hAnsi="Times New Roman" w:cs="Times New Roman"/>
          <w:sz w:val="24"/>
          <w:szCs w:val="24"/>
        </w:rPr>
        <w:t xml:space="preserve">, </w:t>
      </w:r>
      <w:r w:rsidRPr="002A6EDB">
        <w:rPr>
          <w:rFonts w:ascii="Times New Roman" w:hAnsi="Times New Roman" w:cs="Times New Roman"/>
          <w:b/>
          <w:sz w:val="24"/>
          <w:szCs w:val="24"/>
        </w:rPr>
        <w:t>включително предотвратяването на образуването на отпадъци и тяхното рециклиране</w:t>
      </w:r>
      <w:r w:rsidRPr="002A6EDB">
        <w:rPr>
          <w:rFonts w:ascii="Times New Roman" w:hAnsi="Times New Roman" w:cs="Times New Roman"/>
          <w:sz w:val="24"/>
          <w:szCs w:val="24"/>
        </w:rPr>
        <w:t>, когато:</w:t>
      </w:r>
    </w:p>
    <w:p w14:paraId="2142A8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Pr="002A6EDB">
        <w:rPr>
          <w:rFonts w:ascii="Times New Roman" w:hAnsi="Times New Roman" w:cs="Times New Roman"/>
          <w:sz w:val="24"/>
          <w:szCs w:val="24"/>
        </w:rPr>
        <w:t>невъзобновяеми</w:t>
      </w:r>
      <w:proofErr w:type="spellEnd"/>
      <w:r w:rsidRPr="002A6EDB">
        <w:rPr>
          <w:rFonts w:ascii="Times New Roman" w:hAnsi="Times New Roman" w:cs="Times New Roman"/>
          <w:sz w:val="24"/>
          <w:szCs w:val="24"/>
        </w:rPr>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154A8C7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Pr="002A6EDB">
        <w:rPr>
          <w:rFonts w:ascii="Times New Roman" w:hAnsi="Times New Roman" w:cs="Times New Roman"/>
          <w:sz w:val="24"/>
          <w:szCs w:val="24"/>
        </w:rPr>
        <w:t>нерециклируеми</w:t>
      </w:r>
      <w:proofErr w:type="spellEnd"/>
      <w:r w:rsidRPr="002A6EDB">
        <w:rPr>
          <w:rFonts w:ascii="Times New Roman" w:hAnsi="Times New Roman" w:cs="Times New Roman"/>
          <w:sz w:val="24"/>
          <w:szCs w:val="24"/>
        </w:rPr>
        <w:t xml:space="preserve"> опасни отпадъци; или</w:t>
      </w:r>
    </w:p>
    <w:p w14:paraId="67FA678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дългосрочното обезвреждане на отпадъци може да причини значителни и дългосрочни вреди на околната среда;</w:t>
      </w:r>
    </w:p>
    <w:p w14:paraId="0C625A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5) предотвратяването и контрола на замърсяването</w:t>
      </w:r>
      <w:r w:rsidRPr="002A6EDB">
        <w:rPr>
          <w:rFonts w:ascii="Times New Roman" w:hAnsi="Times New Roman" w:cs="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433937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b/>
          <w:sz w:val="24"/>
          <w:szCs w:val="24"/>
        </w:rPr>
        <w:t>6) защитата и възстановяването на биологичното разнообразие и екосистемите</w:t>
      </w:r>
      <w:r w:rsidRPr="002A6EDB">
        <w:rPr>
          <w:rFonts w:ascii="Times New Roman" w:hAnsi="Times New Roman" w:cs="Times New Roman"/>
          <w:sz w:val="24"/>
          <w:szCs w:val="24"/>
        </w:rPr>
        <w:t>, когато тази дейност:</w:t>
      </w:r>
    </w:p>
    <w:p w14:paraId="39ABFD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влошава в значителна степен доброто състояние и устойчивостта на екосистемите; или</w:t>
      </w:r>
    </w:p>
    <w:p w14:paraId="163BA5A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влошава природозащитния статус на местообитанията и видовете, включително тези от интерес за Съюза.</w:t>
      </w:r>
    </w:p>
    <w:p w14:paraId="094DFFB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В съответствие с Регламента за Механизма за възстановяване и устойчивост и съответно, </w:t>
      </w:r>
      <w:r w:rsidRPr="002A6EDB">
        <w:rPr>
          <w:rFonts w:ascii="Times New Roman" w:hAnsi="Times New Roman" w:cs="Times New Roman"/>
          <w:b/>
          <w:bCs/>
          <w:sz w:val="24"/>
          <w:szCs w:val="24"/>
        </w:rPr>
        <w:t>за да е налице</w:t>
      </w:r>
      <w:r w:rsidRPr="002A6EDB">
        <w:rPr>
          <w:rFonts w:ascii="Times New Roman" w:hAnsi="Times New Roman" w:cs="Times New Roman"/>
          <w:sz w:val="24"/>
          <w:szCs w:val="24"/>
        </w:rPr>
        <w:t xml:space="preserve"> спазване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всички предвидени инвестиции от кандидатите (крайните получатели) по настоящата процедура, </w:t>
      </w:r>
      <w:r w:rsidRPr="002A6EDB">
        <w:rPr>
          <w:rFonts w:ascii="Times New Roman" w:hAnsi="Times New Roman" w:cs="Times New Roman"/>
          <w:b/>
          <w:bCs/>
          <w:sz w:val="24"/>
          <w:szCs w:val="24"/>
        </w:rPr>
        <w:t>следва да не водят до „</w:t>
      </w:r>
      <w:r w:rsidRPr="002A6EDB">
        <w:rPr>
          <w:rFonts w:ascii="Times New Roman" w:hAnsi="Times New Roman" w:cs="Times New Roman"/>
          <w:sz w:val="24"/>
          <w:szCs w:val="24"/>
        </w:rPr>
        <w:t>значителни вреди“ за всеки един от горепосочените шест екологични цели.</w:t>
      </w:r>
    </w:p>
    <w:p w14:paraId="1057A404" w14:textId="77777777" w:rsidR="002A6EDB" w:rsidRPr="002A6EDB" w:rsidRDefault="002A6EDB" w:rsidP="002A6EDB">
      <w:pPr>
        <w:spacing w:after="0" w:line="276" w:lineRule="auto"/>
        <w:jc w:val="both"/>
        <w:rPr>
          <w:rFonts w:ascii="Times New Roman" w:hAnsi="Times New Roman" w:cs="Times New Roman"/>
          <w:b/>
          <w:sz w:val="24"/>
          <w:szCs w:val="24"/>
        </w:rPr>
      </w:pPr>
      <w:r w:rsidRPr="002A6EDB">
        <w:rPr>
          <w:rFonts w:ascii="Times New Roman" w:hAnsi="Times New Roman" w:cs="Times New Roman"/>
          <w:b/>
          <w:sz w:val="24"/>
          <w:szCs w:val="24"/>
        </w:rPr>
        <w:t xml:space="preserve">ВАЖНО: </w:t>
      </w:r>
    </w:p>
    <w:p w14:paraId="0D3BD817" w14:textId="77777777" w:rsidR="002A6EDB" w:rsidRPr="002A6EDB" w:rsidRDefault="002A6EDB" w:rsidP="002A6EDB">
      <w:pPr>
        <w:spacing w:after="0" w:line="276" w:lineRule="auto"/>
        <w:jc w:val="both"/>
        <w:rPr>
          <w:rFonts w:ascii="Times New Roman" w:hAnsi="Times New Roman" w:cs="Times New Roman"/>
          <w:color w:val="C45911" w:themeColor="accent2" w:themeShade="BF"/>
          <w:sz w:val="24"/>
          <w:szCs w:val="24"/>
        </w:rPr>
      </w:pPr>
      <w:r w:rsidRPr="002A6EDB">
        <w:rPr>
          <w:rFonts w:ascii="Times New Roman" w:hAnsi="Times New Roman" w:cs="Times New Roman"/>
          <w:b/>
          <w:bCs/>
          <w:sz w:val="24"/>
          <w:szCs w:val="24"/>
        </w:rPr>
        <w:t>Съблюдаването на принципа</w:t>
      </w:r>
      <w:r w:rsidRPr="002A6EDB">
        <w:rPr>
          <w:rFonts w:ascii="Times New Roman" w:hAnsi="Times New Roman" w:cs="Times New Roman"/>
          <w:b/>
          <w:sz w:val="24"/>
          <w:szCs w:val="24"/>
        </w:rPr>
        <w:t xml:space="preserve"> за „</w:t>
      </w:r>
      <w:proofErr w:type="spellStart"/>
      <w:r w:rsidRPr="002A6EDB">
        <w:rPr>
          <w:rFonts w:ascii="Times New Roman" w:hAnsi="Times New Roman" w:cs="Times New Roman"/>
          <w:b/>
          <w:sz w:val="24"/>
          <w:szCs w:val="24"/>
        </w:rPr>
        <w:t>ненанасяне</w:t>
      </w:r>
      <w:proofErr w:type="spellEnd"/>
      <w:r w:rsidRPr="002A6EDB">
        <w:rPr>
          <w:rFonts w:ascii="Times New Roman" w:hAnsi="Times New Roman" w:cs="Times New Roman"/>
          <w:b/>
          <w:sz w:val="24"/>
          <w:szCs w:val="24"/>
        </w:rPr>
        <w:t xml:space="preserve"> на значителни вреди“ ще се оценява за всеки един проект на ниво критерии за административна допустимост и оценка на качеството. </w:t>
      </w:r>
    </w:p>
    <w:p w14:paraId="4BDDAB65"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Съблюдаването на принципа за „</w:t>
      </w:r>
      <w:proofErr w:type="spellStart"/>
      <w:r w:rsidRPr="002A6EDB">
        <w:rPr>
          <w:rFonts w:ascii="Times New Roman" w:hAnsi="Times New Roman" w:cs="Times New Roman"/>
          <w:b/>
          <w:bCs/>
          <w:sz w:val="24"/>
          <w:szCs w:val="24"/>
        </w:rPr>
        <w:t>ненанасяне</w:t>
      </w:r>
      <w:proofErr w:type="spellEnd"/>
      <w:r w:rsidRPr="002A6EDB">
        <w:rPr>
          <w:rFonts w:ascii="Times New Roman" w:hAnsi="Times New Roman" w:cs="Times New Roman"/>
          <w:b/>
          <w:bCs/>
          <w:sz w:val="24"/>
          <w:szCs w:val="24"/>
        </w:rPr>
        <w:t xml:space="preserve"> на значителни вреди“ ще се проследява първоначално на етап предварителен контрол преди одобрение на ПИИ. Съответствието с ПНЗВ е ключов критерии/изискване за допустимост на инвестициите по ПВУ. Междинен контрол ще бъде изпълняван по време на изпълнение на ПИИ до момента на изплащане на помощта. За удостоверяване на съответствието на подкрепените дейности с ПНЗВ до „края на проекта“, крайните получатели ще подлежат на контрол към края на периода на мониторинг (3-та година след плащане).</w:t>
      </w:r>
    </w:p>
    <w:p w14:paraId="12050EA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Допълнителна информация относно прилагането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може да бъде намерена в Регламента за таксономията и в Известие на Комисията – „Технически насоки за прилагането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w:t>
      </w:r>
      <w:r w:rsidRPr="002A6EDB">
        <w:rPr>
          <w:rFonts w:ascii="Times New Roman" w:hAnsi="Times New Roman" w:cs="Times New Roman"/>
          <w:sz w:val="24"/>
          <w:szCs w:val="24"/>
        </w:rPr>
        <w:lastRenderedPageBreak/>
        <w:t>съгласно Регламента за Механизма за възстановяване и устойчивост (2021/C58/01)“, както и в свързаните с тях документи.</w:t>
      </w:r>
    </w:p>
    <w:p w14:paraId="670F9852" w14:textId="77777777" w:rsidR="002A6EDB" w:rsidRPr="002A6EDB" w:rsidRDefault="002A6EDB" w:rsidP="002A6EDB">
      <w:pPr>
        <w:spacing w:after="0" w:line="276" w:lineRule="auto"/>
        <w:jc w:val="both"/>
        <w:rPr>
          <w:rFonts w:ascii="Times New Roman" w:hAnsi="Times New Roman" w:cs="Times New Roman"/>
          <w:b/>
          <w:sz w:val="24"/>
          <w:szCs w:val="24"/>
        </w:rPr>
      </w:pPr>
    </w:p>
    <w:p w14:paraId="5C536D76" w14:textId="77777777" w:rsidR="002A6EDB" w:rsidRPr="002A6EDB" w:rsidRDefault="002A6EDB" w:rsidP="002A6EDB">
      <w:pPr>
        <w:spacing w:after="0" w:line="276" w:lineRule="auto"/>
        <w:jc w:val="both"/>
        <w:rPr>
          <w:rFonts w:ascii="Times New Roman" w:hAnsi="Times New Roman" w:cs="Times New Roman"/>
          <w:b/>
          <w:sz w:val="24"/>
          <w:szCs w:val="24"/>
        </w:rPr>
      </w:pPr>
      <w:r w:rsidRPr="002A6EDB">
        <w:rPr>
          <w:rFonts w:ascii="Times New Roman" w:hAnsi="Times New Roman" w:cs="Times New Roman"/>
          <w:b/>
          <w:sz w:val="24"/>
          <w:szCs w:val="24"/>
        </w:rPr>
        <w:t xml:space="preserve">ВАЖНО: </w:t>
      </w:r>
    </w:p>
    <w:p w14:paraId="079B2262"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sz w:val="24"/>
          <w:szCs w:val="24"/>
        </w:rPr>
        <w:t>Въз основа на Техническите насоки на Европейската Комисия за прилагане на принципа за „</w:t>
      </w:r>
      <w:proofErr w:type="spellStart"/>
      <w:r w:rsidRPr="002A6EDB">
        <w:rPr>
          <w:rFonts w:ascii="Times New Roman" w:hAnsi="Times New Roman" w:cs="Times New Roman"/>
          <w:sz w:val="24"/>
          <w:szCs w:val="24"/>
        </w:rPr>
        <w:t>ненанасяне</w:t>
      </w:r>
      <w:proofErr w:type="spellEnd"/>
      <w:r w:rsidRPr="002A6EDB">
        <w:rPr>
          <w:rFonts w:ascii="Times New Roman" w:hAnsi="Times New Roman" w:cs="Times New Roman"/>
          <w:sz w:val="24"/>
          <w:szCs w:val="24"/>
        </w:rPr>
        <w:t xml:space="preserve"> на значителни вреди“ (DNSH) съгласно Регламента за Механизма за възстановяване и устойчивост е необходимо да се изготви оценка </w:t>
      </w:r>
      <w:r w:rsidRPr="002A6EDB">
        <w:rPr>
          <w:rFonts w:ascii="Times New Roman" w:hAnsi="Times New Roman" w:cs="Times New Roman"/>
          <w:b/>
          <w:bCs/>
          <w:sz w:val="24"/>
          <w:szCs w:val="24"/>
        </w:rPr>
        <w:t>за всеки проект</w:t>
      </w:r>
      <w:r w:rsidRPr="002A6EDB">
        <w:rPr>
          <w:rFonts w:ascii="Times New Roman" w:hAnsi="Times New Roman" w:cs="Times New Roman"/>
          <w:sz w:val="24"/>
          <w:szCs w:val="24"/>
        </w:rPr>
        <w:t xml:space="preserve"> в съответствие с </w:t>
      </w:r>
      <w:r w:rsidRPr="002A6EDB">
        <w:rPr>
          <w:rFonts w:ascii="Times New Roman" w:hAnsi="Times New Roman" w:cs="Times New Roman"/>
          <w:b/>
          <w:bCs/>
          <w:sz w:val="24"/>
          <w:szCs w:val="24"/>
        </w:rPr>
        <w:t>контролни листа № 1 и 2</w:t>
      </w:r>
      <w:r w:rsidRPr="002A6EDB">
        <w:rPr>
          <w:rFonts w:ascii="Times New Roman" w:hAnsi="Times New Roman" w:cs="Times New Roman"/>
          <w:sz w:val="24"/>
          <w:szCs w:val="24"/>
        </w:rPr>
        <w:t xml:space="preserve"> (при необходимост), </w:t>
      </w:r>
      <w:r w:rsidRPr="002A6EDB">
        <w:rPr>
          <w:rFonts w:ascii="Times New Roman" w:hAnsi="Times New Roman" w:cs="Times New Roman"/>
          <w:b/>
          <w:bCs/>
          <w:sz w:val="24"/>
          <w:szCs w:val="24"/>
        </w:rPr>
        <w:t>описани по-надолу.</w:t>
      </w:r>
    </w:p>
    <w:p w14:paraId="6582CD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Формулярът за оценка е разделен на 2 части (контролни листи 1 и 2), обхващащи двата етапа на оценката поотделно за всяка от шестте екологични цели по Регламента за таксономията</w:t>
      </w:r>
    </w:p>
    <w:p w14:paraId="66095E00" w14:textId="77777777" w:rsidR="002A6EDB" w:rsidRPr="002A6EDB" w:rsidRDefault="002A6EDB" w:rsidP="002A6EDB">
      <w:pPr>
        <w:numPr>
          <w:ilvl w:val="0"/>
          <w:numId w:val="14"/>
        </w:numPr>
        <w:spacing w:after="0" w:line="276" w:lineRule="auto"/>
        <w:contextualSpacing/>
        <w:jc w:val="both"/>
        <w:rPr>
          <w:rFonts w:ascii="Times New Roman" w:hAnsi="Times New Roman" w:cs="Times New Roman"/>
          <w:sz w:val="24"/>
          <w:szCs w:val="24"/>
        </w:rPr>
      </w:pPr>
      <w:r w:rsidRPr="002A6EDB">
        <w:rPr>
          <w:rFonts w:ascii="Times New Roman" w:hAnsi="Times New Roman" w:cs="Times New Roman"/>
          <w:sz w:val="24"/>
          <w:szCs w:val="24"/>
        </w:rPr>
        <w:t>първият етап: обосноваване на липса на въздействие на конкретната инвестиция върху съответните екологични цели или наличието на обстоятелства, изключващи негативното въздействие</w:t>
      </w:r>
    </w:p>
    <w:p w14:paraId="10681DF7" w14:textId="77777777" w:rsidR="002A6EDB" w:rsidRPr="002A6EDB" w:rsidRDefault="002A6EDB" w:rsidP="002A6EDB">
      <w:pPr>
        <w:numPr>
          <w:ilvl w:val="0"/>
          <w:numId w:val="14"/>
        </w:numPr>
        <w:spacing w:after="0" w:line="276" w:lineRule="auto"/>
        <w:contextualSpacing/>
        <w:jc w:val="both"/>
        <w:rPr>
          <w:rFonts w:ascii="Times New Roman" w:hAnsi="Times New Roman" w:cs="Times New Roman"/>
          <w:sz w:val="24"/>
          <w:szCs w:val="24"/>
        </w:rPr>
      </w:pPr>
      <w:r w:rsidRPr="002A6EDB">
        <w:rPr>
          <w:rFonts w:ascii="Times New Roman" w:hAnsi="Times New Roman" w:cs="Times New Roman"/>
          <w:sz w:val="24"/>
          <w:szCs w:val="24"/>
        </w:rPr>
        <w:t>втория етап на детайлна оценка (към него се преминава само в случаите на констатирана на първия етап възможност за потенциално негативно въздействие)</w:t>
      </w:r>
    </w:p>
    <w:p w14:paraId="055238CB" w14:textId="77777777" w:rsidR="002A6EDB" w:rsidRPr="002A6EDB" w:rsidRDefault="002A6EDB" w:rsidP="002A6EDB">
      <w:pPr>
        <w:spacing w:after="0" w:line="276" w:lineRule="auto"/>
        <w:jc w:val="both"/>
        <w:rPr>
          <w:rFonts w:ascii="Times New Roman" w:hAnsi="Times New Roman" w:cs="Times New Roman"/>
          <w:sz w:val="24"/>
          <w:szCs w:val="24"/>
        </w:rPr>
      </w:pPr>
    </w:p>
    <w:p w14:paraId="3E596F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Контролните листа се попълват </w:t>
      </w:r>
      <w:r w:rsidRPr="002A6EDB">
        <w:rPr>
          <w:rFonts w:ascii="Times New Roman" w:hAnsi="Times New Roman" w:cs="Times New Roman"/>
          <w:b/>
          <w:bCs/>
          <w:sz w:val="24"/>
          <w:szCs w:val="24"/>
        </w:rPr>
        <w:t>от всеки кандидат</w:t>
      </w:r>
      <w:r w:rsidRPr="002A6EDB">
        <w:rPr>
          <w:rFonts w:ascii="Times New Roman" w:hAnsi="Times New Roman" w:cs="Times New Roman"/>
          <w:sz w:val="24"/>
          <w:szCs w:val="24"/>
        </w:rPr>
        <w:t xml:space="preserve"> и се предоставят като </w:t>
      </w:r>
      <w:r w:rsidRPr="002A6EDB">
        <w:rPr>
          <w:rFonts w:ascii="Times New Roman" w:hAnsi="Times New Roman" w:cs="Times New Roman"/>
          <w:b/>
          <w:bCs/>
          <w:sz w:val="24"/>
          <w:szCs w:val="24"/>
        </w:rPr>
        <w:t>приложение</w:t>
      </w:r>
      <w:r w:rsidRPr="002A6EDB">
        <w:rPr>
          <w:rFonts w:ascii="Times New Roman" w:hAnsi="Times New Roman" w:cs="Times New Roman"/>
          <w:sz w:val="24"/>
          <w:szCs w:val="24"/>
        </w:rPr>
        <w:t xml:space="preserve"> към попълнения Формуляр за кандидатстване.</w:t>
      </w:r>
    </w:p>
    <w:p w14:paraId="08202451" w14:textId="77777777" w:rsidR="002A6EDB" w:rsidRPr="002A6EDB" w:rsidRDefault="002A6EDB" w:rsidP="002A6EDB">
      <w:pPr>
        <w:spacing w:after="0" w:line="276" w:lineRule="auto"/>
        <w:jc w:val="both"/>
        <w:rPr>
          <w:rFonts w:ascii="Times New Roman" w:hAnsi="Times New Roman" w:cs="Times New Roman"/>
          <w:b/>
          <w:sz w:val="24"/>
          <w:szCs w:val="24"/>
        </w:rPr>
      </w:pPr>
    </w:p>
    <w:p w14:paraId="541DE08F" w14:textId="77777777" w:rsidR="002A6EDB" w:rsidRPr="002A6EDB" w:rsidRDefault="002A6EDB" w:rsidP="002A6EDB">
      <w:pPr>
        <w:spacing w:after="0" w:line="276" w:lineRule="auto"/>
        <w:jc w:val="both"/>
        <w:rPr>
          <w:rFonts w:ascii="Times New Roman" w:hAnsi="Times New Roman" w:cs="Times New Roman"/>
          <w:b/>
          <w:sz w:val="24"/>
          <w:szCs w:val="24"/>
        </w:rPr>
      </w:pPr>
      <w:r w:rsidRPr="002A6EDB">
        <w:rPr>
          <w:rFonts w:ascii="Times New Roman" w:hAnsi="Times New Roman" w:cs="Times New Roman"/>
          <w:b/>
          <w:sz w:val="24"/>
          <w:szCs w:val="24"/>
        </w:rPr>
        <w:t xml:space="preserve">ВАЖНО: </w:t>
      </w:r>
    </w:p>
    <w:p w14:paraId="193CC371"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4B227255" w14:textId="77777777" w:rsidR="002A6EDB" w:rsidRPr="002A6EDB" w:rsidRDefault="002A6EDB" w:rsidP="002A6EDB">
      <w:pPr>
        <w:spacing w:after="0" w:line="276" w:lineRule="auto"/>
        <w:jc w:val="both"/>
        <w:rPr>
          <w:rFonts w:ascii="Times New Roman" w:hAnsi="Times New Roman" w:cs="Times New Roman"/>
          <w:b/>
          <w:bCs/>
          <w:i/>
          <w:iCs/>
          <w:sz w:val="24"/>
          <w:szCs w:val="24"/>
        </w:rPr>
      </w:pPr>
      <w:r w:rsidRPr="002A6EDB">
        <w:rPr>
          <w:rFonts w:ascii="Times New Roman" w:hAnsi="Times New Roman" w:cs="Times New Roman"/>
          <w:b/>
          <w:bCs/>
          <w:i/>
          <w:iCs/>
          <w:sz w:val="24"/>
          <w:szCs w:val="24"/>
        </w:rPr>
        <w:t>Приложения:</w:t>
      </w:r>
    </w:p>
    <w:p w14:paraId="03890E22" w14:textId="77777777" w:rsidR="002A6EDB" w:rsidRPr="002A6EDB" w:rsidRDefault="002A6EDB" w:rsidP="002A6EDB">
      <w:pPr>
        <w:spacing w:after="0" w:line="276" w:lineRule="auto"/>
        <w:ind w:left="1843" w:hanging="1843"/>
        <w:jc w:val="both"/>
        <w:rPr>
          <w:rFonts w:ascii="Times New Roman" w:hAnsi="Times New Roman" w:cs="Times New Roman"/>
          <w:i/>
          <w:iCs/>
          <w:sz w:val="24"/>
          <w:szCs w:val="24"/>
        </w:rPr>
      </w:pPr>
      <w:r w:rsidRPr="002A6EDB">
        <w:rPr>
          <w:rFonts w:ascii="Times New Roman" w:hAnsi="Times New Roman" w:cs="Times New Roman"/>
          <w:i/>
          <w:iCs/>
          <w:sz w:val="24"/>
          <w:szCs w:val="24"/>
        </w:rPr>
        <w:t xml:space="preserve">Приложение 1: </w:t>
      </w:r>
      <w:r w:rsidRPr="002A6EDB">
        <w:rPr>
          <w:rFonts w:ascii="Times New Roman" w:hAnsi="Times New Roman" w:cs="Times New Roman"/>
          <w:i/>
          <w:iCs/>
          <w:sz w:val="24"/>
          <w:szCs w:val="24"/>
        </w:rPr>
        <w:tab/>
      </w:r>
      <w:bookmarkStart w:id="1" w:name="_Hlk121405515"/>
      <w:r w:rsidRPr="002A6EDB">
        <w:rPr>
          <w:rFonts w:ascii="Times New Roman" w:hAnsi="Times New Roman" w:cs="Times New Roman"/>
          <w:i/>
          <w:iCs/>
          <w:sz w:val="24"/>
          <w:szCs w:val="24"/>
        </w:rPr>
        <w:t>Приложение VI от Регламент (ЕС) 2021/241 на Европейския парламент и на съвета</w:t>
      </w:r>
      <w:bookmarkEnd w:id="1"/>
    </w:p>
    <w:p w14:paraId="3BEFED5E" w14:textId="77777777" w:rsidR="002A6EDB" w:rsidRPr="002A6EDB" w:rsidRDefault="002A6EDB" w:rsidP="002A6EDB">
      <w:pPr>
        <w:spacing w:after="0" w:line="276" w:lineRule="auto"/>
        <w:ind w:left="2880"/>
        <w:jc w:val="both"/>
        <w:rPr>
          <w:rFonts w:ascii="Times New Roman" w:hAnsi="Times New Roman" w:cs="Times New Roman"/>
          <w:i/>
          <w:iCs/>
          <w:sz w:val="24"/>
          <w:szCs w:val="24"/>
        </w:rPr>
      </w:pPr>
      <w:r w:rsidRPr="002A6EDB">
        <w:rPr>
          <w:rFonts w:ascii="Times New Roman" w:hAnsi="Times New Roman" w:cs="Times New Roman"/>
          <w:b/>
          <w:bCs/>
          <w:i/>
          <w:iCs/>
          <w:sz w:val="24"/>
          <w:szCs w:val="24"/>
        </w:rPr>
        <w:t xml:space="preserve">Приложение 1: </w:t>
      </w:r>
      <w:r w:rsidRPr="002A6EDB">
        <w:rPr>
          <w:rFonts w:ascii="Times New Roman" w:hAnsi="Times New Roman" w:cs="Times New Roman"/>
          <w:i/>
          <w:iCs/>
          <w:sz w:val="24"/>
          <w:szCs w:val="24"/>
        </w:rPr>
        <w:t>Приложение VI от Регламент (ЕС) 2021/241 на Европейския парламент и на съвета</w:t>
      </w:r>
    </w:p>
    <w:p w14:paraId="7E71FFC5" w14:textId="77777777" w:rsidR="002A6EDB" w:rsidRPr="002A6EDB" w:rsidRDefault="002A6EDB" w:rsidP="002A6EDB">
      <w:pPr>
        <w:shd w:val="clear" w:color="auto" w:fill="FFFFFF"/>
        <w:spacing w:after="0" w:line="276" w:lineRule="auto"/>
        <w:jc w:val="both"/>
        <w:rPr>
          <w:rFonts w:ascii="Times New Roman" w:eastAsia="Times New Roman" w:hAnsi="Times New Roman" w:cs="Times New Roman"/>
          <w:b/>
          <w:bCs/>
          <w:color w:val="000000"/>
          <w:sz w:val="24"/>
          <w:szCs w:val="24"/>
          <w:lang w:eastAsia="bg-BG"/>
        </w:rPr>
      </w:pPr>
      <w:r w:rsidRPr="002A6EDB">
        <w:rPr>
          <w:rFonts w:ascii="Times New Roman" w:eastAsia="Times New Roman" w:hAnsi="Times New Roman" w:cs="Times New Roman"/>
          <w:b/>
          <w:bCs/>
          <w:color w:val="000000"/>
          <w:sz w:val="24"/>
          <w:szCs w:val="24"/>
          <w:lang w:eastAsia="bg-BG"/>
        </w:rPr>
        <w:t>ПРИЛОЖЕНИЕ VI</w:t>
      </w:r>
    </w:p>
    <w:p w14:paraId="766E137C" w14:textId="77777777" w:rsidR="002A6EDB" w:rsidRPr="002A6EDB" w:rsidRDefault="002A6EDB" w:rsidP="002A6EDB">
      <w:pPr>
        <w:shd w:val="clear" w:color="auto" w:fill="FFFFFF"/>
        <w:spacing w:after="0" w:line="276" w:lineRule="auto"/>
        <w:jc w:val="both"/>
        <w:rPr>
          <w:rFonts w:ascii="Times New Roman" w:eastAsia="Times New Roman" w:hAnsi="Times New Roman" w:cs="Times New Roman"/>
          <w:b/>
          <w:bCs/>
          <w:color w:val="000000"/>
          <w:sz w:val="24"/>
          <w:szCs w:val="24"/>
          <w:lang w:eastAsia="bg-BG"/>
        </w:rPr>
      </w:pPr>
      <w:r w:rsidRPr="002A6EDB">
        <w:rPr>
          <w:rFonts w:ascii="Times New Roman" w:eastAsia="Times New Roman" w:hAnsi="Times New Roman" w:cs="Times New Roman"/>
          <w:b/>
          <w:bCs/>
          <w:color w:val="000000"/>
          <w:sz w:val="24"/>
          <w:szCs w:val="24"/>
          <w:lang w:eastAsia="bg-BG"/>
        </w:rPr>
        <w:t>Методология за проследяване на действията в областта на климата</w:t>
      </w:r>
    </w:p>
    <w:p w14:paraId="77EE84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eastAsia="Times New Roman" w:hAnsi="Times New Roman" w:cs="Times New Roman"/>
          <w:color w:val="000000"/>
          <w:sz w:val="24"/>
          <w:szCs w:val="24"/>
          <w:lang w:eastAsia="bg-BG"/>
        </w:rPr>
        <w:t>Размери и кодове за видовете намеси за Механизма</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02"/>
        <w:gridCol w:w="4901"/>
        <w:gridCol w:w="2099"/>
        <w:gridCol w:w="2021"/>
      </w:tblGrid>
      <w:tr w:rsidR="002A6EDB" w:rsidRPr="002A6EDB" w14:paraId="03C654D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4C678D" w14:textId="77777777" w:rsidR="002A6EDB" w:rsidRPr="002A6EDB" w:rsidRDefault="002A6EDB" w:rsidP="002A6EDB">
            <w:pPr>
              <w:spacing w:after="0" w:line="276" w:lineRule="auto"/>
              <w:jc w:val="both"/>
              <w:rPr>
                <w:rFonts w:ascii="Times New Roman" w:hAnsi="Times New Roman" w:cs="Times New Roman"/>
                <w:sz w:val="24"/>
                <w:szCs w:val="24"/>
              </w:rPr>
            </w:pPr>
          </w:p>
          <w:p w14:paraId="522D3FB3" w14:textId="77777777" w:rsidR="002A6EDB" w:rsidRPr="002A6EDB" w:rsidRDefault="002A6EDB" w:rsidP="002A6EDB">
            <w:pPr>
              <w:spacing w:after="0" w:line="276" w:lineRule="auto"/>
              <w:jc w:val="both"/>
              <w:rPr>
                <w:rFonts w:ascii="Times New Roman" w:hAnsi="Times New Roman"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F187B3"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ОБЛАСТ НА НАМЕСА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EFB76B"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Коефициент за изчисляване на подкрепата за целите във връзка с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5C5219" w14:textId="77777777" w:rsidR="002A6EDB" w:rsidRPr="002A6EDB" w:rsidRDefault="002A6EDB" w:rsidP="002A6EDB">
            <w:pPr>
              <w:spacing w:after="0" w:line="276" w:lineRule="auto"/>
              <w:jc w:val="both"/>
              <w:rPr>
                <w:rFonts w:ascii="Times New Roman" w:hAnsi="Times New Roman" w:cs="Times New Roman"/>
                <w:b/>
                <w:bCs/>
                <w:sz w:val="24"/>
                <w:szCs w:val="24"/>
              </w:rPr>
            </w:pPr>
            <w:r w:rsidRPr="002A6EDB">
              <w:rPr>
                <w:rFonts w:ascii="Times New Roman" w:hAnsi="Times New Roman" w:cs="Times New Roman"/>
                <w:b/>
                <w:bCs/>
                <w:sz w:val="24"/>
                <w:szCs w:val="24"/>
              </w:rPr>
              <w:t>Коефициент за изчисляване на подкрепата за целите в областта на околната среда</w:t>
            </w:r>
          </w:p>
        </w:tc>
      </w:tr>
      <w:tr w:rsidR="002A6EDB" w:rsidRPr="002A6EDB" w14:paraId="09F9B71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B161B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FEB0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Инвестиции в дълготрайни активи, включително научноизследователски инфраструктури, на </w:t>
            </w:r>
            <w:proofErr w:type="spellStart"/>
            <w:r w:rsidRPr="002A6EDB">
              <w:rPr>
                <w:rFonts w:ascii="Times New Roman" w:hAnsi="Times New Roman" w:cs="Times New Roman"/>
                <w:sz w:val="24"/>
                <w:szCs w:val="24"/>
              </w:rPr>
              <w:t>микропредприятия</w:t>
            </w:r>
            <w:proofErr w:type="spellEnd"/>
            <w:r w:rsidRPr="002A6EDB">
              <w:rPr>
                <w:rFonts w:ascii="Times New Roman" w:hAnsi="Times New Roman" w:cs="Times New Roman"/>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CEA4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79DC0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F52847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F154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3A21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Инвестиции в дълготрайни активи, включително научноизследователски инфраструктури, на малки и средни </w:t>
            </w:r>
            <w:r w:rsidRPr="002A6EDB">
              <w:rPr>
                <w:rFonts w:ascii="Times New Roman" w:hAnsi="Times New Roman" w:cs="Times New Roman"/>
                <w:sz w:val="24"/>
                <w:szCs w:val="24"/>
              </w:rPr>
              <w:lastRenderedPageBreak/>
              <w:t>предприятия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958D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72988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FA5DE5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B12BE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002а1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ED8F1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дълготрайни активи, включително научноизследователски инфраструктури, на предприятия</w:t>
            </w:r>
            <w:hyperlink r:id="rId8" w:anchor="ntr1-L_2021057BG.01006301-E0001"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w:t>
              </w:r>
              <w:r w:rsidRPr="002A6EDB">
                <w:rPr>
                  <w:rFonts w:ascii="Times New Roman" w:hAnsi="Times New Roman" w:cs="Times New Roman"/>
                  <w:sz w:val="24"/>
                  <w:szCs w:val="24"/>
                  <w:u w:val="single"/>
                </w:rPr>
                <w:t>)</w:t>
              </w:r>
            </w:hyperlink>
            <w:r w:rsidRPr="002A6EDB">
              <w:rPr>
                <w:rFonts w:ascii="Times New Roman" w:hAnsi="Times New Roman" w:cs="Times New Roman"/>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62C5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08D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C0BA66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4F1F9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B02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дълготрайни активи, включително научноизследователски инфраструктури,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2829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B4C5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40B143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FAA0E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FB39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Инвестиции в нематериални активи на </w:t>
            </w:r>
            <w:proofErr w:type="spellStart"/>
            <w:r w:rsidRPr="002A6EDB">
              <w:rPr>
                <w:rFonts w:ascii="Times New Roman" w:hAnsi="Times New Roman" w:cs="Times New Roman"/>
                <w:sz w:val="24"/>
                <w:szCs w:val="24"/>
              </w:rPr>
              <w:t>микропредприятия</w:t>
            </w:r>
            <w:proofErr w:type="spellEnd"/>
            <w:r w:rsidRPr="002A6EDB">
              <w:rPr>
                <w:rFonts w:ascii="Times New Roman" w:hAnsi="Times New Roman" w:cs="Times New Roman"/>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E8013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2A5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B26E4E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128A9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5CC20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нематериални активи на МСП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8CD00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15609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D9C760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287BB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005а1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1ED06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нематериални активи на големи 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2CFC5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DA87E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53B0C9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6874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3C1F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Инвестиции в нематериални активи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C16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28185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3703A4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5EB2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FE5A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Научни изследвания и иновационни дейности в </w:t>
            </w:r>
            <w:proofErr w:type="spellStart"/>
            <w:r w:rsidRPr="002A6EDB">
              <w:rPr>
                <w:rFonts w:ascii="Times New Roman" w:hAnsi="Times New Roman" w:cs="Times New Roman"/>
                <w:sz w:val="24"/>
                <w:szCs w:val="24"/>
              </w:rPr>
              <w:t>микропредприятия</w:t>
            </w:r>
            <w:proofErr w:type="spellEnd"/>
            <w:r w:rsidRPr="002A6EDB">
              <w:rPr>
                <w:rFonts w:ascii="Times New Roman" w:hAnsi="Times New Roman" w:cs="Times New Roman"/>
                <w:sz w:val="24"/>
                <w:szCs w:val="24"/>
              </w:rPr>
              <w:t>, включително изграждане на мрежи (индустриални научни изследвания, експериментално развитие, проучвания за установяване на осъществимостта)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DA670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AE6BF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5CC21B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783F9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D15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дейности в МСП,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429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E6014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248D37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372FC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008а1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315A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дейности в големи предприятия,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62613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3773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7331FA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E6511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C150F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Научноизследователски и иновационни дейности в публични научноизследователски центрове, висши учебни заведения и </w:t>
            </w:r>
            <w:r w:rsidRPr="002A6EDB">
              <w:rPr>
                <w:rFonts w:ascii="Times New Roman" w:hAnsi="Times New Roman" w:cs="Times New Roman"/>
                <w:sz w:val="24"/>
                <w:szCs w:val="24"/>
              </w:rPr>
              <w:lastRenderedPageBreak/>
              <w:t>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4C18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5D81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08C51E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323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9869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0947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FE3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057EA7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2EE91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010а1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170A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3B60D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F6F2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348F5F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B5D2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010б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C288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МСП или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 които отговарят на критериите за намаляване на емисиите на парникови газове или за енергийна ефективност</w:t>
            </w:r>
            <w:hyperlink r:id="rId9" w:anchor="ntr2-L_2021057BG.01006301-E000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EE0B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3249D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B6EDBB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1195B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A89C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решения за държавното управление, приложения, електронни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8E04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7540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3CC835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004F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FBAA3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hyperlink r:id="rId10" w:anchor="ntr2-L_2021057BG.01006301-E000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BDA6B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1B72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E90CC7B"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D6E26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8DF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Услуги в областта на информационните технологии и приложения за цифровите умения и цифровото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6855F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B6D83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C61498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016E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EA29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Услуги и приложения за електронно здравеопазване (включително e-Care, интернет на нещата за физическа активност и интелигентна заобикаляща среда)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5539F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9D660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16F48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4ECF8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7C684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Стопанска инфраструктура за МСП (включително промишлени паркове и обекти)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B842F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EE67F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BE0F68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AEABE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05180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Стопанско развитие и интернационализация на МСП,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789CD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25B01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D98180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DD4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9F0BD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големи предприятия чрез финансови инструменти,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951C0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602C8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B471C7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DF4D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A9B92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Развитие на умения за интелигентна специализация, промишлен преход, предприемачество и приспособимост на предприятията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31829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6A7CE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60CAA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1BB3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C5375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Специализирани услуги за подпомагане на МСП и групи от МСП (включително услуги за управление, маркетинг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E9DBA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B78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FE8026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4C14C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C51C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Инкубация, подпомагане на отделяне и разделяне на предприятия и новосъздадени фирми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D0682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383F7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A5F82D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B1DC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5CC60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26EE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86BF2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DC3D94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2A9BB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484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Иновационните процеси в МСП (технологични, организационни, маркетингови, съвместно създаване и иновации, ориентирани към търсенето и потребителите)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5F90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AFEA7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07B0F9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72B1F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22F7C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Трансфер на технологии и сътрудничество между предприятията, изследователските центрове и висшето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932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6875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642BC5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12B5F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DC1DA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Научноизследователски и иновационни процеси, трансфер на технологии и сътрудничество между предприятия с акцент върху </w:t>
            </w:r>
            <w:proofErr w:type="spellStart"/>
            <w:r w:rsidRPr="002A6EDB">
              <w:rPr>
                <w:rFonts w:ascii="Times New Roman" w:hAnsi="Times New Roman" w:cs="Times New Roman"/>
                <w:sz w:val="24"/>
                <w:szCs w:val="24"/>
              </w:rPr>
              <w:t>нисковъглеродната</w:t>
            </w:r>
            <w:proofErr w:type="spellEnd"/>
            <w:r w:rsidRPr="002A6EDB">
              <w:rPr>
                <w:rFonts w:ascii="Times New Roman" w:hAnsi="Times New Roman" w:cs="Times New Roman"/>
                <w:sz w:val="24"/>
                <w:szCs w:val="24"/>
              </w:rPr>
              <w:t xml:space="preserve"> икономика и устойчивостта към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6A3D6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C15E1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1BBD17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053B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83B9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Научноизследователски и иновационни процеси, трансфер на технологии и сътрудничество между предприятия с акцент върху кръговата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720A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0624B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5A32F8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F3F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238F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Проекти за енергийна ефективност и демонстрационни проекти в МСП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3C9B7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25FE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B4EA01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6332D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A187E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Енергийна ефективност и демонстрационни проекти в големи предприятия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E71B5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11509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33C79B8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60019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024б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2923D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Енергийна ефективност и демонстрационни проекти в МСП или големи предприятия и спомагателни мерки, които отговарят на критериите за енергийна ефективност</w:t>
            </w:r>
            <w:hyperlink r:id="rId11" w:anchor="ntr3-L_2021057BG.01006301-E0003"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3</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51CFB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9A98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ABD433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A5CF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0E873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Обновяване на наличния жилищен фонд с цел повишаване на енергийната ефективност,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6696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9A7D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6FB7965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C8F5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86572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Обновяване на наличния жилищен фонд с цел повишаване на енергийната ефективност, </w:t>
            </w:r>
            <w:r w:rsidRPr="002A6EDB">
              <w:rPr>
                <w:rFonts w:ascii="Times New Roman" w:hAnsi="Times New Roman" w:cs="Times New Roman"/>
                <w:sz w:val="24"/>
                <w:szCs w:val="24"/>
              </w:rPr>
              <w:lastRenderedPageBreak/>
              <w:t>демонстрационни проекти и спомагателни мерки, които отговарят на критериите за енергийна ефективност</w:t>
            </w:r>
            <w:hyperlink r:id="rId12" w:anchor="ntr4-L_2021057BG.01006301-E0004"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4</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CB24F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5562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FA6C33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0F350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025б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7190E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Изграждане на нови енергийно ефективни сгради</w:t>
            </w:r>
            <w:hyperlink r:id="rId13" w:anchor="ntr5-L_2021057BG.01006301-E0005"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5</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1B00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5B1E4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61A3465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9B30C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AC07E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B91F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E873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8330B9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CF7A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A2730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 които отговарят на критериите за енергийна ефективност</w:t>
            </w:r>
            <w:hyperlink r:id="rId14" w:anchor="ntr6-L_2021057BG.01006301-E0006"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6</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248DA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5AB73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8A35B4B"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FDD6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ED41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Подпомагане за предприятия, които предоставят услуги, допринасящи за </w:t>
            </w:r>
            <w:proofErr w:type="spellStart"/>
            <w:r w:rsidRPr="002A6EDB">
              <w:rPr>
                <w:rFonts w:ascii="Times New Roman" w:hAnsi="Times New Roman" w:cs="Times New Roman"/>
                <w:sz w:val="24"/>
                <w:szCs w:val="24"/>
              </w:rPr>
              <w:t>нисковъглеродна</w:t>
            </w:r>
            <w:proofErr w:type="spellEnd"/>
            <w:r w:rsidRPr="002A6EDB">
              <w:rPr>
                <w:rFonts w:ascii="Times New Roman" w:hAnsi="Times New Roman" w:cs="Times New Roman"/>
                <w:sz w:val="24"/>
                <w:szCs w:val="24"/>
              </w:rPr>
              <w:t xml:space="preserve"> икономика и устойчивост спрямо изменението на климата, включително мерки за повишаване на осведомеността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E7ABB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3251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3CD48E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F227F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F3C86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вятърна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5D096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3EFF1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DE0F54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71E8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F64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слънчева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15FA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2FB93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825E01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2F7D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DEA7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биомаса</w:t>
            </w:r>
            <w:hyperlink r:id="rId15" w:anchor="ntr7-L_2021057BG.01006301-E0007"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7</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C648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E235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E3CD84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11B7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B0129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Биомаса с високи намаления на емисиите на парникови газове</w:t>
            </w:r>
            <w:hyperlink r:id="rId16" w:anchor="ntr8-L_2021057BG.01006301-E0008"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8</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67D8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CB81B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5660AF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41BA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8EC0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Енергия от възобновяеми източници: морска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7095E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32D6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CE9434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FD0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5AA6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видове енергия от възобновяеми източници (включително геотермална енергия)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87FCC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F833D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3C737A0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C7C16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538F5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Интелигентни енергийни системи (включително интелигентни мрежи и ИКТ системи) и свързаното с тях съхранение.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ADFC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C73CC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7B93AD2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1C5EC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6D50D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Високоефективно комбинирано производство на енергия, районни отоплителни и охладителни системи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C2F9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E418A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E1A923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6627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0369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Високоефективно комбинирано производство на енергия, ефективни централни отоплителни и охладителни системи с ниски емисии през целия жизнен цикъл</w:t>
            </w:r>
            <w:hyperlink r:id="rId17" w:anchor="ntr9-L_2021057BG.01006301-E0009"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9</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F0329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D0D8D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8A930B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68C63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88EB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Замяна на отоплителни системи с използване на въглища с отоплителни системи на газ за целите на смекчаването на последиците от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B4A8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F519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655B30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BEE5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034а2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69C8A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Разпространение и пренос на природен газ, заместващ въглища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42C2E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3CAA1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74BC04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C1233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71373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адаптиране към изменението на климата и превенция и управление на рискове, свързани с климата: наводнения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5F4B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C2B7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8F2DFD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1D4EE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6889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адаптиране към изменението на климата и превенция и управление на рискове, свързани с климата: пожари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7E125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91A1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9CCB44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28E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AC47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адаптиране към изменението на климата и превенция и управление на рискове, свързани с климата: други, например бури или суша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383B1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401E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20EBB9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2C06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122F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Превенция и управление на природни рискове, които не са свързани с климата (т.е. земетресения), и рискове, свързани с човешки дейности (например технологични аварии), включително повишаване на осведомеността, системи и инфраструктури за гражданска защита и управление на бедствия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A2E83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B3B4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767B15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FBFD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04E9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4A1E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83A54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D5D2B5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0C153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039а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62C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 което отговаря на критериите за енергийна ефективност</w:t>
            </w:r>
            <w:hyperlink r:id="rId18" w:anchor="ntr10-L_2021057BG.01006301-E0010"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10</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2C949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4CB8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90433C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536F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F8FAF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водите и опазване на водните ресурси (включително управление на речните басейни, специфични мерки за адаптиране към изменението на климата, повторна употреба, намаляване на течовете)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F92F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76F0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F5D286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42D75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4C2F7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Събиране и пречистване на отпадъчни води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5188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A02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4CC75A1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E51B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041а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D296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Събиране и пречистване на отпадъчни води в съответствие с критериите за енергийна ефективност</w:t>
            </w:r>
            <w:hyperlink r:id="rId19" w:anchor="ntr11-L_2021057BG.01006301-E0011"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11</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B46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03685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9114B3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D878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9E42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битови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60C14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E2CE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7770B43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7E94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0C57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битови отпадъци: управление на остатъчни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8CF59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B6AF5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317473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BF14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7A91E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търговски и промишлени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D4DF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E617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E49319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132B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7A60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Управление на търговски и промишлени отпадъци: остатъчни и опасни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CCED3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B469B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8317C4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FFE44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E4D4F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Насърчаване на използването на рециклирани материали като суровини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A5CC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56D4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54AFC8A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788C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A5730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Използване на рециклирани материали като суровини, отговарящи на критериите за ефективност</w:t>
            </w:r>
            <w:hyperlink r:id="rId20" w:anchor="ntr12-L_2021057BG.01006301-E001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AE2F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219D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1096704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B12F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77CE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Рехабилитация на промишлени обекти и замърсена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3B4E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5204F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59560B1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CF0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2F4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Рехабилитация на промишлени обекти и замърсена земя, отговаряща на критериите за енергийна ефективност</w:t>
            </w:r>
            <w:hyperlink r:id="rId21" w:anchor="ntr13-L_2021057BG.01006301-E0013"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13</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AE8B5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23468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6218138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F4BEB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46076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Подкрепа за благоприятни за околната среда производствени процеси и ефективно използване на ресурсите в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97548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92DC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76A4613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B14C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047а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E6E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екологосъобразни производствени процеси и ефективно използване на ресурсите в големи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9A5DE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126B1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63024CB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3397C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51E0A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намаляване на шума и за качеството на въздуха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23D46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7A78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2B75DE0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45F9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049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834D5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възстановяване и устойчиво използване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C03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59D60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35CE221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D3B7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4372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на природата и биологичното разнообразие, природно наследство и ресурси, зелена и синя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7E72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F38F5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0D5120B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EBC6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8D778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Широколентова мрежа с много висок капацитет (основна/преносна мрежа)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3063C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70469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03401B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61E59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B210D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w:t>
            </w:r>
            <w:proofErr w:type="spellStart"/>
            <w:r w:rsidRPr="002A6EDB">
              <w:rPr>
                <w:rFonts w:ascii="Times New Roman" w:hAnsi="Times New Roman" w:cs="Times New Roman"/>
                <w:sz w:val="24"/>
                <w:szCs w:val="24"/>
              </w:rPr>
              <w:t>многофамилни</w:t>
            </w:r>
            <w:proofErr w:type="spellEnd"/>
            <w:r w:rsidRPr="002A6EDB">
              <w:rPr>
                <w:rFonts w:ascii="Times New Roman" w:hAnsi="Times New Roman" w:cs="Times New Roman"/>
                <w:sz w:val="24"/>
                <w:szCs w:val="24"/>
              </w:rPr>
              <w:t xml:space="preserve"> жилищни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3D2E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3A0DE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3140FD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2255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053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D04C0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жилищни и офисни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00BFC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CAAB2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350DE4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098E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E5A7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основната станция за по-усъвършенствани устройства за безжична връзка)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4B9FC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E3A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2DDD43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6CB0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B05C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Други видове ИКТ инфраструктура (включително мащабни компютърни ресурси и оборудване, центрове за данни, датчици и друго безжично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E91BF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23A2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5B2CEF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22367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9044D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ИКТ: Други видове ИКТ инфраструктура (включително големи компютърни 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hyperlink r:id="rId22" w:anchor="ntr2-L_2021057BG.01006301-E0002"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2</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D4B7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33F1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70C1E7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B9EA3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5BF53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автомагистрали и пътища — основна мрежа на TEN-T</w:t>
            </w:r>
            <w:hyperlink r:id="rId23" w:anchor="ntr14-L_2021057BG.01006301-E0014"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14</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DAE4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74FC9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E0BC48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FA096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48BC5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Новопостроени или модернизирани автомагистрали и пътища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6F423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4BBFD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E8E7FA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7EF0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D350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второстепенни пътни връзки към пътната мрежа и възли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E4BA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39982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C0B349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C537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059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FECF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други национални, регионални и местни пътища за достъп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6ECDE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DE5F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2F2CFF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EE67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C7B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Реконструирани или модернизирани автомагистрали и пътища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21DC9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17610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C9C825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202E7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A260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Реконструирани или модернизирани автомагистрали и пътища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4A77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E2171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E54A3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40BA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3E3AE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реконструирани или модернизирани пътища (магистрала, национален, регионален или местен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676B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A2E2D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3A8F23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5D00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E2D3B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E0B93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2F6E5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A117D9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62314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063а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95B3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когато е посветена отчасти на намаляването на емисиите на парникови газове: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FC3DF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129E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C5FC5A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0B578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28C7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Новопостроени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72D4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4392B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BD8C51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2D7A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CE83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Новопостроени или модернизирани железопътни линии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9CF5E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91A7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36C52F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0E225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48CCE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новопостроени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EAB8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B212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AF3581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B8D0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1B5D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новопостроени или модернизирани железопътни линии — електрически/нулеви емисии</w:t>
            </w:r>
            <w:hyperlink r:id="rId24" w:anchor="ntr15-L_2021057BG.01006301-E0015"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15</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E1E78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7C346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1F517E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885BA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31E17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Реконструирани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A2DE4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3734E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64A0EA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A1A85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C3114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Реконструирани или модернизирани железопътни линии — </w:t>
            </w:r>
            <w:proofErr w:type="spellStart"/>
            <w:r w:rsidRPr="002A6EDB">
              <w:rPr>
                <w:rFonts w:ascii="Times New Roman" w:hAnsi="Times New Roman" w:cs="Times New Roman"/>
                <w:sz w:val="24"/>
                <w:szCs w:val="24"/>
              </w:rPr>
              <w:t>широкообхватна</w:t>
            </w:r>
            <w:proofErr w:type="spellEnd"/>
            <w:r w:rsidRPr="002A6EDB">
              <w:rPr>
                <w:rFonts w:ascii="Times New Roman" w:hAnsi="Times New Roman" w:cs="Times New Roman"/>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79BE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528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7B8834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218E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6BC43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реконструирани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42AE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FDE7F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3DD47A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9072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069а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7F402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реконструирани или модернизирани железопътни линии — електрически/нулеви емисии</w:t>
            </w:r>
            <w:hyperlink r:id="rId25" w:anchor="ntr15-L_2021057BG.01006301-E0015"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15</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CCA71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3289C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A47EA9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12A4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47B7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железници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8F5C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D9F2E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2E7201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00AE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DDA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Европейска система за управление на железопътното движение (ERTMS)</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E291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7878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F8D3A1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C7926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47AC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Подвижен железопътен състав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C45B9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FBCA5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18FDF4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FAC58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78637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Мобилни железопътни активи с нулеви емисии/електрическо задвижване</w:t>
            </w:r>
            <w:hyperlink r:id="rId26" w:anchor="ntr16-L_2021057BG.01006301-E0016"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16</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8DD36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F50A1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238A1D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74997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30C77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чист градски транспорт</w:t>
            </w:r>
            <w:hyperlink r:id="rId27" w:anchor="ntr17-L_2021057BG.01006301-E0017"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17</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6220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94096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0D2194F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A4D3B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5BBEB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Подвижен състав за чист градски транспорт</w:t>
            </w:r>
            <w:hyperlink r:id="rId28" w:anchor="ntr18-L_2021057BG.01006301-E0018"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18</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B16AF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6288A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383A21E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5B70F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0A5D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Велосипедна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EC4F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C6EB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02E4106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345A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03BA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градския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7CA7F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4A1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F627CD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56D3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0668C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когато е посветена отчасти на намаляването на емисиите на парникови газове: градски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EDBC8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75C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E8C65C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C869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A549E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алтернативни горива</w:t>
            </w:r>
            <w:hyperlink r:id="rId29" w:anchor="ntr19-L_2021057BG.01006301-E0019" w:history="1">
              <w:r w:rsidRPr="002A6EDB">
                <w:rPr>
                  <w:rFonts w:ascii="Times New Roman" w:hAnsi="Times New Roman" w:cs="Times New Roman"/>
                  <w:sz w:val="24"/>
                  <w:szCs w:val="24"/>
                  <w:u w:val="single"/>
                </w:rPr>
                <w:t> (</w:t>
              </w:r>
              <w:r w:rsidRPr="002A6EDB">
                <w:rPr>
                  <w:rFonts w:ascii="Times New Roman" w:hAnsi="Times New Roman" w:cs="Times New Roman"/>
                  <w:sz w:val="24"/>
                  <w:szCs w:val="24"/>
                  <w:u w:val="single"/>
                  <w:vertAlign w:val="superscript"/>
                </w:rPr>
                <w:t>19</w:t>
              </w:r>
              <w:r w:rsidRPr="002A6EDB">
                <w:rPr>
                  <w:rFonts w:ascii="Times New Roman" w:hAnsi="Times New Roman" w:cs="Times New Roman"/>
                  <w:sz w:val="24"/>
                  <w:szCs w:val="24"/>
                  <w:u w:val="single"/>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11932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468C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2C3977F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8825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1D2CA8" w14:textId="77777777" w:rsidR="002A6EDB" w:rsidRPr="002A6EDB" w:rsidRDefault="002A6EDB" w:rsidP="002A6EDB">
            <w:pPr>
              <w:spacing w:after="0" w:line="276" w:lineRule="auto"/>
              <w:jc w:val="both"/>
              <w:rPr>
                <w:rFonts w:ascii="Times New Roman" w:hAnsi="Times New Roman" w:cs="Times New Roman"/>
                <w:sz w:val="24"/>
                <w:szCs w:val="24"/>
              </w:rPr>
            </w:pPr>
            <w:proofErr w:type="spellStart"/>
            <w:r w:rsidRPr="002A6EDB">
              <w:rPr>
                <w:rFonts w:ascii="Times New Roman" w:hAnsi="Times New Roman" w:cs="Times New Roman"/>
                <w:sz w:val="24"/>
                <w:szCs w:val="24"/>
              </w:rPr>
              <w:t>Мултимодален</w:t>
            </w:r>
            <w:proofErr w:type="spellEnd"/>
            <w:r w:rsidRPr="002A6EDB">
              <w:rPr>
                <w:rFonts w:ascii="Times New Roman" w:hAnsi="Times New Roman" w:cs="Times New Roman"/>
                <w:sz w:val="24"/>
                <w:szCs w:val="24"/>
              </w:rPr>
              <w:t xml:space="preserve"> транспорт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46F5D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51CD3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197EB21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CFEA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079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82FD8C" w14:textId="77777777" w:rsidR="002A6EDB" w:rsidRPr="002A6EDB" w:rsidRDefault="002A6EDB" w:rsidP="002A6EDB">
            <w:pPr>
              <w:spacing w:after="0" w:line="276" w:lineRule="auto"/>
              <w:jc w:val="both"/>
              <w:rPr>
                <w:rFonts w:ascii="Times New Roman" w:hAnsi="Times New Roman" w:cs="Times New Roman"/>
                <w:sz w:val="24"/>
                <w:szCs w:val="24"/>
              </w:rPr>
            </w:pPr>
            <w:proofErr w:type="spellStart"/>
            <w:r w:rsidRPr="002A6EDB">
              <w:rPr>
                <w:rFonts w:ascii="Times New Roman" w:hAnsi="Times New Roman" w:cs="Times New Roman"/>
                <w:sz w:val="24"/>
                <w:szCs w:val="24"/>
              </w:rPr>
              <w:t>Мултимодален</w:t>
            </w:r>
            <w:proofErr w:type="spellEnd"/>
            <w:r w:rsidRPr="002A6EDB">
              <w:rPr>
                <w:rFonts w:ascii="Times New Roman" w:hAnsi="Times New Roman" w:cs="Times New Roman"/>
                <w:sz w:val="24"/>
                <w:szCs w:val="24"/>
              </w:rPr>
              <w:t xml:space="preserve"> транспорт (извънградски)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45E7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7E52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544E9AB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28A0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F4E89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Морски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8B7A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D4B5C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416DC9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91346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3D4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Морски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3C68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8395C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688B78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19AE7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7507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морски пристанища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5DB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316F5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D3218C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F5202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081а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DFC39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Други морски пристанища,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5FA45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07C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BAB5DA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ED478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DD2F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71435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3112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4E4A8D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348A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A068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CAE3D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9485F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954715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2E95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32D50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(регионални и местни)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22C9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8ADD3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F2A26D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8D474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083а0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F4A15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Вътрешни водни пътища и пристанища (регионални и местни),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EA76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C8EC9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E7AC6B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20DD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083а1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B9C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Системи за сигурност, безопасност и управление на въздушното движение за съществуващи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D477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9A56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564C44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64F1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B4314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D3D64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D1097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952A9A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CA51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AE0B1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на транспорта, когато е посветена отчасти на намаляването на емисиите на парникови газове: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EB2B0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DE40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E06E04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42D7B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B3B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в областта на образованието и грижите в ранна детска възраст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01202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3A2E1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27D50A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D5E46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A8CFA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начално и средно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336A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921D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90CFEE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8CD93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76AB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висше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931D5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D993E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F1CD0D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9CD8C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3484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Инфраструктура за професионално образование и обучение и учене за възрастни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D311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48CE3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496164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851B2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089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70815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Жилищна инфраструктура за </w:t>
            </w:r>
            <w:proofErr w:type="spellStart"/>
            <w:r w:rsidRPr="002A6EDB">
              <w:rPr>
                <w:rFonts w:ascii="Times New Roman" w:hAnsi="Times New Roman" w:cs="Times New Roman"/>
                <w:sz w:val="24"/>
                <w:szCs w:val="24"/>
              </w:rPr>
              <w:t>мигранти</w:t>
            </w:r>
            <w:proofErr w:type="spellEnd"/>
            <w:r w:rsidRPr="002A6EDB">
              <w:rPr>
                <w:rFonts w:ascii="Times New Roman" w:hAnsi="Times New Roman" w:cs="Times New Roman"/>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1EA0F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125D6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067DB1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E278A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3BF2C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Жилищна инфраструктура (различна от тази за </w:t>
            </w:r>
            <w:proofErr w:type="spellStart"/>
            <w:r w:rsidRPr="002A6EDB">
              <w:rPr>
                <w:rFonts w:ascii="Times New Roman" w:hAnsi="Times New Roman" w:cs="Times New Roman"/>
                <w:sz w:val="24"/>
                <w:szCs w:val="24"/>
              </w:rPr>
              <w:t>мигранти</w:t>
            </w:r>
            <w:proofErr w:type="spellEnd"/>
            <w:r w:rsidRPr="002A6EDB">
              <w:rPr>
                <w:rFonts w:ascii="Times New Roman" w:hAnsi="Times New Roman" w:cs="Times New Roman"/>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DE11E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2126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E073E5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4D090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10F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Друга инфраструктура, която допринася за социалното приобщаване в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A3B6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24FA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0E5DF0B"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EF8D0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026EA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Здравна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5BFB7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CA2B2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FDAE72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AA701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9B7DB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Оборудване за здравеопазване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33DC3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94A7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91B985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E2E68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B2088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Мобилни активи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FE14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59338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16790D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AF2B1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454F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Цифровизация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0C52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BD8A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F92701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2B4A1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C6159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Инфраструктура за временно приемане на </w:t>
            </w:r>
            <w:proofErr w:type="spellStart"/>
            <w:r w:rsidRPr="002A6EDB">
              <w:rPr>
                <w:rFonts w:ascii="Times New Roman" w:hAnsi="Times New Roman" w:cs="Times New Roman"/>
                <w:sz w:val="24"/>
                <w:szCs w:val="24"/>
              </w:rPr>
              <w:t>мигранти</w:t>
            </w:r>
            <w:proofErr w:type="spellEnd"/>
            <w:r w:rsidRPr="002A6EDB">
              <w:rPr>
                <w:rFonts w:ascii="Times New Roman" w:hAnsi="Times New Roman" w:cs="Times New Roman"/>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38304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A00FF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803942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E232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097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7B7F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достъпа до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19F87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5DD6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004F94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58972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ABA95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достъпа до заетост на трайно безработни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8BE68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7181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3A7F81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DC3CC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15C2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Специфично подпомагане за младежка заетост и социално-икономическа интеграция на младите хора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D335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F799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00B6E6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E61FB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5C80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самостоятелна заетост и започване на стопанска дейност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AC768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4C4BF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212060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96D17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EF76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социалната икономика и социалните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2F7E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3C0ED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908436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7D1B2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8833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модернизиране и укрепване на институциите на пазара на труда, както и услуги за оценка и предвиждане на потребностите от умения и за гарантиране на навременна и целесъобразна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29277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DC2F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9D3E34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0F88E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04241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постигане на съответствие между търсенето и предлагането на пазара на труда и преходите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E9713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A8B27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263E33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C44A9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6EEE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мобилността на работната сила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B80F0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267B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4A3813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107D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AEBD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участието на жените на пазара на труда и за намаляване на основаното на пола разделение на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376D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E350E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D8E5EB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A1DA6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4461B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равновесието между професионалния и личния живот, включително достъп до грижи за деца и за зависими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6530C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0C00F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44FDFD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59CC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B6A0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здравословна и адаптирана работна среда, насочена към справяне с рисковете за здравето, включително насърчаване на физическата активност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4EBD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6510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FA0284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4C55C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83EFD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Подкрепа за развитието на цифровите умения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93D8B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D389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A976A8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372E6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FCC9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на работниците, предприятията и предприемачите за приспособяването им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1FBF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ECDAE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BBBBF9C"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DF5C6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E858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активния живот на възрастните хора и остаряването в добро здраве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A636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C545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972031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273C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10644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образованието и грижите в ранна детска възраст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48AA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A7263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1A0D84B"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EE73D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DF903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начално до средно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AC91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4D4D7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9FB0A1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692D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8BCA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висшето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D8D1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F0E12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23D9C3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BFA5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44691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Подпомагане за ученето за възрастни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817A7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43130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7F79E1B"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9F4F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AAD0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насърчаване на равните възможности и активното участие в обществото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0F498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8387A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E8C7A01"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79517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3826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Начини за интегриране и завръщане на работа на хора в неравностойно положение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38C3A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B7D5A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9238BB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31486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2D78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Мерки за подобряване на достъпа на </w:t>
            </w:r>
            <w:proofErr w:type="spellStart"/>
            <w:r w:rsidRPr="002A6EDB">
              <w:rPr>
                <w:rFonts w:ascii="Times New Roman" w:hAnsi="Times New Roman" w:cs="Times New Roman"/>
                <w:sz w:val="24"/>
                <w:szCs w:val="24"/>
              </w:rPr>
              <w:t>маргинализирани</w:t>
            </w:r>
            <w:proofErr w:type="spellEnd"/>
            <w:r w:rsidRPr="002A6EDB">
              <w:rPr>
                <w:rFonts w:ascii="Times New Roman" w:hAnsi="Times New Roman" w:cs="Times New Roman"/>
                <w:sz w:val="24"/>
                <w:szCs w:val="24"/>
              </w:rPr>
              <w:t xml:space="preserve"> групи като ромите до образование, заетост и за насърчаване на социалното им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024C1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2E4BE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81ACC9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B3529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74D2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Подпомагане на гражданското общество в работата с </w:t>
            </w:r>
            <w:proofErr w:type="spellStart"/>
            <w:r w:rsidRPr="002A6EDB">
              <w:rPr>
                <w:rFonts w:ascii="Times New Roman" w:hAnsi="Times New Roman" w:cs="Times New Roman"/>
                <w:sz w:val="24"/>
                <w:szCs w:val="24"/>
              </w:rPr>
              <w:t>маргинализирани</w:t>
            </w:r>
            <w:proofErr w:type="spellEnd"/>
            <w:r w:rsidRPr="002A6EDB">
              <w:rPr>
                <w:rFonts w:ascii="Times New Roman" w:hAnsi="Times New Roman" w:cs="Times New Roman"/>
                <w:sz w:val="24"/>
                <w:szCs w:val="24"/>
              </w:rPr>
              <w:t xml:space="preserve"> общности като ромите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BABDB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0D5F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9EA98D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808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D5982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Специални действия за увеличаване на участието на граждани на трети държави на трудовия пазар</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3AC4D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9E60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8697986"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F5B8C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BFB51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социална интеграция на граждани на трети държави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930FA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CE49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017FAF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67E44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ACF5B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равния и навременен достъп до качествени, устойчиви и достъпни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A843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8EB7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AFC615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3E0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BCD1C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предоставянето на грижи в семейството и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8A38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370D0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365467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30557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4B00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подобряване на достъпността, ефективността и устойчивостта на здравните системи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450ECA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935D0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E492E30"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4C0F8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FD7E6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по-добър достъп до дългосрочни грижи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6D14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F7F39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6F50FC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7DE0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09FD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Мерки за модернизиране на системите за социална закрила, включително насърчаване на достъпа до социална закрила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4D796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3811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B96323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6C00E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6B075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Насърчаване на социалното приобщаване на хората, изложени на риск от бедност или социално изключване, включително най-бедните и децата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06612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95A3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F592078"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12349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7843F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Преодоляване на материалните лишения, дължащи се на храни и/или основно материално подпомагане за най-нуждаещите се лица, включително съпътстващи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372A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E2656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F5FD04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F85B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F8B8E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развитие и популяризиране на публични туристически активи и туристически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DB766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591AA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163993F7"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637A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5268F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развитие и популяризиране на културното наследство и културните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91E7B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73D18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20C4EF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EE2A7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113B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Опазване, развитие и популяризиране на природното наследство и екотуризма извън рамките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BE3B8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FF9BE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r>
      <w:tr w:rsidR="002A6EDB" w:rsidRPr="002A6EDB" w14:paraId="5849671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3D80F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886E0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Физическо обновяване и сигурност на обществените пространства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F1B92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596A2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716C5BD"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0444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lastRenderedPageBreak/>
              <w:t>131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B5917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Инициативи за териториално развитие, включително изготвяне на териториални стратегии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9AF5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B8A82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DF9C56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ACD61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9D7E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Подобряване на капацитета на програмните органи и органите, свързани с усвояването на фондове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17626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261B7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2475BDE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17F53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25FF5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Засилване на сътрудничеството с партньори както в рамките, така и извън държавата членка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087D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280C8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333C1A0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035AD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C03FE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Кръстосано финансиране по ЕФРР (подпомагане за свързани с ЕСФ действия, необходими за изпълнението на частта на ЕФРР от операцията и пряко свързани с нея)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61107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C13C8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56983695"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C04D4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052A3"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Повишаване на институционалния капацитет на публичните органи и заинтересованите страни за прилагането на проекти за териториално сътрудничество и инициативи в трансграничен, транснационален, морски и междурегионален контекст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4F0E82"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C5C2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89AEE3E"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72D9F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135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21429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Европейско териториално сътрудничество: управление на преминаването на границите и управление на мобилността и миграцията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04242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5EB8D5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D84A3F3"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B2A90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0C1A1C"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компенсиране на допълнителните разходи вследствие на ограничения достъп и териториалната разпокъсаност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527B7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574F2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E46005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9262C4"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3D51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специфични действия за компенсиране на допълнителните разходи вследствие на фактори, свързани с размера на пазара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732B1D"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49BF8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74BBD5DB"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875F4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5EC23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подпомагане за компенсиране на допълнителните разходи, свързани с климатичните условия и затрудненията поради релефа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DA44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A3172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40%</w:t>
            </w:r>
          </w:p>
        </w:tc>
      </w:tr>
      <w:tr w:rsidR="002A6EDB" w:rsidRPr="002A6EDB" w14:paraId="464A444A"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0836A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25AD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Най-отдалечени региони: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8BC12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7E45D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DE65469"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2A960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CAB83A"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Информация и комуникации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0A6490"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C0937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6857A44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412D9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7FC86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Подготовка, изпълнение, мониторинг и контрол</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383EF5"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D41C8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F79CF14"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47642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DA3D3B"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Оценка и проучвания, събиране на данни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6BCD1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797DE"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425DCCAF"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0A0B49"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F9AE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 xml:space="preserve">Укрепване на капацитета на органите на държавите членки, </w:t>
            </w:r>
            <w:proofErr w:type="spellStart"/>
            <w:r w:rsidRPr="002A6EDB">
              <w:rPr>
                <w:rFonts w:ascii="Times New Roman" w:hAnsi="Times New Roman" w:cs="Times New Roman"/>
                <w:sz w:val="24"/>
                <w:szCs w:val="24"/>
              </w:rPr>
              <w:t>бенефициерите</w:t>
            </w:r>
            <w:proofErr w:type="spellEnd"/>
            <w:r w:rsidRPr="002A6EDB">
              <w:rPr>
                <w:rFonts w:ascii="Times New Roman" w:hAnsi="Times New Roman" w:cs="Times New Roman"/>
                <w:sz w:val="24"/>
                <w:szCs w:val="24"/>
              </w:rPr>
              <w:t xml:space="preserve"> и съответните партньори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C6704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CE1DE6"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w:t>
            </w:r>
          </w:p>
        </w:tc>
      </w:tr>
      <w:tr w:rsidR="002A6EDB" w:rsidRPr="002A6EDB" w14:paraId="0F2D7CA2" w14:textId="77777777" w:rsidTr="0019704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821E08"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C6E52F"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Принос към „зелени“ умения и работни места и „зелена“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531277"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F849A1" w14:textId="77777777" w:rsidR="002A6EDB" w:rsidRPr="002A6EDB" w:rsidRDefault="002A6EDB" w:rsidP="002A6EDB">
            <w:pPr>
              <w:spacing w:after="0" w:line="276" w:lineRule="auto"/>
              <w:jc w:val="both"/>
              <w:rPr>
                <w:rFonts w:ascii="Times New Roman" w:hAnsi="Times New Roman" w:cs="Times New Roman"/>
                <w:sz w:val="24"/>
                <w:szCs w:val="24"/>
              </w:rPr>
            </w:pPr>
            <w:r w:rsidRPr="002A6EDB">
              <w:rPr>
                <w:rFonts w:ascii="Times New Roman" w:hAnsi="Times New Roman" w:cs="Times New Roman"/>
                <w:sz w:val="24"/>
                <w:szCs w:val="24"/>
              </w:rPr>
              <w:t>-</w:t>
            </w:r>
          </w:p>
        </w:tc>
      </w:tr>
    </w:tbl>
    <w:p w14:paraId="5F130FD7" w14:textId="77777777" w:rsidR="002A6EDB" w:rsidRPr="002A6EDB" w:rsidRDefault="002A6EDB" w:rsidP="002A6EDB">
      <w:pPr>
        <w:spacing w:after="0" w:line="276" w:lineRule="auto"/>
        <w:jc w:val="both"/>
        <w:rPr>
          <w:rFonts w:ascii="Times New Roman" w:hAnsi="Times New Roman" w:cs="Times New Roman"/>
          <w:sz w:val="24"/>
          <w:szCs w:val="24"/>
        </w:rPr>
      </w:pPr>
    </w:p>
    <w:p w14:paraId="7953A5C3" w14:textId="77777777" w:rsidR="002A6EDB" w:rsidRPr="002A6EDB" w:rsidRDefault="001D5DB7" w:rsidP="002A6EDB">
      <w:pPr>
        <w:spacing w:after="0" w:line="276" w:lineRule="auto"/>
        <w:jc w:val="both"/>
        <w:rPr>
          <w:rFonts w:ascii="Times New Roman" w:hAnsi="Times New Roman" w:cs="Times New Roman"/>
          <w:sz w:val="24"/>
          <w:szCs w:val="24"/>
        </w:rPr>
      </w:pPr>
      <w:hyperlink r:id="rId30" w:anchor="ntc1-L_2021057BG.01006301-E0001"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Големи предприятия са всички предприятия, различни от МСП, включително малки дружества със средна пазарна капитализация.</w:t>
      </w:r>
    </w:p>
    <w:p w14:paraId="190B10F2" w14:textId="77777777" w:rsidR="002A6EDB" w:rsidRPr="002A6EDB" w:rsidRDefault="001D5DB7" w:rsidP="002A6EDB">
      <w:pPr>
        <w:spacing w:after="0" w:line="276" w:lineRule="auto"/>
        <w:jc w:val="both"/>
        <w:rPr>
          <w:rFonts w:ascii="Times New Roman" w:hAnsi="Times New Roman" w:cs="Times New Roman"/>
          <w:sz w:val="24"/>
          <w:szCs w:val="24"/>
        </w:rPr>
      </w:pPr>
      <w:hyperlink r:id="rId31" w:anchor="ntc2-L_2021057BG.01006301-E0002"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2</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дейността да трябва да обработва или събира данни, за да се даде възможност за намаляване на емисиите на парникови газове, което води до доказано </w:t>
      </w:r>
      <w:r w:rsidR="002A6EDB" w:rsidRPr="002A6EDB">
        <w:rPr>
          <w:rFonts w:ascii="Times New Roman" w:hAnsi="Times New Roman" w:cs="Times New Roman"/>
          <w:sz w:val="24"/>
          <w:szCs w:val="24"/>
        </w:rPr>
        <w:lastRenderedPageBreak/>
        <w:t>значително намаление на тези емисии през целия жизнен цикъл. Ако целта на мярката изисква центровете за данни да спазват Кодекса на ЕС за енергийна ефективност в центровете за данни.</w:t>
      </w:r>
    </w:p>
    <w:p w14:paraId="5895C4FE" w14:textId="77777777" w:rsidR="002A6EDB" w:rsidRPr="002A6EDB" w:rsidRDefault="001D5DB7" w:rsidP="002A6EDB">
      <w:pPr>
        <w:spacing w:after="0" w:line="276" w:lineRule="auto"/>
        <w:jc w:val="both"/>
        <w:rPr>
          <w:rFonts w:ascii="Times New Roman" w:hAnsi="Times New Roman" w:cs="Times New Roman"/>
          <w:sz w:val="24"/>
          <w:szCs w:val="24"/>
        </w:rPr>
      </w:pPr>
      <w:hyperlink r:id="rId32" w:anchor="ntc3-L_2021057BG.01006301-E0003"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3</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ако целта на мерките е да се постигне средно поне 30% намаление на преките и непреките емисии на парникови газове в сравнение с предварителните емисии.</w:t>
      </w:r>
    </w:p>
    <w:p w14:paraId="04B31D24" w14:textId="77777777" w:rsidR="002A6EDB" w:rsidRPr="002A6EDB" w:rsidRDefault="001D5DB7" w:rsidP="002A6EDB">
      <w:pPr>
        <w:spacing w:after="0" w:line="276" w:lineRule="auto"/>
        <w:jc w:val="both"/>
        <w:rPr>
          <w:rFonts w:ascii="Times New Roman" w:hAnsi="Times New Roman" w:cs="Times New Roman"/>
          <w:sz w:val="24"/>
          <w:szCs w:val="24"/>
        </w:rPr>
      </w:pPr>
      <w:hyperlink r:id="rId33" w:anchor="ntc4-L_2021057BG.01006301-E0004"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4</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Санирането на сгради също така има за цел да включи инфраструктурата в смисъла на области на намеса 85—92.</w:t>
      </w:r>
    </w:p>
    <w:p w14:paraId="6671B1E3" w14:textId="77777777" w:rsidR="002A6EDB" w:rsidRPr="002A6EDB" w:rsidRDefault="001D5DB7" w:rsidP="002A6EDB">
      <w:pPr>
        <w:spacing w:after="0" w:line="276" w:lineRule="auto"/>
        <w:jc w:val="both"/>
        <w:rPr>
          <w:rFonts w:ascii="Times New Roman" w:hAnsi="Times New Roman" w:cs="Times New Roman"/>
          <w:sz w:val="24"/>
          <w:szCs w:val="24"/>
        </w:rPr>
      </w:pPr>
      <w:hyperlink r:id="rId34" w:anchor="ntc5-L_2021057BG.01006301-E0005"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5</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мерките се отнася до изграждането на нови сгради с първично енергийно търсене (PED), което е с поне 20% по-ниско от изискването за СБННПЕ (сгради с близко до нулево нетно потребление на енергия, национални директиви). Изграждането на нови енергийно ефективни сгради също така има за цел да включи инфраструктурата в смисъла на области на намеса 85—92.</w:t>
      </w:r>
    </w:p>
    <w:p w14:paraId="32C23A11" w14:textId="77777777" w:rsidR="002A6EDB" w:rsidRPr="002A6EDB" w:rsidRDefault="001D5DB7" w:rsidP="002A6EDB">
      <w:pPr>
        <w:spacing w:after="0" w:line="276" w:lineRule="auto"/>
        <w:jc w:val="both"/>
        <w:rPr>
          <w:rFonts w:ascii="Times New Roman" w:hAnsi="Times New Roman" w:cs="Times New Roman"/>
          <w:sz w:val="24"/>
          <w:szCs w:val="24"/>
        </w:rPr>
      </w:pPr>
      <w:hyperlink r:id="rId35" w:anchor="ntc6-L_2021057BG.01006301-E0006"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6</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а)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да се постигне средно поне 30% намаление на преките и непреките емисии на парникови газове в сравнение с предварителните емисии. Санирането на сгради също така има за цел да включи инфраструктурата в смисъла на области на намеса 85—92.</w:t>
      </w:r>
    </w:p>
    <w:p w14:paraId="603A6787" w14:textId="77777777" w:rsidR="002A6EDB" w:rsidRPr="002A6EDB" w:rsidRDefault="001D5DB7" w:rsidP="002A6EDB">
      <w:pPr>
        <w:spacing w:after="0" w:line="276" w:lineRule="auto"/>
        <w:jc w:val="both"/>
        <w:rPr>
          <w:rFonts w:ascii="Times New Roman" w:hAnsi="Times New Roman" w:cs="Times New Roman"/>
          <w:sz w:val="24"/>
          <w:szCs w:val="24"/>
        </w:rPr>
      </w:pPr>
      <w:hyperlink r:id="rId36" w:anchor="ntc7-L_2021057BG.01006301-E0007"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7</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свързана с производството на електроенергия или топлинна енергия от биомаса, в съответствие с Директива (ЕС) 2018/2001 на Европейския парламент и на Съвета от 11 декември 2018 г. за насърчаване използването на енергия от възобновяеми източници (</w:t>
      </w:r>
      <w:hyperlink r:id="rId37" w:history="1">
        <w:r w:rsidR="002A6EDB" w:rsidRPr="002A6EDB">
          <w:rPr>
            <w:rFonts w:ascii="Times New Roman" w:hAnsi="Times New Roman" w:cs="Times New Roman"/>
            <w:color w:val="0000FF"/>
            <w:sz w:val="24"/>
            <w:szCs w:val="24"/>
            <w:u w:val="single"/>
          </w:rPr>
          <w:t>OB L 328, 21.12.2018 г., стр. 82</w:t>
        </w:r>
      </w:hyperlink>
      <w:r w:rsidR="002A6EDB" w:rsidRPr="002A6EDB">
        <w:rPr>
          <w:rFonts w:ascii="Times New Roman" w:hAnsi="Times New Roman" w:cs="Times New Roman"/>
          <w:sz w:val="24"/>
          <w:szCs w:val="24"/>
        </w:rPr>
        <w:t>).</w:t>
      </w:r>
    </w:p>
    <w:p w14:paraId="3BA29F94" w14:textId="77777777" w:rsidR="002A6EDB" w:rsidRPr="002A6EDB" w:rsidRDefault="001D5DB7" w:rsidP="002A6EDB">
      <w:pPr>
        <w:spacing w:after="0" w:line="276" w:lineRule="auto"/>
        <w:jc w:val="both"/>
        <w:rPr>
          <w:rFonts w:ascii="Times New Roman" w:hAnsi="Times New Roman" w:cs="Times New Roman"/>
          <w:sz w:val="24"/>
          <w:szCs w:val="24"/>
        </w:rPr>
      </w:pPr>
      <w:hyperlink r:id="rId38" w:anchor="ntc8-L_2021057BG.01006301-E0008"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8</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свързана с производството на електроенергия или топлинна енергия от биомаса, в съответствие с Директива (ЕС) 2018/2001; и ако целта на мярката е да се постигне поне 80%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VI към Директива (ЕС) 2018/2001. Ако целта на мярката е свързана с производството на </w:t>
      </w:r>
      <w:proofErr w:type="spellStart"/>
      <w:r w:rsidR="002A6EDB" w:rsidRPr="002A6EDB">
        <w:rPr>
          <w:rFonts w:ascii="Times New Roman" w:hAnsi="Times New Roman" w:cs="Times New Roman"/>
          <w:sz w:val="24"/>
          <w:szCs w:val="24"/>
        </w:rPr>
        <w:t>биогорива</w:t>
      </w:r>
      <w:proofErr w:type="spellEnd"/>
      <w:r w:rsidR="002A6EDB" w:rsidRPr="002A6EDB">
        <w:rPr>
          <w:rFonts w:ascii="Times New Roman" w:hAnsi="Times New Roman" w:cs="Times New Roman"/>
          <w:sz w:val="24"/>
          <w:szCs w:val="24"/>
        </w:rPr>
        <w:t xml:space="preserve"> от биомаса (с изключение на хранителни и фуражни култури), в съответствие с Директива (ЕС) 2018/2001; и ако целта на мярката е да се постигне поне 65%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 към Директива (ЕС) 2018/2001.</w:t>
      </w:r>
    </w:p>
    <w:p w14:paraId="68D0BC11" w14:textId="77777777" w:rsidR="002A6EDB" w:rsidRPr="002A6EDB" w:rsidRDefault="001D5DB7" w:rsidP="002A6EDB">
      <w:pPr>
        <w:spacing w:after="0" w:line="276" w:lineRule="auto"/>
        <w:jc w:val="both"/>
        <w:rPr>
          <w:rFonts w:ascii="Times New Roman" w:hAnsi="Times New Roman" w:cs="Times New Roman"/>
          <w:sz w:val="24"/>
          <w:szCs w:val="24"/>
        </w:rPr>
      </w:pPr>
      <w:hyperlink r:id="rId39" w:anchor="ntc9-L_2021057BG.01006301-E0009"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9</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При високоефективно комбинирано производство на енергия, ако целта на мярката е да се постигнат емисии през целия жизнен цикъл, които са по-ниски от 100 gCO2e/</w:t>
      </w:r>
      <w:proofErr w:type="spellStart"/>
      <w:r w:rsidR="002A6EDB" w:rsidRPr="002A6EDB">
        <w:rPr>
          <w:rFonts w:ascii="Times New Roman" w:hAnsi="Times New Roman" w:cs="Times New Roman"/>
          <w:sz w:val="24"/>
          <w:szCs w:val="24"/>
        </w:rPr>
        <w:t>kWh</w:t>
      </w:r>
      <w:proofErr w:type="spellEnd"/>
      <w:r w:rsidR="002A6EDB" w:rsidRPr="002A6EDB">
        <w:rPr>
          <w:rFonts w:ascii="Times New Roman" w:hAnsi="Times New Roman" w:cs="Times New Roman"/>
          <w:sz w:val="24"/>
          <w:szCs w:val="24"/>
        </w:rPr>
        <w:t>, или топлинна/охладителна енергия, произведена от отпадна топлина. При топлофикационни/охладителни системи, ако съответната инфраструктура следва 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текст от значение за ЕИП (</w:t>
      </w:r>
      <w:hyperlink r:id="rId40" w:history="1">
        <w:r w:rsidR="002A6EDB" w:rsidRPr="002A6EDB">
          <w:rPr>
            <w:rFonts w:ascii="Times New Roman" w:hAnsi="Times New Roman" w:cs="Times New Roman"/>
            <w:color w:val="0000FF"/>
            <w:sz w:val="24"/>
            <w:szCs w:val="24"/>
            <w:u w:val="single"/>
          </w:rPr>
          <w:t>OB L 315, 14.11.2012 г., стр. 1</w:t>
        </w:r>
      </w:hyperlink>
      <w:r w:rsidR="002A6EDB" w:rsidRPr="002A6EDB">
        <w:rPr>
          <w:rFonts w:ascii="Times New Roman" w:hAnsi="Times New Roman" w:cs="Times New Roman"/>
          <w:sz w:val="24"/>
          <w:szCs w:val="24"/>
        </w:rPr>
        <w:t>)или ако съществуващата инфраструктура е обновена, за да отговаря на определението за ефективни районни отоплителни и охладителни системи, или ако проектът е усъвършенствана пилотна система (системи за контрол и енергийно управление, интернет на нещата) или води до по-нисък температурен режим в централната отоплителна и охладителна система.</w:t>
      </w:r>
    </w:p>
    <w:p w14:paraId="2ACBC712" w14:textId="77777777" w:rsidR="002A6EDB" w:rsidRPr="002A6EDB" w:rsidRDefault="001D5DB7" w:rsidP="002A6EDB">
      <w:pPr>
        <w:spacing w:after="0" w:line="276" w:lineRule="auto"/>
        <w:jc w:val="both"/>
        <w:rPr>
          <w:rFonts w:ascii="Times New Roman" w:hAnsi="Times New Roman" w:cs="Times New Roman"/>
          <w:sz w:val="24"/>
          <w:szCs w:val="24"/>
        </w:rPr>
      </w:pPr>
      <w:hyperlink r:id="rId41" w:anchor="ntc10-L_2021057BG.01006301-E0010"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10</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изградената система да има средно потребление на енергия &lt; = 0,5 </w:t>
      </w:r>
      <w:proofErr w:type="spellStart"/>
      <w:r w:rsidR="002A6EDB" w:rsidRPr="002A6EDB">
        <w:rPr>
          <w:rFonts w:ascii="Times New Roman" w:hAnsi="Times New Roman" w:cs="Times New Roman"/>
          <w:sz w:val="24"/>
          <w:szCs w:val="24"/>
        </w:rPr>
        <w:t>kWh</w:t>
      </w:r>
      <w:proofErr w:type="spellEnd"/>
      <w:r w:rsidR="002A6EDB" w:rsidRPr="002A6EDB">
        <w:rPr>
          <w:rFonts w:ascii="Times New Roman" w:hAnsi="Times New Roman" w:cs="Times New Roman"/>
          <w:sz w:val="24"/>
          <w:szCs w:val="24"/>
        </w:rPr>
        <w:t xml:space="preserve"> или индекс на пропускане на инфраструктура (ILI) &lt; = 1.5, а дейността по саниране да намали средното потребление на енергия с повече от 20% или да намали течовете с повече от 20%.</w:t>
      </w:r>
    </w:p>
    <w:p w14:paraId="66A0D0C8" w14:textId="77777777" w:rsidR="002A6EDB" w:rsidRPr="002A6EDB" w:rsidRDefault="001D5DB7" w:rsidP="002A6EDB">
      <w:pPr>
        <w:spacing w:after="0" w:line="276" w:lineRule="auto"/>
        <w:jc w:val="both"/>
        <w:rPr>
          <w:rFonts w:ascii="Times New Roman" w:hAnsi="Times New Roman" w:cs="Times New Roman"/>
          <w:sz w:val="24"/>
          <w:szCs w:val="24"/>
        </w:rPr>
      </w:pPr>
      <w:hyperlink r:id="rId42" w:anchor="ntc11-L_2021057BG.01006301-E0011"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11</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за изградената система за отпадъчни води е да има отначало докрай нетно нулево потребление на енергия или обновяването на системата за отпадъчни води да доведе отначало докрай до намаляване на средното потребление на енергия с поне 10% (единствено чрез мерки за енергийна ефективност, а не чрез материални промени или промени в натоварването).</w:t>
      </w:r>
    </w:p>
    <w:p w14:paraId="4276814A" w14:textId="77777777" w:rsidR="002A6EDB" w:rsidRPr="002A6EDB" w:rsidRDefault="001D5DB7" w:rsidP="002A6EDB">
      <w:pPr>
        <w:spacing w:after="0" w:line="276" w:lineRule="auto"/>
        <w:jc w:val="both"/>
        <w:rPr>
          <w:rFonts w:ascii="Times New Roman" w:hAnsi="Times New Roman" w:cs="Times New Roman"/>
          <w:sz w:val="24"/>
          <w:szCs w:val="24"/>
        </w:rPr>
      </w:pPr>
      <w:hyperlink r:id="rId43" w:anchor="ntc12-L_2021057BG.01006301-E0012"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12</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поне 50% от теглото на обработените разделно събрани неопасни отпадъци да се преобразуват във вторични суровини.</w:t>
      </w:r>
    </w:p>
    <w:p w14:paraId="574ADEA8" w14:textId="77777777" w:rsidR="002A6EDB" w:rsidRPr="002A6EDB" w:rsidRDefault="001D5DB7" w:rsidP="002A6EDB">
      <w:pPr>
        <w:spacing w:after="0" w:line="276" w:lineRule="auto"/>
        <w:jc w:val="both"/>
        <w:rPr>
          <w:rFonts w:ascii="Times New Roman" w:hAnsi="Times New Roman" w:cs="Times New Roman"/>
          <w:sz w:val="24"/>
          <w:szCs w:val="24"/>
        </w:rPr>
      </w:pPr>
      <w:hyperlink r:id="rId44" w:anchor="ntc13-L_2021057BG.01006301-E0013"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13</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Ако целта на мярката е промишлените обекти и замърсената земя да се превърнат в естествен въглероден </w:t>
      </w:r>
      <w:proofErr w:type="spellStart"/>
      <w:r w:rsidR="002A6EDB" w:rsidRPr="002A6EDB">
        <w:rPr>
          <w:rFonts w:ascii="Times New Roman" w:hAnsi="Times New Roman" w:cs="Times New Roman"/>
          <w:sz w:val="24"/>
          <w:szCs w:val="24"/>
        </w:rPr>
        <w:t>поглътител</w:t>
      </w:r>
      <w:proofErr w:type="spellEnd"/>
      <w:r w:rsidR="002A6EDB" w:rsidRPr="002A6EDB">
        <w:rPr>
          <w:rFonts w:ascii="Times New Roman" w:hAnsi="Times New Roman" w:cs="Times New Roman"/>
          <w:sz w:val="24"/>
          <w:szCs w:val="24"/>
        </w:rPr>
        <w:t>.</w:t>
      </w:r>
    </w:p>
    <w:p w14:paraId="6E4CA6A6" w14:textId="77777777" w:rsidR="002A6EDB" w:rsidRPr="002A6EDB" w:rsidRDefault="001D5DB7" w:rsidP="002A6EDB">
      <w:pPr>
        <w:spacing w:after="0" w:line="276" w:lineRule="auto"/>
        <w:jc w:val="both"/>
        <w:rPr>
          <w:rFonts w:ascii="Times New Roman" w:hAnsi="Times New Roman" w:cs="Times New Roman"/>
          <w:sz w:val="24"/>
          <w:szCs w:val="24"/>
        </w:rPr>
      </w:pPr>
      <w:hyperlink r:id="rId45" w:anchor="ntc14-L_2021057BG.01006301-E0014"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14</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За области на намеса 56 – 62: области на намеса 73, 74 и 77 могат да се използват за елементи от мерките, свързани с интервенции в алтернативни горива, включително зареждане с електрически превозни средства, или обществен транспорт.</w:t>
      </w:r>
    </w:p>
    <w:p w14:paraId="0DA2236C" w14:textId="77777777" w:rsidR="002A6EDB" w:rsidRPr="002A6EDB" w:rsidRDefault="001D5DB7" w:rsidP="002A6EDB">
      <w:pPr>
        <w:spacing w:after="0" w:line="276" w:lineRule="auto"/>
        <w:jc w:val="both"/>
        <w:rPr>
          <w:rFonts w:ascii="Times New Roman" w:hAnsi="Times New Roman" w:cs="Times New Roman"/>
          <w:sz w:val="24"/>
          <w:szCs w:val="24"/>
        </w:rPr>
      </w:pPr>
      <w:hyperlink r:id="rId46" w:anchor="ntc15-L_2021057BG.01006301-E0015"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15</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свързана с електрифицирани железопътни линии и свързаните с тях подсистеми или ако има план за електрификация, или тя ще може да се използва за влакове с нулеви емисии на отработили газове в рамките на 10 години.</w:t>
      </w:r>
    </w:p>
    <w:p w14:paraId="2035961E" w14:textId="77777777" w:rsidR="002A6EDB" w:rsidRPr="002A6EDB" w:rsidRDefault="001D5DB7" w:rsidP="002A6EDB">
      <w:pPr>
        <w:spacing w:after="0" w:line="276" w:lineRule="auto"/>
        <w:jc w:val="both"/>
        <w:rPr>
          <w:rFonts w:ascii="Times New Roman" w:hAnsi="Times New Roman" w:cs="Times New Roman"/>
          <w:sz w:val="24"/>
          <w:szCs w:val="24"/>
        </w:rPr>
      </w:pPr>
      <w:hyperlink r:id="rId47" w:anchor="ntc16-L_2021057BG.01006301-E0016"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16</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xml:space="preserve">  Прилага се и за </w:t>
      </w:r>
      <w:proofErr w:type="spellStart"/>
      <w:r w:rsidR="002A6EDB" w:rsidRPr="002A6EDB">
        <w:rPr>
          <w:rFonts w:ascii="Times New Roman" w:hAnsi="Times New Roman" w:cs="Times New Roman"/>
          <w:sz w:val="24"/>
          <w:szCs w:val="24"/>
        </w:rPr>
        <w:t>двурежимните</w:t>
      </w:r>
      <w:proofErr w:type="spellEnd"/>
      <w:r w:rsidR="002A6EDB" w:rsidRPr="002A6EDB">
        <w:rPr>
          <w:rFonts w:ascii="Times New Roman" w:hAnsi="Times New Roman" w:cs="Times New Roman"/>
          <w:sz w:val="24"/>
          <w:szCs w:val="24"/>
        </w:rPr>
        <w:t xml:space="preserve"> влакове.</w:t>
      </w:r>
    </w:p>
    <w:p w14:paraId="42CCB2FF" w14:textId="77777777" w:rsidR="002A6EDB" w:rsidRPr="002A6EDB" w:rsidRDefault="001D5DB7" w:rsidP="002A6EDB">
      <w:pPr>
        <w:spacing w:after="0" w:line="276" w:lineRule="auto"/>
        <w:jc w:val="both"/>
        <w:rPr>
          <w:rFonts w:ascii="Times New Roman" w:hAnsi="Times New Roman" w:cs="Times New Roman"/>
          <w:sz w:val="24"/>
          <w:szCs w:val="24"/>
        </w:rPr>
      </w:pPr>
      <w:hyperlink r:id="rId48" w:anchor="ntc17-L_2021057BG.01006301-E0017"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17</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Инфраструктурата за чист градски транспорт се отнася до инфраструктура, която позволява експлоатацията на подвижен състав с нулеви емисии.</w:t>
      </w:r>
    </w:p>
    <w:p w14:paraId="41FBC005" w14:textId="77777777" w:rsidR="002A6EDB" w:rsidRPr="002A6EDB" w:rsidRDefault="001D5DB7" w:rsidP="002A6EDB">
      <w:pPr>
        <w:spacing w:after="0" w:line="276" w:lineRule="auto"/>
        <w:jc w:val="both"/>
        <w:rPr>
          <w:rFonts w:ascii="Times New Roman" w:hAnsi="Times New Roman" w:cs="Times New Roman"/>
          <w:sz w:val="24"/>
          <w:szCs w:val="24"/>
        </w:rPr>
      </w:pPr>
      <w:hyperlink r:id="rId49" w:anchor="ntc18-L_2021057BG.01006301-E0018"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18</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Подвижният състав за чист градски транспорт се отнася до подвижния състав с нулеви емисии.</w:t>
      </w:r>
    </w:p>
    <w:p w14:paraId="7202626B" w14:textId="77777777" w:rsidR="002A6EDB" w:rsidRPr="002A6EDB" w:rsidRDefault="001D5DB7" w:rsidP="002A6EDB">
      <w:pPr>
        <w:spacing w:after="0" w:line="276" w:lineRule="auto"/>
        <w:jc w:val="both"/>
        <w:rPr>
          <w:rFonts w:ascii="Times New Roman" w:hAnsi="Times New Roman" w:cs="Times New Roman"/>
          <w:sz w:val="24"/>
          <w:szCs w:val="24"/>
        </w:rPr>
      </w:pPr>
      <w:hyperlink r:id="rId50" w:anchor="ntc19-L_2021057BG.01006301-E0019" w:history="1">
        <w:r w:rsidR="002A6EDB" w:rsidRPr="002A6EDB">
          <w:rPr>
            <w:rFonts w:ascii="Times New Roman" w:hAnsi="Times New Roman" w:cs="Times New Roman"/>
            <w:color w:val="0000FF"/>
            <w:sz w:val="24"/>
            <w:szCs w:val="24"/>
            <w:u w:val="single"/>
          </w:rPr>
          <w:t>(</w:t>
        </w:r>
        <w:r w:rsidR="002A6EDB" w:rsidRPr="002A6EDB">
          <w:rPr>
            <w:rFonts w:ascii="Times New Roman" w:hAnsi="Times New Roman" w:cs="Times New Roman"/>
            <w:color w:val="0000FF"/>
            <w:sz w:val="24"/>
            <w:szCs w:val="24"/>
            <w:u w:val="single"/>
            <w:vertAlign w:val="superscript"/>
          </w:rPr>
          <w:t>19</w:t>
        </w:r>
        <w:r w:rsidR="002A6EDB" w:rsidRPr="002A6EDB">
          <w:rPr>
            <w:rFonts w:ascii="Times New Roman" w:hAnsi="Times New Roman" w:cs="Times New Roman"/>
            <w:color w:val="0000FF"/>
            <w:sz w:val="24"/>
            <w:szCs w:val="24"/>
            <w:u w:val="single"/>
          </w:rPr>
          <w:t>)</w:t>
        </w:r>
      </w:hyperlink>
      <w:r w:rsidR="002A6EDB" w:rsidRPr="002A6EDB">
        <w:rPr>
          <w:rFonts w:ascii="Times New Roman" w:hAnsi="Times New Roman" w:cs="Times New Roman"/>
          <w:sz w:val="24"/>
          <w:szCs w:val="24"/>
        </w:rPr>
        <w:t>  Ако целта на мярката е в съответствие с Директива (ЕС) 2018/2001.</w:t>
      </w:r>
    </w:p>
    <w:p w14:paraId="6086A492" w14:textId="77777777" w:rsidR="002A6EDB" w:rsidRPr="002A6EDB" w:rsidRDefault="002A6EDB" w:rsidP="002A6EDB">
      <w:pPr>
        <w:spacing w:after="0" w:line="276" w:lineRule="auto"/>
        <w:jc w:val="both"/>
        <w:rPr>
          <w:rFonts w:ascii="Times New Roman" w:hAnsi="Times New Roman" w:cs="Times New Roman"/>
          <w:sz w:val="24"/>
          <w:szCs w:val="24"/>
        </w:rPr>
      </w:pPr>
    </w:p>
    <w:p w14:paraId="27A709C6" w14:textId="62DDEF22" w:rsidR="00512053" w:rsidRPr="002A6EDB" w:rsidRDefault="00512053" w:rsidP="002A6EDB">
      <w:pPr>
        <w:spacing w:after="0" w:line="276" w:lineRule="auto"/>
        <w:jc w:val="both"/>
        <w:rPr>
          <w:rFonts w:ascii="Times New Roman" w:eastAsia="Times New Roman" w:hAnsi="Times New Roman" w:cs="Times New Roman"/>
          <w:color w:val="000000"/>
          <w:sz w:val="24"/>
          <w:szCs w:val="24"/>
          <w:lang w:eastAsia="bg-BG"/>
        </w:rPr>
      </w:pPr>
    </w:p>
    <w:sectPr w:rsidR="00512053" w:rsidRPr="002A6EDB" w:rsidSect="00D92E0D">
      <w:headerReference w:type="default" r:id="rId51"/>
      <w:headerReference w:type="first" r:id="rId52"/>
      <w:pgSz w:w="11906" w:h="16838"/>
      <w:pgMar w:top="709" w:right="1133" w:bottom="851" w:left="1134" w:header="284"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BA64E" w16cid:durableId="27BB7E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A4CCFF" w14:textId="77777777" w:rsidR="001D5DB7" w:rsidRDefault="001D5DB7" w:rsidP="00CF52FE">
      <w:pPr>
        <w:spacing w:after="0" w:line="240" w:lineRule="auto"/>
      </w:pPr>
      <w:r>
        <w:separator/>
      </w:r>
    </w:p>
  </w:endnote>
  <w:endnote w:type="continuationSeparator" w:id="0">
    <w:p w14:paraId="52BB4298" w14:textId="77777777" w:rsidR="001D5DB7" w:rsidRDefault="001D5DB7"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BE42C" w14:textId="77777777" w:rsidR="001D5DB7" w:rsidRDefault="001D5DB7" w:rsidP="00CF52FE">
      <w:pPr>
        <w:spacing w:after="0" w:line="240" w:lineRule="auto"/>
      </w:pPr>
      <w:r>
        <w:separator/>
      </w:r>
    </w:p>
  </w:footnote>
  <w:footnote w:type="continuationSeparator" w:id="0">
    <w:p w14:paraId="424C6C85" w14:textId="77777777" w:rsidR="001D5DB7" w:rsidRDefault="001D5DB7" w:rsidP="00CF52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A189" w14:textId="2BA5061D" w:rsidR="00CF52FE" w:rsidRDefault="00CF52FE" w:rsidP="00CF52FE">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115F3" w14:textId="74E8634B" w:rsidR="00D92E0D" w:rsidRDefault="00D92E0D" w:rsidP="00D92E0D">
    <w:pPr>
      <w:pStyle w:val="Header"/>
      <w:jc w:val="center"/>
    </w:pPr>
    <w:r w:rsidRPr="00EA00B0">
      <w:rPr>
        <w:noProof/>
        <w:lang w:eastAsia="bg-BG"/>
      </w:rPr>
      <w:drawing>
        <wp:inline distT="0" distB="0" distL="0" distR="0" wp14:anchorId="12362F82" wp14:editId="43C93A0F">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B42"/>
    <w:multiLevelType w:val="hybridMultilevel"/>
    <w:tmpl w:val="C44645C2"/>
    <w:lvl w:ilvl="0" w:tplc="84B6997E">
      <w:start w:val="1"/>
      <w:numFmt w:val="bullet"/>
      <w:lvlText w:val="•"/>
      <w:lvlJc w:val="left"/>
      <w:pPr>
        <w:tabs>
          <w:tab w:val="num" w:pos="720"/>
        </w:tabs>
        <w:ind w:left="720" w:hanging="360"/>
      </w:pPr>
      <w:rPr>
        <w:rFonts w:ascii="Arial" w:hAnsi="Arial" w:hint="default"/>
      </w:rPr>
    </w:lvl>
    <w:lvl w:ilvl="1" w:tplc="E3A865EC" w:tentative="1">
      <w:start w:val="1"/>
      <w:numFmt w:val="bullet"/>
      <w:lvlText w:val="•"/>
      <w:lvlJc w:val="left"/>
      <w:pPr>
        <w:tabs>
          <w:tab w:val="num" w:pos="1440"/>
        </w:tabs>
        <w:ind w:left="1440" w:hanging="360"/>
      </w:pPr>
      <w:rPr>
        <w:rFonts w:ascii="Arial" w:hAnsi="Arial" w:hint="default"/>
      </w:rPr>
    </w:lvl>
    <w:lvl w:ilvl="2" w:tplc="815E5A8A" w:tentative="1">
      <w:start w:val="1"/>
      <w:numFmt w:val="bullet"/>
      <w:lvlText w:val="•"/>
      <w:lvlJc w:val="left"/>
      <w:pPr>
        <w:tabs>
          <w:tab w:val="num" w:pos="2160"/>
        </w:tabs>
        <w:ind w:left="2160" w:hanging="360"/>
      </w:pPr>
      <w:rPr>
        <w:rFonts w:ascii="Arial" w:hAnsi="Arial" w:hint="default"/>
      </w:rPr>
    </w:lvl>
    <w:lvl w:ilvl="3" w:tplc="E25A50D4" w:tentative="1">
      <w:start w:val="1"/>
      <w:numFmt w:val="bullet"/>
      <w:lvlText w:val="•"/>
      <w:lvlJc w:val="left"/>
      <w:pPr>
        <w:tabs>
          <w:tab w:val="num" w:pos="2880"/>
        </w:tabs>
        <w:ind w:left="2880" w:hanging="360"/>
      </w:pPr>
      <w:rPr>
        <w:rFonts w:ascii="Arial" w:hAnsi="Arial" w:hint="default"/>
      </w:rPr>
    </w:lvl>
    <w:lvl w:ilvl="4" w:tplc="330A515C" w:tentative="1">
      <w:start w:val="1"/>
      <w:numFmt w:val="bullet"/>
      <w:lvlText w:val="•"/>
      <w:lvlJc w:val="left"/>
      <w:pPr>
        <w:tabs>
          <w:tab w:val="num" w:pos="3600"/>
        </w:tabs>
        <w:ind w:left="3600" w:hanging="360"/>
      </w:pPr>
      <w:rPr>
        <w:rFonts w:ascii="Arial" w:hAnsi="Arial" w:hint="default"/>
      </w:rPr>
    </w:lvl>
    <w:lvl w:ilvl="5" w:tplc="D13A3B56" w:tentative="1">
      <w:start w:val="1"/>
      <w:numFmt w:val="bullet"/>
      <w:lvlText w:val="•"/>
      <w:lvlJc w:val="left"/>
      <w:pPr>
        <w:tabs>
          <w:tab w:val="num" w:pos="4320"/>
        </w:tabs>
        <w:ind w:left="4320" w:hanging="360"/>
      </w:pPr>
      <w:rPr>
        <w:rFonts w:ascii="Arial" w:hAnsi="Arial" w:hint="default"/>
      </w:rPr>
    </w:lvl>
    <w:lvl w:ilvl="6" w:tplc="D22C8FAC" w:tentative="1">
      <w:start w:val="1"/>
      <w:numFmt w:val="bullet"/>
      <w:lvlText w:val="•"/>
      <w:lvlJc w:val="left"/>
      <w:pPr>
        <w:tabs>
          <w:tab w:val="num" w:pos="5040"/>
        </w:tabs>
        <w:ind w:left="5040" w:hanging="360"/>
      </w:pPr>
      <w:rPr>
        <w:rFonts w:ascii="Arial" w:hAnsi="Arial" w:hint="default"/>
      </w:rPr>
    </w:lvl>
    <w:lvl w:ilvl="7" w:tplc="2A6CD5AA" w:tentative="1">
      <w:start w:val="1"/>
      <w:numFmt w:val="bullet"/>
      <w:lvlText w:val="•"/>
      <w:lvlJc w:val="left"/>
      <w:pPr>
        <w:tabs>
          <w:tab w:val="num" w:pos="5760"/>
        </w:tabs>
        <w:ind w:left="5760" w:hanging="360"/>
      </w:pPr>
      <w:rPr>
        <w:rFonts w:ascii="Arial" w:hAnsi="Arial" w:hint="default"/>
      </w:rPr>
    </w:lvl>
    <w:lvl w:ilvl="8" w:tplc="786AFD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E02398"/>
    <w:multiLevelType w:val="hybridMultilevel"/>
    <w:tmpl w:val="88EA2326"/>
    <w:lvl w:ilvl="0" w:tplc="AA46EA6A">
      <w:start w:val="1"/>
      <w:numFmt w:val="bullet"/>
      <w:lvlText w:val="o"/>
      <w:lvlJc w:val="left"/>
      <w:pPr>
        <w:tabs>
          <w:tab w:val="num" w:pos="720"/>
        </w:tabs>
        <w:ind w:left="720" w:hanging="360"/>
      </w:pPr>
      <w:rPr>
        <w:rFonts w:ascii="Courier New" w:hAnsi="Courier New" w:hint="default"/>
      </w:rPr>
    </w:lvl>
    <w:lvl w:ilvl="1" w:tplc="739E0064" w:tentative="1">
      <w:start w:val="1"/>
      <w:numFmt w:val="bullet"/>
      <w:lvlText w:val="o"/>
      <w:lvlJc w:val="left"/>
      <w:pPr>
        <w:tabs>
          <w:tab w:val="num" w:pos="1440"/>
        </w:tabs>
        <w:ind w:left="1440" w:hanging="360"/>
      </w:pPr>
      <w:rPr>
        <w:rFonts w:ascii="Courier New" w:hAnsi="Courier New" w:hint="default"/>
      </w:rPr>
    </w:lvl>
    <w:lvl w:ilvl="2" w:tplc="658C118E" w:tentative="1">
      <w:start w:val="1"/>
      <w:numFmt w:val="bullet"/>
      <w:lvlText w:val="o"/>
      <w:lvlJc w:val="left"/>
      <w:pPr>
        <w:tabs>
          <w:tab w:val="num" w:pos="2160"/>
        </w:tabs>
        <w:ind w:left="2160" w:hanging="360"/>
      </w:pPr>
      <w:rPr>
        <w:rFonts w:ascii="Courier New" w:hAnsi="Courier New" w:hint="default"/>
      </w:rPr>
    </w:lvl>
    <w:lvl w:ilvl="3" w:tplc="E2AC6E82" w:tentative="1">
      <w:start w:val="1"/>
      <w:numFmt w:val="bullet"/>
      <w:lvlText w:val="o"/>
      <w:lvlJc w:val="left"/>
      <w:pPr>
        <w:tabs>
          <w:tab w:val="num" w:pos="2880"/>
        </w:tabs>
        <w:ind w:left="2880" w:hanging="360"/>
      </w:pPr>
      <w:rPr>
        <w:rFonts w:ascii="Courier New" w:hAnsi="Courier New" w:hint="default"/>
      </w:rPr>
    </w:lvl>
    <w:lvl w:ilvl="4" w:tplc="095675E6" w:tentative="1">
      <w:start w:val="1"/>
      <w:numFmt w:val="bullet"/>
      <w:lvlText w:val="o"/>
      <w:lvlJc w:val="left"/>
      <w:pPr>
        <w:tabs>
          <w:tab w:val="num" w:pos="3600"/>
        </w:tabs>
        <w:ind w:left="3600" w:hanging="360"/>
      </w:pPr>
      <w:rPr>
        <w:rFonts w:ascii="Courier New" w:hAnsi="Courier New" w:hint="default"/>
      </w:rPr>
    </w:lvl>
    <w:lvl w:ilvl="5" w:tplc="8C60C1F8" w:tentative="1">
      <w:start w:val="1"/>
      <w:numFmt w:val="bullet"/>
      <w:lvlText w:val="o"/>
      <w:lvlJc w:val="left"/>
      <w:pPr>
        <w:tabs>
          <w:tab w:val="num" w:pos="4320"/>
        </w:tabs>
        <w:ind w:left="4320" w:hanging="360"/>
      </w:pPr>
      <w:rPr>
        <w:rFonts w:ascii="Courier New" w:hAnsi="Courier New" w:hint="default"/>
      </w:rPr>
    </w:lvl>
    <w:lvl w:ilvl="6" w:tplc="E410F562" w:tentative="1">
      <w:start w:val="1"/>
      <w:numFmt w:val="bullet"/>
      <w:lvlText w:val="o"/>
      <w:lvlJc w:val="left"/>
      <w:pPr>
        <w:tabs>
          <w:tab w:val="num" w:pos="5040"/>
        </w:tabs>
        <w:ind w:left="5040" w:hanging="360"/>
      </w:pPr>
      <w:rPr>
        <w:rFonts w:ascii="Courier New" w:hAnsi="Courier New" w:hint="default"/>
      </w:rPr>
    </w:lvl>
    <w:lvl w:ilvl="7" w:tplc="6796501C" w:tentative="1">
      <w:start w:val="1"/>
      <w:numFmt w:val="bullet"/>
      <w:lvlText w:val="o"/>
      <w:lvlJc w:val="left"/>
      <w:pPr>
        <w:tabs>
          <w:tab w:val="num" w:pos="5760"/>
        </w:tabs>
        <w:ind w:left="5760" w:hanging="360"/>
      </w:pPr>
      <w:rPr>
        <w:rFonts w:ascii="Courier New" w:hAnsi="Courier New" w:hint="default"/>
      </w:rPr>
    </w:lvl>
    <w:lvl w:ilvl="8" w:tplc="ACFA6546"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097E66D0"/>
    <w:multiLevelType w:val="hybridMultilevel"/>
    <w:tmpl w:val="0F9AF5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50057A9"/>
    <w:multiLevelType w:val="hybridMultilevel"/>
    <w:tmpl w:val="82EE67DA"/>
    <w:lvl w:ilvl="0" w:tplc="AC362484">
      <w:start w:val="1"/>
      <w:numFmt w:val="bullet"/>
      <w:lvlText w:val="•"/>
      <w:lvlJc w:val="left"/>
      <w:pPr>
        <w:tabs>
          <w:tab w:val="num" w:pos="720"/>
        </w:tabs>
        <w:ind w:left="720" w:hanging="360"/>
      </w:pPr>
      <w:rPr>
        <w:rFonts w:ascii="Arial" w:hAnsi="Arial" w:hint="default"/>
      </w:rPr>
    </w:lvl>
    <w:lvl w:ilvl="1" w:tplc="1DA0E618" w:tentative="1">
      <w:start w:val="1"/>
      <w:numFmt w:val="bullet"/>
      <w:lvlText w:val="•"/>
      <w:lvlJc w:val="left"/>
      <w:pPr>
        <w:tabs>
          <w:tab w:val="num" w:pos="1440"/>
        </w:tabs>
        <w:ind w:left="1440" w:hanging="360"/>
      </w:pPr>
      <w:rPr>
        <w:rFonts w:ascii="Arial" w:hAnsi="Arial" w:hint="default"/>
      </w:rPr>
    </w:lvl>
    <w:lvl w:ilvl="2" w:tplc="E5522F8E" w:tentative="1">
      <w:start w:val="1"/>
      <w:numFmt w:val="bullet"/>
      <w:lvlText w:val="•"/>
      <w:lvlJc w:val="left"/>
      <w:pPr>
        <w:tabs>
          <w:tab w:val="num" w:pos="2160"/>
        </w:tabs>
        <w:ind w:left="2160" w:hanging="360"/>
      </w:pPr>
      <w:rPr>
        <w:rFonts w:ascii="Arial" w:hAnsi="Arial" w:hint="default"/>
      </w:rPr>
    </w:lvl>
    <w:lvl w:ilvl="3" w:tplc="A79CB78E" w:tentative="1">
      <w:start w:val="1"/>
      <w:numFmt w:val="bullet"/>
      <w:lvlText w:val="•"/>
      <w:lvlJc w:val="left"/>
      <w:pPr>
        <w:tabs>
          <w:tab w:val="num" w:pos="2880"/>
        </w:tabs>
        <w:ind w:left="2880" w:hanging="360"/>
      </w:pPr>
      <w:rPr>
        <w:rFonts w:ascii="Arial" w:hAnsi="Arial" w:hint="default"/>
      </w:rPr>
    </w:lvl>
    <w:lvl w:ilvl="4" w:tplc="638C8636" w:tentative="1">
      <w:start w:val="1"/>
      <w:numFmt w:val="bullet"/>
      <w:lvlText w:val="•"/>
      <w:lvlJc w:val="left"/>
      <w:pPr>
        <w:tabs>
          <w:tab w:val="num" w:pos="3600"/>
        </w:tabs>
        <w:ind w:left="3600" w:hanging="360"/>
      </w:pPr>
      <w:rPr>
        <w:rFonts w:ascii="Arial" w:hAnsi="Arial" w:hint="default"/>
      </w:rPr>
    </w:lvl>
    <w:lvl w:ilvl="5" w:tplc="281C4342" w:tentative="1">
      <w:start w:val="1"/>
      <w:numFmt w:val="bullet"/>
      <w:lvlText w:val="•"/>
      <w:lvlJc w:val="left"/>
      <w:pPr>
        <w:tabs>
          <w:tab w:val="num" w:pos="4320"/>
        </w:tabs>
        <w:ind w:left="4320" w:hanging="360"/>
      </w:pPr>
      <w:rPr>
        <w:rFonts w:ascii="Arial" w:hAnsi="Arial" w:hint="default"/>
      </w:rPr>
    </w:lvl>
    <w:lvl w:ilvl="6" w:tplc="A238EFF6" w:tentative="1">
      <w:start w:val="1"/>
      <w:numFmt w:val="bullet"/>
      <w:lvlText w:val="•"/>
      <w:lvlJc w:val="left"/>
      <w:pPr>
        <w:tabs>
          <w:tab w:val="num" w:pos="5040"/>
        </w:tabs>
        <w:ind w:left="5040" w:hanging="360"/>
      </w:pPr>
      <w:rPr>
        <w:rFonts w:ascii="Arial" w:hAnsi="Arial" w:hint="default"/>
      </w:rPr>
    </w:lvl>
    <w:lvl w:ilvl="7" w:tplc="38D6F7FA" w:tentative="1">
      <w:start w:val="1"/>
      <w:numFmt w:val="bullet"/>
      <w:lvlText w:val="•"/>
      <w:lvlJc w:val="left"/>
      <w:pPr>
        <w:tabs>
          <w:tab w:val="num" w:pos="5760"/>
        </w:tabs>
        <w:ind w:left="5760" w:hanging="360"/>
      </w:pPr>
      <w:rPr>
        <w:rFonts w:ascii="Arial" w:hAnsi="Arial" w:hint="default"/>
      </w:rPr>
    </w:lvl>
    <w:lvl w:ilvl="8" w:tplc="FE6C0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B817F1"/>
    <w:multiLevelType w:val="hybridMultilevel"/>
    <w:tmpl w:val="3E9E8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715B5E"/>
    <w:multiLevelType w:val="hybridMultilevel"/>
    <w:tmpl w:val="738AE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3795849"/>
    <w:multiLevelType w:val="hybridMultilevel"/>
    <w:tmpl w:val="87C04FF6"/>
    <w:lvl w:ilvl="0" w:tplc="F70C1FB8">
      <w:start w:val="1"/>
      <w:numFmt w:val="bullet"/>
      <w:lvlText w:val="•"/>
      <w:lvlJc w:val="left"/>
      <w:pPr>
        <w:tabs>
          <w:tab w:val="num" w:pos="720"/>
        </w:tabs>
        <w:ind w:left="720" w:hanging="360"/>
      </w:pPr>
      <w:rPr>
        <w:rFonts w:ascii="Times New Roman" w:hAnsi="Times New Roman" w:hint="default"/>
      </w:rPr>
    </w:lvl>
    <w:lvl w:ilvl="1" w:tplc="52085E96" w:tentative="1">
      <w:start w:val="1"/>
      <w:numFmt w:val="bullet"/>
      <w:lvlText w:val="•"/>
      <w:lvlJc w:val="left"/>
      <w:pPr>
        <w:tabs>
          <w:tab w:val="num" w:pos="1440"/>
        </w:tabs>
        <w:ind w:left="1440" w:hanging="360"/>
      </w:pPr>
      <w:rPr>
        <w:rFonts w:ascii="Times New Roman" w:hAnsi="Times New Roman" w:hint="default"/>
      </w:rPr>
    </w:lvl>
    <w:lvl w:ilvl="2" w:tplc="34D679C6" w:tentative="1">
      <w:start w:val="1"/>
      <w:numFmt w:val="bullet"/>
      <w:lvlText w:val="•"/>
      <w:lvlJc w:val="left"/>
      <w:pPr>
        <w:tabs>
          <w:tab w:val="num" w:pos="2160"/>
        </w:tabs>
        <w:ind w:left="2160" w:hanging="360"/>
      </w:pPr>
      <w:rPr>
        <w:rFonts w:ascii="Times New Roman" w:hAnsi="Times New Roman" w:hint="default"/>
      </w:rPr>
    </w:lvl>
    <w:lvl w:ilvl="3" w:tplc="44980EE8" w:tentative="1">
      <w:start w:val="1"/>
      <w:numFmt w:val="bullet"/>
      <w:lvlText w:val="•"/>
      <w:lvlJc w:val="left"/>
      <w:pPr>
        <w:tabs>
          <w:tab w:val="num" w:pos="2880"/>
        </w:tabs>
        <w:ind w:left="2880" w:hanging="360"/>
      </w:pPr>
      <w:rPr>
        <w:rFonts w:ascii="Times New Roman" w:hAnsi="Times New Roman" w:hint="default"/>
      </w:rPr>
    </w:lvl>
    <w:lvl w:ilvl="4" w:tplc="1BD62C80" w:tentative="1">
      <w:start w:val="1"/>
      <w:numFmt w:val="bullet"/>
      <w:lvlText w:val="•"/>
      <w:lvlJc w:val="left"/>
      <w:pPr>
        <w:tabs>
          <w:tab w:val="num" w:pos="3600"/>
        </w:tabs>
        <w:ind w:left="3600" w:hanging="360"/>
      </w:pPr>
      <w:rPr>
        <w:rFonts w:ascii="Times New Roman" w:hAnsi="Times New Roman" w:hint="default"/>
      </w:rPr>
    </w:lvl>
    <w:lvl w:ilvl="5" w:tplc="8C10A230" w:tentative="1">
      <w:start w:val="1"/>
      <w:numFmt w:val="bullet"/>
      <w:lvlText w:val="•"/>
      <w:lvlJc w:val="left"/>
      <w:pPr>
        <w:tabs>
          <w:tab w:val="num" w:pos="4320"/>
        </w:tabs>
        <w:ind w:left="4320" w:hanging="360"/>
      </w:pPr>
      <w:rPr>
        <w:rFonts w:ascii="Times New Roman" w:hAnsi="Times New Roman" w:hint="default"/>
      </w:rPr>
    </w:lvl>
    <w:lvl w:ilvl="6" w:tplc="B0C4C86E" w:tentative="1">
      <w:start w:val="1"/>
      <w:numFmt w:val="bullet"/>
      <w:lvlText w:val="•"/>
      <w:lvlJc w:val="left"/>
      <w:pPr>
        <w:tabs>
          <w:tab w:val="num" w:pos="5040"/>
        </w:tabs>
        <w:ind w:left="5040" w:hanging="360"/>
      </w:pPr>
      <w:rPr>
        <w:rFonts w:ascii="Times New Roman" w:hAnsi="Times New Roman" w:hint="default"/>
      </w:rPr>
    </w:lvl>
    <w:lvl w:ilvl="7" w:tplc="C232992A" w:tentative="1">
      <w:start w:val="1"/>
      <w:numFmt w:val="bullet"/>
      <w:lvlText w:val="•"/>
      <w:lvlJc w:val="left"/>
      <w:pPr>
        <w:tabs>
          <w:tab w:val="num" w:pos="5760"/>
        </w:tabs>
        <w:ind w:left="5760" w:hanging="360"/>
      </w:pPr>
      <w:rPr>
        <w:rFonts w:ascii="Times New Roman" w:hAnsi="Times New Roman" w:hint="default"/>
      </w:rPr>
    </w:lvl>
    <w:lvl w:ilvl="8" w:tplc="8306FF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5E72497"/>
    <w:multiLevelType w:val="hybridMultilevel"/>
    <w:tmpl w:val="FDFE9B7C"/>
    <w:lvl w:ilvl="0" w:tplc="74D81870">
      <w:start w:val="1"/>
      <w:numFmt w:val="bullet"/>
      <w:lvlText w:val="•"/>
      <w:lvlJc w:val="left"/>
      <w:pPr>
        <w:tabs>
          <w:tab w:val="num" w:pos="720"/>
        </w:tabs>
        <w:ind w:left="720" w:hanging="360"/>
      </w:pPr>
      <w:rPr>
        <w:rFonts w:ascii="Arial" w:hAnsi="Arial" w:hint="default"/>
      </w:rPr>
    </w:lvl>
    <w:lvl w:ilvl="1" w:tplc="FA08B0E2" w:tentative="1">
      <w:start w:val="1"/>
      <w:numFmt w:val="bullet"/>
      <w:lvlText w:val="•"/>
      <w:lvlJc w:val="left"/>
      <w:pPr>
        <w:tabs>
          <w:tab w:val="num" w:pos="1440"/>
        </w:tabs>
        <w:ind w:left="1440" w:hanging="360"/>
      </w:pPr>
      <w:rPr>
        <w:rFonts w:ascii="Arial" w:hAnsi="Arial" w:hint="default"/>
      </w:rPr>
    </w:lvl>
    <w:lvl w:ilvl="2" w:tplc="7C9A9FDA" w:tentative="1">
      <w:start w:val="1"/>
      <w:numFmt w:val="bullet"/>
      <w:lvlText w:val="•"/>
      <w:lvlJc w:val="left"/>
      <w:pPr>
        <w:tabs>
          <w:tab w:val="num" w:pos="2160"/>
        </w:tabs>
        <w:ind w:left="2160" w:hanging="360"/>
      </w:pPr>
      <w:rPr>
        <w:rFonts w:ascii="Arial" w:hAnsi="Arial" w:hint="default"/>
      </w:rPr>
    </w:lvl>
    <w:lvl w:ilvl="3" w:tplc="D54A2D2C" w:tentative="1">
      <w:start w:val="1"/>
      <w:numFmt w:val="bullet"/>
      <w:lvlText w:val="•"/>
      <w:lvlJc w:val="left"/>
      <w:pPr>
        <w:tabs>
          <w:tab w:val="num" w:pos="2880"/>
        </w:tabs>
        <w:ind w:left="2880" w:hanging="360"/>
      </w:pPr>
      <w:rPr>
        <w:rFonts w:ascii="Arial" w:hAnsi="Arial" w:hint="default"/>
      </w:rPr>
    </w:lvl>
    <w:lvl w:ilvl="4" w:tplc="63504B18" w:tentative="1">
      <w:start w:val="1"/>
      <w:numFmt w:val="bullet"/>
      <w:lvlText w:val="•"/>
      <w:lvlJc w:val="left"/>
      <w:pPr>
        <w:tabs>
          <w:tab w:val="num" w:pos="3600"/>
        </w:tabs>
        <w:ind w:left="3600" w:hanging="360"/>
      </w:pPr>
      <w:rPr>
        <w:rFonts w:ascii="Arial" w:hAnsi="Arial" w:hint="default"/>
      </w:rPr>
    </w:lvl>
    <w:lvl w:ilvl="5" w:tplc="418AA7E8" w:tentative="1">
      <w:start w:val="1"/>
      <w:numFmt w:val="bullet"/>
      <w:lvlText w:val="•"/>
      <w:lvlJc w:val="left"/>
      <w:pPr>
        <w:tabs>
          <w:tab w:val="num" w:pos="4320"/>
        </w:tabs>
        <w:ind w:left="4320" w:hanging="360"/>
      </w:pPr>
      <w:rPr>
        <w:rFonts w:ascii="Arial" w:hAnsi="Arial" w:hint="default"/>
      </w:rPr>
    </w:lvl>
    <w:lvl w:ilvl="6" w:tplc="EAB82AF0" w:tentative="1">
      <w:start w:val="1"/>
      <w:numFmt w:val="bullet"/>
      <w:lvlText w:val="•"/>
      <w:lvlJc w:val="left"/>
      <w:pPr>
        <w:tabs>
          <w:tab w:val="num" w:pos="5040"/>
        </w:tabs>
        <w:ind w:left="5040" w:hanging="360"/>
      </w:pPr>
      <w:rPr>
        <w:rFonts w:ascii="Arial" w:hAnsi="Arial" w:hint="default"/>
      </w:rPr>
    </w:lvl>
    <w:lvl w:ilvl="7" w:tplc="8216E34C" w:tentative="1">
      <w:start w:val="1"/>
      <w:numFmt w:val="bullet"/>
      <w:lvlText w:val="•"/>
      <w:lvlJc w:val="left"/>
      <w:pPr>
        <w:tabs>
          <w:tab w:val="num" w:pos="5760"/>
        </w:tabs>
        <w:ind w:left="5760" w:hanging="360"/>
      </w:pPr>
      <w:rPr>
        <w:rFonts w:ascii="Arial" w:hAnsi="Arial" w:hint="default"/>
      </w:rPr>
    </w:lvl>
    <w:lvl w:ilvl="8" w:tplc="82B859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B520A6"/>
    <w:multiLevelType w:val="hybridMultilevel"/>
    <w:tmpl w:val="855816DA"/>
    <w:lvl w:ilvl="0" w:tplc="EDE4F348">
      <w:start w:val="1"/>
      <w:numFmt w:val="bullet"/>
      <w:lvlText w:val="•"/>
      <w:lvlJc w:val="left"/>
      <w:pPr>
        <w:tabs>
          <w:tab w:val="num" w:pos="720"/>
        </w:tabs>
        <w:ind w:left="720" w:hanging="360"/>
      </w:pPr>
      <w:rPr>
        <w:rFonts w:ascii="Arial" w:hAnsi="Arial" w:hint="default"/>
      </w:rPr>
    </w:lvl>
    <w:lvl w:ilvl="1" w:tplc="AEB85734" w:tentative="1">
      <w:start w:val="1"/>
      <w:numFmt w:val="bullet"/>
      <w:lvlText w:val="•"/>
      <w:lvlJc w:val="left"/>
      <w:pPr>
        <w:tabs>
          <w:tab w:val="num" w:pos="1440"/>
        </w:tabs>
        <w:ind w:left="1440" w:hanging="360"/>
      </w:pPr>
      <w:rPr>
        <w:rFonts w:ascii="Arial" w:hAnsi="Arial" w:hint="default"/>
      </w:rPr>
    </w:lvl>
    <w:lvl w:ilvl="2" w:tplc="C4044816" w:tentative="1">
      <w:start w:val="1"/>
      <w:numFmt w:val="bullet"/>
      <w:lvlText w:val="•"/>
      <w:lvlJc w:val="left"/>
      <w:pPr>
        <w:tabs>
          <w:tab w:val="num" w:pos="2160"/>
        </w:tabs>
        <w:ind w:left="2160" w:hanging="360"/>
      </w:pPr>
      <w:rPr>
        <w:rFonts w:ascii="Arial" w:hAnsi="Arial" w:hint="default"/>
      </w:rPr>
    </w:lvl>
    <w:lvl w:ilvl="3" w:tplc="0404761C" w:tentative="1">
      <w:start w:val="1"/>
      <w:numFmt w:val="bullet"/>
      <w:lvlText w:val="•"/>
      <w:lvlJc w:val="left"/>
      <w:pPr>
        <w:tabs>
          <w:tab w:val="num" w:pos="2880"/>
        </w:tabs>
        <w:ind w:left="2880" w:hanging="360"/>
      </w:pPr>
      <w:rPr>
        <w:rFonts w:ascii="Arial" w:hAnsi="Arial" w:hint="default"/>
      </w:rPr>
    </w:lvl>
    <w:lvl w:ilvl="4" w:tplc="B13E43D4" w:tentative="1">
      <w:start w:val="1"/>
      <w:numFmt w:val="bullet"/>
      <w:lvlText w:val="•"/>
      <w:lvlJc w:val="left"/>
      <w:pPr>
        <w:tabs>
          <w:tab w:val="num" w:pos="3600"/>
        </w:tabs>
        <w:ind w:left="3600" w:hanging="360"/>
      </w:pPr>
      <w:rPr>
        <w:rFonts w:ascii="Arial" w:hAnsi="Arial" w:hint="default"/>
      </w:rPr>
    </w:lvl>
    <w:lvl w:ilvl="5" w:tplc="7F706788" w:tentative="1">
      <w:start w:val="1"/>
      <w:numFmt w:val="bullet"/>
      <w:lvlText w:val="•"/>
      <w:lvlJc w:val="left"/>
      <w:pPr>
        <w:tabs>
          <w:tab w:val="num" w:pos="4320"/>
        </w:tabs>
        <w:ind w:left="4320" w:hanging="360"/>
      </w:pPr>
      <w:rPr>
        <w:rFonts w:ascii="Arial" w:hAnsi="Arial" w:hint="default"/>
      </w:rPr>
    </w:lvl>
    <w:lvl w:ilvl="6" w:tplc="65DC1BD6" w:tentative="1">
      <w:start w:val="1"/>
      <w:numFmt w:val="bullet"/>
      <w:lvlText w:val="•"/>
      <w:lvlJc w:val="left"/>
      <w:pPr>
        <w:tabs>
          <w:tab w:val="num" w:pos="5040"/>
        </w:tabs>
        <w:ind w:left="5040" w:hanging="360"/>
      </w:pPr>
      <w:rPr>
        <w:rFonts w:ascii="Arial" w:hAnsi="Arial" w:hint="default"/>
      </w:rPr>
    </w:lvl>
    <w:lvl w:ilvl="7" w:tplc="2AF8F974" w:tentative="1">
      <w:start w:val="1"/>
      <w:numFmt w:val="bullet"/>
      <w:lvlText w:val="•"/>
      <w:lvlJc w:val="left"/>
      <w:pPr>
        <w:tabs>
          <w:tab w:val="num" w:pos="5760"/>
        </w:tabs>
        <w:ind w:left="5760" w:hanging="360"/>
      </w:pPr>
      <w:rPr>
        <w:rFonts w:ascii="Arial" w:hAnsi="Arial" w:hint="default"/>
      </w:rPr>
    </w:lvl>
    <w:lvl w:ilvl="8" w:tplc="926A63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7F5DCD"/>
    <w:multiLevelType w:val="hybridMultilevel"/>
    <w:tmpl w:val="A70277EC"/>
    <w:lvl w:ilvl="0" w:tplc="29E490B8">
      <w:start w:val="1"/>
      <w:numFmt w:val="bullet"/>
      <w:lvlText w:val="•"/>
      <w:lvlJc w:val="left"/>
      <w:pPr>
        <w:tabs>
          <w:tab w:val="num" w:pos="720"/>
        </w:tabs>
        <w:ind w:left="720" w:hanging="360"/>
      </w:pPr>
      <w:rPr>
        <w:rFonts w:ascii="Arial" w:hAnsi="Arial" w:hint="default"/>
      </w:rPr>
    </w:lvl>
    <w:lvl w:ilvl="1" w:tplc="589E134C" w:tentative="1">
      <w:start w:val="1"/>
      <w:numFmt w:val="bullet"/>
      <w:lvlText w:val="•"/>
      <w:lvlJc w:val="left"/>
      <w:pPr>
        <w:tabs>
          <w:tab w:val="num" w:pos="1440"/>
        </w:tabs>
        <w:ind w:left="1440" w:hanging="360"/>
      </w:pPr>
      <w:rPr>
        <w:rFonts w:ascii="Arial" w:hAnsi="Arial" w:hint="default"/>
      </w:rPr>
    </w:lvl>
    <w:lvl w:ilvl="2" w:tplc="B0564192" w:tentative="1">
      <w:start w:val="1"/>
      <w:numFmt w:val="bullet"/>
      <w:lvlText w:val="•"/>
      <w:lvlJc w:val="left"/>
      <w:pPr>
        <w:tabs>
          <w:tab w:val="num" w:pos="2160"/>
        </w:tabs>
        <w:ind w:left="2160" w:hanging="360"/>
      </w:pPr>
      <w:rPr>
        <w:rFonts w:ascii="Arial" w:hAnsi="Arial" w:hint="default"/>
      </w:rPr>
    </w:lvl>
    <w:lvl w:ilvl="3" w:tplc="DEC021A8" w:tentative="1">
      <w:start w:val="1"/>
      <w:numFmt w:val="bullet"/>
      <w:lvlText w:val="•"/>
      <w:lvlJc w:val="left"/>
      <w:pPr>
        <w:tabs>
          <w:tab w:val="num" w:pos="2880"/>
        </w:tabs>
        <w:ind w:left="2880" w:hanging="360"/>
      </w:pPr>
      <w:rPr>
        <w:rFonts w:ascii="Arial" w:hAnsi="Arial" w:hint="default"/>
      </w:rPr>
    </w:lvl>
    <w:lvl w:ilvl="4" w:tplc="9C4CB51E" w:tentative="1">
      <w:start w:val="1"/>
      <w:numFmt w:val="bullet"/>
      <w:lvlText w:val="•"/>
      <w:lvlJc w:val="left"/>
      <w:pPr>
        <w:tabs>
          <w:tab w:val="num" w:pos="3600"/>
        </w:tabs>
        <w:ind w:left="3600" w:hanging="360"/>
      </w:pPr>
      <w:rPr>
        <w:rFonts w:ascii="Arial" w:hAnsi="Arial" w:hint="default"/>
      </w:rPr>
    </w:lvl>
    <w:lvl w:ilvl="5" w:tplc="E684ECFA" w:tentative="1">
      <w:start w:val="1"/>
      <w:numFmt w:val="bullet"/>
      <w:lvlText w:val="•"/>
      <w:lvlJc w:val="left"/>
      <w:pPr>
        <w:tabs>
          <w:tab w:val="num" w:pos="4320"/>
        </w:tabs>
        <w:ind w:left="4320" w:hanging="360"/>
      </w:pPr>
      <w:rPr>
        <w:rFonts w:ascii="Arial" w:hAnsi="Arial" w:hint="default"/>
      </w:rPr>
    </w:lvl>
    <w:lvl w:ilvl="6" w:tplc="E7568682" w:tentative="1">
      <w:start w:val="1"/>
      <w:numFmt w:val="bullet"/>
      <w:lvlText w:val="•"/>
      <w:lvlJc w:val="left"/>
      <w:pPr>
        <w:tabs>
          <w:tab w:val="num" w:pos="5040"/>
        </w:tabs>
        <w:ind w:left="5040" w:hanging="360"/>
      </w:pPr>
      <w:rPr>
        <w:rFonts w:ascii="Arial" w:hAnsi="Arial" w:hint="default"/>
      </w:rPr>
    </w:lvl>
    <w:lvl w:ilvl="7" w:tplc="A0E633B2" w:tentative="1">
      <w:start w:val="1"/>
      <w:numFmt w:val="bullet"/>
      <w:lvlText w:val="•"/>
      <w:lvlJc w:val="left"/>
      <w:pPr>
        <w:tabs>
          <w:tab w:val="num" w:pos="5760"/>
        </w:tabs>
        <w:ind w:left="5760" w:hanging="360"/>
      </w:pPr>
      <w:rPr>
        <w:rFonts w:ascii="Arial" w:hAnsi="Arial" w:hint="default"/>
      </w:rPr>
    </w:lvl>
    <w:lvl w:ilvl="8" w:tplc="9318629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F66BB8"/>
    <w:multiLevelType w:val="hybridMultilevel"/>
    <w:tmpl w:val="69E4BD8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3F78A2"/>
    <w:multiLevelType w:val="hybridMultilevel"/>
    <w:tmpl w:val="76A2C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CDF4A64"/>
    <w:multiLevelType w:val="hybridMultilevel"/>
    <w:tmpl w:val="4F8ABBAC"/>
    <w:lvl w:ilvl="0" w:tplc="41B88CEC">
      <w:start w:val="1"/>
      <w:numFmt w:val="bullet"/>
      <w:lvlText w:val="•"/>
      <w:lvlJc w:val="left"/>
      <w:pPr>
        <w:tabs>
          <w:tab w:val="num" w:pos="720"/>
        </w:tabs>
        <w:ind w:left="720" w:hanging="360"/>
      </w:pPr>
      <w:rPr>
        <w:rFonts w:ascii="Arial" w:hAnsi="Arial" w:hint="default"/>
      </w:rPr>
    </w:lvl>
    <w:lvl w:ilvl="1" w:tplc="A0C073D4" w:tentative="1">
      <w:start w:val="1"/>
      <w:numFmt w:val="bullet"/>
      <w:lvlText w:val="•"/>
      <w:lvlJc w:val="left"/>
      <w:pPr>
        <w:tabs>
          <w:tab w:val="num" w:pos="1440"/>
        </w:tabs>
        <w:ind w:left="1440" w:hanging="360"/>
      </w:pPr>
      <w:rPr>
        <w:rFonts w:ascii="Arial" w:hAnsi="Arial" w:hint="default"/>
      </w:rPr>
    </w:lvl>
    <w:lvl w:ilvl="2" w:tplc="093CC222" w:tentative="1">
      <w:start w:val="1"/>
      <w:numFmt w:val="bullet"/>
      <w:lvlText w:val="•"/>
      <w:lvlJc w:val="left"/>
      <w:pPr>
        <w:tabs>
          <w:tab w:val="num" w:pos="2160"/>
        </w:tabs>
        <w:ind w:left="2160" w:hanging="360"/>
      </w:pPr>
      <w:rPr>
        <w:rFonts w:ascii="Arial" w:hAnsi="Arial" w:hint="default"/>
      </w:rPr>
    </w:lvl>
    <w:lvl w:ilvl="3" w:tplc="4D2ADBF6" w:tentative="1">
      <w:start w:val="1"/>
      <w:numFmt w:val="bullet"/>
      <w:lvlText w:val="•"/>
      <w:lvlJc w:val="left"/>
      <w:pPr>
        <w:tabs>
          <w:tab w:val="num" w:pos="2880"/>
        </w:tabs>
        <w:ind w:left="2880" w:hanging="360"/>
      </w:pPr>
      <w:rPr>
        <w:rFonts w:ascii="Arial" w:hAnsi="Arial" w:hint="default"/>
      </w:rPr>
    </w:lvl>
    <w:lvl w:ilvl="4" w:tplc="FD5A154E" w:tentative="1">
      <w:start w:val="1"/>
      <w:numFmt w:val="bullet"/>
      <w:lvlText w:val="•"/>
      <w:lvlJc w:val="left"/>
      <w:pPr>
        <w:tabs>
          <w:tab w:val="num" w:pos="3600"/>
        </w:tabs>
        <w:ind w:left="3600" w:hanging="360"/>
      </w:pPr>
      <w:rPr>
        <w:rFonts w:ascii="Arial" w:hAnsi="Arial" w:hint="default"/>
      </w:rPr>
    </w:lvl>
    <w:lvl w:ilvl="5" w:tplc="A44C7EEE" w:tentative="1">
      <w:start w:val="1"/>
      <w:numFmt w:val="bullet"/>
      <w:lvlText w:val="•"/>
      <w:lvlJc w:val="left"/>
      <w:pPr>
        <w:tabs>
          <w:tab w:val="num" w:pos="4320"/>
        </w:tabs>
        <w:ind w:left="4320" w:hanging="360"/>
      </w:pPr>
      <w:rPr>
        <w:rFonts w:ascii="Arial" w:hAnsi="Arial" w:hint="default"/>
      </w:rPr>
    </w:lvl>
    <w:lvl w:ilvl="6" w:tplc="F022D58E" w:tentative="1">
      <w:start w:val="1"/>
      <w:numFmt w:val="bullet"/>
      <w:lvlText w:val="•"/>
      <w:lvlJc w:val="left"/>
      <w:pPr>
        <w:tabs>
          <w:tab w:val="num" w:pos="5040"/>
        </w:tabs>
        <w:ind w:left="5040" w:hanging="360"/>
      </w:pPr>
      <w:rPr>
        <w:rFonts w:ascii="Arial" w:hAnsi="Arial" w:hint="default"/>
      </w:rPr>
    </w:lvl>
    <w:lvl w:ilvl="7" w:tplc="6186CE92" w:tentative="1">
      <w:start w:val="1"/>
      <w:numFmt w:val="bullet"/>
      <w:lvlText w:val="•"/>
      <w:lvlJc w:val="left"/>
      <w:pPr>
        <w:tabs>
          <w:tab w:val="num" w:pos="5760"/>
        </w:tabs>
        <w:ind w:left="5760" w:hanging="360"/>
      </w:pPr>
      <w:rPr>
        <w:rFonts w:ascii="Arial" w:hAnsi="Arial" w:hint="default"/>
      </w:rPr>
    </w:lvl>
    <w:lvl w:ilvl="8" w:tplc="4F1C74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F93EC5"/>
    <w:multiLevelType w:val="hybridMultilevel"/>
    <w:tmpl w:val="BC50BF16"/>
    <w:lvl w:ilvl="0" w:tplc="56209438">
      <w:start w:val="1"/>
      <w:numFmt w:val="bullet"/>
      <w:lvlText w:val=""/>
      <w:lvlJc w:val="left"/>
      <w:pPr>
        <w:tabs>
          <w:tab w:val="num" w:pos="720"/>
        </w:tabs>
        <w:ind w:left="720" w:hanging="360"/>
      </w:pPr>
      <w:rPr>
        <w:rFonts w:ascii="Wingdings" w:hAnsi="Wingdings" w:hint="default"/>
      </w:rPr>
    </w:lvl>
    <w:lvl w:ilvl="1" w:tplc="BF3E63D0" w:tentative="1">
      <w:start w:val="1"/>
      <w:numFmt w:val="bullet"/>
      <w:lvlText w:val=""/>
      <w:lvlJc w:val="left"/>
      <w:pPr>
        <w:tabs>
          <w:tab w:val="num" w:pos="1440"/>
        </w:tabs>
        <w:ind w:left="1440" w:hanging="360"/>
      </w:pPr>
      <w:rPr>
        <w:rFonts w:ascii="Wingdings" w:hAnsi="Wingdings" w:hint="default"/>
      </w:rPr>
    </w:lvl>
    <w:lvl w:ilvl="2" w:tplc="8A50A118" w:tentative="1">
      <w:start w:val="1"/>
      <w:numFmt w:val="bullet"/>
      <w:lvlText w:val=""/>
      <w:lvlJc w:val="left"/>
      <w:pPr>
        <w:tabs>
          <w:tab w:val="num" w:pos="2160"/>
        </w:tabs>
        <w:ind w:left="2160" w:hanging="360"/>
      </w:pPr>
      <w:rPr>
        <w:rFonts w:ascii="Wingdings" w:hAnsi="Wingdings" w:hint="default"/>
      </w:rPr>
    </w:lvl>
    <w:lvl w:ilvl="3" w:tplc="950A418A" w:tentative="1">
      <w:start w:val="1"/>
      <w:numFmt w:val="bullet"/>
      <w:lvlText w:val=""/>
      <w:lvlJc w:val="left"/>
      <w:pPr>
        <w:tabs>
          <w:tab w:val="num" w:pos="2880"/>
        </w:tabs>
        <w:ind w:left="2880" w:hanging="360"/>
      </w:pPr>
      <w:rPr>
        <w:rFonts w:ascii="Wingdings" w:hAnsi="Wingdings" w:hint="default"/>
      </w:rPr>
    </w:lvl>
    <w:lvl w:ilvl="4" w:tplc="B58EB022" w:tentative="1">
      <w:start w:val="1"/>
      <w:numFmt w:val="bullet"/>
      <w:lvlText w:val=""/>
      <w:lvlJc w:val="left"/>
      <w:pPr>
        <w:tabs>
          <w:tab w:val="num" w:pos="3600"/>
        </w:tabs>
        <w:ind w:left="3600" w:hanging="360"/>
      </w:pPr>
      <w:rPr>
        <w:rFonts w:ascii="Wingdings" w:hAnsi="Wingdings" w:hint="default"/>
      </w:rPr>
    </w:lvl>
    <w:lvl w:ilvl="5" w:tplc="A3BA9BD0" w:tentative="1">
      <w:start w:val="1"/>
      <w:numFmt w:val="bullet"/>
      <w:lvlText w:val=""/>
      <w:lvlJc w:val="left"/>
      <w:pPr>
        <w:tabs>
          <w:tab w:val="num" w:pos="4320"/>
        </w:tabs>
        <w:ind w:left="4320" w:hanging="360"/>
      </w:pPr>
      <w:rPr>
        <w:rFonts w:ascii="Wingdings" w:hAnsi="Wingdings" w:hint="default"/>
      </w:rPr>
    </w:lvl>
    <w:lvl w:ilvl="6" w:tplc="EA987A38" w:tentative="1">
      <w:start w:val="1"/>
      <w:numFmt w:val="bullet"/>
      <w:lvlText w:val=""/>
      <w:lvlJc w:val="left"/>
      <w:pPr>
        <w:tabs>
          <w:tab w:val="num" w:pos="5040"/>
        </w:tabs>
        <w:ind w:left="5040" w:hanging="360"/>
      </w:pPr>
      <w:rPr>
        <w:rFonts w:ascii="Wingdings" w:hAnsi="Wingdings" w:hint="default"/>
      </w:rPr>
    </w:lvl>
    <w:lvl w:ilvl="7" w:tplc="53765B9A" w:tentative="1">
      <w:start w:val="1"/>
      <w:numFmt w:val="bullet"/>
      <w:lvlText w:val=""/>
      <w:lvlJc w:val="left"/>
      <w:pPr>
        <w:tabs>
          <w:tab w:val="num" w:pos="5760"/>
        </w:tabs>
        <w:ind w:left="5760" w:hanging="360"/>
      </w:pPr>
      <w:rPr>
        <w:rFonts w:ascii="Wingdings" w:hAnsi="Wingdings" w:hint="default"/>
      </w:rPr>
    </w:lvl>
    <w:lvl w:ilvl="8" w:tplc="C0645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607D03"/>
    <w:multiLevelType w:val="hybridMultilevel"/>
    <w:tmpl w:val="707487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8C2022"/>
    <w:multiLevelType w:val="hybridMultilevel"/>
    <w:tmpl w:val="E4448B7A"/>
    <w:lvl w:ilvl="0" w:tplc="5EB0F936">
      <w:start w:val="1"/>
      <w:numFmt w:val="bullet"/>
      <w:lvlText w:val="•"/>
      <w:lvlJc w:val="left"/>
      <w:pPr>
        <w:tabs>
          <w:tab w:val="num" w:pos="720"/>
        </w:tabs>
        <w:ind w:left="720" w:hanging="360"/>
      </w:pPr>
      <w:rPr>
        <w:rFonts w:ascii="Arial" w:hAnsi="Arial" w:hint="default"/>
      </w:rPr>
    </w:lvl>
    <w:lvl w:ilvl="1" w:tplc="16BA2B0C" w:tentative="1">
      <w:start w:val="1"/>
      <w:numFmt w:val="bullet"/>
      <w:lvlText w:val="•"/>
      <w:lvlJc w:val="left"/>
      <w:pPr>
        <w:tabs>
          <w:tab w:val="num" w:pos="1440"/>
        </w:tabs>
        <w:ind w:left="1440" w:hanging="360"/>
      </w:pPr>
      <w:rPr>
        <w:rFonts w:ascii="Arial" w:hAnsi="Arial" w:hint="default"/>
      </w:rPr>
    </w:lvl>
    <w:lvl w:ilvl="2" w:tplc="D7E61252" w:tentative="1">
      <w:start w:val="1"/>
      <w:numFmt w:val="bullet"/>
      <w:lvlText w:val="•"/>
      <w:lvlJc w:val="left"/>
      <w:pPr>
        <w:tabs>
          <w:tab w:val="num" w:pos="2160"/>
        </w:tabs>
        <w:ind w:left="2160" w:hanging="360"/>
      </w:pPr>
      <w:rPr>
        <w:rFonts w:ascii="Arial" w:hAnsi="Arial" w:hint="default"/>
      </w:rPr>
    </w:lvl>
    <w:lvl w:ilvl="3" w:tplc="3790F942" w:tentative="1">
      <w:start w:val="1"/>
      <w:numFmt w:val="bullet"/>
      <w:lvlText w:val="•"/>
      <w:lvlJc w:val="left"/>
      <w:pPr>
        <w:tabs>
          <w:tab w:val="num" w:pos="2880"/>
        </w:tabs>
        <w:ind w:left="2880" w:hanging="360"/>
      </w:pPr>
      <w:rPr>
        <w:rFonts w:ascii="Arial" w:hAnsi="Arial" w:hint="default"/>
      </w:rPr>
    </w:lvl>
    <w:lvl w:ilvl="4" w:tplc="F11C5B1E" w:tentative="1">
      <w:start w:val="1"/>
      <w:numFmt w:val="bullet"/>
      <w:lvlText w:val="•"/>
      <w:lvlJc w:val="left"/>
      <w:pPr>
        <w:tabs>
          <w:tab w:val="num" w:pos="3600"/>
        </w:tabs>
        <w:ind w:left="3600" w:hanging="360"/>
      </w:pPr>
      <w:rPr>
        <w:rFonts w:ascii="Arial" w:hAnsi="Arial" w:hint="default"/>
      </w:rPr>
    </w:lvl>
    <w:lvl w:ilvl="5" w:tplc="266A12AA" w:tentative="1">
      <w:start w:val="1"/>
      <w:numFmt w:val="bullet"/>
      <w:lvlText w:val="•"/>
      <w:lvlJc w:val="left"/>
      <w:pPr>
        <w:tabs>
          <w:tab w:val="num" w:pos="4320"/>
        </w:tabs>
        <w:ind w:left="4320" w:hanging="360"/>
      </w:pPr>
      <w:rPr>
        <w:rFonts w:ascii="Arial" w:hAnsi="Arial" w:hint="default"/>
      </w:rPr>
    </w:lvl>
    <w:lvl w:ilvl="6" w:tplc="873EF3E8" w:tentative="1">
      <w:start w:val="1"/>
      <w:numFmt w:val="bullet"/>
      <w:lvlText w:val="•"/>
      <w:lvlJc w:val="left"/>
      <w:pPr>
        <w:tabs>
          <w:tab w:val="num" w:pos="5040"/>
        </w:tabs>
        <w:ind w:left="5040" w:hanging="360"/>
      </w:pPr>
      <w:rPr>
        <w:rFonts w:ascii="Arial" w:hAnsi="Arial" w:hint="default"/>
      </w:rPr>
    </w:lvl>
    <w:lvl w:ilvl="7" w:tplc="CA301BFE" w:tentative="1">
      <w:start w:val="1"/>
      <w:numFmt w:val="bullet"/>
      <w:lvlText w:val="•"/>
      <w:lvlJc w:val="left"/>
      <w:pPr>
        <w:tabs>
          <w:tab w:val="num" w:pos="5760"/>
        </w:tabs>
        <w:ind w:left="5760" w:hanging="360"/>
      </w:pPr>
      <w:rPr>
        <w:rFonts w:ascii="Arial" w:hAnsi="Arial" w:hint="default"/>
      </w:rPr>
    </w:lvl>
    <w:lvl w:ilvl="8" w:tplc="6A1668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B6070C"/>
    <w:multiLevelType w:val="hybridMultilevel"/>
    <w:tmpl w:val="00F06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CDF6501"/>
    <w:multiLevelType w:val="hybridMultilevel"/>
    <w:tmpl w:val="32B80C7A"/>
    <w:lvl w:ilvl="0" w:tplc="1CCC02F0">
      <w:start w:val="1"/>
      <w:numFmt w:val="bullet"/>
      <w:lvlText w:val="•"/>
      <w:lvlJc w:val="left"/>
      <w:pPr>
        <w:tabs>
          <w:tab w:val="num" w:pos="720"/>
        </w:tabs>
        <w:ind w:left="720" w:hanging="360"/>
      </w:pPr>
      <w:rPr>
        <w:rFonts w:ascii="Arial" w:hAnsi="Arial" w:hint="default"/>
      </w:rPr>
    </w:lvl>
    <w:lvl w:ilvl="1" w:tplc="321CCFEA" w:tentative="1">
      <w:start w:val="1"/>
      <w:numFmt w:val="bullet"/>
      <w:lvlText w:val="•"/>
      <w:lvlJc w:val="left"/>
      <w:pPr>
        <w:tabs>
          <w:tab w:val="num" w:pos="1440"/>
        </w:tabs>
        <w:ind w:left="1440" w:hanging="360"/>
      </w:pPr>
      <w:rPr>
        <w:rFonts w:ascii="Arial" w:hAnsi="Arial" w:hint="default"/>
      </w:rPr>
    </w:lvl>
    <w:lvl w:ilvl="2" w:tplc="BCC6888E" w:tentative="1">
      <w:start w:val="1"/>
      <w:numFmt w:val="bullet"/>
      <w:lvlText w:val="•"/>
      <w:lvlJc w:val="left"/>
      <w:pPr>
        <w:tabs>
          <w:tab w:val="num" w:pos="2160"/>
        </w:tabs>
        <w:ind w:left="2160" w:hanging="360"/>
      </w:pPr>
      <w:rPr>
        <w:rFonts w:ascii="Arial" w:hAnsi="Arial" w:hint="default"/>
      </w:rPr>
    </w:lvl>
    <w:lvl w:ilvl="3" w:tplc="435C91D0" w:tentative="1">
      <w:start w:val="1"/>
      <w:numFmt w:val="bullet"/>
      <w:lvlText w:val="•"/>
      <w:lvlJc w:val="left"/>
      <w:pPr>
        <w:tabs>
          <w:tab w:val="num" w:pos="2880"/>
        </w:tabs>
        <w:ind w:left="2880" w:hanging="360"/>
      </w:pPr>
      <w:rPr>
        <w:rFonts w:ascii="Arial" w:hAnsi="Arial" w:hint="default"/>
      </w:rPr>
    </w:lvl>
    <w:lvl w:ilvl="4" w:tplc="62AE44B2" w:tentative="1">
      <w:start w:val="1"/>
      <w:numFmt w:val="bullet"/>
      <w:lvlText w:val="•"/>
      <w:lvlJc w:val="left"/>
      <w:pPr>
        <w:tabs>
          <w:tab w:val="num" w:pos="3600"/>
        </w:tabs>
        <w:ind w:left="3600" w:hanging="360"/>
      </w:pPr>
      <w:rPr>
        <w:rFonts w:ascii="Arial" w:hAnsi="Arial" w:hint="default"/>
      </w:rPr>
    </w:lvl>
    <w:lvl w:ilvl="5" w:tplc="AF32B32C" w:tentative="1">
      <w:start w:val="1"/>
      <w:numFmt w:val="bullet"/>
      <w:lvlText w:val="•"/>
      <w:lvlJc w:val="left"/>
      <w:pPr>
        <w:tabs>
          <w:tab w:val="num" w:pos="4320"/>
        </w:tabs>
        <w:ind w:left="4320" w:hanging="360"/>
      </w:pPr>
      <w:rPr>
        <w:rFonts w:ascii="Arial" w:hAnsi="Arial" w:hint="default"/>
      </w:rPr>
    </w:lvl>
    <w:lvl w:ilvl="6" w:tplc="21A6655A" w:tentative="1">
      <w:start w:val="1"/>
      <w:numFmt w:val="bullet"/>
      <w:lvlText w:val="•"/>
      <w:lvlJc w:val="left"/>
      <w:pPr>
        <w:tabs>
          <w:tab w:val="num" w:pos="5040"/>
        </w:tabs>
        <w:ind w:left="5040" w:hanging="360"/>
      </w:pPr>
      <w:rPr>
        <w:rFonts w:ascii="Arial" w:hAnsi="Arial" w:hint="default"/>
      </w:rPr>
    </w:lvl>
    <w:lvl w:ilvl="7" w:tplc="9E824D32" w:tentative="1">
      <w:start w:val="1"/>
      <w:numFmt w:val="bullet"/>
      <w:lvlText w:val="•"/>
      <w:lvlJc w:val="left"/>
      <w:pPr>
        <w:tabs>
          <w:tab w:val="num" w:pos="5760"/>
        </w:tabs>
        <w:ind w:left="5760" w:hanging="360"/>
      </w:pPr>
      <w:rPr>
        <w:rFonts w:ascii="Arial" w:hAnsi="Arial" w:hint="default"/>
      </w:rPr>
    </w:lvl>
    <w:lvl w:ilvl="8" w:tplc="FD868F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F5129E"/>
    <w:multiLevelType w:val="hybridMultilevel"/>
    <w:tmpl w:val="C22A3C8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A2A7A42"/>
    <w:multiLevelType w:val="hybridMultilevel"/>
    <w:tmpl w:val="1B62FA1C"/>
    <w:lvl w:ilvl="0" w:tplc="C7C461C2">
      <w:start w:val="1"/>
      <w:numFmt w:val="bullet"/>
      <w:lvlText w:val="•"/>
      <w:lvlJc w:val="left"/>
      <w:pPr>
        <w:tabs>
          <w:tab w:val="num" w:pos="720"/>
        </w:tabs>
        <w:ind w:left="720" w:hanging="360"/>
      </w:pPr>
      <w:rPr>
        <w:rFonts w:ascii="Arial" w:hAnsi="Arial" w:hint="default"/>
      </w:rPr>
    </w:lvl>
    <w:lvl w:ilvl="1" w:tplc="C4E04416" w:tentative="1">
      <w:start w:val="1"/>
      <w:numFmt w:val="bullet"/>
      <w:lvlText w:val="•"/>
      <w:lvlJc w:val="left"/>
      <w:pPr>
        <w:tabs>
          <w:tab w:val="num" w:pos="1440"/>
        </w:tabs>
        <w:ind w:left="1440" w:hanging="360"/>
      </w:pPr>
      <w:rPr>
        <w:rFonts w:ascii="Arial" w:hAnsi="Arial" w:hint="default"/>
      </w:rPr>
    </w:lvl>
    <w:lvl w:ilvl="2" w:tplc="89BEA0AA" w:tentative="1">
      <w:start w:val="1"/>
      <w:numFmt w:val="bullet"/>
      <w:lvlText w:val="•"/>
      <w:lvlJc w:val="left"/>
      <w:pPr>
        <w:tabs>
          <w:tab w:val="num" w:pos="2160"/>
        </w:tabs>
        <w:ind w:left="2160" w:hanging="360"/>
      </w:pPr>
      <w:rPr>
        <w:rFonts w:ascii="Arial" w:hAnsi="Arial" w:hint="default"/>
      </w:rPr>
    </w:lvl>
    <w:lvl w:ilvl="3" w:tplc="30103610" w:tentative="1">
      <w:start w:val="1"/>
      <w:numFmt w:val="bullet"/>
      <w:lvlText w:val="•"/>
      <w:lvlJc w:val="left"/>
      <w:pPr>
        <w:tabs>
          <w:tab w:val="num" w:pos="2880"/>
        </w:tabs>
        <w:ind w:left="2880" w:hanging="360"/>
      </w:pPr>
      <w:rPr>
        <w:rFonts w:ascii="Arial" w:hAnsi="Arial" w:hint="default"/>
      </w:rPr>
    </w:lvl>
    <w:lvl w:ilvl="4" w:tplc="57526446" w:tentative="1">
      <w:start w:val="1"/>
      <w:numFmt w:val="bullet"/>
      <w:lvlText w:val="•"/>
      <w:lvlJc w:val="left"/>
      <w:pPr>
        <w:tabs>
          <w:tab w:val="num" w:pos="3600"/>
        </w:tabs>
        <w:ind w:left="3600" w:hanging="360"/>
      </w:pPr>
      <w:rPr>
        <w:rFonts w:ascii="Arial" w:hAnsi="Arial" w:hint="default"/>
      </w:rPr>
    </w:lvl>
    <w:lvl w:ilvl="5" w:tplc="3C84FBAC" w:tentative="1">
      <w:start w:val="1"/>
      <w:numFmt w:val="bullet"/>
      <w:lvlText w:val="•"/>
      <w:lvlJc w:val="left"/>
      <w:pPr>
        <w:tabs>
          <w:tab w:val="num" w:pos="4320"/>
        </w:tabs>
        <w:ind w:left="4320" w:hanging="360"/>
      </w:pPr>
      <w:rPr>
        <w:rFonts w:ascii="Arial" w:hAnsi="Arial" w:hint="default"/>
      </w:rPr>
    </w:lvl>
    <w:lvl w:ilvl="6" w:tplc="BEFC393E" w:tentative="1">
      <w:start w:val="1"/>
      <w:numFmt w:val="bullet"/>
      <w:lvlText w:val="•"/>
      <w:lvlJc w:val="left"/>
      <w:pPr>
        <w:tabs>
          <w:tab w:val="num" w:pos="5040"/>
        </w:tabs>
        <w:ind w:left="5040" w:hanging="360"/>
      </w:pPr>
      <w:rPr>
        <w:rFonts w:ascii="Arial" w:hAnsi="Arial" w:hint="default"/>
      </w:rPr>
    </w:lvl>
    <w:lvl w:ilvl="7" w:tplc="75F49E4A" w:tentative="1">
      <w:start w:val="1"/>
      <w:numFmt w:val="bullet"/>
      <w:lvlText w:val="•"/>
      <w:lvlJc w:val="left"/>
      <w:pPr>
        <w:tabs>
          <w:tab w:val="num" w:pos="5760"/>
        </w:tabs>
        <w:ind w:left="5760" w:hanging="360"/>
      </w:pPr>
      <w:rPr>
        <w:rFonts w:ascii="Arial" w:hAnsi="Arial" w:hint="default"/>
      </w:rPr>
    </w:lvl>
    <w:lvl w:ilvl="8" w:tplc="21E0DAE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3"/>
  </w:num>
  <w:num w:numId="3">
    <w:abstractNumId w:val="10"/>
  </w:num>
  <w:num w:numId="4">
    <w:abstractNumId w:val="8"/>
  </w:num>
  <w:num w:numId="5">
    <w:abstractNumId w:val="19"/>
  </w:num>
  <w:num w:numId="6">
    <w:abstractNumId w:val="0"/>
  </w:num>
  <w:num w:numId="7">
    <w:abstractNumId w:val="1"/>
  </w:num>
  <w:num w:numId="8">
    <w:abstractNumId w:val="17"/>
  </w:num>
  <w:num w:numId="9">
    <w:abstractNumId w:val="15"/>
  </w:num>
  <w:num w:numId="10">
    <w:abstractNumId w:val="7"/>
  </w:num>
  <w:num w:numId="11">
    <w:abstractNumId w:val="12"/>
  </w:num>
  <w:num w:numId="12">
    <w:abstractNumId w:val="9"/>
  </w:num>
  <w:num w:numId="13">
    <w:abstractNumId w:val="3"/>
  </w:num>
  <w:num w:numId="14">
    <w:abstractNumId w:val="18"/>
  </w:num>
  <w:num w:numId="15">
    <w:abstractNumId w:val="14"/>
  </w:num>
  <w:num w:numId="16">
    <w:abstractNumId w:val="2"/>
  </w:num>
  <w:num w:numId="17">
    <w:abstractNumId w:val="16"/>
  </w:num>
  <w:num w:numId="18">
    <w:abstractNumId w:val="11"/>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7B"/>
    <w:rsid w:val="00056D14"/>
    <w:rsid w:val="000600E0"/>
    <w:rsid w:val="00084D88"/>
    <w:rsid w:val="001D2CC1"/>
    <w:rsid w:val="001D5DB7"/>
    <w:rsid w:val="001E2400"/>
    <w:rsid w:val="0025181C"/>
    <w:rsid w:val="002519ED"/>
    <w:rsid w:val="0025455B"/>
    <w:rsid w:val="002A6EDB"/>
    <w:rsid w:val="002E6080"/>
    <w:rsid w:val="0033777A"/>
    <w:rsid w:val="00353399"/>
    <w:rsid w:val="00372444"/>
    <w:rsid w:val="003A38F4"/>
    <w:rsid w:val="0040335A"/>
    <w:rsid w:val="005023E7"/>
    <w:rsid w:val="00503D36"/>
    <w:rsid w:val="00512053"/>
    <w:rsid w:val="005453AF"/>
    <w:rsid w:val="0060130C"/>
    <w:rsid w:val="00601DD8"/>
    <w:rsid w:val="00605A2A"/>
    <w:rsid w:val="006B20E9"/>
    <w:rsid w:val="006D638F"/>
    <w:rsid w:val="00771620"/>
    <w:rsid w:val="007927D5"/>
    <w:rsid w:val="007F01E3"/>
    <w:rsid w:val="00820C50"/>
    <w:rsid w:val="008F0A8C"/>
    <w:rsid w:val="009B6926"/>
    <w:rsid w:val="009E6E04"/>
    <w:rsid w:val="00A36830"/>
    <w:rsid w:val="00A57508"/>
    <w:rsid w:val="00A839F6"/>
    <w:rsid w:val="00B3115E"/>
    <w:rsid w:val="00BA0597"/>
    <w:rsid w:val="00BF042F"/>
    <w:rsid w:val="00C07832"/>
    <w:rsid w:val="00C51B0B"/>
    <w:rsid w:val="00C62B52"/>
    <w:rsid w:val="00C704BF"/>
    <w:rsid w:val="00CF52FE"/>
    <w:rsid w:val="00D26410"/>
    <w:rsid w:val="00D92E0D"/>
    <w:rsid w:val="00E0377D"/>
    <w:rsid w:val="00E1637A"/>
    <w:rsid w:val="00E47243"/>
    <w:rsid w:val="00E50D97"/>
    <w:rsid w:val="00E618FF"/>
    <w:rsid w:val="00E7377B"/>
    <w:rsid w:val="00E75061"/>
    <w:rsid w:val="00E95FFA"/>
    <w:rsid w:val="00EA7783"/>
    <w:rsid w:val="00F455C8"/>
    <w:rsid w:val="00F82510"/>
    <w:rsid w:val="00FA5870"/>
    <w:rsid w:val="00FC49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C0FC0"/>
  <w15:chartTrackingRefBased/>
  <w15:docId w15:val="{93DFA9BB-02B0-423F-8427-0A9A9D8A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numbering" w:customStyle="1" w:styleId="NoList1">
    <w:name w:val="No List1"/>
    <w:next w:val="NoList"/>
    <w:uiPriority w:val="99"/>
    <w:semiHidden/>
    <w:unhideWhenUsed/>
    <w:rsid w:val="002A6EDB"/>
  </w:style>
  <w:style w:type="table" w:customStyle="1" w:styleId="TableGrid1">
    <w:name w:val="Table Grid1"/>
    <w:basedOn w:val="TableNormal"/>
    <w:next w:val="TableGrid"/>
    <w:uiPriority w:val="59"/>
    <w:rsid w:val="002A6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2A6EDB"/>
    <w:rPr>
      <w:color w:val="0000FF"/>
      <w:u w:val="single"/>
    </w:rPr>
  </w:style>
  <w:style w:type="character" w:styleId="FollowedHyperlink">
    <w:name w:val="FollowedHyperlink"/>
    <w:basedOn w:val="DefaultParagraphFont"/>
    <w:uiPriority w:val="99"/>
    <w:semiHidden/>
    <w:unhideWhenUsed/>
    <w:rsid w:val="002A6EDB"/>
    <w:rPr>
      <w:color w:val="800080"/>
      <w:u w:val="single"/>
    </w:rPr>
  </w:style>
  <w:style w:type="character" w:customStyle="1" w:styleId="oj-super">
    <w:name w:val="oj-super"/>
    <w:basedOn w:val="DefaultParagraphFont"/>
    <w:rsid w:val="002A6EDB"/>
  </w:style>
  <w:style w:type="character" w:customStyle="1" w:styleId="oj-italic">
    <w:name w:val="oj-italic"/>
    <w:basedOn w:val="DefaultParagraphFont"/>
    <w:rsid w:val="002A6EDB"/>
  </w:style>
  <w:style w:type="paragraph" w:customStyle="1" w:styleId="oj-ti-section-1">
    <w:name w:val="oj-ti-section-1"/>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2A6EDB"/>
  </w:style>
  <w:style w:type="character" w:customStyle="1" w:styleId="oj-bold">
    <w:name w:val="oj-bold"/>
    <w:basedOn w:val="DefaultParagraphFont"/>
    <w:rsid w:val="002A6EDB"/>
  </w:style>
  <w:style w:type="paragraph" w:customStyle="1" w:styleId="oj-separator">
    <w:name w:val="oj-separator"/>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2A6ED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715">
      <w:bodyDiv w:val="1"/>
      <w:marLeft w:val="0"/>
      <w:marRight w:val="0"/>
      <w:marTop w:val="0"/>
      <w:marBottom w:val="0"/>
      <w:divBdr>
        <w:top w:val="none" w:sz="0" w:space="0" w:color="auto"/>
        <w:left w:val="none" w:sz="0" w:space="0" w:color="auto"/>
        <w:bottom w:val="none" w:sz="0" w:space="0" w:color="auto"/>
        <w:right w:val="none" w:sz="0" w:space="0" w:color="auto"/>
      </w:divBdr>
      <w:divsChild>
        <w:div w:id="687290728">
          <w:marLeft w:val="360"/>
          <w:marRight w:val="0"/>
          <w:marTop w:val="0"/>
          <w:marBottom w:val="160"/>
          <w:divBdr>
            <w:top w:val="none" w:sz="0" w:space="0" w:color="auto"/>
            <w:left w:val="none" w:sz="0" w:space="0" w:color="auto"/>
            <w:bottom w:val="none" w:sz="0" w:space="0" w:color="auto"/>
            <w:right w:val="none" w:sz="0" w:space="0" w:color="auto"/>
          </w:divBdr>
        </w:div>
        <w:div w:id="248662785">
          <w:marLeft w:val="360"/>
          <w:marRight w:val="0"/>
          <w:marTop w:val="0"/>
          <w:marBottom w:val="160"/>
          <w:divBdr>
            <w:top w:val="none" w:sz="0" w:space="0" w:color="auto"/>
            <w:left w:val="none" w:sz="0" w:space="0" w:color="auto"/>
            <w:bottom w:val="none" w:sz="0" w:space="0" w:color="auto"/>
            <w:right w:val="none" w:sz="0" w:space="0" w:color="auto"/>
          </w:divBdr>
        </w:div>
      </w:divsChild>
    </w:div>
    <w:div w:id="152766515">
      <w:bodyDiv w:val="1"/>
      <w:marLeft w:val="0"/>
      <w:marRight w:val="0"/>
      <w:marTop w:val="0"/>
      <w:marBottom w:val="0"/>
      <w:divBdr>
        <w:top w:val="none" w:sz="0" w:space="0" w:color="auto"/>
        <w:left w:val="none" w:sz="0" w:space="0" w:color="auto"/>
        <w:bottom w:val="none" w:sz="0" w:space="0" w:color="auto"/>
        <w:right w:val="none" w:sz="0" w:space="0" w:color="auto"/>
      </w:divBdr>
      <w:divsChild>
        <w:div w:id="1517378110">
          <w:marLeft w:val="446"/>
          <w:marRight w:val="0"/>
          <w:marTop w:val="0"/>
          <w:marBottom w:val="0"/>
          <w:divBdr>
            <w:top w:val="none" w:sz="0" w:space="0" w:color="auto"/>
            <w:left w:val="none" w:sz="0" w:space="0" w:color="auto"/>
            <w:bottom w:val="none" w:sz="0" w:space="0" w:color="auto"/>
            <w:right w:val="none" w:sz="0" w:space="0" w:color="auto"/>
          </w:divBdr>
        </w:div>
        <w:div w:id="738330038">
          <w:marLeft w:val="446"/>
          <w:marRight w:val="0"/>
          <w:marTop w:val="0"/>
          <w:marBottom w:val="0"/>
          <w:divBdr>
            <w:top w:val="none" w:sz="0" w:space="0" w:color="auto"/>
            <w:left w:val="none" w:sz="0" w:space="0" w:color="auto"/>
            <w:bottom w:val="none" w:sz="0" w:space="0" w:color="auto"/>
            <w:right w:val="none" w:sz="0" w:space="0" w:color="auto"/>
          </w:divBdr>
        </w:div>
        <w:div w:id="1693190097">
          <w:marLeft w:val="446"/>
          <w:marRight w:val="0"/>
          <w:marTop w:val="0"/>
          <w:marBottom w:val="0"/>
          <w:divBdr>
            <w:top w:val="none" w:sz="0" w:space="0" w:color="auto"/>
            <w:left w:val="none" w:sz="0" w:space="0" w:color="auto"/>
            <w:bottom w:val="none" w:sz="0" w:space="0" w:color="auto"/>
            <w:right w:val="none" w:sz="0" w:space="0" w:color="auto"/>
          </w:divBdr>
        </w:div>
        <w:div w:id="1842816842">
          <w:marLeft w:val="446"/>
          <w:marRight w:val="0"/>
          <w:marTop w:val="0"/>
          <w:marBottom w:val="0"/>
          <w:divBdr>
            <w:top w:val="none" w:sz="0" w:space="0" w:color="auto"/>
            <w:left w:val="none" w:sz="0" w:space="0" w:color="auto"/>
            <w:bottom w:val="none" w:sz="0" w:space="0" w:color="auto"/>
            <w:right w:val="none" w:sz="0" w:space="0" w:color="auto"/>
          </w:divBdr>
        </w:div>
        <w:div w:id="1123377796">
          <w:marLeft w:val="446"/>
          <w:marRight w:val="0"/>
          <w:marTop w:val="0"/>
          <w:marBottom w:val="0"/>
          <w:divBdr>
            <w:top w:val="none" w:sz="0" w:space="0" w:color="auto"/>
            <w:left w:val="none" w:sz="0" w:space="0" w:color="auto"/>
            <w:bottom w:val="none" w:sz="0" w:space="0" w:color="auto"/>
            <w:right w:val="none" w:sz="0" w:space="0" w:color="auto"/>
          </w:divBdr>
        </w:div>
        <w:div w:id="217016444">
          <w:marLeft w:val="446"/>
          <w:marRight w:val="0"/>
          <w:marTop w:val="0"/>
          <w:marBottom w:val="0"/>
          <w:divBdr>
            <w:top w:val="none" w:sz="0" w:space="0" w:color="auto"/>
            <w:left w:val="none" w:sz="0" w:space="0" w:color="auto"/>
            <w:bottom w:val="none" w:sz="0" w:space="0" w:color="auto"/>
            <w:right w:val="none" w:sz="0" w:space="0" w:color="auto"/>
          </w:divBdr>
        </w:div>
      </w:divsChild>
    </w:div>
    <w:div w:id="329409152">
      <w:bodyDiv w:val="1"/>
      <w:marLeft w:val="0"/>
      <w:marRight w:val="0"/>
      <w:marTop w:val="0"/>
      <w:marBottom w:val="0"/>
      <w:divBdr>
        <w:top w:val="none" w:sz="0" w:space="0" w:color="auto"/>
        <w:left w:val="none" w:sz="0" w:space="0" w:color="auto"/>
        <w:bottom w:val="none" w:sz="0" w:space="0" w:color="auto"/>
        <w:right w:val="none" w:sz="0" w:space="0" w:color="auto"/>
      </w:divBdr>
      <w:divsChild>
        <w:div w:id="1706632596">
          <w:marLeft w:val="360"/>
          <w:marRight w:val="0"/>
          <w:marTop w:val="0"/>
          <w:marBottom w:val="160"/>
          <w:divBdr>
            <w:top w:val="none" w:sz="0" w:space="0" w:color="auto"/>
            <w:left w:val="none" w:sz="0" w:space="0" w:color="auto"/>
            <w:bottom w:val="none" w:sz="0" w:space="0" w:color="auto"/>
            <w:right w:val="none" w:sz="0" w:space="0" w:color="auto"/>
          </w:divBdr>
        </w:div>
        <w:div w:id="571936326">
          <w:marLeft w:val="360"/>
          <w:marRight w:val="0"/>
          <w:marTop w:val="0"/>
          <w:marBottom w:val="160"/>
          <w:divBdr>
            <w:top w:val="none" w:sz="0" w:space="0" w:color="auto"/>
            <w:left w:val="none" w:sz="0" w:space="0" w:color="auto"/>
            <w:bottom w:val="none" w:sz="0" w:space="0" w:color="auto"/>
            <w:right w:val="none" w:sz="0" w:space="0" w:color="auto"/>
          </w:divBdr>
        </w:div>
      </w:divsChild>
    </w:div>
    <w:div w:id="484396123">
      <w:bodyDiv w:val="1"/>
      <w:marLeft w:val="0"/>
      <w:marRight w:val="0"/>
      <w:marTop w:val="0"/>
      <w:marBottom w:val="0"/>
      <w:divBdr>
        <w:top w:val="none" w:sz="0" w:space="0" w:color="auto"/>
        <w:left w:val="none" w:sz="0" w:space="0" w:color="auto"/>
        <w:bottom w:val="none" w:sz="0" w:space="0" w:color="auto"/>
        <w:right w:val="none" w:sz="0" w:space="0" w:color="auto"/>
      </w:divBdr>
      <w:divsChild>
        <w:div w:id="1048260242">
          <w:marLeft w:val="360"/>
          <w:marRight w:val="0"/>
          <w:marTop w:val="0"/>
          <w:marBottom w:val="160"/>
          <w:divBdr>
            <w:top w:val="none" w:sz="0" w:space="0" w:color="auto"/>
            <w:left w:val="none" w:sz="0" w:space="0" w:color="auto"/>
            <w:bottom w:val="none" w:sz="0" w:space="0" w:color="auto"/>
            <w:right w:val="none" w:sz="0" w:space="0" w:color="auto"/>
          </w:divBdr>
        </w:div>
      </w:divsChild>
    </w:div>
    <w:div w:id="484711195">
      <w:bodyDiv w:val="1"/>
      <w:marLeft w:val="0"/>
      <w:marRight w:val="0"/>
      <w:marTop w:val="0"/>
      <w:marBottom w:val="0"/>
      <w:divBdr>
        <w:top w:val="none" w:sz="0" w:space="0" w:color="auto"/>
        <w:left w:val="none" w:sz="0" w:space="0" w:color="auto"/>
        <w:bottom w:val="none" w:sz="0" w:space="0" w:color="auto"/>
        <w:right w:val="none" w:sz="0" w:space="0" w:color="auto"/>
      </w:divBdr>
    </w:div>
    <w:div w:id="542134890">
      <w:bodyDiv w:val="1"/>
      <w:marLeft w:val="0"/>
      <w:marRight w:val="0"/>
      <w:marTop w:val="0"/>
      <w:marBottom w:val="0"/>
      <w:divBdr>
        <w:top w:val="none" w:sz="0" w:space="0" w:color="auto"/>
        <w:left w:val="none" w:sz="0" w:space="0" w:color="auto"/>
        <w:bottom w:val="none" w:sz="0" w:space="0" w:color="auto"/>
        <w:right w:val="none" w:sz="0" w:space="0" w:color="auto"/>
      </w:divBdr>
      <w:divsChild>
        <w:div w:id="1466924562">
          <w:marLeft w:val="360"/>
          <w:marRight w:val="0"/>
          <w:marTop w:val="0"/>
          <w:marBottom w:val="160"/>
          <w:divBdr>
            <w:top w:val="none" w:sz="0" w:space="0" w:color="auto"/>
            <w:left w:val="none" w:sz="0" w:space="0" w:color="auto"/>
            <w:bottom w:val="none" w:sz="0" w:space="0" w:color="auto"/>
            <w:right w:val="none" w:sz="0" w:space="0" w:color="auto"/>
          </w:divBdr>
        </w:div>
      </w:divsChild>
    </w:div>
    <w:div w:id="556598473">
      <w:bodyDiv w:val="1"/>
      <w:marLeft w:val="0"/>
      <w:marRight w:val="0"/>
      <w:marTop w:val="0"/>
      <w:marBottom w:val="0"/>
      <w:divBdr>
        <w:top w:val="none" w:sz="0" w:space="0" w:color="auto"/>
        <w:left w:val="none" w:sz="0" w:space="0" w:color="auto"/>
        <w:bottom w:val="none" w:sz="0" w:space="0" w:color="auto"/>
        <w:right w:val="none" w:sz="0" w:space="0" w:color="auto"/>
      </w:divBdr>
      <w:divsChild>
        <w:div w:id="397018398">
          <w:marLeft w:val="360"/>
          <w:marRight w:val="0"/>
          <w:marTop w:val="0"/>
          <w:marBottom w:val="160"/>
          <w:divBdr>
            <w:top w:val="none" w:sz="0" w:space="0" w:color="auto"/>
            <w:left w:val="none" w:sz="0" w:space="0" w:color="auto"/>
            <w:bottom w:val="none" w:sz="0" w:space="0" w:color="auto"/>
            <w:right w:val="none" w:sz="0" w:space="0" w:color="auto"/>
          </w:divBdr>
        </w:div>
        <w:div w:id="2068185796">
          <w:marLeft w:val="360"/>
          <w:marRight w:val="0"/>
          <w:marTop w:val="0"/>
          <w:marBottom w:val="160"/>
          <w:divBdr>
            <w:top w:val="none" w:sz="0" w:space="0" w:color="auto"/>
            <w:left w:val="none" w:sz="0" w:space="0" w:color="auto"/>
            <w:bottom w:val="none" w:sz="0" w:space="0" w:color="auto"/>
            <w:right w:val="none" w:sz="0" w:space="0" w:color="auto"/>
          </w:divBdr>
        </w:div>
        <w:div w:id="821889232">
          <w:marLeft w:val="360"/>
          <w:marRight w:val="0"/>
          <w:marTop w:val="0"/>
          <w:marBottom w:val="160"/>
          <w:divBdr>
            <w:top w:val="none" w:sz="0" w:space="0" w:color="auto"/>
            <w:left w:val="none" w:sz="0" w:space="0" w:color="auto"/>
            <w:bottom w:val="none" w:sz="0" w:space="0" w:color="auto"/>
            <w:right w:val="none" w:sz="0" w:space="0" w:color="auto"/>
          </w:divBdr>
        </w:div>
      </w:divsChild>
    </w:div>
    <w:div w:id="1212306753">
      <w:bodyDiv w:val="1"/>
      <w:marLeft w:val="0"/>
      <w:marRight w:val="0"/>
      <w:marTop w:val="0"/>
      <w:marBottom w:val="0"/>
      <w:divBdr>
        <w:top w:val="none" w:sz="0" w:space="0" w:color="auto"/>
        <w:left w:val="none" w:sz="0" w:space="0" w:color="auto"/>
        <w:bottom w:val="none" w:sz="0" w:space="0" w:color="auto"/>
        <w:right w:val="none" w:sz="0" w:space="0" w:color="auto"/>
      </w:divBdr>
      <w:divsChild>
        <w:div w:id="74018750">
          <w:marLeft w:val="360"/>
          <w:marRight w:val="0"/>
          <w:marTop w:val="0"/>
          <w:marBottom w:val="160"/>
          <w:divBdr>
            <w:top w:val="none" w:sz="0" w:space="0" w:color="auto"/>
            <w:left w:val="none" w:sz="0" w:space="0" w:color="auto"/>
            <w:bottom w:val="none" w:sz="0" w:space="0" w:color="auto"/>
            <w:right w:val="none" w:sz="0" w:space="0" w:color="auto"/>
          </w:divBdr>
        </w:div>
        <w:div w:id="98841108">
          <w:marLeft w:val="360"/>
          <w:marRight w:val="0"/>
          <w:marTop w:val="0"/>
          <w:marBottom w:val="160"/>
          <w:divBdr>
            <w:top w:val="none" w:sz="0" w:space="0" w:color="auto"/>
            <w:left w:val="none" w:sz="0" w:space="0" w:color="auto"/>
            <w:bottom w:val="none" w:sz="0" w:space="0" w:color="auto"/>
            <w:right w:val="none" w:sz="0" w:space="0" w:color="auto"/>
          </w:divBdr>
        </w:div>
      </w:divsChild>
    </w:div>
    <w:div w:id="1588272210">
      <w:bodyDiv w:val="1"/>
      <w:marLeft w:val="0"/>
      <w:marRight w:val="0"/>
      <w:marTop w:val="0"/>
      <w:marBottom w:val="0"/>
      <w:divBdr>
        <w:top w:val="none" w:sz="0" w:space="0" w:color="auto"/>
        <w:left w:val="none" w:sz="0" w:space="0" w:color="auto"/>
        <w:bottom w:val="none" w:sz="0" w:space="0" w:color="auto"/>
        <w:right w:val="none" w:sz="0" w:space="0" w:color="auto"/>
      </w:divBdr>
      <w:divsChild>
        <w:div w:id="1981687643">
          <w:marLeft w:val="446"/>
          <w:marRight w:val="0"/>
          <w:marTop w:val="0"/>
          <w:marBottom w:val="0"/>
          <w:divBdr>
            <w:top w:val="none" w:sz="0" w:space="0" w:color="auto"/>
            <w:left w:val="none" w:sz="0" w:space="0" w:color="auto"/>
            <w:bottom w:val="none" w:sz="0" w:space="0" w:color="auto"/>
            <w:right w:val="none" w:sz="0" w:space="0" w:color="auto"/>
          </w:divBdr>
        </w:div>
        <w:div w:id="514539937">
          <w:marLeft w:val="446"/>
          <w:marRight w:val="0"/>
          <w:marTop w:val="0"/>
          <w:marBottom w:val="0"/>
          <w:divBdr>
            <w:top w:val="none" w:sz="0" w:space="0" w:color="auto"/>
            <w:left w:val="none" w:sz="0" w:space="0" w:color="auto"/>
            <w:bottom w:val="none" w:sz="0" w:space="0" w:color="auto"/>
            <w:right w:val="none" w:sz="0" w:space="0" w:color="auto"/>
          </w:divBdr>
        </w:div>
      </w:divsChild>
    </w:div>
    <w:div w:id="1908416874">
      <w:bodyDiv w:val="1"/>
      <w:marLeft w:val="0"/>
      <w:marRight w:val="0"/>
      <w:marTop w:val="0"/>
      <w:marBottom w:val="0"/>
      <w:divBdr>
        <w:top w:val="none" w:sz="0" w:space="0" w:color="auto"/>
        <w:left w:val="none" w:sz="0" w:space="0" w:color="auto"/>
        <w:bottom w:val="none" w:sz="0" w:space="0" w:color="auto"/>
        <w:right w:val="none" w:sz="0" w:space="0" w:color="auto"/>
      </w:divBdr>
      <w:divsChild>
        <w:div w:id="2022270276">
          <w:marLeft w:val="360"/>
          <w:marRight w:val="0"/>
          <w:marTop w:val="0"/>
          <w:marBottom w:val="160"/>
          <w:divBdr>
            <w:top w:val="none" w:sz="0" w:space="0" w:color="auto"/>
            <w:left w:val="none" w:sz="0" w:space="0" w:color="auto"/>
            <w:bottom w:val="none" w:sz="0" w:space="0" w:color="auto"/>
            <w:right w:val="none" w:sz="0" w:space="0" w:color="auto"/>
          </w:divBdr>
        </w:div>
        <w:div w:id="1433628449">
          <w:marLeft w:val="821"/>
          <w:marRight w:val="0"/>
          <w:marTop w:val="0"/>
          <w:marBottom w:val="160"/>
          <w:divBdr>
            <w:top w:val="none" w:sz="0" w:space="0" w:color="auto"/>
            <w:left w:val="none" w:sz="0" w:space="0" w:color="auto"/>
            <w:bottom w:val="none" w:sz="0" w:space="0" w:color="auto"/>
            <w:right w:val="none" w:sz="0" w:space="0" w:color="auto"/>
          </w:divBdr>
        </w:div>
        <w:div w:id="988897586">
          <w:marLeft w:val="821"/>
          <w:marRight w:val="0"/>
          <w:marTop w:val="0"/>
          <w:marBottom w:val="160"/>
          <w:divBdr>
            <w:top w:val="none" w:sz="0" w:space="0" w:color="auto"/>
            <w:left w:val="none" w:sz="0" w:space="0" w:color="auto"/>
            <w:bottom w:val="none" w:sz="0" w:space="0" w:color="auto"/>
            <w:right w:val="none" w:sz="0" w:space="0" w:color="auto"/>
          </w:divBdr>
        </w:div>
        <w:div w:id="674000143">
          <w:marLeft w:val="821"/>
          <w:marRight w:val="0"/>
          <w:marTop w:val="0"/>
          <w:marBottom w:val="0"/>
          <w:divBdr>
            <w:top w:val="none" w:sz="0" w:space="0" w:color="auto"/>
            <w:left w:val="none" w:sz="0" w:space="0" w:color="auto"/>
            <w:bottom w:val="none" w:sz="0" w:space="0" w:color="auto"/>
            <w:right w:val="none" w:sz="0" w:space="0" w:color="auto"/>
          </w:divBdr>
        </w:div>
      </w:divsChild>
    </w:div>
    <w:div w:id="2136215783">
      <w:bodyDiv w:val="1"/>
      <w:marLeft w:val="0"/>
      <w:marRight w:val="0"/>
      <w:marTop w:val="0"/>
      <w:marBottom w:val="0"/>
      <w:divBdr>
        <w:top w:val="none" w:sz="0" w:space="0" w:color="auto"/>
        <w:left w:val="none" w:sz="0" w:space="0" w:color="auto"/>
        <w:bottom w:val="none" w:sz="0" w:space="0" w:color="auto"/>
        <w:right w:val="none" w:sz="0" w:space="0" w:color="auto"/>
      </w:divBdr>
      <w:divsChild>
        <w:div w:id="607397621">
          <w:marLeft w:val="547"/>
          <w:marRight w:val="0"/>
          <w:marTop w:val="0"/>
          <w:marBottom w:val="0"/>
          <w:divBdr>
            <w:top w:val="none" w:sz="0" w:space="0" w:color="auto"/>
            <w:left w:val="none" w:sz="0" w:space="0" w:color="auto"/>
            <w:bottom w:val="none" w:sz="0" w:space="0" w:color="auto"/>
            <w:right w:val="none" w:sz="0" w:space="0" w:color="auto"/>
          </w:divBdr>
        </w:div>
        <w:div w:id="1080299112">
          <w:marLeft w:val="547"/>
          <w:marRight w:val="0"/>
          <w:marTop w:val="0"/>
          <w:marBottom w:val="0"/>
          <w:divBdr>
            <w:top w:val="none" w:sz="0" w:space="0" w:color="auto"/>
            <w:left w:val="none" w:sz="0" w:space="0" w:color="auto"/>
            <w:bottom w:val="none" w:sz="0" w:space="0" w:color="auto"/>
            <w:right w:val="none" w:sz="0" w:space="0" w:color="auto"/>
          </w:divBdr>
        </w:div>
        <w:div w:id="1730613340">
          <w:marLeft w:val="547"/>
          <w:marRight w:val="0"/>
          <w:marTop w:val="0"/>
          <w:marBottom w:val="0"/>
          <w:divBdr>
            <w:top w:val="none" w:sz="0" w:space="0" w:color="auto"/>
            <w:left w:val="none" w:sz="0" w:space="0" w:color="auto"/>
            <w:bottom w:val="none" w:sz="0" w:space="0" w:color="auto"/>
            <w:right w:val="none" w:sz="0" w:space="0" w:color="auto"/>
          </w:divBdr>
        </w:div>
        <w:div w:id="1462920561">
          <w:marLeft w:val="547"/>
          <w:marRight w:val="0"/>
          <w:marTop w:val="0"/>
          <w:marBottom w:val="0"/>
          <w:divBdr>
            <w:top w:val="none" w:sz="0" w:space="0" w:color="auto"/>
            <w:left w:val="none" w:sz="0" w:space="0" w:color="auto"/>
            <w:bottom w:val="none" w:sz="0" w:space="0" w:color="auto"/>
            <w:right w:val="none" w:sz="0" w:space="0" w:color="auto"/>
          </w:divBdr>
        </w:div>
        <w:div w:id="721951169">
          <w:marLeft w:val="979"/>
          <w:marRight w:val="0"/>
          <w:marTop w:val="0"/>
          <w:marBottom w:val="0"/>
          <w:divBdr>
            <w:top w:val="none" w:sz="0" w:space="0" w:color="auto"/>
            <w:left w:val="none" w:sz="0" w:space="0" w:color="auto"/>
            <w:bottom w:val="none" w:sz="0" w:space="0" w:color="auto"/>
            <w:right w:val="none" w:sz="0" w:space="0" w:color="auto"/>
          </w:divBdr>
        </w:div>
        <w:div w:id="413625892">
          <w:marLeft w:val="979"/>
          <w:marRight w:val="0"/>
          <w:marTop w:val="0"/>
          <w:marBottom w:val="0"/>
          <w:divBdr>
            <w:top w:val="none" w:sz="0" w:space="0" w:color="auto"/>
            <w:left w:val="none" w:sz="0" w:space="0" w:color="auto"/>
            <w:bottom w:val="none" w:sz="0" w:space="0" w:color="auto"/>
            <w:right w:val="none" w:sz="0" w:space="0" w:color="auto"/>
          </w:divBdr>
        </w:div>
        <w:div w:id="354967604">
          <w:marLeft w:val="979"/>
          <w:marRight w:val="0"/>
          <w:marTop w:val="0"/>
          <w:marBottom w:val="0"/>
          <w:divBdr>
            <w:top w:val="none" w:sz="0" w:space="0" w:color="auto"/>
            <w:left w:val="none" w:sz="0" w:space="0" w:color="auto"/>
            <w:bottom w:val="none" w:sz="0" w:space="0" w:color="auto"/>
            <w:right w:val="none" w:sz="0" w:space="0" w:color="auto"/>
          </w:divBdr>
        </w:div>
        <w:div w:id="746849945">
          <w:marLeft w:val="979"/>
          <w:marRight w:val="0"/>
          <w:marTop w:val="0"/>
          <w:marBottom w:val="0"/>
          <w:divBdr>
            <w:top w:val="none" w:sz="0" w:space="0" w:color="auto"/>
            <w:left w:val="none" w:sz="0" w:space="0" w:color="auto"/>
            <w:bottom w:val="none" w:sz="0" w:space="0" w:color="auto"/>
            <w:right w:val="none" w:sz="0" w:space="0" w:color="auto"/>
          </w:divBdr>
        </w:div>
        <w:div w:id="2103184984">
          <w:marLeft w:val="979"/>
          <w:marRight w:val="0"/>
          <w:marTop w:val="0"/>
          <w:marBottom w:val="0"/>
          <w:divBdr>
            <w:top w:val="none" w:sz="0" w:space="0" w:color="auto"/>
            <w:left w:val="none" w:sz="0" w:space="0" w:color="auto"/>
            <w:bottom w:val="none" w:sz="0" w:space="0" w:color="auto"/>
            <w:right w:val="none" w:sz="0" w:space="0" w:color="auto"/>
          </w:divBdr>
        </w:div>
        <w:div w:id="2064862977">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TXT/HTML/?uri=CELEX:32021R0241&amp;from=BG" TargetMode="External"/><Relationship Id="rId18" Type="http://schemas.openxmlformats.org/officeDocument/2006/relationships/hyperlink" Target="https://eur-lex.europa.eu/legal-content/BG/TXT/HTML/?uri=CELEX:32021R0241&amp;from=BG" TargetMode="External"/><Relationship Id="rId26" Type="http://schemas.openxmlformats.org/officeDocument/2006/relationships/hyperlink" Target="https://eur-lex.europa.eu/legal-content/BG/TXT/HTML/?uri=CELEX:32021R0241&amp;from=BG" TargetMode="External"/><Relationship Id="rId39" Type="http://schemas.openxmlformats.org/officeDocument/2006/relationships/hyperlink" Target="https://eur-lex.europa.eu/legal-content/BG/TXT/HTML/?uri=CELEX:32021R0241&amp;from=BG" TargetMode="External"/><Relationship Id="rId21" Type="http://schemas.openxmlformats.org/officeDocument/2006/relationships/hyperlink" Target="https://eur-lex.europa.eu/legal-content/BG/TXT/HTML/?uri=CELEX:32021R0241&amp;from=BG" TargetMode="External"/><Relationship Id="rId34" Type="http://schemas.openxmlformats.org/officeDocument/2006/relationships/hyperlink" Target="https://eur-lex.europa.eu/legal-content/BG/TXT/HTML/?uri=CELEX:32021R0241&amp;from=BG" TargetMode="External"/><Relationship Id="rId42" Type="http://schemas.openxmlformats.org/officeDocument/2006/relationships/hyperlink" Target="https://eur-lex.europa.eu/legal-content/BG/TXT/HTML/?uri=CELEX:32021R0241&amp;from=BG" TargetMode="External"/><Relationship Id="rId47" Type="http://schemas.openxmlformats.org/officeDocument/2006/relationships/hyperlink" Target="https://eur-lex.europa.eu/legal-content/BG/TXT/HTML/?uri=CELEX:32021R0241&amp;from=BG" TargetMode="External"/><Relationship Id="rId50" Type="http://schemas.openxmlformats.org/officeDocument/2006/relationships/hyperlink" Target="https://eur-lex.europa.eu/legal-content/BG/TXT/HTML/?uri=CELEX:32021R0241&amp;from=BG" TargetMode="External"/><Relationship Id="rId55" Type="http://schemas.microsoft.com/office/2016/09/relationships/commentsIds" Target="commentsIds.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ur-lex.europa.eu/legal-content/BG/TXT/HTML/?uri=CELEX:32021R0241&amp;from=BG" TargetMode="External"/><Relationship Id="rId29" Type="http://schemas.openxmlformats.org/officeDocument/2006/relationships/hyperlink" Target="https://eur-lex.europa.eu/legal-content/BG/TXT/HTML/?uri=CELEX:32021R0241&amp;from=BG" TargetMode="External"/><Relationship Id="rId11" Type="http://schemas.openxmlformats.org/officeDocument/2006/relationships/hyperlink" Target="https://eur-lex.europa.eu/legal-content/BG/TXT/HTML/?uri=CELEX:32021R0241&amp;from=BG" TargetMode="External"/><Relationship Id="rId24" Type="http://schemas.openxmlformats.org/officeDocument/2006/relationships/hyperlink" Target="https://eur-lex.europa.eu/legal-content/BG/TXT/HTML/?uri=CELEX:32021R0241&amp;from=BG" TargetMode="External"/><Relationship Id="rId32" Type="http://schemas.openxmlformats.org/officeDocument/2006/relationships/hyperlink" Target="https://eur-lex.europa.eu/legal-content/BG/TXT/HTML/?uri=CELEX:32021R0241&amp;from=BG" TargetMode="External"/><Relationship Id="rId37" Type="http://schemas.openxmlformats.org/officeDocument/2006/relationships/hyperlink" Target="https://eur-lex.europa.eu/legal-content/BG/AUTO/?uri=OJ:L:2018:328:TOC" TargetMode="External"/><Relationship Id="rId40" Type="http://schemas.openxmlformats.org/officeDocument/2006/relationships/hyperlink" Target="https://eur-lex.europa.eu/legal-content/BG/AUTO/?uri=OJ:L:2012:315:TOC" TargetMode="External"/><Relationship Id="rId45" Type="http://schemas.openxmlformats.org/officeDocument/2006/relationships/hyperlink" Target="https://eur-lex.europa.eu/legal-content/BG/TXT/HTML/?uri=CELEX:32021R0241&amp;from=BG"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eur-lex.europa.eu/legal-content/BG/TXT/HTML/?uri=CELEX:32021R0241&amp;from=BG" TargetMode="External"/><Relationship Id="rId19" Type="http://schemas.openxmlformats.org/officeDocument/2006/relationships/hyperlink" Target="https://eur-lex.europa.eu/legal-content/BG/TXT/HTML/?uri=CELEX:32021R0241&amp;from=BG" TargetMode="External"/><Relationship Id="rId31" Type="http://schemas.openxmlformats.org/officeDocument/2006/relationships/hyperlink" Target="https://eur-lex.europa.eu/legal-content/BG/TXT/HTML/?uri=CELEX:32021R0241&amp;from=BG" TargetMode="External"/><Relationship Id="rId44" Type="http://schemas.openxmlformats.org/officeDocument/2006/relationships/hyperlink" Target="https://eur-lex.europa.eu/legal-content/BG/TXT/HTML/?uri=CELEX:32021R0241&amp;from=BG" TargetMode="External"/><Relationship Id="rId52"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eur-lex.europa.eu/legal-content/BG/TXT/HTML/?uri=CELEX:32021R0241&amp;from=BG" TargetMode="External"/><Relationship Id="rId14" Type="http://schemas.openxmlformats.org/officeDocument/2006/relationships/hyperlink" Target="https://eur-lex.europa.eu/legal-content/BG/TXT/HTML/?uri=CELEX:32021R0241&amp;from=BG" TargetMode="External"/><Relationship Id="rId22" Type="http://schemas.openxmlformats.org/officeDocument/2006/relationships/hyperlink" Target="https://eur-lex.europa.eu/legal-content/BG/TXT/HTML/?uri=CELEX:32021R0241&amp;from=BG" TargetMode="External"/><Relationship Id="rId27" Type="http://schemas.openxmlformats.org/officeDocument/2006/relationships/hyperlink" Target="https://eur-lex.europa.eu/legal-content/BG/TXT/HTML/?uri=CELEX:32021R0241&amp;from=BG" TargetMode="External"/><Relationship Id="rId30" Type="http://schemas.openxmlformats.org/officeDocument/2006/relationships/hyperlink" Target="https://eur-lex.europa.eu/legal-content/BG/TXT/HTML/?uri=CELEX:32021R0241&amp;from=BG" TargetMode="External"/><Relationship Id="rId35" Type="http://schemas.openxmlformats.org/officeDocument/2006/relationships/hyperlink" Target="https://eur-lex.europa.eu/legal-content/BG/TXT/HTML/?uri=CELEX:32021R0241&amp;from=BG" TargetMode="External"/><Relationship Id="rId43" Type="http://schemas.openxmlformats.org/officeDocument/2006/relationships/hyperlink" Target="https://eur-lex.europa.eu/legal-content/BG/TXT/HTML/?uri=CELEX:32021R0241&amp;from=BG" TargetMode="External"/><Relationship Id="rId48" Type="http://schemas.openxmlformats.org/officeDocument/2006/relationships/hyperlink" Target="https://eur-lex.europa.eu/legal-content/BG/TXT/HTML/?uri=CELEX:32021R0241&amp;from=BG" TargetMode="External"/><Relationship Id="rId8" Type="http://schemas.openxmlformats.org/officeDocument/2006/relationships/hyperlink" Target="https://eur-lex.europa.eu/legal-content/BG/TXT/HTML/?uri=CELEX:32021R0241&amp;from=BG"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eur-lex.europa.eu/legal-content/BG/TXT/HTML/?uri=CELEX:32021R0241&amp;from=BG" TargetMode="External"/><Relationship Id="rId17" Type="http://schemas.openxmlformats.org/officeDocument/2006/relationships/hyperlink" Target="https://eur-lex.europa.eu/legal-content/BG/TXT/HTML/?uri=CELEX:32021R0241&amp;from=BG" TargetMode="External"/><Relationship Id="rId25" Type="http://schemas.openxmlformats.org/officeDocument/2006/relationships/hyperlink" Target="https://eur-lex.europa.eu/legal-content/BG/TXT/HTML/?uri=CELEX:32021R0241&amp;from=BG" TargetMode="External"/><Relationship Id="rId33" Type="http://schemas.openxmlformats.org/officeDocument/2006/relationships/hyperlink" Target="https://eur-lex.europa.eu/legal-content/BG/TXT/HTML/?uri=CELEX:32021R0241&amp;from=BG" TargetMode="External"/><Relationship Id="rId38" Type="http://schemas.openxmlformats.org/officeDocument/2006/relationships/hyperlink" Target="https://eur-lex.europa.eu/legal-content/BG/TXT/HTML/?uri=CELEX:32021R0241&amp;from=BG" TargetMode="External"/><Relationship Id="rId46" Type="http://schemas.openxmlformats.org/officeDocument/2006/relationships/hyperlink" Target="https://eur-lex.europa.eu/legal-content/BG/TXT/HTML/?uri=CELEX:32021R0241&amp;from=BG" TargetMode="External"/><Relationship Id="rId20" Type="http://schemas.openxmlformats.org/officeDocument/2006/relationships/hyperlink" Target="https://eur-lex.europa.eu/legal-content/BG/TXT/HTML/?uri=CELEX:32021R0241&amp;from=BG" TargetMode="External"/><Relationship Id="rId41" Type="http://schemas.openxmlformats.org/officeDocument/2006/relationships/hyperlink" Target="https://eur-lex.europa.eu/legal-content/BG/TXT/HTML/?uri=CELEX:32021R0241&amp;from=BG"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ur-lex.europa.eu/legal-content/BG/TXT/HTML/?uri=CELEX:32021R0241&amp;from=BG" TargetMode="External"/><Relationship Id="rId23" Type="http://schemas.openxmlformats.org/officeDocument/2006/relationships/hyperlink" Target="https://eur-lex.europa.eu/legal-content/BG/TXT/HTML/?uri=CELEX:32021R0241&amp;from=BG" TargetMode="External"/><Relationship Id="rId28" Type="http://schemas.openxmlformats.org/officeDocument/2006/relationships/hyperlink" Target="https://eur-lex.europa.eu/legal-content/BG/TXT/HTML/?uri=CELEX:32021R0241&amp;from=BG" TargetMode="External"/><Relationship Id="rId36" Type="http://schemas.openxmlformats.org/officeDocument/2006/relationships/hyperlink" Target="https://eur-lex.europa.eu/legal-content/BG/TXT/HTML/?uri=CELEX:32021R0241&amp;from=BG" TargetMode="External"/><Relationship Id="rId49" Type="http://schemas.openxmlformats.org/officeDocument/2006/relationships/hyperlink" Target="https://eur-lex.europa.eu/legal-content/BG/TXT/HTML/?uri=CELEX:32021R0241&amp;from=B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6064</Words>
  <Characters>34566</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MZHG1</cp:lastModifiedBy>
  <cp:revision>3</cp:revision>
  <dcterms:created xsi:type="dcterms:W3CDTF">2023-04-03T10:15:00Z</dcterms:created>
  <dcterms:modified xsi:type="dcterms:W3CDTF">2023-04-03T10:15:00Z</dcterms:modified>
</cp:coreProperties>
</file>