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632FD" w14:textId="0A7C859F" w:rsidR="00621F00" w:rsidRPr="00540A9D" w:rsidRDefault="004D4EDE" w:rsidP="004D4EDE">
      <w:pPr>
        <w:spacing w:after="0" w:line="240" w:lineRule="auto"/>
        <w:ind w:left="3600" w:firstLine="720"/>
        <w:contextualSpacing/>
        <w:jc w:val="right"/>
        <w:rPr>
          <w:rFonts w:cstheme="minorHAnsi"/>
          <w:b/>
          <w:i/>
          <w:iCs/>
          <w:sz w:val="24"/>
          <w:szCs w:val="24"/>
          <w:lang w:val="bg-BG"/>
        </w:rPr>
      </w:pPr>
      <w:r w:rsidRPr="00540A9D">
        <w:rPr>
          <w:rFonts w:cstheme="minorHAnsi"/>
          <w:b/>
          <w:i/>
          <w:iCs/>
          <w:sz w:val="24"/>
          <w:szCs w:val="24"/>
          <w:lang w:val="bg-BG"/>
        </w:rPr>
        <w:t>Приложение № А-</w:t>
      </w:r>
      <w:r w:rsidR="00DC141E" w:rsidRPr="00540A9D">
        <w:rPr>
          <w:rFonts w:cstheme="minorHAnsi"/>
          <w:b/>
          <w:i/>
          <w:iCs/>
          <w:sz w:val="24"/>
          <w:szCs w:val="24"/>
          <w:lang w:val="bg-BG"/>
        </w:rPr>
        <w:t>1</w:t>
      </w:r>
      <w:r w:rsidRPr="00540A9D">
        <w:rPr>
          <w:rFonts w:cstheme="minorHAnsi"/>
          <w:b/>
          <w:i/>
          <w:iCs/>
          <w:sz w:val="24"/>
          <w:szCs w:val="24"/>
          <w:lang w:val="bg-BG"/>
        </w:rPr>
        <w:t xml:space="preserve"> -  Списък на съкращенията, основни термини и дефиниции</w:t>
      </w:r>
    </w:p>
    <w:p w14:paraId="01862D77" w14:textId="138AE588" w:rsidR="004D4EDE" w:rsidRPr="00540A9D" w:rsidRDefault="004D4EDE" w:rsidP="003F60A4">
      <w:pPr>
        <w:spacing w:after="0" w:line="240" w:lineRule="auto"/>
        <w:contextualSpacing/>
        <w:jc w:val="right"/>
        <w:rPr>
          <w:rFonts w:cstheme="minorHAnsi"/>
          <w:b/>
          <w:i/>
          <w:iCs/>
          <w:sz w:val="24"/>
          <w:szCs w:val="24"/>
          <w:lang w:val="bg-BG"/>
        </w:rPr>
      </w:pPr>
    </w:p>
    <w:p w14:paraId="529447D5" w14:textId="20B7675C" w:rsidR="004D4EDE" w:rsidRPr="00540A9D" w:rsidRDefault="004D4EDE" w:rsidP="009B4CFF">
      <w:pPr>
        <w:spacing w:after="0" w:line="240" w:lineRule="auto"/>
        <w:contextualSpacing/>
        <w:rPr>
          <w:rFonts w:cstheme="minorHAnsi"/>
          <w:sz w:val="24"/>
          <w:szCs w:val="24"/>
          <w:lang w:val="bg-BG"/>
        </w:rPr>
      </w:pPr>
    </w:p>
    <w:p w14:paraId="6A7FFE78" w14:textId="77777777" w:rsidR="009B4CFF" w:rsidRPr="00540A9D" w:rsidRDefault="009B4CFF" w:rsidP="009B4CFF">
      <w:pPr>
        <w:spacing w:before="120" w:after="120" w:line="240" w:lineRule="auto"/>
        <w:rPr>
          <w:rFonts w:cstheme="minorHAnsi"/>
          <w:bCs/>
          <w:sz w:val="24"/>
          <w:szCs w:val="24"/>
          <w:lang w:val="bg-BG"/>
        </w:rPr>
      </w:pPr>
      <w:r w:rsidRPr="00540A9D">
        <w:rPr>
          <w:rFonts w:cstheme="minorHAnsi"/>
          <w:bCs/>
          <w:sz w:val="24"/>
          <w:szCs w:val="24"/>
          <w:lang w:val="bg-BG"/>
        </w:rPr>
        <w:t>Използвани съкращения</w:t>
      </w:r>
    </w:p>
    <w:tbl>
      <w:tblPr>
        <w:tblW w:w="486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8"/>
        <w:gridCol w:w="7267"/>
      </w:tblGrid>
      <w:tr w:rsidR="00540A9D" w:rsidRPr="00540A9D" w14:paraId="1A7A6BB9"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522AB8" w14:textId="77777777" w:rsidR="009B4CFF" w:rsidRPr="00540A9D" w:rsidRDefault="009B4CFF" w:rsidP="00750BC7">
            <w:pPr>
              <w:rPr>
                <w:rFonts w:cstheme="minorHAnsi"/>
                <w:b/>
                <w:sz w:val="24"/>
                <w:szCs w:val="24"/>
                <w:lang w:val="bg-BG"/>
              </w:rPr>
            </w:pPr>
            <w:bookmarkStart w:id="0" w:name="RANGE!A1"/>
            <w:r w:rsidRPr="00540A9D">
              <w:rPr>
                <w:rFonts w:cstheme="minorHAnsi"/>
                <w:b/>
                <w:sz w:val="24"/>
                <w:szCs w:val="24"/>
                <w:lang w:val="bg-BG"/>
              </w:rPr>
              <w:t>БФП</w:t>
            </w:r>
            <w:bookmarkEnd w:id="0"/>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3DA89E"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Безвъзмездна финансова подкрепа</w:t>
            </w:r>
          </w:p>
        </w:tc>
      </w:tr>
      <w:tr w:rsidR="00540A9D" w:rsidRPr="00540A9D" w14:paraId="6A742FAE"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836621" w14:textId="77777777" w:rsidR="009B4CFF" w:rsidRPr="00540A9D" w:rsidRDefault="009B4CFF" w:rsidP="00750BC7">
            <w:pPr>
              <w:rPr>
                <w:rFonts w:cstheme="minorHAnsi"/>
                <w:b/>
                <w:sz w:val="24"/>
                <w:szCs w:val="24"/>
                <w:lang w:val="bg-BG"/>
              </w:rPr>
            </w:pPr>
            <w:r w:rsidRPr="00540A9D">
              <w:rPr>
                <w:rFonts w:cstheme="minorHAnsi"/>
                <w:b/>
                <w:sz w:val="24"/>
                <w:szCs w:val="24"/>
                <w:lang w:val="bg-BG"/>
              </w:rPr>
              <w:t>ДДС</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F1FC97"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Данък върху добавената стойност</w:t>
            </w:r>
          </w:p>
        </w:tc>
      </w:tr>
      <w:tr w:rsidR="00540A9D" w:rsidRPr="00540A9D" w14:paraId="54FE9FC5"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5605C0" w14:textId="77777777" w:rsidR="009B4CFF" w:rsidRPr="00540A9D" w:rsidRDefault="009B4CFF" w:rsidP="00750BC7">
            <w:pPr>
              <w:rPr>
                <w:rFonts w:cstheme="minorHAnsi"/>
                <w:b/>
                <w:sz w:val="24"/>
                <w:szCs w:val="24"/>
                <w:lang w:val="bg-BG"/>
              </w:rPr>
            </w:pPr>
            <w:r w:rsidRPr="00540A9D">
              <w:rPr>
                <w:rFonts w:cstheme="minorHAnsi"/>
                <w:b/>
                <w:sz w:val="24"/>
                <w:szCs w:val="24"/>
                <w:lang w:val="bg-BG"/>
              </w:rPr>
              <w:t>ДФЕС</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273A91"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Договор за функционирането на Европейския съюз</w:t>
            </w:r>
          </w:p>
        </w:tc>
      </w:tr>
      <w:tr w:rsidR="00540A9D" w:rsidRPr="00540A9D" w14:paraId="373569EE"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443344" w14:textId="77777777" w:rsidR="009B4CFF" w:rsidRPr="00540A9D" w:rsidRDefault="009B4CFF" w:rsidP="00750BC7">
            <w:pPr>
              <w:rPr>
                <w:rFonts w:cstheme="minorHAnsi"/>
                <w:b/>
                <w:sz w:val="24"/>
                <w:szCs w:val="24"/>
                <w:lang w:val="bg-BG"/>
              </w:rPr>
            </w:pPr>
            <w:r w:rsidRPr="00540A9D">
              <w:rPr>
                <w:rFonts w:cstheme="minorHAnsi"/>
                <w:b/>
                <w:sz w:val="24"/>
                <w:szCs w:val="24"/>
                <w:lang w:val="bg-BG"/>
              </w:rPr>
              <w:t>ДФЗ</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6F845B"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Държавен фонд „Земеделие“</w:t>
            </w:r>
          </w:p>
        </w:tc>
      </w:tr>
      <w:tr w:rsidR="00540A9D" w:rsidRPr="00540A9D" w14:paraId="4D44FD3C"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DA542" w14:textId="77777777" w:rsidR="009B4CFF" w:rsidRPr="00540A9D" w:rsidRDefault="009B4CFF" w:rsidP="00750BC7">
            <w:pPr>
              <w:rPr>
                <w:rFonts w:cstheme="minorHAnsi"/>
                <w:b/>
                <w:sz w:val="24"/>
                <w:szCs w:val="24"/>
                <w:lang w:val="bg-BG"/>
              </w:rPr>
            </w:pPr>
            <w:r w:rsidRPr="00540A9D">
              <w:rPr>
                <w:rFonts w:cstheme="minorHAnsi"/>
                <w:b/>
                <w:sz w:val="24"/>
                <w:szCs w:val="24"/>
                <w:lang w:val="bg-BG"/>
              </w:rPr>
              <w:t>ЕС</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2987A1"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Европейски съюз</w:t>
            </w:r>
          </w:p>
        </w:tc>
      </w:tr>
      <w:tr w:rsidR="00540A9D" w:rsidRPr="00540A9D" w14:paraId="34BA2058"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tcPr>
          <w:p w14:paraId="6AB3C727" w14:textId="77777777" w:rsidR="009B4CFF" w:rsidRPr="00540A9D" w:rsidRDefault="009B4CFF" w:rsidP="00750BC7">
            <w:pPr>
              <w:rPr>
                <w:rFonts w:cstheme="minorHAnsi"/>
                <w:b/>
                <w:sz w:val="24"/>
                <w:szCs w:val="24"/>
                <w:lang w:val="bg-BG"/>
              </w:rPr>
            </w:pPr>
            <w:r w:rsidRPr="00540A9D">
              <w:rPr>
                <w:rFonts w:cstheme="minorHAnsi"/>
                <w:b/>
                <w:sz w:val="24"/>
                <w:szCs w:val="24"/>
                <w:lang w:val="bg-BG"/>
              </w:rPr>
              <w:t>ЗБР</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tcPr>
          <w:p w14:paraId="0DEC13A4"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lang w:val="bg-BG"/>
              </w:rPr>
              <w:t>Закон за биологичното разнообразие</w:t>
            </w:r>
          </w:p>
        </w:tc>
      </w:tr>
      <w:tr w:rsidR="00540A9D" w:rsidRPr="00540A9D" w14:paraId="13C7BCC5"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77986C" w14:textId="77777777" w:rsidR="009B4CFF" w:rsidRPr="00540A9D" w:rsidRDefault="009B4CFF" w:rsidP="00750BC7">
            <w:pPr>
              <w:rPr>
                <w:rFonts w:cstheme="minorHAnsi"/>
                <w:b/>
                <w:sz w:val="24"/>
                <w:szCs w:val="24"/>
                <w:lang w:val="bg-BG"/>
              </w:rPr>
            </w:pPr>
            <w:r w:rsidRPr="00540A9D">
              <w:rPr>
                <w:rFonts w:cstheme="minorHAnsi"/>
                <w:b/>
                <w:sz w:val="24"/>
                <w:szCs w:val="24"/>
                <w:lang w:val="bg-BG"/>
              </w:rPr>
              <w:t>ЗВ</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1F59DF"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Закон за водите</w:t>
            </w:r>
          </w:p>
        </w:tc>
      </w:tr>
      <w:tr w:rsidR="00540A9D" w:rsidRPr="00540A9D" w14:paraId="1F23F53D"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195AC" w14:textId="77777777" w:rsidR="009B4CFF" w:rsidRPr="00540A9D" w:rsidRDefault="009B4CFF" w:rsidP="00750BC7">
            <w:pPr>
              <w:rPr>
                <w:rFonts w:cstheme="minorHAnsi"/>
                <w:b/>
                <w:sz w:val="24"/>
                <w:szCs w:val="24"/>
                <w:lang w:val="bg-BG"/>
              </w:rPr>
            </w:pPr>
            <w:r w:rsidRPr="00540A9D">
              <w:rPr>
                <w:rFonts w:cstheme="minorHAnsi"/>
                <w:b/>
                <w:sz w:val="24"/>
                <w:szCs w:val="24"/>
                <w:lang w:val="bg-BG"/>
              </w:rPr>
              <w:t>ЗДДС</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F7EBF6"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Закон за данък върху добавената стойност</w:t>
            </w:r>
          </w:p>
        </w:tc>
      </w:tr>
      <w:tr w:rsidR="00540A9D" w:rsidRPr="00540A9D" w14:paraId="4532B1B7"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83F9D5" w14:textId="77777777" w:rsidR="009B4CFF" w:rsidRPr="00540A9D" w:rsidRDefault="009B4CFF" w:rsidP="00750BC7">
            <w:pPr>
              <w:rPr>
                <w:rFonts w:cstheme="minorHAnsi"/>
                <w:b/>
                <w:sz w:val="24"/>
                <w:szCs w:val="24"/>
                <w:lang w:val="bg-BG"/>
              </w:rPr>
            </w:pPr>
            <w:r w:rsidRPr="00540A9D">
              <w:rPr>
                <w:rFonts w:cstheme="minorHAnsi"/>
                <w:b/>
                <w:sz w:val="24"/>
                <w:szCs w:val="24"/>
                <w:lang w:val="bg-BG"/>
              </w:rPr>
              <w:t>ЗКПО</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43498"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Закон за корпоративното подоходно облагане</w:t>
            </w:r>
          </w:p>
        </w:tc>
      </w:tr>
      <w:tr w:rsidR="00540A9D" w:rsidRPr="00540A9D" w14:paraId="236BAFA2"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D8951E" w14:textId="77777777" w:rsidR="009B4CFF" w:rsidRPr="00540A9D" w:rsidRDefault="009B4CFF" w:rsidP="00750BC7">
            <w:pPr>
              <w:rPr>
                <w:rFonts w:cstheme="minorHAnsi"/>
                <w:b/>
                <w:sz w:val="24"/>
                <w:szCs w:val="24"/>
                <w:lang w:val="bg-BG"/>
              </w:rPr>
            </w:pPr>
            <w:r w:rsidRPr="00540A9D">
              <w:rPr>
                <w:rFonts w:cstheme="minorHAnsi"/>
                <w:b/>
                <w:sz w:val="24"/>
                <w:szCs w:val="24"/>
                <w:lang w:val="bg-BG"/>
              </w:rPr>
              <w:t>ЗМСП</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D7F5B"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Закон за малките и средните предприятия</w:t>
            </w:r>
          </w:p>
        </w:tc>
      </w:tr>
      <w:tr w:rsidR="00540A9D" w:rsidRPr="00540A9D" w14:paraId="635ED5BF"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3DB111" w14:textId="77777777" w:rsidR="009B4CFF" w:rsidRPr="00540A9D" w:rsidRDefault="009B4CFF" w:rsidP="00750BC7">
            <w:pPr>
              <w:rPr>
                <w:rFonts w:cstheme="minorHAnsi"/>
                <w:b/>
                <w:sz w:val="24"/>
                <w:szCs w:val="24"/>
                <w:lang w:val="bg-BG"/>
              </w:rPr>
            </w:pPr>
            <w:r w:rsidRPr="00540A9D">
              <w:rPr>
                <w:rFonts w:cstheme="minorHAnsi"/>
                <w:b/>
                <w:sz w:val="24"/>
                <w:szCs w:val="24"/>
                <w:lang w:val="bg-BG"/>
              </w:rPr>
              <w:t>ЗООС</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EC37F"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Закон за опазване на околната среда</w:t>
            </w:r>
          </w:p>
        </w:tc>
      </w:tr>
      <w:tr w:rsidR="00540A9D" w:rsidRPr="00540A9D" w14:paraId="68107658"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3AEED5" w14:textId="77777777" w:rsidR="009B4CFF" w:rsidRPr="00540A9D" w:rsidRDefault="009B4CFF" w:rsidP="00750BC7">
            <w:pPr>
              <w:rPr>
                <w:rFonts w:cstheme="minorHAnsi"/>
                <w:b/>
                <w:sz w:val="24"/>
                <w:szCs w:val="24"/>
                <w:lang w:val="bg-BG"/>
              </w:rPr>
            </w:pPr>
            <w:r w:rsidRPr="00540A9D">
              <w:rPr>
                <w:rFonts w:cstheme="minorHAnsi"/>
                <w:b/>
                <w:sz w:val="24"/>
                <w:szCs w:val="24"/>
                <w:lang w:val="bg-BG"/>
              </w:rPr>
              <w:t>ЗОП</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E9312E"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Закон за обществените поръчки</w:t>
            </w:r>
          </w:p>
        </w:tc>
      </w:tr>
      <w:tr w:rsidR="00540A9D" w:rsidRPr="00540A9D" w14:paraId="476073F9"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98F67E" w14:textId="77777777" w:rsidR="009B4CFF" w:rsidRPr="00540A9D" w:rsidRDefault="009B4CFF" w:rsidP="00750BC7">
            <w:pPr>
              <w:rPr>
                <w:rFonts w:cstheme="minorHAnsi"/>
                <w:b/>
                <w:sz w:val="24"/>
                <w:szCs w:val="24"/>
                <w:lang w:val="bg-BG"/>
              </w:rPr>
            </w:pPr>
            <w:r w:rsidRPr="00540A9D">
              <w:rPr>
                <w:rFonts w:cstheme="minorHAnsi"/>
                <w:b/>
                <w:sz w:val="24"/>
                <w:szCs w:val="24"/>
                <w:lang w:val="bg-BG"/>
              </w:rPr>
              <w:t>ЗУТ</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352886"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Закон за устройство на територията</w:t>
            </w:r>
          </w:p>
        </w:tc>
      </w:tr>
      <w:tr w:rsidR="00540A9D" w:rsidRPr="00540A9D" w14:paraId="1323CD4F"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4DE262" w14:textId="77777777" w:rsidR="009B4CFF" w:rsidRPr="00540A9D" w:rsidRDefault="009B4CFF" w:rsidP="00750BC7">
            <w:pPr>
              <w:rPr>
                <w:rFonts w:cstheme="minorHAnsi"/>
                <w:b/>
                <w:sz w:val="24"/>
                <w:szCs w:val="24"/>
                <w:lang w:val="bg-BG"/>
              </w:rPr>
            </w:pPr>
            <w:r w:rsidRPr="00540A9D">
              <w:rPr>
                <w:rFonts w:cstheme="minorHAnsi"/>
                <w:b/>
                <w:sz w:val="24"/>
                <w:szCs w:val="24"/>
                <w:lang w:val="bg-BG"/>
              </w:rPr>
              <w:t>ИСМ-ИСУН 2020</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F2BC04"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“Информационна система за Механизма”. Информационната система за Механизма е Информационната система за управление и наблюдение ИСУН 2020, надградена за целите на Механизма за възстановяване и устойчивост</w:t>
            </w:r>
          </w:p>
        </w:tc>
      </w:tr>
      <w:tr w:rsidR="00540A9D" w:rsidRPr="00540A9D" w14:paraId="176EF9C4"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87F9E2" w14:textId="77777777" w:rsidR="009B4CFF" w:rsidRPr="00540A9D" w:rsidRDefault="009B4CFF" w:rsidP="00750BC7">
            <w:pPr>
              <w:rPr>
                <w:rFonts w:cstheme="minorHAnsi"/>
                <w:b/>
                <w:sz w:val="24"/>
                <w:szCs w:val="24"/>
                <w:lang w:val="bg-BG"/>
              </w:rPr>
            </w:pPr>
            <w:r w:rsidRPr="00540A9D">
              <w:rPr>
                <w:rFonts w:cstheme="minorHAnsi"/>
                <w:b/>
                <w:sz w:val="24"/>
                <w:szCs w:val="24"/>
                <w:lang w:val="bg-BG"/>
              </w:rPr>
              <w:t>ИСУН 2020</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A370D"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Информационна система за управление и наблюдение на средствата от ЕС в България 2014-2020 г.</w:t>
            </w:r>
          </w:p>
        </w:tc>
      </w:tr>
      <w:tr w:rsidR="00540A9D" w:rsidRPr="00540A9D" w14:paraId="22EFF329"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709A6A" w14:textId="77777777" w:rsidR="009B4CFF" w:rsidRPr="00540A9D" w:rsidRDefault="009B4CFF" w:rsidP="00750BC7">
            <w:pPr>
              <w:rPr>
                <w:rFonts w:cstheme="minorHAnsi"/>
                <w:b/>
                <w:sz w:val="24"/>
                <w:szCs w:val="24"/>
                <w:lang w:val="bg-BG"/>
              </w:rPr>
            </w:pPr>
            <w:r w:rsidRPr="00540A9D">
              <w:rPr>
                <w:rFonts w:cstheme="minorHAnsi"/>
                <w:b/>
                <w:sz w:val="24"/>
                <w:szCs w:val="24"/>
                <w:lang w:val="bg-BG"/>
              </w:rPr>
              <w:t>КЕП</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E08F8D"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Квалифициран електронен подпис</w:t>
            </w:r>
          </w:p>
        </w:tc>
      </w:tr>
      <w:tr w:rsidR="00540A9D" w:rsidRPr="00540A9D" w14:paraId="4E4EAFB3"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024B0" w14:textId="77777777" w:rsidR="009B4CFF" w:rsidRPr="00540A9D" w:rsidRDefault="009B4CFF" w:rsidP="00750BC7">
            <w:pPr>
              <w:rPr>
                <w:rFonts w:cstheme="minorHAnsi"/>
                <w:b/>
                <w:sz w:val="24"/>
                <w:szCs w:val="24"/>
                <w:lang w:val="bg-BG"/>
              </w:rPr>
            </w:pPr>
            <w:r w:rsidRPr="00540A9D">
              <w:rPr>
                <w:rFonts w:cstheme="minorHAnsi"/>
                <w:b/>
                <w:sz w:val="24"/>
                <w:szCs w:val="24"/>
                <w:lang w:val="bg-BG"/>
              </w:rPr>
              <w:t>КСС</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9C6801"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Количествено-стойностни сметки</w:t>
            </w:r>
          </w:p>
        </w:tc>
      </w:tr>
      <w:tr w:rsidR="00540A9D" w:rsidRPr="00540A9D" w14:paraId="26815250"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B74EDA" w14:textId="77777777" w:rsidR="009B4CFF" w:rsidRPr="00540A9D" w:rsidRDefault="009B4CFF" w:rsidP="00750BC7">
            <w:pPr>
              <w:rPr>
                <w:rFonts w:cstheme="minorHAnsi"/>
                <w:b/>
                <w:sz w:val="24"/>
                <w:szCs w:val="24"/>
                <w:lang w:val="bg-BG"/>
              </w:rPr>
            </w:pPr>
            <w:r w:rsidRPr="00540A9D">
              <w:rPr>
                <w:rFonts w:cstheme="minorHAnsi"/>
                <w:b/>
                <w:sz w:val="24"/>
                <w:szCs w:val="24"/>
                <w:lang w:val="bg-BG"/>
              </w:rPr>
              <w:t>МВУ</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58DF76"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Механизъм за възстановяване и устойчивост</w:t>
            </w:r>
          </w:p>
        </w:tc>
      </w:tr>
      <w:tr w:rsidR="00540A9D" w:rsidRPr="00540A9D" w14:paraId="1323DB1E"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3F937E" w14:textId="77777777" w:rsidR="009B4CFF" w:rsidRPr="00540A9D" w:rsidRDefault="009B4CFF" w:rsidP="00750BC7">
            <w:pPr>
              <w:rPr>
                <w:rFonts w:cstheme="minorHAnsi"/>
                <w:b/>
                <w:sz w:val="24"/>
                <w:szCs w:val="24"/>
                <w:lang w:val="bg-BG"/>
              </w:rPr>
            </w:pPr>
            <w:r w:rsidRPr="00540A9D">
              <w:rPr>
                <w:rFonts w:cstheme="minorHAnsi"/>
                <w:b/>
                <w:sz w:val="24"/>
                <w:szCs w:val="24"/>
                <w:lang w:val="bg-BG"/>
              </w:rPr>
              <w:t>МЗм</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0A1DBF"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Министерство на земеделието</w:t>
            </w:r>
          </w:p>
        </w:tc>
      </w:tr>
      <w:tr w:rsidR="00540A9D" w:rsidRPr="00540A9D" w14:paraId="2BD10CE4"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99C040" w14:textId="77777777" w:rsidR="009B4CFF" w:rsidRPr="00540A9D" w:rsidRDefault="009B4CFF" w:rsidP="00750BC7">
            <w:pPr>
              <w:rPr>
                <w:rFonts w:cstheme="minorHAnsi"/>
                <w:b/>
                <w:sz w:val="24"/>
                <w:szCs w:val="24"/>
                <w:lang w:val="bg-BG"/>
              </w:rPr>
            </w:pPr>
            <w:r w:rsidRPr="00540A9D">
              <w:rPr>
                <w:rFonts w:cstheme="minorHAnsi"/>
                <w:b/>
                <w:sz w:val="24"/>
                <w:szCs w:val="24"/>
                <w:lang w:val="bg-BG"/>
              </w:rPr>
              <w:t>НПВУ</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71337C"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Национален  план за възстановяване и устойчивост</w:t>
            </w:r>
          </w:p>
        </w:tc>
      </w:tr>
      <w:tr w:rsidR="00540A9D" w:rsidRPr="00540A9D" w14:paraId="33F88F49"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E84F70" w14:textId="77777777" w:rsidR="009B4CFF" w:rsidRPr="00540A9D" w:rsidRDefault="009B4CFF" w:rsidP="00750BC7">
            <w:pPr>
              <w:rPr>
                <w:rFonts w:cstheme="minorHAnsi"/>
                <w:b/>
                <w:sz w:val="24"/>
                <w:szCs w:val="24"/>
                <w:lang w:val="bg-BG"/>
              </w:rPr>
            </w:pPr>
            <w:r w:rsidRPr="00540A9D">
              <w:rPr>
                <w:rFonts w:cstheme="minorHAnsi"/>
                <w:b/>
                <w:sz w:val="24"/>
                <w:szCs w:val="24"/>
                <w:lang w:val="bg-BG"/>
              </w:rPr>
              <w:t>ПИИ</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3C2F8A"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Предложение за изпълнение на инвестиция</w:t>
            </w:r>
          </w:p>
        </w:tc>
      </w:tr>
      <w:tr w:rsidR="00540A9D" w:rsidRPr="00540A9D" w14:paraId="77D4EAD4"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9DA84D" w14:textId="77777777" w:rsidR="009B4CFF" w:rsidRPr="00540A9D" w:rsidRDefault="009B4CFF" w:rsidP="00750BC7">
            <w:pPr>
              <w:rPr>
                <w:rFonts w:cstheme="minorHAnsi"/>
                <w:b/>
                <w:sz w:val="24"/>
                <w:szCs w:val="24"/>
                <w:lang w:val="bg-BG"/>
              </w:rPr>
            </w:pPr>
            <w:r w:rsidRPr="00540A9D">
              <w:rPr>
                <w:rFonts w:cstheme="minorHAnsi"/>
                <w:b/>
                <w:sz w:val="24"/>
                <w:szCs w:val="24"/>
                <w:lang w:val="bg-BG"/>
              </w:rPr>
              <w:t>ПМС</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4E886E"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Постановление на Министерски съвет</w:t>
            </w:r>
          </w:p>
        </w:tc>
      </w:tr>
      <w:tr w:rsidR="00540A9D" w:rsidRPr="00540A9D" w14:paraId="2BBF4257"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41C56C" w14:textId="77777777" w:rsidR="009B4CFF" w:rsidRPr="00540A9D" w:rsidRDefault="009B4CFF" w:rsidP="00750BC7">
            <w:pPr>
              <w:rPr>
                <w:rFonts w:cstheme="minorHAnsi"/>
                <w:b/>
                <w:sz w:val="24"/>
                <w:szCs w:val="24"/>
                <w:lang w:val="bg-BG"/>
              </w:rPr>
            </w:pPr>
            <w:r w:rsidRPr="00540A9D">
              <w:rPr>
                <w:rFonts w:cstheme="minorHAnsi"/>
                <w:b/>
                <w:sz w:val="24"/>
                <w:szCs w:val="24"/>
                <w:lang w:val="bg-BG"/>
              </w:rPr>
              <w:t>ПНЗВ</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3F8431"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Принцип на ненанасяне на значителни вреди</w:t>
            </w:r>
          </w:p>
        </w:tc>
      </w:tr>
      <w:tr w:rsidR="00540A9D" w:rsidRPr="00540A9D" w14:paraId="0835E93F"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60C4DE" w14:textId="77777777" w:rsidR="009B4CFF" w:rsidRPr="00540A9D" w:rsidRDefault="009B4CFF" w:rsidP="00750BC7">
            <w:pPr>
              <w:rPr>
                <w:rFonts w:cstheme="minorHAnsi"/>
                <w:b/>
                <w:sz w:val="24"/>
                <w:szCs w:val="24"/>
                <w:lang w:val="bg-BG"/>
              </w:rPr>
            </w:pPr>
            <w:r w:rsidRPr="00540A9D">
              <w:rPr>
                <w:rFonts w:cstheme="minorHAnsi"/>
                <w:b/>
                <w:sz w:val="24"/>
                <w:szCs w:val="24"/>
                <w:lang w:val="bg-BG"/>
              </w:rPr>
              <w:t>ПРСР 2014-2020</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6D5A82"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Програма за развитие на селските райони  2014 – 2020 г.</w:t>
            </w:r>
          </w:p>
        </w:tc>
      </w:tr>
      <w:tr w:rsidR="00540A9D" w:rsidRPr="00540A9D" w14:paraId="331EF63B"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41DC52" w14:textId="77777777" w:rsidR="009B4CFF" w:rsidRPr="00540A9D" w:rsidRDefault="009B4CFF" w:rsidP="00750BC7">
            <w:pPr>
              <w:rPr>
                <w:rFonts w:cstheme="minorHAnsi"/>
                <w:b/>
                <w:sz w:val="24"/>
                <w:szCs w:val="24"/>
                <w:lang w:val="bg-BG"/>
              </w:rPr>
            </w:pPr>
            <w:r w:rsidRPr="00540A9D">
              <w:rPr>
                <w:rFonts w:cstheme="minorHAnsi"/>
                <w:b/>
                <w:sz w:val="24"/>
                <w:szCs w:val="24"/>
                <w:lang w:val="bg-BG"/>
              </w:rPr>
              <w:t>ПУРБ</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AE05BD"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План за управление на речните басейни</w:t>
            </w:r>
          </w:p>
        </w:tc>
      </w:tr>
      <w:tr w:rsidR="00540A9D" w:rsidRPr="00540A9D" w14:paraId="3C69CB6F"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D915B7" w14:textId="77777777" w:rsidR="009B4CFF" w:rsidRPr="00540A9D" w:rsidRDefault="009B4CFF" w:rsidP="00750BC7">
            <w:pPr>
              <w:rPr>
                <w:rFonts w:cstheme="minorHAnsi"/>
                <w:b/>
                <w:sz w:val="24"/>
                <w:szCs w:val="24"/>
                <w:lang w:val="bg-BG"/>
              </w:rPr>
            </w:pPr>
            <w:r w:rsidRPr="00540A9D">
              <w:rPr>
                <w:rFonts w:cstheme="minorHAnsi"/>
                <w:b/>
                <w:sz w:val="24"/>
                <w:szCs w:val="24"/>
                <w:lang w:val="bg-BG"/>
              </w:rPr>
              <w:t>СМР</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22F6FB"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Строително-монтажни работи</w:t>
            </w:r>
          </w:p>
        </w:tc>
      </w:tr>
      <w:tr w:rsidR="00540A9D" w:rsidRPr="00540A9D" w14:paraId="6874FAC3" w14:textId="77777777" w:rsidTr="00750BC7">
        <w:trPr>
          <w:trHeight w:val="272"/>
        </w:trPr>
        <w:tc>
          <w:tcPr>
            <w:tcW w:w="11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E2968" w14:textId="77777777" w:rsidR="009B4CFF" w:rsidRPr="00540A9D" w:rsidRDefault="009B4CFF" w:rsidP="00750BC7">
            <w:pPr>
              <w:rPr>
                <w:rFonts w:cstheme="minorHAnsi"/>
                <w:b/>
                <w:sz w:val="24"/>
                <w:szCs w:val="24"/>
                <w:lang w:val="bg-BG"/>
              </w:rPr>
            </w:pPr>
            <w:r w:rsidRPr="00540A9D">
              <w:rPr>
                <w:rFonts w:cstheme="minorHAnsi"/>
                <w:b/>
                <w:sz w:val="24"/>
                <w:szCs w:val="24"/>
                <w:lang w:val="bg-BG"/>
              </w:rPr>
              <w:t>СНД</w:t>
            </w:r>
          </w:p>
        </w:tc>
        <w:tc>
          <w:tcPr>
            <w:tcW w:w="3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74A94" w14:textId="77777777" w:rsidR="009B4CFF" w:rsidRPr="00540A9D" w:rsidRDefault="009B4CFF" w:rsidP="00750BC7">
            <w:pPr>
              <w:jc w:val="both"/>
              <w:rPr>
                <w:rFonts w:cstheme="minorHAnsi"/>
                <w:sz w:val="24"/>
                <w:szCs w:val="24"/>
                <w:shd w:val="clear" w:color="auto" w:fill="FEFEFE"/>
                <w:lang w:val="bg-BG"/>
              </w:rPr>
            </w:pPr>
            <w:r w:rsidRPr="00540A9D">
              <w:rPr>
                <w:rFonts w:cstheme="minorHAnsi"/>
                <w:sz w:val="24"/>
                <w:szCs w:val="24"/>
                <w:shd w:val="clear" w:color="auto" w:fill="FEFEFE"/>
                <w:lang w:val="bg-BG"/>
              </w:rPr>
              <w:t>Структура за наблюдение и докладване по Механизма, аналогично на Управляващ орган по смисъла на Европейските фондове при споделено управление</w:t>
            </w:r>
          </w:p>
        </w:tc>
      </w:tr>
    </w:tbl>
    <w:p w14:paraId="6AC4F35D" w14:textId="77777777" w:rsidR="009B4CFF" w:rsidRPr="00540A9D" w:rsidRDefault="009B4CFF" w:rsidP="009B4CFF">
      <w:pPr>
        <w:spacing w:before="120" w:after="120" w:line="240" w:lineRule="auto"/>
        <w:rPr>
          <w:rFonts w:cstheme="minorHAnsi"/>
          <w:bCs/>
          <w:sz w:val="24"/>
          <w:szCs w:val="24"/>
          <w:lang w:val="bg-BG"/>
        </w:rPr>
      </w:pPr>
    </w:p>
    <w:p w14:paraId="20B91F8A" w14:textId="77777777" w:rsidR="009B4CFF" w:rsidRPr="00540A9D" w:rsidRDefault="009B4CFF" w:rsidP="009B4CFF">
      <w:pPr>
        <w:spacing w:before="120" w:after="120" w:line="240" w:lineRule="auto"/>
        <w:rPr>
          <w:rFonts w:cstheme="minorHAnsi"/>
          <w:b/>
          <w:bCs/>
          <w:sz w:val="24"/>
          <w:szCs w:val="24"/>
          <w:lang w:val="bg-BG"/>
        </w:rPr>
      </w:pPr>
      <w:r w:rsidRPr="00540A9D">
        <w:rPr>
          <w:rFonts w:cstheme="minorHAnsi"/>
          <w:b/>
          <w:bCs/>
          <w:sz w:val="24"/>
          <w:szCs w:val="24"/>
          <w:lang w:val="bg-BG"/>
        </w:rPr>
        <w:t>Основни термини и дефиниции:</w:t>
      </w:r>
    </w:p>
    <w:tbl>
      <w:tblPr>
        <w:tblW w:w="9351" w:type="dxa"/>
        <w:tblCellMar>
          <w:left w:w="70" w:type="dxa"/>
          <w:right w:w="70" w:type="dxa"/>
        </w:tblCellMar>
        <w:tblLook w:val="04A0" w:firstRow="1" w:lastRow="0" w:firstColumn="1" w:lastColumn="0" w:noHBand="0" w:noVBand="1"/>
      </w:tblPr>
      <w:tblGrid>
        <w:gridCol w:w="3240"/>
        <w:gridCol w:w="6111"/>
      </w:tblGrid>
      <w:tr w:rsidR="00540A9D" w:rsidRPr="00540A9D" w14:paraId="2F86BB02" w14:textId="77777777" w:rsidTr="00750BC7">
        <w:trPr>
          <w:trHeight w:val="1872"/>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8FBA235"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Административен договор</w:t>
            </w:r>
          </w:p>
        </w:tc>
        <w:tc>
          <w:tcPr>
            <w:tcW w:w="6111" w:type="dxa"/>
            <w:tcBorders>
              <w:top w:val="nil"/>
              <w:left w:val="nil"/>
              <w:bottom w:val="single" w:sz="4" w:space="0" w:color="auto"/>
              <w:right w:val="single" w:sz="4" w:space="0" w:color="auto"/>
            </w:tcBorders>
            <w:shd w:val="clear" w:color="auto" w:fill="auto"/>
            <w:vAlign w:val="center"/>
            <w:hideMark/>
          </w:tcPr>
          <w:p w14:paraId="688ACA7B" w14:textId="6E093789"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 xml:space="preserve">Изрично волеизявление на ръководителя на СНД/изпълнителния директор на ДФ „Земеделие“ за предоставяне на финансиране със средства от Механизма за въстановяване и устойчивост, по силата на което и със съгласието на краините получатели се създават права и задължения по изпълнението на одобреното предложение за изпълнение на инвестиция (ПИИ). </w:t>
            </w:r>
          </w:p>
        </w:tc>
      </w:tr>
      <w:tr w:rsidR="00540A9D" w:rsidRPr="00540A9D" w14:paraId="230E2CD4"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EC10BE6"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Брутен еквивалент на безвъзмездна помощ</w:t>
            </w:r>
          </w:p>
        </w:tc>
        <w:tc>
          <w:tcPr>
            <w:tcW w:w="6111" w:type="dxa"/>
            <w:tcBorders>
              <w:top w:val="nil"/>
              <w:left w:val="nil"/>
              <w:bottom w:val="single" w:sz="4" w:space="0" w:color="auto"/>
              <w:right w:val="single" w:sz="4" w:space="0" w:color="auto"/>
            </w:tcBorders>
            <w:shd w:val="clear" w:color="auto" w:fill="auto"/>
            <w:vAlign w:val="center"/>
            <w:hideMark/>
          </w:tcPr>
          <w:p w14:paraId="2EF25E08"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Размерът на помощта, ако тя е била предоставена на бенефициера под формата на безвъзмездни средства, преди приспадането на данъци или други такси</w:t>
            </w:r>
          </w:p>
        </w:tc>
      </w:tr>
      <w:tr w:rsidR="00540A9D" w:rsidRPr="00540A9D" w14:paraId="5FF9B176"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1DA8546"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Възобновяеми енергийни източници (ВЕИ)</w:t>
            </w:r>
          </w:p>
        </w:tc>
        <w:tc>
          <w:tcPr>
            <w:tcW w:w="6111" w:type="dxa"/>
            <w:tcBorders>
              <w:top w:val="nil"/>
              <w:left w:val="nil"/>
              <w:bottom w:val="single" w:sz="4" w:space="0" w:color="auto"/>
              <w:right w:val="single" w:sz="4" w:space="0" w:color="auto"/>
            </w:tcBorders>
            <w:shd w:val="clear" w:color="auto" w:fill="auto"/>
            <w:vAlign w:val="center"/>
            <w:hideMark/>
          </w:tcPr>
          <w:p w14:paraId="6737BA79"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540A9D" w:rsidRPr="00540A9D" w14:paraId="3DDD811A" w14:textId="77777777" w:rsidTr="00750BC7">
        <w:trPr>
          <w:trHeight w:val="711"/>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919DF3A"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Големи предприятия</w:t>
            </w:r>
          </w:p>
        </w:tc>
        <w:tc>
          <w:tcPr>
            <w:tcW w:w="6111" w:type="dxa"/>
            <w:tcBorders>
              <w:top w:val="nil"/>
              <w:left w:val="nil"/>
              <w:bottom w:val="single" w:sz="4" w:space="0" w:color="auto"/>
              <w:right w:val="single" w:sz="4" w:space="0" w:color="auto"/>
            </w:tcBorders>
            <w:shd w:val="clear" w:color="auto" w:fill="auto"/>
            <w:vAlign w:val="center"/>
            <w:hideMark/>
          </w:tcPr>
          <w:p w14:paraId="40956200"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Предприятия, които не изпълняват критериите на чл. 3 от Закона за малките и средните предприятия.</w:t>
            </w:r>
          </w:p>
        </w:tc>
      </w:tr>
      <w:tr w:rsidR="00540A9D" w:rsidRPr="00540A9D" w14:paraId="63F8EAD6"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5AE99E2"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Дата на предоставяне на помощта</w:t>
            </w:r>
          </w:p>
        </w:tc>
        <w:tc>
          <w:tcPr>
            <w:tcW w:w="6111" w:type="dxa"/>
            <w:tcBorders>
              <w:top w:val="nil"/>
              <w:left w:val="nil"/>
              <w:bottom w:val="single" w:sz="4" w:space="0" w:color="auto"/>
              <w:right w:val="single" w:sz="4" w:space="0" w:color="auto"/>
            </w:tcBorders>
            <w:shd w:val="clear" w:color="auto" w:fill="auto"/>
            <w:vAlign w:val="center"/>
            <w:hideMark/>
          </w:tcPr>
          <w:p w14:paraId="46527254"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Датата, на която на крайния получател е предоставено законовото право за получаване на помощта съгласно приложимото национално законодателство</w:t>
            </w:r>
          </w:p>
        </w:tc>
      </w:tr>
      <w:tr w:rsidR="00540A9D" w:rsidRPr="00540A9D" w14:paraId="473683FC" w14:textId="77777777" w:rsidTr="00750BC7">
        <w:trPr>
          <w:trHeight w:val="218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F560A47"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Двойно финансиране</w:t>
            </w:r>
          </w:p>
        </w:tc>
        <w:tc>
          <w:tcPr>
            <w:tcW w:w="6111" w:type="dxa"/>
            <w:tcBorders>
              <w:top w:val="nil"/>
              <w:left w:val="nil"/>
              <w:bottom w:val="single" w:sz="4" w:space="0" w:color="auto"/>
              <w:right w:val="single" w:sz="4" w:space="0" w:color="auto"/>
            </w:tcBorders>
            <w:shd w:val="clear" w:color="auto" w:fill="auto"/>
            <w:vAlign w:val="center"/>
            <w:hideMark/>
          </w:tcPr>
          <w:p w14:paraId="02D52D46"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Финансиране, предоставено в нарушение на принципа за допълняемост</w:t>
            </w:r>
            <w:r w:rsidRPr="00540A9D">
              <w:rPr>
                <w:rFonts w:eastAsia="Times New Roman" w:cstheme="minorHAnsi"/>
                <w:b/>
                <w:bCs/>
                <w:sz w:val="24"/>
                <w:szCs w:val="24"/>
                <w:lang w:val="bg-BG" w:eastAsia="bg-BG"/>
              </w:rPr>
              <w:t xml:space="preserve"> </w:t>
            </w:r>
            <w:r w:rsidRPr="00540A9D">
              <w:rPr>
                <w:rFonts w:eastAsia="Times New Roman" w:cstheme="minorHAnsi"/>
                <w:sz w:val="24"/>
                <w:szCs w:val="24"/>
                <w:lang w:val="bg-BG" w:eastAsia="bg-BG"/>
              </w:rPr>
              <w:t>от Регламента за МВУ. Подкрепата по Механизма е в допълнение към подкрепата, предоставяна по линия на други програми и инструменти на Съюза. Реформите и инвестиционните проекти могат да получат подкрепа от други програми и инструменти на Съюза, при условие че тази подкрепа не покрива същите разходи</w:t>
            </w:r>
          </w:p>
        </w:tc>
      </w:tr>
      <w:tr w:rsidR="00540A9D" w:rsidRPr="00540A9D" w14:paraId="5F18E569" w14:textId="77777777" w:rsidTr="00750BC7">
        <w:trPr>
          <w:trHeight w:val="1872"/>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172452D"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Действителен собственик</w:t>
            </w:r>
          </w:p>
        </w:tc>
        <w:tc>
          <w:tcPr>
            <w:tcW w:w="6111" w:type="dxa"/>
            <w:tcBorders>
              <w:top w:val="nil"/>
              <w:left w:val="nil"/>
              <w:bottom w:val="single" w:sz="4" w:space="0" w:color="auto"/>
              <w:right w:val="single" w:sz="4" w:space="0" w:color="auto"/>
            </w:tcBorders>
            <w:shd w:val="clear" w:color="auto" w:fill="auto"/>
            <w:vAlign w:val="center"/>
            <w:hideMark/>
          </w:tcPr>
          <w:p w14:paraId="67D485AB"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Съгласно дефиницията на Закона за мерките срещу изпирането на пари (ЗМИП), „действителен собственик“ означава физическо лице или лица, което в крайна сметка притежава или контролира клиента и/или физическо лице или лица, от чието име се осъществява дадена сделка или дейност</w:t>
            </w:r>
          </w:p>
        </w:tc>
      </w:tr>
      <w:tr w:rsidR="00540A9D" w:rsidRPr="00540A9D" w14:paraId="4AC3F4CA" w14:textId="77777777" w:rsidTr="00750BC7">
        <w:trPr>
          <w:trHeight w:val="592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925C363"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Добро състояние</w:t>
            </w:r>
          </w:p>
        </w:tc>
        <w:tc>
          <w:tcPr>
            <w:tcW w:w="6111" w:type="dxa"/>
            <w:tcBorders>
              <w:top w:val="nil"/>
              <w:left w:val="nil"/>
              <w:bottom w:val="single" w:sz="4" w:space="0" w:color="auto"/>
              <w:right w:val="single" w:sz="4" w:space="0" w:color="auto"/>
            </w:tcBorders>
            <w:shd w:val="clear" w:color="auto" w:fill="auto"/>
            <w:vAlign w:val="center"/>
            <w:hideMark/>
          </w:tcPr>
          <w:p w14:paraId="18C5896E"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По отношение на екосистема, че екосистемата е в добро физическо, химично и биологично състояние или се отличава с добро физическо, химично и биологично качество, притежава способността да се самовъзпроизвежда или самовъзстановява, и чиито състав на видовете, структура и екологични функции не са нарушени;</w:t>
            </w:r>
            <w:r w:rsidRPr="00540A9D">
              <w:rPr>
                <w:rFonts w:eastAsia="Times New Roman" w:cstheme="minorHAnsi"/>
                <w:sz w:val="24"/>
                <w:szCs w:val="24"/>
                <w:lang w:val="bg-BG" w:eastAsia="bg-BG"/>
              </w:rPr>
              <w:br/>
              <w:t>а) за повърхностните води — състояние, при което те имат както „добро екологично състояние“ съгласно определението в член 2, точка 22 от Директива 2000/60/ EО, така и „добро химично състояние на повърхностните води“ съгласно определението в член 2, точка 24 от същата Директива;</w:t>
            </w:r>
          </w:p>
          <w:p w14:paraId="6D35F9FB"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б) за подземните води — състояние, при което те имат както „добро химично състояние на подземните води“ съгласно определението в член 2, точка 25 от Директива 2000/60/ EО, така и „добро количествено състояние“ съгласно определението в член 2, точка 28 от същата Директива;</w:t>
            </w:r>
          </w:p>
        </w:tc>
      </w:tr>
      <w:tr w:rsidR="00540A9D" w:rsidRPr="00540A9D" w14:paraId="2F382F71"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A92C4B8"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Добро състояние на повърхностните води</w:t>
            </w:r>
          </w:p>
        </w:tc>
        <w:tc>
          <w:tcPr>
            <w:tcW w:w="6111" w:type="dxa"/>
            <w:tcBorders>
              <w:top w:val="nil"/>
              <w:left w:val="nil"/>
              <w:bottom w:val="single" w:sz="4" w:space="0" w:color="auto"/>
              <w:right w:val="single" w:sz="4" w:space="0" w:color="auto"/>
            </w:tcBorders>
            <w:shd w:val="clear" w:color="auto" w:fill="auto"/>
            <w:vAlign w:val="center"/>
            <w:hideMark/>
          </w:tcPr>
          <w:p w14:paraId="4B91B0CB"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Състоянието, постигнато от повърхностния воден обект, когато и екологичното, и химичното му състояние са поне добри</w:t>
            </w:r>
          </w:p>
        </w:tc>
      </w:tr>
      <w:tr w:rsidR="00540A9D" w:rsidRPr="00540A9D" w14:paraId="5053C6E7"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980D7C5"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Добро състояние на подземните води</w:t>
            </w:r>
          </w:p>
        </w:tc>
        <w:tc>
          <w:tcPr>
            <w:tcW w:w="6111" w:type="dxa"/>
            <w:tcBorders>
              <w:top w:val="nil"/>
              <w:left w:val="nil"/>
              <w:bottom w:val="single" w:sz="4" w:space="0" w:color="auto"/>
              <w:right w:val="single" w:sz="4" w:space="0" w:color="auto"/>
            </w:tcBorders>
            <w:shd w:val="clear" w:color="auto" w:fill="auto"/>
            <w:vAlign w:val="center"/>
            <w:hideMark/>
          </w:tcPr>
          <w:p w14:paraId="7EE2729C"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Състоянието, достигнато от подземния воден обект, когато и количественото, и химичното му състояние са поне добри</w:t>
            </w:r>
          </w:p>
        </w:tc>
      </w:tr>
      <w:tr w:rsidR="00540A9D" w:rsidRPr="00540A9D" w14:paraId="14B895C0"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39026C0D"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Доминиращо влияние</w:t>
            </w:r>
          </w:p>
        </w:tc>
        <w:tc>
          <w:tcPr>
            <w:tcW w:w="6111" w:type="dxa"/>
            <w:tcBorders>
              <w:top w:val="nil"/>
              <w:left w:val="nil"/>
              <w:bottom w:val="single" w:sz="4" w:space="0" w:color="auto"/>
              <w:right w:val="single" w:sz="4" w:space="0" w:color="auto"/>
            </w:tcBorders>
            <w:shd w:val="clear" w:color="auto" w:fill="auto"/>
            <w:vAlign w:val="center"/>
            <w:hideMark/>
          </w:tcPr>
          <w:p w14:paraId="2CF80A49"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Влиянието върху юридическо лице от друго лице, което:</w:t>
            </w:r>
          </w:p>
          <w:p w14:paraId="42AF6B03"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а) притежава мажоритарния дял от капитала на юридическото лице, или</w:t>
            </w:r>
          </w:p>
          <w:p w14:paraId="5EA9196C"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б) притежава блокираща квота в капитала на юридическото лице, или</w:t>
            </w:r>
          </w:p>
          <w:p w14:paraId="18411B14"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 може да назначава повече от половината от членовете на управителните или контролните органи на юридическото лице.</w:t>
            </w:r>
          </w:p>
        </w:tc>
      </w:tr>
      <w:tr w:rsidR="00540A9D" w:rsidRPr="00540A9D" w14:paraId="2B55DA74"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855A52B"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Допълващо финансиране</w:t>
            </w:r>
          </w:p>
        </w:tc>
        <w:tc>
          <w:tcPr>
            <w:tcW w:w="6111" w:type="dxa"/>
            <w:tcBorders>
              <w:top w:val="nil"/>
              <w:left w:val="nil"/>
              <w:bottom w:val="single" w:sz="4" w:space="0" w:color="auto"/>
              <w:right w:val="single" w:sz="4" w:space="0" w:color="auto"/>
            </w:tcBorders>
            <w:shd w:val="clear" w:color="auto" w:fill="auto"/>
            <w:vAlign w:val="center"/>
            <w:hideMark/>
          </w:tcPr>
          <w:p w14:paraId="58AE21DC"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Финансирането с източник, различен от средствата по Механизма за възстановяване и устойчивост, отнасящо се за конкретна инвестиция в Плана за възстановяване и устойчивост и формиращо общата й стойност.</w:t>
            </w:r>
          </w:p>
        </w:tc>
      </w:tr>
      <w:tr w:rsidR="00540A9D" w:rsidRPr="00540A9D" w14:paraId="2238A922"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tcPr>
          <w:p w14:paraId="1167C867" w14:textId="69FED8D4" w:rsidR="00D80E20" w:rsidRPr="00540A9D" w:rsidRDefault="00D80E20"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Жизнен цикъл</w:t>
            </w:r>
          </w:p>
        </w:tc>
        <w:tc>
          <w:tcPr>
            <w:tcW w:w="6111" w:type="dxa"/>
            <w:tcBorders>
              <w:top w:val="nil"/>
              <w:left w:val="nil"/>
              <w:bottom w:val="single" w:sz="4" w:space="0" w:color="auto"/>
              <w:right w:val="single" w:sz="4" w:space="0" w:color="auto"/>
            </w:tcBorders>
            <w:shd w:val="clear" w:color="auto" w:fill="auto"/>
            <w:vAlign w:val="center"/>
          </w:tcPr>
          <w:p w14:paraId="557FC86C" w14:textId="5B851D18" w:rsidR="00D80E20" w:rsidRPr="00540A9D" w:rsidRDefault="00D80E20"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По смисъла на ПМС 80/2022 г. са всички последователни и/или взаимосвързани стадии, включително провеждането на научноизследователски и развойни дейности, производство, превоз, употреба и поддръжка, през целия период на съществуване на продукта или строежа или на предоставяне на услугата - от придобиването на суровината или генерирането на ресурсите до разчистването и края на експлоатацията или употребата.</w:t>
            </w:r>
          </w:p>
        </w:tc>
      </w:tr>
      <w:tr w:rsidR="00540A9D" w:rsidRPr="00540A9D" w14:paraId="499C7D0A" w14:textId="77777777" w:rsidTr="00750BC7">
        <w:trPr>
          <w:trHeight w:val="1560"/>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7AA4C57"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 xml:space="preserve">Земеделска дейност </w:t>
            </w:r>
          </w:p>
        </w:tc>
        <w:tc>
          <w:tcPr>
            <w:tcW w:w="6111" w:type="dxa"/>
            <w:tcBorders>
              <w:top w:val="nil"/>
              <w:left w:val="nil"/>
              <w:bottom w:val="single" w:sz="4" w:space="0" w:color="auto"/>
              <w:right w:val="single" w:sz="4" w:space="0" w:color="auto"/>
            </w:tcBorders>
            <w:shd w:val="clear" w:color="auto" w:fill="auto"/>
            <w:vAlign w:val="center"/>
            <w:hideMark/>
          </w:tcPr>
          <w:p w14:paraId="7B3F61EB"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 xml:space="preserve">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 </w:t>
            </w:r>
          </w:p>
        </w:tc>
      </w:tr>
      <w:tr w:rsidR="00540A9D" w:rsidRPr="00540A9D" w14:paraId="6F26C162" w14:textId="77777777" w:rsidTr="00750BC7">
        <w:trPr>
          <w:trHeight w:val="1872"/>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375CE77"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Земеделска техника</w:t>
            </w:r>
          </w:p>
        </w:tc>
        <w:tc>
          <w:tcPr>
            <w:tcW w:w="6111" w:type="dxa"/>
            <w:tcBorders>
              <w:top w:val="nil"/>
              <w:left w:val="nil"/>
              <w:bottom w:val="single" w:sz="4" w:space="0" w:color="auto"/>
              <w:right w:val="single" w:sz="4" w:space="0" w:color="auto"/>
            </w:tcBorders>
            <w:shd w:val="clear" w:color="auto" w:fill="auto"/>
            <w:vAlign w:val="center"/>
            <w:hideMark/>
          </w:tcPr>
          <w:p w14:paraId="297E58F0"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 включително и когато те се използват в животновъдните обекти.</w:t>
            </w:r>
          </w:p>
        </w:tc>
      </w:tr>
      <w:tr w:rsidR="00540A9D" w:rsidRPr="00540A9D" w14:paraId="0359AC0F" w14:textId="77777777" w:rsidTr="00750BC7">
        <w:trPr>
          <w:trHeight w:val="1057"/>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3CD5B068"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Земеделски култури</w:t>
            </w:r>
          </w:p>
        </w:tc>
        <w:tc>
          <w:tcPr>
            <w:tcW w:w="6111" w:type="dxa"/>
            <w:tcBorders>
              <w:top w:val="nil"/>
              <w:left w:val="nil"/>
              <w:bottom w:val="single" w:sz="4" w:space="0" w:color="auto"/>
              <w:right w:val="single" w:sz="4" w:space="0" w:color="auto"/>
            </w:tcBorders>
            <w:shd w:val="clear" w:color="auto" w:fill="auto"/>
            <w:vAlign w:val="center"/>
            <w:hideMark/>
          </w:tcPr>
          <w:p w14:paraId="6CDD5D85"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Растения от даден ботанически вид и род, които се отглеждат от човека, за да задоволяват определени негови потребности.</w:t>
            </w:r>
          </w:p>
        </w:tc>
      </w:tr>
      <w:tr w:rsidR="00540A9D" w:rsidRPr="00540A9D" w14:paraId="60DD9DF4"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22A6EED"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 xml:space="preserve">Земеделски площи </w:t>
            </w:r>
          </w:p>
        </w:tc>
        <w:tc>
          <w:tcPr>
            <w:tcW w:w="6111" w:type="dxa"/>
            <w:tcBorders>
              <w:top w:val="nil"/>
              <w:left w:val="nil"/>
              <w:bottom w:val="single" w:sz="4" w:space="0" w:color="auto"/>
              <w:right w:val="single" w:sz="4" w:space="0" w:color="auto"/>
            </w:tcBorders>
            <w:shd w:val="clear" w:color="auto" w:fill="auto"/>
            <w:vAlign w:val="center"/>
            <w:hideMark/>
          </w:tcPr>
          <w:p w14:paraId="50EE4BC5"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540A9D" w:rsidRPr="00540A9D" w14:paraId="3A30B26A"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31018E3B"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 xml:space="preserve">Земеделско стопанство </w:t>
            </w:r>
          </w:p>
        </w:tc>
        <w:tc>
          <w:tcPr>
            <w:tcW w:w="6111" w:type="dxa"/>
            <w:tcBorders>
              <w:top w:val="nil"/>
              <w:left w:val="nil"/>
              <w:bottom w:val="single" w:sz="4" w:space="0" w:color="auto"/>
              <w:right w:val="single" w:sz="4" w:space="0" w:color="auto"/>
            </w:tcBorders>
            <w:shd w:val="clear" w:color="auto" w:fill="auto"/>
            <w:vAlign w:val="center"/>
            <w:hideMark/>
          </w:tcPr>
          <w:p w14:paraId="23BA3930"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Единица, състояща се от земя, помещения и съоръжения, използвани за първично селскостопанско производство</w:t>
            </w:r>
          </w:p>
        </w:tc>
      </w:tr>
      <w:tr w:rsidR="00540A9D" w:rsidRPr="00540A9D" w14:paraId="7BB77F79" w14:textId="77777777" w:rsidTr="00750BC7">
        <w:trPr>
          <w:trHeight w:val="312"/>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9396D63"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Изкуствен воден обект</w:t>
            </w:r>
          </w:p>
        </w:tc>
        <w:tc>
          <w:tcPr>
            <w:tcW w:w="6111" w:type="dxa"/>
            <w:tcBorders>
              <w:top w:val="nil"/>
              <w:left w:val="nil"/>
              <w:bottom w:val="single" w:sz="4" w:space="0" w:color="auto"/>
              <w:right w:val="single" w:sz="4" w:space="0" w:color="auto"/>
            </w:tcBorders>
            <w:shd w:val="clear" w:color="auto" w:fill="auto"/>
            <w:vAlign w:val="center"/>
            <w:hideMark/>
          </w:tcPr>
          <w:p w14:paraId="2B2669D9"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Повърхностен воден обект, създаден от човешка дейност</w:t>
            </w:r>
          </w:p>
        </w:tc>
      </w:tr>
      <w:tr w:rsidR="00540A9D" w:rsidRPr="00540A9D" w14:paraId="7DB96258"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49A23666"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Измама</w:t>
            </w:r>
          </w:p>
        </w:tc>
        <w:tc>
          <w:tcPr>
            <w:tcW w:w="6111" w:type="dxa"/>
            <w:tcBorders>
              <w:top w:val="nil"/>
              <w:left w:val="nil"/>
              <w:bottom w:val="single" w:sz="4" w:space="0" w:color="auto"/>
              <w:right w:val="single" w:sz="4" w:space="0" w:color="auto"/>
            </w:tcBorders>
            <w:shd w:val="clear" w:color="auto" w:fill="auto"/>
            <w:vAlign w:val="center"/>
            <w:hideMark/>
          </w:tcPr>
          <w:p w14:paraId="6F0DC131"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Измама по смисъла на член 136, параграф 1, буква г), подточка i) от Финансовия регламент</w:t>
            </w:r>
          </w:p>
        </w:tc>
      </w:tr>
      <w:tr w:rsidR="00540A9D" w:rsidRPr="00540A9D" w14:paraId="515DFDC8" w14:textId="77777777" w:rsidTr="00750BC7">
        <w:trPr>
          <w:trHeight w:val="1872"/>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4BFEB963" w14:textId="242E2D2F"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Използвана земеделска площ</w:t>
            </w:r>
            <w:r w:rsidR="007C4C18" w:rsidRPr="00540A9D">
              <w:rPr>
                <w:rFonts w:eastAsia="Times New Roman" w:cstheme="minorHAnsi"/>
                <w:b/>
                <w:bCs/>
                <w:sz w:val="24"/>
                <w:szCs w:val="24"/>
                <w:lang w:val="bg-BG" w:eastAsia="bg-BG"/>
              </w:rPr>
              <w:t xml:space="preserve"> </w:t>
            </w:r>
          </w:p>
        </w:tc>
        <w:tc>
          <w:tcPr>
            <w:tcW w:w="6111" w:type="dxa"/>
            <w:tcBorders>
              <w:top w:val="nil"/>
              <w:left w:val="nil"/>
              <w:bottom w:val="single" w:sz="4" w:space="0" w:color="auto"/>
              <w:right w:val="single" w:sz="4" w:space="0" w:color="auto"/>
            </w:tcBorders>
            <w:shd w:val="clear" w:color="auto" w:fill="auto"/>
            <w:vAlign w:val="center"/>
            <w:hideMark/>
          </w:tcPr>
          <w:p w14:paraId="061AE8B4" w14:textId="594B83C3"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 xml:space="preserve">Използвана земеделска площ </w:t>
            </w:r>
            <w:r w:rsidR="007C4C18" w:rsidRPr="00540A9D">
              <w:rPr>
                <w:rFonts w:eastAsia="Times New Roman" w:cstheme="minorHAnsi"/>
                <w:sz w:val="24"/>
                <w:szCs w:val="24"/>
                <w:lang w:val="bg-BG" w:eastAsia="bg-BG"/>
              </w:rPr>
              <w:t xml:space="preserve">(ИЗП) </w:t>
            </w:r>
            <w:r w:rsidRPr="00540A9D">
              <w:rPr>
                <w:rFonts w:eastAsia="Times New Roman" w:cstheme="minorHAnsi"/>
                <w:sz w:val="24"/>
                <w:szCs w:val="24"/>
                <w:lang w:val="bg-BG" w:eastAsia="bg-BG"/>
              </w:rPr>
              <w:t>е площта, използвана от стопанството, независимо от собствеността й. В ИЗП се включват обработваемата земя, семейните градини, трайните насаждения и постоянно затревените площи (ливади и пасища), които се използват само от изследваното стопанство</w:t>
            </w:r>
          </w:p>
        </w:tc>
      </w:tr>
      <w:tr w:rsidR="00540A9D" w:rsidRPr="00540A9D" w14:paraId="17C3BC11"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DDDCAEF"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Икономически размер на стопанство</w:t>
            </w:r>
          </w:p>
        </w:tc>
        <w:tc>
          <w:tcPr>
            <w:tcW w:w="6111" w:type="dxa"/>
            <w:tcBorders>
              <w:top w:val="nil"/>
              <w:left w:val="nil"/>
              <w:bottom w:val="single" w:sz="4" w:space="0" w:color="auto"/>
              <w:right w:val="single" w:sz="4" w:space="0" w:color="auto"/>
            </w:tcBorders>
            <w:shd w:val="clear" w:color="auto" w:fill="auto"/>
            <w:vAlign w:val="center"/>
            <w:hideMark/>
          </w:tcPr>
          <w:p w14:paraId="60BEEE2A"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Размерът на земеделското стопанство, изразен в стандартен производствен обем.</w:t>
            </w:r>
          </w:p>
        </w:tc>
      </w:tr>
      <w:tr w:rsidR="00540A9D" w:rsidRPr="00540A9D" w14:paraId="4AEFA44E"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4B12A6DA" w14:textId="77777777" w:rsidR="009B4CFF" w:rsidRPr="00540A9D" w:rsidRDefault="009B4CFF" w:rsidP="00750BC7">
            <w:pPr>
              <w:spacing w:after="0" w:line="240" w:lineRule="auto"/>
              <w:rPr>
                <w:rFonts w:eastAsia="Times New Roman" w:cstheme="minorHAnsi"/>
                <w:b/>
                <w:bCs/>
                <w:strike/>
                <w:sz w:val="24"/>
                <w:szCs w:val="24"/>
                <w:lang w:val="bg-BG" w:eastAsia="bg-BG"/>
              </w:rPr>
            </w:pPr>
            <w:r w:rsidRPr="00540A9D">
              <w:rPr>
                <w:rFonts w:eastAsia="Times New Roman" w:cstheme="minorHAnsi"/>
                <w:b/>
                <w:bCs/>
                <w:strike/>
                <w:sz w:val="24"/>
                <w:szCs w:val="24"/>
                <w:lang w:val="bg-BG" w:eastAsia="bg-BG"/>
              </w:rPr>
              <w:t>Инвестиции в обхвата на дейностите по Инструмента на Европейския съюз за възстановяване</w:t>
            </w:r>
          </w:p>
        </w:tc>
        <w:tc>
          <w:tcPr>
            <w:tcW w:w="6111" w:type="dxa"/>
            <w:tcBorders>
              <w:top w:val="nil"/>
              <w:left w:val="nil"/>
              <w:bottom w:val="single" w:sz="4" w:space="0" w:color="auto"/>
              <w:right w:val="single" w:sz="4" w:space="0" w:color="auto"/>
            </w:tcBorders>
            <w:shd w:val="clear" w:color="auto" w:fill="auto"/>
            <w:vAlign w:val="center"/>
            <w:hideMark/>
          </w:tcPr>
          <w:p w14:paraId="2597C865" w14:textId="77777777" w:rsidR="009B4CFF" w:rsidRPr="00540A9D" w:rsidRDefault="009B4CFF" w:rsidP="00750BC7">
            <w:pPr>
              <w:spacing w:after="0" w:line="240" w:lineRule="auto"/>
              <w:jc w:val="both"/>
              <w:rPr>
                <w:rFonts w:eastAsia="Times New Roman" w:cstheme="minorHAnsi"/>
                <w:strike/>
                <w:sz w:val="24"/>
                <w:szCs w:val="24"/>
                <w:lang w:val="bg-BG" w:eastAsia="bg-BG"/>
              </w:rPr>
            </w:pPr>
            <w:r w:rsidRPr="00540A9D">
              <w:rPr>
                <w:rFonts w:eastAsia="Times New Roman" w:cstheme="minorHAnsi"/>
                <w:strike/>
                <w:sz w:val="24"/>
                <w:szCs w:val="24"/>
                <w:lang w:val="bg-BG" w:eastAsia="bg-BG"/>
              </w:rPr>
              <w:t xml:space="preserve">Инвестиции и дейности, които допринасят за устойчивото и цифрово икономическо възстановяване, описани в </w:t>
            </w:r>
            <w:r w:rsidRPr="00540A9D">
              <w:rPr>
                <w:rFonts w:eastAsia="Times New Roman" w:cstheme="minorHAnsi"/>
                <w:i/>
                <w:iCs/>
                <w:strike/>
                <w:sz w:val="24"/>
                <w:szCs w:val="24"/>
                <w:lang w:val="bg-BG" w:eastAsia="bg-BG"/>
              </w:rPr>
              <w:t>Приложение № Б-5 - Списък на допустимите инвестиционни разходи</w:t>
            </w:r>
          </w:p>
        </w:tc>
      </w:tr>
      <w:tr w:rsidR="00540A9D" w:rsidRPr="00540A9D" w14:paraId="7798C1A5"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67F2777"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Инвестиции за привеждане в съответствие със стандарт на Съюза</w:t>
            </w:r>
          </w:p>
        </w:tc>
        <w:tc>
          <w:tcPr>
            <w:tcW w:w="6111" w:type="dxa"/>
            <w:tcBorders>
              <w:top w:val="nil"/>
              <w:left w:val="nil"/>
              <w:bottom w:val="single" w:sz="4" w:space="0" w:color="auto"/>
              <w:right w:val="single" w:sz="4" w:space="0" w:color="auto"/>
            </w:tcBorders>
            <w:shd w:val="clear" w:color="auto" w:fill="auto"/>
            <w:vAlign w:val="center"/>
            <w:hideMark/>
          </w:tcPr>
          <w:p w14:paraId="3719E5FC"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Инвестиции, целящи привеждането в съответствие със стандарт на Съюза след изтичането на преходния период, предвиден в законодателството на Съюза</w:t>
            </w:r>
          </w:p>
        </w:tc>
      </w:tr>
      <w:tr w:rsidR="00540A9D" w:rsidRPr="00540A9D" w14:paraId="1C525911" w14:textId="77777777" w:rsidTr="00750BC7">
        <w:trPr>
          <w:trHeight w:val="1872"/>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3A49D39F"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Инженерен проект</w:t>
            </w:r>
          </w:p>
        </w:tc>
        <w:tc>
          <w:tcPr>
            <w:tcW w:w="6111" w:type="dxa"/>
            <w:tcBorders>
              <w:top w:val="nil"/>
              <w:left w:val="nil"/>
              <w:bottom w:val="single" w:sz="4" w:space="0" w:color="auto"/>
              <w:right w:val="single" w:sz="4" w:space="0" w:color="auto"/>
            </w:tcBorders>
            <w:shd w:val="clear" w:color="auto" w:fill="auto"/>
            <w:vAlign w:val="center"/>
            <w:hideMark/>
          </w:tcPr>
          <w:p w14:paraId="3D485E31"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Документ, съдържащ анализ и подробна информация и технически данни за планираните за изпълнение с ПИИ системи за напояване в земеделското стопанство и определящ съответствието им с чл. 14, т. 6, е) от Регламент (ЕС) № 2222/2472, включително потенциалните икономии и ефективните икономии на вода на напоителната система.</w:t>
            </w:r>
          </w:p>
        </w:tc>
      </w:tr>
      <w:tr w:rsidR="00540A9D" w:rsidRPr="00540A9D" w14:paraId="631705A7"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E2F9DCC"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Интензитет на помощ</w:t>
            </w:r>
          </w:p>
        </w:tc>
        <w:tc>
          <w:tcPr>
            <w:tcW w:w="6111" w:type="dxa"/>
            <w:tcBorders>
              <w:top w:val="nil"/>
              <w:left w:val="nil"/>
              <w:bottom w:val="single" w:sz="4" w:space="0" w:color="auto"/>
              <w:right w:val="single" w:sz="4" w:space="0" w:color="auto"/>
            </w:tcBorders>
            <w:shd w:val="clear" w:color="auto" w:fill="auto"/>
            <w:vAlign w:val="center"/>
            <w:hideMark/>
          </w:tcPr>
          <w:p w14:paraId="23C54C90" w14:textId="77777777" w:rsidR="009B4CFF" w:rsidRPr="00540A9D" w:rsidRDefault="009B4CFF" w:rsidP="007C4C18">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означава брутният размер на помощта, изразен като процент от допустимите разходи преди приспадането на данъци или други такси</w:t>
            </w:r>
          </w:p>
        </w:tc>
      </w:tr>
      <w:tr w:rsidR="00540A9D" w:rsidRPr="00540A9D" w14:paraId="31D11A32"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540D39A"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Кандидати за средства от Механизма за възстановяване и устойчивост</w:t>
            </w:r>
          </w:p>
        </w:tc>
        <w:tc>
          <w:tcPr>
            <w:tcW w:w="6111" w:type="dxa"/>
            <w:tcBorders>
              <w:top w:val="nil"/>
              <w:left w:val="nil"/>
              <w:bottom w:val="single" w:sz="4" w:space="0" w:color="auto"/>
              <w:right w:val="single" w:sz="4" w:space="0" w:color="auto"/>
            </w:tcBorders>
            <w:shd w:val="clear" w:color="auto" w:fill="auto"/>
            <w:vAlign w:val="center"/>
            <w:hideMark/>
          </w:tcPr>
          <w:p w14:paraId="23027F0F"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540A9D" w:rsidRPr="00540A9D" w14:paraId="12B8ACCA"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3DE6CF66"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Количествено състояние</w:t>
            </w:r>
          </w:p>
        </w:tc>
        <w:tc>
          <w:tcPr>
            <w:tcW w:w="6111" w:type="dxa"/>
            <w:tcBorders>
              <w:top w:val="nil"/>
              <w:left w:val="nil"/>
              <w:bottom w:val="single" w:sz="4" w:space="0" w:color="auto"/>
              <w:right w:val="single" w:sz="4" w:space="0" w:color="auto"/>
            </w:tcBorders>
            <w:shd w:val="clear" w:color="auto" w:fill="auto"/>
            <w:vAlign w:val="center"/>
            <w:hideMark/>
          </w:tcPr>
          <w:p w14:paraId="5AAF50B9"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Израз на степента, в която подземен воден обект е засегнат от директно или индиректно черпене</w:t>
            </w:r>
          </w:p>
        </w:tc>
      </w:tr>
      <w:tr w:rsidR="00540A9D" w:rsidRPr="00540A9D" w14:paraId="12CE8532" w14:textId="77777777" w:rsidTr="00750BC7">
        <w:trPr>
          <w:trHeight w:val="3432"/>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1C98438"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Краен получател (КП)</w:t>
            </w:r>
          </w:p>
        </w:tc>
        <w:tc>
          <w:tcPr>
            <w:tcW w:w="6111" w:type="dxa"/>
            <w:tcBorders>
              <w:top w:val="nil"/>
              <w:left w:val="nil"/>
              <w:bottom w:val="single" w:sz="4" w:space="0" w:color="auto"/>
              <w:right w:val="single" w:sz="4" w:space="0" w:color="auto"/>
            </w:tcBorders>
            <w:shd w:val="clear" w:color="auto" w:fill="auto"/>
            <w:vAlign w:val="center"/>
            <w:hideMark/>
          </w:tcPr>
          <w:p w14:paraId="3AE23315" w14:textId="32712C10"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Кандидат за средства от Механизма за възстановяване и устойчивост, чието предложение за изпълнение на инвестиция (ПИИ) е одобрено с решение на ръководителя на структурата за наблюдение и докладване (СНД)</w:t>
            </w:r>
            <w:r w:rsidR="007C4C18" w:rsidRPr="00540A9D">
              <w:rPr>
                <w:rFonts w:eastAsia="Times New Roman" w:cstheme="minorHAnsi"/>
                <w:sz w:val="24"/>
                <w:szCs w:val="24"/>
                <w:lang w:val="bg-BG" w:eastAsia="bg-BG"/>
              </w:rPr>
              <w:t xml:space="preserve"> (ДФ „Земеделие“)</w:t>
            </w:r>
            <w:r w:rsidRPr="00540A9D">
              <w:rPr>
                <w:rFonts w:eastAsia="Times New Roman" w:cstheme="minorHAnsi"/>
                <w:sz w:val="24"/>
                <w:szCs w:val="24"/>
                <w:lang w:val="bg-BG" w:eastAsia="bg-BG"/>
              </w:rPr>
              <w:t xml:space="preserve"> в резултат на извършена процедура чрез подбор по реда на Постановление № 114 на Министерския съвет от 2022 г. за определяне на детайлни правила за предоставяне на средства на крайни получатели от Механизма за възстановяване и устойчивост (ДВ, бр. 43 от 2022 г.) и с когото е сключен договор за предоставяне на средства от Механизма.</w:t>
            </w:r>
          </w:p>
        </w:tc>
      </w:tr>
      <w:tr w:rsidR="00540A9D" w:rsidRPr="00540A9D" w14:paraId="4A1A487F"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7D89D78"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Материални активи</w:t>
            </w:r>
          </w:p>
        </w:tc>
        <w:tc>
          <w:tcPr>
            <w:tcW w:w="6111" w:type="dxa"/>
            <w:tcBorders>
              <w:top w:val="nil"/>
              <w:left w:val="nil"/>
              <w:bottom w:val="single" w:sz="4" w:space="0" w:color="auto"/>
              <w:right w:val="single" w:sz="4" w:space="0" w:color="auto"/>
            </w:tcBorders>
            <w:shd w:val="clear" w:color="auto" w:fill="auto"/>
            <w:vAlign w:val="center"/>
            <w:hideMark/>
          </w:tcPr>
          <w:p w14:paraId="6C1DB0F3"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Активи, състоящи се от земя, сгради, съоръжения, машини и оборудване</w:t>
            </w:r>
          </w:p>
        </w:tc>
      </w:tr>
      <w:tr w:rsidR="00540A9D" w:rsidRPr="00540A9D" w14:paraId="0D7D5162" w14:textId="77777777" w:rsidTr="00750BC7">
        <w:trPr>
          <w:trHeight w:val="249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D5C1177"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Международно признат стандарт</w:t>
            </w:r>
          </w:p>
        </w:tc>
        <w:tc>
          <w:tcPr>
            <w:tcW w:w="6111" w:type="dxa"/>
            <w:tcBorders>
              <w:top w:val="nil"/>
              <w:left w:val="nil"/>
              <w:bottom w:val="single" w:sz="4" w:space="0" w:color="auto"/>
              <w:right w:val="single" w:sz="4" w:space="0" w:color="auto"/>
            </w:tcBorders>
            <w:shd w:val="clear" w:color="auto" w:fill="auto"/>
            <w:vAlign w:val="center"/>
            <w:hideMark/>
          </w:tcPr>
          <w:p w14:paraId="00170090"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r w:rsidRPr="00540A9D">
              <w:rPr>
                <w:rFonts w:eastAsia="Times New Roman" w:cstheme="minorHAnsi"/>
                <w:sz w:val="24"/>
                <w:szCs w:val="24"/>
                <w:lang w:val="bg-BG" w:eastAsia="bg-BG"/>
              </w:rPr>
              <w:br/>
              <w:t>„Инвестиции за привеждане в съответствие със стандарт на Съюза“ означава инвестиции, целящи привеждането в съответствие със стандарт на Съюза след изтичането на преходния период, предвиден в законодателството на Съюза.</w:t>
            </w:r>
          </w:p>
        </w:tc>
      </w:tr>
      <w:tr w:rsidR="00540A9D" w:rsidRPr="00540A9D" w14:paraId="45676CE9" w14:textId="77777777" w:rsidTr="00750BC7">
        <w:trPr>
          <w:trHeight w:val="1872"/>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BA7D181"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Напоителна инсталация</w:t>
            </w:r>
          </w:p>
        </w:tc>
        <w:tc>
          <w:tcPr>
            <w:tcW w:w="6111" w:type="dxa"/>
            <w:tcBorders>
              <w:top w:val="nil"/>
              <w:left w:val="nil"/>
              <w:bottom w:val="single" w:sz="4" w:space="0" w:color="auto"/>
              <w:right w:val="single" w:sz="4" w:space="0" w:color="auto"/>
            </w:tcBorders>
            <w:shd w:val="clear" w:color="auto" w:fill="auto"/>
            <w:vAlign w:val="center"/>
            <w:hideMark/>
          </w:tcPr>
          <w:p w14:paraId="101D0C24"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„Напоителни инсталации“ в стопанството обхваща оборудването за напояване в стопанството или инсталациите, необходими за пръскането с вода на полето (като се използват различни методи като капково напояване, дъждовални напоителни системи, оборудвани или проектирани водовземания и т.н.).</w:t>
            </w:r>
          </w:p>
        </w:tc>
      </w:tr>
      <w:tr w:rsidR="00540A9D" w:rsidRPr="00540A9D" w14:paraId="6CE37DB0" w14:textId="77777777" w:rsidTr="00750BC7">
        <w:trPr>
          <w:trHeight w:val="1560"/>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BCA0A73"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Напоителна инфраструктура</w:t>
            </w:r>
          </w:p>
        </w:tc>
        <w:tc>
          <w:tcPr>
            <w:tcW w:w="6111" w:type="dxa"/>
            <w:tcBorders>
              <w:top w:val="nil"/>
              <w:left w:val="nil"/>
              <w:bottom w:val="single" w:sz="4" w:space="0" w:color="auto"/>
              <w:right w:val="single" w:sz="4" w:space="0" w:color="auto"/>
            </w:tcBorders>
            <w:shd w:val="clear" w:color="auto" w:fill="auto"/>
            <w:vAlign w:val="center"/>
            <w:hideMark/>
          </w:tcPr>
          <w:p w14:paraId="00FFB586"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„Инфраструктура за напояване“ извън стопанството включва инфраструктура извън стопанството, свързана с преноса, разпределението и съхранението на вода за напояване. Eлементи от инфраструктурата също могат да бъдат част от инвестициите в стопанствата.</w:t>
            </w:r>
          </w:p>
        </w:tc>
      </w:tr>
      <w:tr w:rsidR="00540A9D" w:rsidRPr="00540A9D" w14:paraId="2EDFC664" w14:textId="77777777" w:rsidTr="00750BC7">
        <w:trPr>
          <w:trHeight w:val="28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E59C8FD"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Напоителната система</w:t>
            </w:r>
          </w:p>
        </w:tc>
        <w:tc>
          <w:tcPr>
            <w:tcW w:w="6111" w:type="dxa"/>
            <w:tcBorders>
              <w:top w:val="nil"/>
              <w:left w:val="nil"/>
              <w:bottom w:val="single" w:sz="4" w:space="0" w:color="auto"/>
              <w:right w:val="single" w:sz="4" w:space="0" w:color="auto"/>
            </w:tcBorders>
            <w:shd w:val="clear" w:color="auto" w:fill="auto"/>
            <w:vAlign w:val="center"/>
            <w:hideMark/>
          </w:tcPr>
          <w:p w14:paraId="058087A0"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 xml:space="preserve">Напоителната система се състои от всички елементи, свързани с водовземането, преноса, разпределението, съхранението и пръскането с вода за напояване. </w:t>
            </w:r>
            <w:r w:rsidRPr="00540A9D">
              <w:rPr>
                <w:rFonts w:eastAsia="Times New Roman" w:cstheme="minorHAnsi"/>
                <w:sz w:val="24"/>
                <w:szCs w:val="24"/>
                <w:lang w:val="bg-BG" w:eastAsia="bg-BG"/>
              </w:rPr>
              <w:br/>
              <w:t>В зависимост от използваната технология някои от тези елементи могат да бъдат подвижни елементи (подвижни помпи, подвижни въртящи се пръскачки, напоителни системи с макари за маркуч, далекоструйни дъждовални разпръсквачи)</w:t>
            </w:r>
          </w:p>
        </w:tc>
      </w:tr>
      <w:tr w:rsidR="00540A9D" w:rsidRPr="00540A9D" w14:paraId="3A523D3D" w14:textId="77777777" w:rsidTr="00750BC7">
        <w:trPr>
          <w:trHeight w:val="288"/>
        </w:trPr>
        <w:tc>
          <w:tcPr>
            <w:tcW w:w="3240" w:type="dxa"/>
            <w:tcBorders>
              <w:top w:val="nil"/>
              <w:left w:val="single" w:sz="4" w:space="0" w:color="auto"/>
              <w:bottom w:val="single" w:sz="4" w:space="0" w:color="auto"/>
              <w:right w:val="single" w:sz="4" w:space="0" w:color="auto"/>
            </w:tcBorders>
            <w:shd w:val="clear" w:color="auto" w:fill="auto"/>
            <w:vAlign w:val="center"/>
          </w:tcPr>
          <w:p w14:paraId="54B77E28" w14:textId="1B433555" w:rsidR="00F525E4" w:rsidRPr="00540A9D" w:rsidRDefault="00F525E4"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Национално публично съфинансиране</w:t>
            </w:r>
          </w:p>
        </w:tc>
        <w:tc>
          <w:tcPr>
            <w:tcW w:w="6111" w:type="dxa"/>
            <w:tcBorders>
              <w:top w:val="nil"/>
              <w:left w:val="nil"/>
              <w:bottom w:val="single" w:sz="4" w:space="0" w:color="auto"/>
              <w:right w:val="single" w:sz="4" w:space="0" w:color="auto"/>
            </w:tcBorders>
            <w:shd w:val="clear" w:color="auto" w:fill="auto"/>
            <w:vAlign w:val="center"/>
          </w:tcPr>
          <w:p w14:paraId="1E6F9921" w14:textId="02FB5818" w:rsidR="00F525E4" w:rsidRPr="00540A9D" w:rsidRDefault="00F525E4"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Национално публично съфинансиране са средствата, които се осигуряват от сметката за средства от ЕС на Националния фонд за сметка на трансфера от централния бюджет, определен с годишния закон за държавния бюджет.</w:t>
            </w:r>
          </w:p>
        </w:tc>
      </w:tr>
      <w:tr w:rsidR="00540A9D" w:rsidRPr="00540A9D" w14:paraId="468BCBEB" w14:textId="77777777" w:rsidTr="00750BC7">
        <w:trPr>
          <w:trHeight w:val="280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9CAA5D2"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Начало на работата по проекта или дейността</w:t>
            </w:r>
          </w:p>
        </w:tc>
        <w:tc>
          <w:tcPr>
            <w:tcW w:w="6111" w:type="dxa"/>
            <w:tcBorders>
              <w:top w:val="nil"/>
              <w:left w:val="nil"/>
              <w:bottom w:val="single" w:sz="4" w:space="0" w:color="auto"/>
              <w:right w:val="single" w:sz="4" w:space="0" w:color="auto"/>
            </w:tcBorders>
            <w:shd w:val="clear" w:color="auto" w:fill="auto"/>
            <w:vAlign w:val="center"/>
            <w:hideMark/>
          </w:tcPr>
          <w:p w14:paraId="4E484BAB"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Началото на свързаните с инвестицията дейности или строителни работи, или първият правнообвързващ ангажимент за поръчка на оборудване или услуги, или всеки друг ангажимент, който прави проекта или дейността необратими, в зависимост от това кое от двете събития настъпва по-рано; купуването на земя и подготвителните дейности като получаването на разрешения и провеждането на проучвания за осъществимост не се считат за начало на работата или дейността</w:t>
            </w:r>
          </w:p>
        </w:tc>
      </w:tr>
      <w:tr w:rsidR="00540A9D" w:rsidRPr="00540A9D" w14:paraId="6C71FA35" w14:textId="77777777" w:rsidTr="00750BC7">
        <w:trPr>
          <w:trHeight w:val="561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C1AC651"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Независими оферти</w:t>
            </w:r>
          </w:p>
        </w:tc>
        <w:tc>
          <w:tcPr>
            <w:tcW w:w="6111" w:type="dxa"/>
            <w:tcBorders>
              <w:top w:val="nil"/>
              <w:left w:val="nil"/>
              <w:bottom w:val="single" w:sz="4" w:space="0" w:color="auto"/>
              <w:right w:val="single" w:sz="4" w:space="0" w:color="auto"/>
            </w:tcBorders>
            <w:shd w:val="clear" w:color="auto" w:fill="auto"/>
            <w:vAlign w:val="center"/>
            <w:hideMark/>
          </w:tcPr>
          <w:p w14:paraId="2A370A5D" w14:textId="6D956B81"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Оферти, подадени от лица, които не се намират в следната свързаност помежду си или спрямо кандидата:</w:t>
            </w:r>
          </w:p>
          <w:p w14:paraId="1C954BDB"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а) едното участва в управлението на дружеството на другото;</w:t>
            </w:r>
          </w:p>
          <w:p w14:paraId="268BE1A2"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б) съдружници;</w:t>
            </w:r>
          </w:p>
          <w:p w14:paraId="5F5BCBDB"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 съвместно контролират пряко трето лице;</w:t>
            </w:r>
          </w:p>
          <w:p w14:paraId="5FA87FC0"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E39D7DE"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д) едното лице притежава повече от половината от броя на гласовете в общото събрание на другото лице;</w:t>
            </w:r>
          </w:p>
          <w:p w14:paraId="6C1B47CC"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е) лицата, чиято дейност се контролира пряко или косвено от трето лице – физическо или юридическо.</w:t>
            </w:r>
          </w:p>
          <w:p w14:paraId="6D9E4961"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ж) лицата, едното от които е търговски представител на другото.</w:t>
            </w:r>
          </w:p>
        </w:tc>
      </w:tr>
      <w:tr w:rsidR="00540A9D" w:rsidRPr="00540A9D" w14:paraId="369F7EE6"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B98B9B7"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Нематериални активи</w:t>
            </w:r>
          </w:p>
        </w:tc>
        <w:tc>
          <w:tcPr>
            <w:tcW w:w="6111" w:type="dxa"/>
            <w:tcBorders>
              <w:top w:val="nil"/>
              <w:left w:val="nil"/>
              <w:bottom w:val="single" w:sz="4" w:space="0" w:color="auto"/>
              <w:right w:val="single" w:sz="4" w:space="0" w:color="auto"/>
            </w:tcBorders>
            <w:shd w:val="clear" w:color="auto" w:fill="auto"/>
            <w:vAlign w:val="center"/>
            <w:hideMark/>
          </w:tcPr>
          <w:p w14:paraId="5D198210"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Активи, които нямат физически или финансов израз, като патенти, лицензи, ноу-хау или друга интелектуална собственост</w:t>
            </w:r>
          </w:p>
        </w:tc>
      </w:tr>
      <w:tr w:rsidR="00540A9D" w:rsidRPr="00540A9D" w14:paraId="7DD8020D" w14:textId="77777777" w:rsidTr="00750BC7">
        <w:trPr>
          <w:trHeight w:val="1872"/>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FD4044A"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Ненанасяне на значителни вреди</w:t>
            </w:r>
          </w:p>
        </w:tc>
        <w:tc>
          <w:tcPr>
            <w:tcW w:w="6111" w:type="dxa"/>
            <w:tcBorders>
              <w:top w:val="nil"/>
              <w:left w:val="nil"/>
              <w:bottom w:val="single" w:sz="4" w:space="0" w:color="auto"/>
              <w:right w:val="single" w:sz="4" w:space="0" w:color="auto"/>
            </w:tcBorders>
            <w:shd w:val="clear" w:color="auto" w:fill="auto"/>
            <w:vAlign w:val="center"/>
            <w:hideMark/>
          </w:tcPr>
          <w:p w14:paraId="23B55058"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Принципът за „Ненанасяне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 за създаване на рамка за улесняване на устойчивите инвестиции.</w:t>
            </w:r>
          </w:p>
        </w:tc>
      </w:tr>
      <w:tr w:rsidR="00540A9D" w:rsidRPr="00540A9D" w14:paraId="03B0043E" w14:textId="77777777" w:rsidTr="00750BC7">
        <w:trPr>
          <w:trHeight w:val="5616"/>
        </w:trPr>
        <w:tc>
          <w:tcPr>
            <w:tcW w:w="3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3B4DE"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„Нетно увеличение“ на „напояваната площ“</w:t>
            </w:r>
          </w:p>
        </w:tc>
        <w:tc>
          <w:tcPr>
            <w:tcW w:w="6111" w:type="dxa"/>
            <w:tcBorders>
              <w:top w:val="single" w:sz="4" w:space="0" w:color="auto"/>
              <w:left w:val="nil"/>
              <w:bottom w:val="single" w:sz="4" w:space="0" w:color="auto"/>
              <w:right w:val="single" w:sz="4" w:space="0" w:color="auto"/>
            </w:tcBorders>
            <w:shd w:val="clear" w:color="auto" w:fill="auto"/>
            <w:vAlign w:val="center"/>
            <w:hideMark/>
          </w:tcPr>
          <w:p w14:paraId="6ECE8422" w14:textId="058F5BD2"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„Нетно увеличение“ на „напояваната площ“ е налице, когато се създаде нова напоявана площ, без да е налице равностойно намаление на вече съществуващата напоявана площ, което засяга същото водно тяло.</w:t>
            </w:r>
            <w:r w:rsidRPr="00540A9D">
              <w:rPr>
                <w:rFonts w:eastAsia="Times New Roman" w:cstheme="minorHAnsi"/>
                <w:sz w:val="24"/>
                <w:szCs w:val="24"/>
                <w:lang w:val="bg-BG" w:eastAsia="bg-BG"/>
              </w:rPr>
              <w:br/>
              <w:t>Понятието „нетно увеличение на напояваната площ“, посочено в член 74, параграф 6</w:t>
            </w:r>
            <w:r w:rsidR="00080FF0" w:rsidRPr="00540A9D">
              <w:rPr>
                <w:rFonts w:eastAsia="Times New Roman" w:cstheme="minorHAnsi"/>
                <w:sz w:val="24"/>
                <w:szCs w:val="24"/>
                <w:lang w:val="bg-BG" w:eastAsia="bg-BG"/>
              </w:rPr>
              <w:t xml:space="preserve"> от Регламента за стратегическите планове</w:t>
            </w:r>
            <w:r w:rsidRPr="00540A9D">
              <w:rPr>
                <w:rFonts w:eastAsia="Times New Roman" w:cstheme="minorHAnsi"/>
                <w:sz w:val="24"/>
                <w:szCs w:val="24"/>
                <w:lang w:val="bg-BG" w:eastAsia="bg-BG"/>
              </w:rPr>
              <w:t>, трябва да се тълкува по смисъла на съображение 90, в което се пояснява, че „ЕЗФРСР не следва да финансира инвестиции в напоителни системи, които не допринасят за постигането или запазването на доброто състояние на свързания воден обект или обекти“. Това означава, че са недопустими не само инвестиции, които водят до нетно увеличение на напояваната площ на места, където водните обекти вече са подложени на натиск, но също така не може да бъдат финансирани инвестиции, които биха увеличили обема на водовземането и следователно натиска за водовземането върху такива водни обекти.</w:t>
            </w:r>
          </w:p>
        </w:tc>
      </w:tr>
      <w:tr w:rsidR="00540A9D" w:rsidRPr="00540A9D" w14:paraId="055FA3DF" w14:textId="77777777" w:rsidTr="00750BC7">
        <w:trPr>
          <w:trHeight w:val="249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29F639E"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Нередност</w:t>
            </w:r>
          </w:p>
        </w:tc>
        <w:tc>
          <w:tcPr>
            <w:tcW w:w="6111" w:type="dxa"/>
            <w:tcBorders>
              <w:top w:val="nil"/>
              <w:left w:val="nil"/>
              <w:bottom w:val="single" w:sz="4" w:space="0" w:color="auto"/>
              <w:right w:val="single" w:sz="4" w:space="0" w:color="auto"/>
            </w:tcBorders>
            <w:shd w:val="clear" w:color="auto" w:fill="auto"/>
            <w:vAlign w:val="center"/>
            <w:hideMark/>
          </w:tcPr>
          <w:p w14:paraId="07BD5482"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540A9D" w:rsidRPr="00540A9D" w14:paraId="61FE50F7"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411E4EAB"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Оперативни разходи</w:t>
            </w:r>
          </w:p>
        </w:tc>
        <w:tc>
          <w:tcPr>
            <w:tcW w:w="6111" w:type="dxa"/>
            <w:tcBorders>
              <w:top w:val="nil"/>
              <w:left w:val="nil"/>
              <w:bottom w:val="single" w:sz="4" w:space="0" w:color="auto"/>
              <w:right w:val="single" w:sz="4" w:space="0" w:color="auto"/>
            </w:tcBorders>
            <w:shd w:val="clear" w:color="auto" w:fill="auto"/>
            <w:vAlign w:val="center"/>
            <w:hideMark/>
          </w:tcPr>
          <w:p w14:paraId="42BCD9DA"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Административните разходи и разходите, свързани с поддръжка и експлоатация на активите</w:t>
            </w:r>
          </w:p>
        </w:tc>
      </w:tr>
      <w:tr w:rsidR="00540A9D" w:rsidRPr="00540A9D" w14:paraId="08D51D3F"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4750C96"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Отпадъчни продукти</w:t>
            </w:r>
          </w:p>
        </w:tc>
        <w:tc>
          <w:tcPr>
            <w:tcW w:w="6111" w:type="dxa"/>
            <w:tcBorders>
              <w:top w:val="nil"/>
              <w:left w:val="nil"/>
              <w:bottom w:val="single" w:sz="4" w:space="0" w:color="auto"/>
              <w:right w:val="single" w:sz="4" w:space="0" w:color="auto"/>
            </w:tcBorders>
            <w:shd w:val="clear" w:color="auto" w:fill="auto"/>
            <w:vAlign w:val="center"/>
            <w:hideMark/>
          </w:tcPr>
          <w:p w14:paraId="4970D62B"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540A9D" w:rsidRPr="00540A9D" w14:paraId="2CAF5083" w14:textId="77777777" w:rsidTr="00750BC7">
        <w:trPr>
          <w:trHeight w:val="1560"/>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2CFA365" w14:textId="1AB4DE01"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 xml:space="preserve">Оценка </w:t>
            </w:r>
            <w:r w:rsidR="00774ADF" w:rsidRPr="00540A9D">
              <w:rPr>
                <w:rFonts w:eastAsia="Times New Roman" w:cstheme="minorHAnsi"/>
                <w:b/>
                <w:bCs/>
                <w:sz w:val="24"/>
                <w:szCs w:val="24"/>
                <w:lang w:val="bg-BG" w:eastAsia="bg-BG"/>
              </w:rPr>
              <w:t>на административната допустимост и оценка на качеството</w:t>
            </w:r>
          </w:p>
        </w:tc>
        <w:tc>
          <w:tcPr>
            <w:tcW w:w="6111" w:type="dxa"/>
            <w:tcBorders>
              <w:top w:val="nil"/>
              <w:left w:val="nil"/>
              <w:bottom w:val="single" w:sz="4" w:space="0" w:color="auto"/>
              <w:right w:val="single" w:sz="4" w:space="0" w:color="auto"/>
            </w:tcBorders>
            <w:shd w:val="clear" w:color="auto" w:fill="auto"/>
            <w:vAlign w:val="center"/>
            <w:hideMark/>
          </w:tcPr>
          <w:p w14:paraId="22BC4BA9" w14:textId="577EF597" w:rsidR="009B4CFF" w:rsidRPr="00540A9D" w:rsidRDefault="00774AD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Единен</w:t>
            </w:r>
            <w:r w:rsidR="009B4CFF" w:rsidRPr="00540A9D">
              <w:rPr>
                <w:rFonts w:eastAsia="Times New Roman" w:cstheme="minorHAnsi"/>
                <w:sz w:val="24"/>
                <w:szCs w:val="24"/>
                <w:lang w:val="bg-BG" w:eastAsia="bg-BG"/>
              </w:rPr>
              <w:t xml:space="preserve"> етап от оценяването на предложението за изпъ</w:t>
            </w:r>
            <w:bookmarkStart w:id="1" w:name="_GoBack"/>
            <w:bookmarkEnd w:id="1"/>
            <w:r w:rsidR="009B4CFF" w:rsidRPr="00540A9D">
              <w:rPr>
                <w:rFonts w:eastAsia="Times New Roman" w:cstheme="minorHAnsi"/>
                <w:sz w:val="24"/>
                <w:szCs w:val="24"/>
                <w:lang w:val="bg-BG" w:eastAsia="bg-BG"/>
              </w:rPr>
              <w:t>лнение на инвестиция, при който се извършва проверка относно формалното съответствие на предложението</w:t>
            </w:r>
            <w:r w:rsidRPr="00540A9D">
              <w:rPr>
                <w:rFonts w:eastAsia="Times New Roman" w:cstheme="minorHAnsi"/>
                <w:sz w:val="24"/>
                <w:szCs w:val="24"/>
                <w:lang w:val="bg-BG" w:eastAsia="bg-BG"/>
              </w:rPr>
              <w:t xml:space="preserve">, </w:t>
            </w:r>
            <w:r w:rsidR="009B4CFF" w:rsidRPr="00540A9D">
              <w:rPr>
                <w:rFonts w:eastAsia="Times New Roman" w:cstheme="minorHAnsi"/>
                <w:sz w:val="24"/>
                <w:szCs w:val="24"/>
                <w:lang w:val="bg-BG" w:eastAsia="bg-BG"/>
              </w:rPr>
              <w:t>на допустимостта на кандидатите и заявените дейности</w:t>
            </w:r>
            <w:r w:rsidRPr="00540A9D">
              <w:rPr>
                <w:rFonts w:eastAsia="Times New Roman" w:cstheme="minorHAnsi"/>
                <w:sz w:val="24"/>
                <w:szCs w:val="24"/>
                <w:lang w:val="bg-BG" w:eastAsia="bg-BG"/>
              </w:rPr>
              <w:t xml:space="preserve"> и качеството на самото ПИИ</w:t>
            </w:r>
          </w:p>
        </w:tc>
      </w:tr>
      <w:tr w:rsidR="00540A9D" w:rsidRPr="00540A9D" w14:paraId="03514DC1"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CB07B51"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Повърхностен воден обект</w:t>
            </w:r>
          </w:p>
        </w:tc>
        <w:tc>
          <w:tcPr>
            <w:tcW w:w="6111" w:type="dxa"/>
            <w:tcBorders>
              <w:top w:val="nil"/>
              <w:left w:val="nil"/>
              <w:bottom w:val="single" w:sz="4" w:space="0" w:color="auto"/>
              <w:right w:val="single" w:sz="4" w:space="0" w:color="auto"/>
            </w:tcBorders>
            <w:shd w:val="clear" w:color="auto" w:fill="auto"/>
            <w:vAlign w:val="center"/>
            <w:hideMark/>
          </w:tcPr>
          <w:p w14:paraId="7977C86F"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Отделен и значителен елемент от повърхностни води, като езеро, язовир, поток, река или канал, част от поток, река или канал, преходни води или разширение на крайбрежни води</w:t>
            </w:r>
          </w:p>
        </w:tc>
      </w:tr>
      <w:tr w:rsidR="00540A9D" w:rsidRPr="00540A9D" w14:paraId="14A08BBE"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120894D"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Повърхностни води</w:t>
            </w:r>
          </w:p>
        </w:tc>
        <w:tc>
          <w:tcPr>
            <w:tcW w:w="6111" w:type="dxa"/>
            <w:tcBorders>
              <w:top w:val="nil"/>
              <w:left w:val="nil"/>
              <w:bottom w:val="single" w:sz="4" w:space="0" w:color="auto"/>
              <w:right w:val="single" w:sz="4" w:space="0" w:color="auto"/>
            </w:tcBorders>
            <w:shd w:val="clear" w:color="auto" w:fill="auto"/>
            <w:vAlign w:val="center"/>
            <w:hideMark/>
          </w:tcPr>
          <w:p w14:paraId="384044EA"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Вътрешнотериториални води, с изключение на подземните; преходни води и крайбрежни води, освен по отношение на химическото състояние, за което ще се включват и териториални води</w:t>
            </w:r>
          </w:p>
        </w:tc>
      </w:tr>
      <w:tr w:rsidR="00540A9D" w:rsidRPr="00540A9D" w14:paraId="0940FA49"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E1DBD7B"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Подготовка на продукцията за продажба</w:t>
            </w:r>
          </w:p>
        </w:tc>
        <w:tc>
          <w:tcPr>
            <w:tcW w:w="6111" w:type="dxa"/>
            <w:tcBorders>
              <w:top w:val="nil"/>
              <w:left w:val="nil"/>
              <w:bottom w:val="single" w:sz="4" w:space="0" w:color="auto"/>
              <w:right w:val="single" w:sz="4" w:space="0" w:color="auto"/>
            </w:tcBorders>
            <w:shd w:val="clear" w:color="auto" w:fill="auto"/>
            <w:vAlign w:val="center"/>
            <w:hideMark/>
          </w:tcPr>
          <w:p w14:paraId="05FB0023"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540A9D" w:rsidRPr="00540A9D" w14:paraId="103D1476"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CCE8582"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Подземен воден обект</w:t>
            </w:r>
          </w:p>
        </w:tc>
        <w:tc>
          <w:tcPr>
            <w:tcW w:w="6111" w:type="dxa"/>
            <w:tcBorders>
              <w:top w:val="nil"/>
              <w:left w:val="nil"/>
              <w:bottom w:val="single" w:sz="4" w:space="0" w:color="auto"/>
              <w:right w:val="single" w:sz="4" w:space="0" w:color="auto"/>
            </w:tcBorders>
            <w:shd w:val="clear" w:color="auto" w:fill="auto"/>
            <w:vAlign w:val="center"/>
            <w:hideMark/>
          </w:tcPr>
          <w:p w14:paraId="39E48E8A"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Отделно ниво на подземните води във водоносния хоризонт или хоризонти</w:t>
            </w:r>
          </w:p>
        </w:tc>
      </w:tr>
      <w:tr w:rsidR="00540A9D" w:rsidRPr="00540A9D" w14:paraId="24288FB7" w14:textId="77777777" w:rsidTr="00750BC7">
        <w:trPr>
          <w:trHeight w:val="936"/>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2469B8E"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Подземни води</w:t>
            </w:r>
          </w:p>
        </w:tc>
        <w:tc>
          <w:tcPr>
            <w:tcW w:w="6111" w:type="dxa"/>
            <w:tcBorders>
              <w:top w:val="nil"/>
              <w:left w:val="nil"/>
              <w:bottom w:val="single" w:sz="4" w:space="0" w:color="auto"/>
              <w:right w:val="single" w:sz="4" w:space="0" w:color="auto"/>
            </w:tcBorders>
            <w:shd w:val="clear" w:color="auto" w:fill="auto"/>
            <w:vAlign w:val="center"/>
            <w:hideMark/>
          </w:tcPr>
          <w:p w14:paraId="39CA6244"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Всички води под повърхността на земята в зоната на насищане и в пряк контакт със земята или подпочвения слой</w:t>
            </w:r>
          </w:p>
        </w:tc>
      </w:tr>
      <w:tr w:rsidR="00540A9D" w:rsidRPr="00540A9D" w14:paraId="5936F1F2" w14:textId="77777777" w:rsidTr="00750BC7">
        <w:trPr>
          <w:trHeight w:val="157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431E1E1F"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Предложение за изпълнение на инвестиция (ПИИ)</w:t>
            </w:r>
          </w:p>
        </w:tc>
        <w:tc>
          <w:tcPr>
            <w:tcW w:w="6111" w:type="dxa"/>
            <w:tcBorders>
              <w:top w:val="nil"/>
              <w:left w:val="nil"/>
              <w:bottom w:val="single" w:sz="4" w:space="0" w:color="auto"/>
              <w:right w:val="single" w:sz="4" w:space="0" w:color="auto"/>
            </w:tcBorders>
            <w:shd w:val="clear" w:color="auto" w:fill="auto"/>
            <w:vAlign w:val="center"/>
            <w:hideMark/>
          </w:tcPr>
          <w:p w14:paraId="75765F67"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40A9D" w:rsidRPr="00540A9D" w14:paraId="3ACB32F3"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BECB0C0"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Предприятие в затруднено положение</w:t>
            </w:r>
          </w:p>
        </w:tc>
        <w:tc>
          <w:tcPr>
            <w:tcW w:w="6111" w:type="dxa"/>
            <w:tcBorders>
              <w:top w:val="nil"/>
              <w:left w:val="nil"/>
              <w:bottom w:val="single" w:sz="4" w:space="0" w:color="auto"/>
              <w:right w:val="single" w:sz="4" w:space="0" w:color="auto"/>
            </w:tcBorders>
            <w:shd w:val="clear" w:color="auto" w:fill="auto"/>
            <w:hideMark/>
          </w:tcPr>
          <w:p w14:paraId="32457571" w14:textId="77777777" w:rsidR="009B4CFF" w:rsidRPr="00540A9D" w:rsidRDefault="009B4CFF" w:rsidP="00750BC7">
            <w:pPr>
              <w:spacing w:before="120" w:after="120" w:line="256" w:lineRule="auto"/>
              <w:contextualSpacing/>
              <w:jc w:val="both"/>
              <w:rPr>
                <w:rFonts w:cstheme="minorHAnsi"/>
                <w:sz w:val="24"/>
                <w:szCs w:val="24"/>
                <w:lang w:val="bg-BG"/>
              </w:rPr>
            </w:pPr>
            <w:r w:rsidRPr="00540A9D">
              <w:rPr>
                <w:rFonts w:cstheme="minorHAnsi"/>
                <w:sz w:val="24"/>
                <w:szCs w:val="24"/>
                <w:lang w:val="bg-BG"/>
              </w:rPr>
              <w:t>Съгласно чл. 1, пар. 5 от Регламент (ЕС) № 222/2472 на Комисията от 14 декември 2022 година, това е предприятие, което отговаря на критериите, определени в член 2, точка 18 от Регламент (ЕС) № 651/2014 на Комисията и по отношение на което е изпълнено поне едно от следните обстоятелства:</w:t>
            </w:r>
          </w:p>
          <w:p w14:paraId="2DB732AA" w14:textId="77777777" w:rsidR="009B4CFF" w:rsidRPr="00540A9D" w:rsidRDefault="009B4CFF" w:rsidP="00750BC7">
            <w:pPr>
              <w:spacing w:before="120" w:after="120" w:line="256" w:lineRule="auto"/>
              <w:ind w:left="374" w:hanging="284"/>
              <w:contextualSpacing/>
              <w:jc w:val="both"/>
              <w:rPr>
                <w:rFonts w:cstheme="minorHAnsi"/>
                <w:sz w:val="24"/>
                <w:szCs w:val="24"/>
                <w:lang w:val="bg-BG"/>
              </w:rPr>
            </w:pPr>
            <w:r w:rsidRPr="00540A9D">
              <w:rPr>
                <w:rFonts w:cstheme="minorHAnsi"/>
                <w:sz w:val="24"/>
                <w:szCs w:val="24"/>
                <w:lang w:val="bg-BG"/>
              </w:rPr>
              <w:t>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(37), а понятието „акционерен капитал“ включва, когато е уместно, премии от акции;</w:t>
            </w:r>
          </w:p>
          <w:p w14:paraId="681F6997" w14:textId="77777777" w:rsidR="009B4CFF" w:rsidRPr="00540A9D" w:rsidRDefault="009B4CFF" w:rsidP="00750BC7">
            <w:pPr>
              <w:spacing w:before="120" w:after="120" w:line="256" w:lineRule="auto"/>
              <w:ind w:left="374" w:hanging="284"/>
              <w:contextualSpacing/>
              <w:jc w:val="both"/>
              <w:rPr>
                <w:rFonts w:cstheme="minorHAnsi"/>
                <w:sz w:val="24"/>
                <w:szCs w:val="24"/>
                <w:lang w:val="bg-BG"/>
              </w:rPr>
            </w:pPr>
            <w:r w:rsidRPr="00540A9D">
              <w:rPr>
                <w:rFonts w:cstheme="minorHAnsi"/>
                <w:sz w:val="24"/>
                <w:szCs w:val="24"/>
                <w:lang w:val="bg-BG"/>
              </w:rPr>
              <w:t>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822AAC9" w14:textId="77777777" w:rsidR="009B4CFF" w:rsidRPr="00540A9D" w:rsidRDefault="009B4CFF" w:rsidP="00750BC7">
            <w:pPr>
              <w:spacing w:before="120" w:after="120" w:line="256" w:lineRule="auto"/>
              <w:ind w:left="374" w:hanging="284"/>
              <w:contextualSpacing/>
              <w:jc w:val="both"/>
              <w:rPr>
                <w:rFonts w:cstheme="minorHAnsi"/>
                <w:sz w:val="24"/>
                <w:szCs w:val="24"/>
                <w:lang w:val="bg-BG"/>
              </w:rPr>
            </w:pPr>
            <w:r w:rsidRPr="00540A9D">
              <w:rPr>
                <w:rFonts w:cstheme="minorHAnsi"/>
                <w:sz w:val="24"/>
                <w:szCs w:val="24"/>
                <w:lang w:val="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4FEAE33" w14:textId="77777777" w:rsidR="009B4CFF" w:rsidRPr="00540A9D" w:rsidRDefault="009B4CFF" w:rsidP="00750BC7">
            <w:pPr>
              <w:spacing w:before="120" w:after="120" w:line="256" w:lineRule="auto"/>
              <w:ind w:left="374" w:hanging="284"/>
              <w:contextualSpacing/>
              <w:jc w:val="both"/>
              <w:rPr>
                <w:rFonts w:cstheme="minorHAnsi"/>
                <w:sz w:val="24"/>
                <w:szCs w:val="24"/>
                <w:lang w:val="bg-BG"/>
              </w:rPr>
            </w:pPr>
            <w:r w:rsidRPr="00540A9D">
              <w:rPr>
                <w:rFonts w:cstheme="minorHAnsi"/>
                <w:sz w:val="24"/>
                <w:szCs w:val="24"/>
                <w:lang w:val="bg-BG"/>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396D9173" w14:textId="77777777" w:rsidR="009B4CFF" w:rsidRPr="00540A9D" w:rsidRDefault="009B4CFF" w:rsidP="00750BC7">
            <w:pPr>
              <w:spacing w:before="120" w:after="120" w:line="256" w:lineRule="auto"/>
              <w:ind w:left="374" w:hanging="284"/>
              <w:contextualSpacing/>
              <w:jc w:val="both"/>
              <w:rPr>
                <w:rFonts w:cstheme="minorHAnsi"/>
                <w:sz w:val="24"/>
                <w:szCs w:val="24"/>
                <w:lang w:val="bg-BG"/>
              </w:rPr>
            </w:pPr>
            <w:r w:rsidRPr="00540A9D">
              <w:rPr>
                <w:rFonts w:cstheme="minorHAnsi"/>
                <w:sz w:val="24"/>
                <w:szCs w:val="24"/>
                <w:lang w:val="bg-BG"/>
              </w:rPr>
              <w:t>д) когато предприятието не е МСП и през последните две години:</w:t>
            </w:r>
          </w:p>
          <w:p w14:paraId="3B71C816" w14:textId="77777777" w:rsidR="009B4CFF" w:rsidRPr="00540A9D" w:rsidRDefault="009B4CFF" w:rsidP="00750BC7">
            <w:pPr>
              <w:spacing w:before="120" w:after="120" w:line="256" w:lineRule="auto"/>
              <w:ind w:left="516" w:hanging="283"/>
              <w:contextualSpacing/>
              <w:jc w:val="both"/>
              <w:rPr>
                <w:rFonts w:cstheme="minorHAnsi"/>
                <w:sz w:val="24"/>
                <w:szCs w:val="24"/>
                <w:lang w:val="bg-BG"/>
              </w:rPr>
            </w:pPr>
            <w:r w:rsidRPr="00540A9D">
              <w:rPr>
                <w:rFonts w:cstheme="minorHAnsi"/>
                <w:sz w:val="24"/>
                <w:szCs w:val="24"/>
                <w:lang w:val="bg-BG"/>
              </w:rPr>
              <w:t>1) съотношението задължения/собствен капитал на предприятието е било по-голямо от 7,5; и</w:t>
            </w:r>
          </w:p>
          <w:p w14:paraId="1715CFA2" w14:textId="77777777" w:rsidR="009B4CFF" w:rsidRPr="00540A9D" w:rsidRDefault="009B4CFF" w:rsidP="00750BC7">
            <w:pPr>
              <w:spacing w:after="0" w:line="240" w:lineRule="auto"/>
              <w:ind w:left="232"/>
              <w:jc w:val="both"/>
              <w:rPr>
                <w:rFonts w:eastAsia="Times New Roman" w:cstheme="minorHAnsi"/>
                <w:sz w:val="24"/>
                <w:szCs w:val="24"/>
                <w:lang w:val="bg-BG" w:eastAsia="bg-BG"/>
              </w:rPr>
            </w:pPr>
            <w:r w:rsidRPr="00540A9D">
              <w:rPr>
                <w:rFonts w:cstheme="minorHAnsi"/>
                <w:sz w:val="24"/>
                <w:szCs w:val="24"/>
                <w:lang w:val="bg-BG"/>
              </w:rPr>
              <w:t>2) съотношението за лихвено покритие на предприятието, изчислено на основата на EBITDA, е било под 1,0;</w:t>
            </w:r>
          </w:p>
        </w:tc>
      </w:tr>
      <w:tr w:rsidR="00540A9D" w:rsidRPr="00540A9D" w14:paraId="7B263D72" w14:textId="77777777" w:rsidTr="00750BC7">
        <w:trPr>
          <w:trHeight w:val="1560"/>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06E577E"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Преработка на селскостопански продукти</w:t>
            </w:r>
          </w:p>
        </w:tc>
        <w:tc>
          <w:tcPr>
            <w:tcW w:w="6111" w:type="dxa"/>
            <w:tcBorders>
              <w:top w:val="nil"/>
              <w:left w:val="nil"/>
              <w:bottom w:val="single" w:sz="4" w:space="0" w:color="auto"/>
              <w:right w:val="single" w:sz="4" w:space="0" w:color="auto"/>
            </w:tcBorders>
            <w:shd w:val="clear" w:color="auto" w:fill="auto"/>
            <w:vAlign w:val="center"/>
            <w:hideMark/>
          </w:tcPr>
          <w:p w14:paraId="441F2DA0"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540A9D" w:rsidRPr="00540A9D" w14:paraId="0A3CC0C7"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51034F4"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Принос в натура</w:t>
            </w:r>
          </w:p>
        </w:tc>
        <w:tc>
          <w:tcPr>
            <w:tcW w:w="6111" w:type="dxa"/>
            <w:tcBorders>
              <w:top w:val="nil"/>
              <w:left w:val="nil"/>
              <w:bottom w:val="single" w:sz="4" w:space="0" w:color="auto"/>
              <w:right w:val="single" w:sz="4" w:space="0" w:color="auto"/>
            </w:tcBorders>
            <w:shd w:val="clear" w:color="auto" w:fill="auto"/>
            <w:vAlign w:val="center"/>
            <w:hideMark/>
          </w:tcPr>
          <w:p w14:paraId="59CC35E7"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540A9D" w:rsidRPr="00540A9D" w14:paraId="3A7FED16"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7BC4E4F"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Природни ресурси</w:t>
            </w:r>
          </w:p>
        </w:tc>
        <w:tc>
          <w:tcPr>
            <w:tcW w:w="6111" w:type="dxa"/>
            <w:tcBorders>
              <w:top w:val="nil"/>
              <w:left w:val="nil"/>
              <w:bottom w:val="single" w:sz="4" w:space="0" w:color="auto"/>
              <w:right w:val="single" w:sz="4" w:space="0" w:color="auto"/>
            </w:tcBorders>
            <w:shd w:val="clear" w:color="auto" w:fill="auto"/>
            <w:vAlign w:val="center"/>
            <w:hideMark/>
          </w:tcPr>
          <w:p w14:paraId="6E15197E" w14:textId="77777777" w:rsidR="009B4CFF" w:rsidRPr="00540A9D" w:rsidRDefault="009B4CFF" w:rsidP="00750BC7">
            <w:pPr>
              <w:spacing w:after="0" w:line="240" w:lineRule="auto"/>
              <w:rPr>
                <w:rFonts w:eastAsia="Times New Roman" w:cstheme="minorHAnsi"/>
                <w:sz w:val="24"/>
                <w:szCs w:val="24"/>
                <w:lang w:val="bg-BG" w:eastAsia="bg-BG"/>
              </w:rPr>
            </w:pPr>
            <w:r w:rsidRPr="00540A9D">
              <w:rPr>
                <w:rFonts w:eastAsia="Times New Roman" w:cstheme="minorHAnsi"/>
                <w:sz w:val="24"/>
                <w:szCs w:val="24"/>
                <w:lang w:val="bg-BG" w:eastAsia="bg-BG"/>
              </w:rPr>
              <w:t>Природните ресурси включват енергия, материали, метали, вода, биомаса, въздух и земя</w:t>
            </w:r>
          </w:p>
        </w:tc>
      </w:tr>
      <w:tr w:rsidR="00540A9D" w:rsidRPr="00540A9D" w14:paraId="769B6D9B" w14:textId="77777777" w:rsidTr="00750BC7">
        <w:trPr>
          <w:trHeight w:val="639"/>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58B737A3"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Проверка на място</w:t>
            </w:r>
          </w:p>
        </w:tc>
        <w:tc>
          <w:tcPr>
            <w:tcW w:w="6111" w:type="dxa"/>
            <w:tcBorders>
              <w:top w:val="nil"/>
              <w:left w:val="nil"/>
              <w:bottom w:val="single" w:sz="4" w:space="0" w:color="auto"/>
              <w:right w:val="single" w:sz="4" w:space="0" w:color="auto"/>
            </w:tcBorders>
            <w:shd w:val="clear" w:color="auto" w:fill="auto"/>
            <w:vAlign w:val="center"/>
            <w:hideMark/>
          </w:tcPr>
          <w:p w14:paraId="07DE4F78"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Проверка по смисъла на Регламент (ЕС) № 809/2014.</w:t>
            </w:r>
          </w:p>
        </w:tc>
      </w:tr>
      <w:tr w:rsidR="00540A9D" w:rsidRPr="00540A9D" w14:paraId="3492752E" w14:textId="77777777" w:rsidTr="00750BC7">
        <w:trPr>
          <w:trHeight w:val="3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43C8CA4B"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Първично селскостопанско производство</w:t>
            </w:r>
          </w:p>
        </w:tc>
        <w:tc>
          <w:tcPr>
            <w:tcW w:w="6111" w:type="dxa"/>
            <w:tcBorders>
              <w:top w:val="nil"/>
              <w:left w:val="nil"/>
              <w:bottom w:val="single" w:sz="4" w:space="0" w:color="auto"/>
              <w:right w:val="single" w:sz="4" w:space="0" w:color="auto"/>
            </w:tcBorders>
            <w:shd w:val="clear" w:color="auto" w:fill="auto"/>
            <w:vAlign w:val="center"/>
            <w:hideMark/>
          </w:tcPr>
          <w:p w14:paraId="09058A2C" w14:textId="2A956F93"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Производството на растителните и животинските продукти, изброени в приложение I към Договора за функционирането на Европейския съюз (ДФЕС), без да се извършват никакви по-нататъшни операции, с които се променя естеството на тези продукти</w:t>
            </w:r>
          </w:p>
        </w:tc>
      </w:tr>
      <w:tr w:rsidR="00540A9D" w:rsidRPr="00540A9D" w14:paraId="5683D3CA"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1A62C37"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Разходи за инвестиции за обикновена подмяна</w:t>
            </w:r>
          </w:p>
        </w:tc>
        <w:tc>
          <w:tcPr>
            <w:tcW w:w="6111" w:type="dxa"/>
            <w:tcBorders>
              <w:top w:val="nil"/>
              <w:left w:val="nil"/>
              <w:bottom w:val="single" w:sz="4" w:space="0" w:color="auto"/>
              <w:right w:val="single" w:sz="4" w:space="0" w:color="auto"/>
            </w:tcBorders>
            <w:shd w:val="clear" w:color="auto" w:fill="auto"/>
            <w:vAlign w:val="center"/>
            <w:hideMark/>
          </w:tcPr>
          <w:p w14:paraId="0EFB3744"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Разходи за замяна на активи, които не водят до подобряване на цялостната дейност на кандидата.</w:t>
            </w:r>
          </w:p>
        </w:tc>
      </w:tr>
      <w:tr w:rsidR="00540A9D" w:rsidRPr="00540A9D" w14:paraId="32B6E8AE" w14:textId="77777777" w:rsidTr="00750BC7">
        <w:trPr>
          <w:trHeight w:val="218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A60CD0B"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Разходи за консултантски услуги, свързани с подготовка и управление на проекта</w:t>
            </w:r>
          </w:p>
        </w:tc>
        <w:tc>
          <w:tcPr>
            <w:tcW w:w="6111" w:type="dxa"/>
            <w:tcBorders>
              <w:top w:val="nil"/>
              <w:left w:val="nil"/>
              <w:bottom w:val="single" w:sz="4" w:space="0" w:color="auto"/>
              <w:right w:val="single" w:sz="4" w:space="0" w:color="auto"/>
            </w:tcBorders>
            <w:shd w:val="clear" w:color="auto" w:fill="auto"/>
            <w:vAlign w:val="center"/>
            <w:hideMark/>
          </w:tcPr>
          <w:p w14:paraId="0EA6DE9D"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540A9D" w:rsidRPr="00540A9D" w14:paraId="4A9D1C43" w14:textId="77777777" w:rsidTr="00750BC7">
        <w:trPr>
          <w:trHeight w:val="624"/>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E09252B"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Рефинансиране на лихви</w:t>
            </w:r>
          </w:p>
        </w:tc>
        <w:tc>
          <w:tcPr>
            <w:tcW w:w="6111" w:type="dxa"/>
            <w:tcBorders>
              <w:top w:val="nil"/>
              <w:left w:val="nil"/>
              <w:bottom w:val="single" w:sz="4" w:space="0" w:color="auto"/>
              <w:right w:val="single" w:sz="4" w:space="0" w:color="auto"/>
            </w:tcBorders>
            <w:shd w:val="clear" w:color="auto" w:fill="auto"/>
            <w:vAlign w:val="center"/>
            <w:hideMark/>
          </w:tcPr>
          <w:p w14:paraId="2FE3A0D0"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Възстановяване на извършените разходи за лихви по заеми.</w:t>
            </w:r>
          </w:p>
        </w:tc>
      </w:tr>
      <w:tr w:rsidR="00540A9D" w:rsidRPr="00540A9D" w14:paraId="25FE35E0"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85201DF"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Речен басейн</w:t>
            </w:r>
          </w:p>
        </w:tc>
        <w:tc>
          <w:tcPr>
            <w:tcW w:w="6111" w:type="dxa"/>
            <w:tcBorders>
              <w:top w:val="nil"/>
              <w:left w:val="nil"/>
              <w:bottom w:val="single" w:sz="4" w:space="0" w:color="auto"/>
              <w:right w:val="single" w:sz="4" w:space="0" w:color="auto"/>
            </w:tcBorders>
            <w:shd w:val="clear" w:color="auto" w:fill="auto"/>
            <w:vAlign w:val="center"/>
            <w:hideMark/>
          </w:tcPr>
          <w:p w14:paraId="4D1E7F15"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Териториална област, чийто повърхностен отток се влива изцяло през поредица от потоци, реки и, евентуално, езера в морето посредством единствено речно устие, естуар или делта</w:t>
            </w:r>
          </w:p>
        </w:tc>
      </w:tr>
      <w:tr w:rsidR="00540A9D" w:rsidRPr="00540A9D" w14:paraId="7E2ECC75" w14:textId="77777777" w:rsidTr="00750BC7">
        <w:trPr>
          <w:trHeight w:val="1560"/>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465A5C6"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Ръководител на структура за наблюдение и докладване (СНД)</w:t>
            </w:r>
          </w:p>
        </w:tc>
        <w:tc>
          <w:tcPr>
            <w:tcW w:w="6111" w:type="dxa"/>
            <w:tcBorders>
              <w:top w:val="nil"/>
              <w:left w:val="nil"/>
              <w:bottom w:val="single" w:sz="4" w:space="0" w:color="auto"/>
              <w:right w:val="single" w:sz="4" w:space="0" w:color="auto"/>
            </w:tcBorders>
            <w:shd w:val="clear" w:color="auto" w:fill="auto"/>
            <w:vAlign w:val="center"/>
            <w:hideMark/>
          </w:tcPr>
          <w:p w14:paraId="6A9556C6" w14:textId="7D68ABDC"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Ръководителят на ведомството или организацията, в чиято структура се намира структурата за наблюдение и докладване. Правомощия на ръководител на структура за наблюдение и докладване може да се упражняват и от овластено от ръководителя лице.</w:t>
            </w:r>
            <w:r w:rsidR="005C219B" w:rsidRPr="00540A9D">
              <w:rPr>
                <w:rFonts w:eastAsia="Times New Roman" w:cstheme="minorHAnsi"/>
                <w:sz w:val="24"/>
                <w:szCs w:val="24"/>
                <w:lang w:val="bg-BG" w:eastAsia="bg-BG"/>
              </w:rPr>
              <w:t xml:space="preserve">  За изпълнение на инвестиция </w:t>
            </w:r>
            <w:r w:rsidR="005C219B" w:rsidRPr="00540A9D">
              <w:rPr>
                <w:rFonts w:eastAsia="Times New Roman" w:cstheme="minorHAnsi"/>
                <w:sz w:val="24"/>
                <w:szCs w:val="24"/>
                <w:lang w:eastAsia="bg-BG"/>
              </w:rPr>
              <w:t>C</w:t>
            </w:r>
            <w:r w:rsidR="005C219B" w:rsidRPr="00540A9D">
              <w:rPr>
                <w:rFonts w:eastAsia="Times New Roman" w:cstheme="minorHAnsi"/>
                <w:sz w:val="24"/>
                <w:szCs w:val="24"/>
                <w:lang w:val="bg-BG" w:eastAsia="bg-BG"/>
              </w:rPr>
              <w:t>6.</w:t>
            </w:r>
            <w:r w:rsidR="005C219B" w:rsidRPr="00540A9D">
              <w:rPr>
                <w:rFonts w:eastAsia="Times New Roman" w:cstheme="minorHAnsi"/>
                <w:sz w:val="24"/>
                <w:szCs w:val="24"/>
                <w:lang w:eastAsia="bg-BG"/>
              </w:rPr>
              <w:t>I</w:t>
            </w:r>
            <w:r w:rsidR="005C219B" w:rsidRPr="00540A9D">
              <w:rPr>
                <w:rFonts w:eastAsia="Times New Roman" w:cstheme="minorHAnsi"/>
                <w:sz w:val="24"/>
                <w:szCs w:val="24"/>
                <w:lang w:val="bg-BG" w:eastAsia="bg-BG"/>
              </w:rPr>
              <w:t>1 от Компонент 6: Устойчиво земеделие на НПВУ, за СНД</w:t>
            </w:r>
          </w:p>
        </w:tc>
      </w:tr>
      <w:tr w:rsidR="00540A9D" w:rsidRPr="00540A9D" w14:paraId="6C020DB5"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64669F3C"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Селскостопански продукт</w:t>
            </w:r>
          </w:p>
        </w:tc>
        <w:tc>
          <w:tcPr>
            <w:tcW w:w="6111" w:type="dxa"/>
            <w:tcBorders>
              <w:top w:val="nil"/>
              <w:left w:val="nil"/>
              <w:bottom w:val="single" w:sz="4" w:space="0" w:color="auto"/>
              <w:right w:val="single" w:sz="4" w:space="0" w:color="auto"/>
            </w:tcBorders>
            <w:shd w:val="clear" w:color="auto" w:fill="auto"/>
            <w:vAlign w:val="center"/>
            <w:hideMark/>
          </w:tcPr>
          <w:p w14:paraId="4FF7AF04"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Продуктите, изброени в приложение I към Договора, с изключение на продуктите от риболов и аквакултури, изброени в приложение I към Регламент (ЕС) № 1379/2013 на Европейския парламент и на Съвета</w:t>
            </w:r>
          </w:p>
        </w:tc>
      </w:tr>
      <w:tr w:rsidR="00540A9D" w:rsidRPr="00540A9D" w14:paraId="0178D704" w14:textId="77777777" w:rsidTr="00750BC7">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25D4D01E" w14:textId="77777777" w:rsidR="009B4CFF" w:rsidRPr="00540A9D" w:rsidRDefault="009B4CFF"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Сериозна нередност</w:t>
            </w:r>
          </w:p>
        </w:tc>
        <w:tc>
          <w:tcPr>
            <w:tcW w:w="6111" w:type="dxa"/>
            <w:tcBorders>
              <w:top w:val="nil"/>
              <w:left w:val="nil"/>
              <w:bottom w:val="single" w:sz="4" w:space="0" w:color="auto"/>
              <w:right w:val="single" w:sz="4" w:space="0" w:color="auto"/>
            </w:tcBorders>
            <w:shd w:val="clear" w:color="auto" w:fill="auto"/>
            <w:vAlign w:val="center"/>
            <w:hideMark/>
          </w:tcPr>
          <w:p w14:paraId="7040D002" w14:textId="77777777" w:rsidR="009B4CFF" w:rsidRPr="00540A9D" w:rsidRDefault="009B4CFF"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Измами, корупция и конфликти на интереси във връзка с мерките, получаващи подкрепа от Механизма, или сериозно неизпълнение на задължение, произтичащо от споразуменията, свързани с финансова подкрепа.</w:t>
            </w:r>
          </w:p>
        </w:tc>
      </w:tr>
      <w:tr w:rsidR="00540A9D" w:rsidRPr="00540A9D" w14:paraId="4DAE57AC" w14:textId="77777777" w:rsidTr="005C219B">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474F0A36" w14:textId="77777777" w:rsidR="005C219B" w:rsidRPr="00540A9D" w:rsidRDefault="005C219B"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Система за управление и контрол на ПВУ (СУКПВУ)</w:t>
            </w:r>
          </w:p>
        </w:tc>
        <w:tc>
          <w:tcPr>
            <w:tcW w:w="6111" w:type="dxa"/>
            <w:tcBorders>
              <w:top w:val="nil"/>
              <w:left w:val="nil"/>
              <w:bottom w:val="single" w:sz="4" w:space="0" w:color="auto"/>
              <w:right w:val="single" w:sz="4" w:space="0" w:color="auto"/>
            </w:tcBorders>
            <w:shd w:val="clear" w:color="auto" w:fill="auto"/>
            <w:vAlign w:val="center"/>
            <w:hideMark/>
          </w:tcPr>
          <w:p w14:paraId="3E478BF7"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 xml:space="preserve">Системата за управление и контрол на ПВУ (СУКПВУ), одобрена със Заповед № 526/01.07.2022 г. на заместник министър-председателя по еврофондовете и министър на финансите. </w:t>
            </w:r>
          </w:p>
          <w:p w14:paraId="59D14E1B"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Одобрената СУКПВУ е публично достъпна на официалната интернет страница на МФ със следното местоположение: Министерство на финансите &gt; Начало &gt;България и ЕС &gt;Система за управление и контрол на Плана за възстановяване и устойчивост на Република България (https://www.minfin.bg/bg/1573)</w:t>
            </w:r>
          </w:p>
        </w:tc>
      </w:tr>
      <w:tr w:rsidR="00540A9D" w:rsidRPr="00540A9D" w14:paraId="2C4D6F3A" w14:textId="77777777" w:rsidTr="005C219B">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3466309C" w14:textId="77777777" w:rsidR="005C219B" w:rsidRPr="00540A9D" w:rsidRDefault="005C219B"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Структура за наблюдение и докладване (СНД)</w:t>
            </w:r>
          </w:p>
        </w:tc>
        <w:tc>
          <w:tcPr>
            <w:tcW w:w="6111" w:type="dxa"/>
            <w:tcBorders>
              <w:top w:val="nil"/>
              <w:left w:val="nil"/>
              <w:bottom w:val="single" w:sz="4" w:space="0" w:color="auto"/>
              <w:right w:val="single" w:sz="4" w:space="0" w:color="auto"/>
            </w:tcBorders>
            <w:shd w:val="clear" w:color="auto" w:fill="auto"/>
            <w:vAlign w:val="center"/>
            <w:hideMark/>
          </w:tcPr>
          <w:p w14:paraId="4F63A351"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Определено звено в министерство или друго ведомство в централната администрация определени с акт на ръководителя на министерство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инвестициите.</w:t>
            </w:r>
          </w:p>
          <w:p w14:paraId="3C7D41AD" w14:textId="1A3BB118"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 случая на Министерство на земеделието, министъра на земеделието определя дирекция „Развитие на селските райони“ за структура за наблюдение и докладване</w:t>
            </w:r>
            <w:r w:rsidR="00F0587E" w:rsidRPr="00540A9D">
              <w:rPr>
                <w:rFonts w:eastAsia="Times New Roman" w:cstheme="minorHAnsi"/>
                <w:sz w:val="24"/>
                <w:szCs w:val="24"/>
                <w:lang w:val="bg-BG" w:eastAsia="bg-BG"/>
              </w:rPr>
              <w:t xml:space="preserve"> (СНД)</w:t>
            </w:r>
            <w:r w:rsidRPr="00540A9D">
              <w:rPr>
                <w:rFonts w:eastAsia="Times New Roman" w:cstheme="minorHAnsi"/>
                <w:sz w:val="24"/>
                <w:szCs w:val="24"/>
                <w:lang w:val="bg-BG" w:eastAsia="bg-BG"/>
              </w:rPr>
              <w:t>, като възл</w:t>
            </w:r>
            <w:r w:rsidR="00F0587E" w:rsidRPr="00540A9D">
              <w:rPr>
                <w:rFonts w:eastAsia="Times New Roman" w:cstheme="minorHAnsi"/>
                <w:sz w:val="24"/>
                <w:szCs w:val="24"/>
                <w:lang w:val="bg-BG" w:eastAsia="bg-BG"/>
              </w:rPr>
              <w:t>ага</w:t>
            </w:r>
            <w:r w:rsidRPr="00540A9D">
              <w:rPr>
                <w:rFonts w:eastAsia="Times New Roman" w:cstheme="minorHAnsi"/>
                <w:sz w:val="24"/>
                <w:szCs w:val="24"/>
                <w:lang w:val="bg-BG" w:eastAsia="bg-BG"/>
              </w:rPr>
              <w:t xml:space="preserve"> на Държавен фонд "Земеделие" дейности и/или функции на съответната структура за наблюдение и докладване. </w:t>
            </w:r>
          </w:p>
        </w:tc>
      </w:tr>
      <w:tr w:rsidR="00540A9D" w:rsidRPr="00540A9D" w14:paraId="0F89ED44" w14:textId="77777777" w:rsidTr="005C219B">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31B0D4B2" w14:textId="77777777" w:rsidR="005C219B" w:rsidRPr="00540A9D" w:rsidRDefault="005C219B"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Схема за помощ</w:t>
            </w:r>
          </w:p>
        </w:tc>
        <w:tc>
          <w:tcPr>
            <w:tcW w:w="6111" w:type="dxa"/>
            <w:tcBorders>
              <w:top w:val="nil"/>
              <w:left w:val="nil"/>
              <w:bottom w:val="single" w:sz="4" w:space="0" w:color="auto"/>
              <w:right w:val="single" w:sz="4" w:space="0" w:color="auto"/>
            </w:tcBorders>
            <w:shd w:val="clear" w:color="auto" w:fill="auto"/>
            <w:vAlign w:val="center"/>
            <w:hideMark/>
          </w:tcPr>
          <w:p w14:paraId="67DC7539"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Всеки акт, на основата на който и без да се изискват допълнителни мерки за прилагане, може да се предостави индивидуална помощ на предприятията, определени в този акт по общ и абстрактен начин, и всеки акт, на основата на който на едно или няколко предприятия може да се предостави помощ, която не е свързана с конкретен проект, за неопределен период от време и в неопределен размер</w:t>
            </w:r>
          </w:p>
        </w:tc>
      </w:tr>
      <w:tr w:rsidR="00540A9D" w:rsidRPr="00540A9D" w14:paraId="11E74292" w14:textId="77777777" w:rsidTr="005C219B">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39601036" w14:textId="77777777" w:rsidR="005C219B" w:rsidRPr="00540A9D" w:rsidRDefault="005C219B"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Съпоставими оферти</w:t>
            </w:r>
          </w:p>
        </w:tc>
        <w:tc>
          <w:tcPr>
            <w:tcW w:w="6111" w:type="dxa"/>
            <w:tcBorders>
              <w:top w:val="nil"/>
              <w:left w:val="nil"/>
              <w:bottom w:val="single" w:sz="4" w:space="0" w:color="auto"/>
              <w:right w:val="single" w:sz="4" w:space="0" w:color="auto"/>
            </w:tcBorders>
            <w:shd w:val="clear" w:color="auto" w:fill="auto"/>
            <w:vAlign w:val="center"/>
            <w:hideMark/>
          </w:tcPr>
          <w:p w14:paraId="355ABE89" w14:textId="6D415572"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Оферти, които съдържат:</w:t>
            </w:r>
          </w:p>
          <w:p w14:paraId="754C5C37"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0D7AB101"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б) общ съпоставим капацитет на оборудването – в случаите, когато се кандидатства за разходи за закупуване на оборудване;</w:t>
            </w:r>
          </w:p>
          <w:p w14:paraId="36E53321"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 количествено-стойностни сметки – в случаите, когато се кандидатства за разходи за извършване на строително-монтажни работи.</w:t>
            </w:r>
          </w:p>
        </w:tc>
      </w:tr>
      <w:tr w:rsidR="00540A9D" w:rsidRPr="00540A9D" w14:paraId="420B6A1B" w14:textId="77777777" w:rsidTr="00FA0133">
        <w:trPr>
          <w:trHeight w:val="629"/>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722FD07B" w14:textId="77777777" w:rsidR="005C219B" w:rsidRPr="00540A9D" w:rsidRDefault="005C219B"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Трайни насаждения</w:t>
            </w:r>
          </w:p>
        </w:tc>
        <w:tc>
          <w:tcPr>
            <w:tcW w:w="6111" w:type="dxa"/>
            <w:tcBorders>
              <w:top w:val="nil"/>
              <w:left w:val="nil"/>
              <w:bottom w:val="single" w:sz="4" w:space="0" w:color="auto"/>
              <w:right w:val="single" w:sz="4" w:space="0" w:color="auto"/>
            </w:tcBorders>
            <w:shd w:val="clear" w:color="auto" w:fill="auto"/>
            <w:vAlign w:val="center"/>
            <w:hideMark/>
          </w:tcPr>
          <w:p w14:paraId="2F5DF1A1"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ягодоплодни,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540A9D" w:rsidRPr="00540A9D" w14:paraId="161A512A" w14:textId="77777777" w:rsidTr="005C219B">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4AF265A0" w14:textId="77777777" w:rsidR="005C219B" w:rsidRPr="00540A9D" w:rsidRDefault="005C219B"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Търговия със селскостопански продукти</w:t>
            </w:r>
          </w:p>
        </w:tc>
        <w:tc>
          <w:tcPr>
            <w:tcW w:w="6111" w:type="dxa"/>
            <w:tcBorders>
              <w:top w:val="nil"/>
              <w:left w:val="nil"/>
              <w:bottom w:val="single" w:sz="4" w:space="0" w:color="auto"/>
              <w:right w:val="single" w:sz="4" w:space="0" w:color="auto"/>
            </w:tcBorders>
            <w:shd w:val="clear" w:color="auto" w:fill="auto"/>
            <w:vAlign w:val="center"/>
            <w:hideMark/>
          </w:tcPr>
          <w:p w14:paraId="50318078"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Притежаването или излагането с цел продажба, предлагането за продажба, доставка или всеки друг начин за пускане на пазара, с изключение на първата продажба от земеделски стопанин на прекупвачи или преработватели, както и всяка дейност по подготвяне на продукта за тази първа продажба; продажбата от земеделски стопанин на крайни потребители се счита за търговия със селскостопански продукти, ако се осъществява в самостоятелни помещения или съоръжения, предвидени за тази цел</w:t>
            </w:r>
          </w:p>
        </w:tc>
      </w:tr>
      <w:tr w:rsidR="00540A9D" w:rsidRPr="00540A9D" w14:paraId="1722312D" w14:textId="77777777" w:rsidTr="005C219B">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0AA87C5F" w14:textId="77777777" w:rsidR="005C219B" w:rsidRPr="00540A9D" w:rsidRDefault="005C219B"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Услуги, свързани директно със земеделската дейност</w:t>
            </w:r>
          </w:p>
        </w:tc>
        <w:tc>
          <w:tcPr>
            <w:tcW w:w="6111" w:type="dxa"/>
            <w:tcBorders>
              <w:top w:val="nil"/>
              <w:left w:val="nil"/>
              <w:bottom w:val="single" w:sz="4" w:space="0" w:color="auto"/>
              <w:right w:val="single" w:sz="4" w:space="0" w:color="auto"/>
            </w:tcBorders>
            <w:shd w:val="clear" w:color="auto" w:fill="auto"/>
            <w:vAlign w:val="center"/>
            <w:hideMark/>
          </w:tcPr>
          <w:p w14:paraId="7CB80041"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39EEC336"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а) свързани с продажбата и/или ремонт и/или наем на земеделска техника;</w:t>
            </w:r>
          </w:p>
          <w:p w14:paraId="17C3C35D"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4C2A8AF8"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в) свързани с продажбата и съхранението на торове и препарати за растителна защита.</w:t>
            </w:r>
          </w:p>
        </w:tc>
      </w:tr>
      <w:tr w:rsidR="00540A9D" w:rsidRPr="00540A9D" w14:paraId="5E2EAFAE" w14:textId="77777777" w:rsidTr="005C219B">
        <w:trPr>
          <w:trHeight w:val="1248"/>
        </w:trPr>
        <w:tc>
          <w:tcPr>
            <w:tcW w:w="3240" w:type="dxa"/>
            <w:tcBorders>
              <w:top w:val="nil"/>
              <w:left w:val="single" w:sz="4" w:space="0" w:color="auto"/>
              <w:bottom w:val="single" w:sz="4" w:space="0" w:color="auto"/>
              <w:right w:val="single" w:sz="4" w:space="0" w:color="auto"/>
            </w:tcBorders>
            <w:shd w:val="clear" w:color="auto" w:fill="auto"/>
            <w:vAlign w:val="center"/>
            <w:hideMark/>
          </w:tcPr>
          <w:p w14:paraId="15C5401A" w14:textId="77777777" w:rsidR="005C219B" w:rsidRPr="00540A9D" w:rsidRDefault="005C219B" w:rsidP="00750BC7">
            <w:pPr>
              <w:spacing w:after="0" w:line="240" w:lineRule="auto"/>
              <w:rPr>
                <w:rFonts w:eastAsia="Times New Roman" w:cstheme="minorHAnsi"/>
                <w:b/>
                <w:bCs/>
                <w:sz w:val="24"/>
                <w:szCs w:val="24"/>
                <w:lang w:val="bg-BG" w:eastAsia="bg-BG"/>
              </w:rPr>
            </w:pPr>
            <w:r w:rsidRPr="00540A9D">
              <w:rPr>
                <w:rFonts w:eastAsia="Times New Roman" w:cstheme="minorHAnsi"/>
                <w:b/>
                <w:bCs/>
                <w:sz w:val="24"/>
                <w:szCs w:val="24"/>
                <w:lang w:val="bg-BG" w:eastAsia="bg-BG"/>
              </w:rPr>
              <w:t>Финансов регламент</w:t>
            </w:r>
          </w:p>
        </w:tc>
        <w:tc>
          <w:tcPr>
            <w:tcW w:w="6111" w:type="dxa"/>
            <w:tcBorders>
              <w:top w:val="nil"/>
              <w:left w:val="nil"/>
              <w:bottom w:val="single" w:sz="4" w:space="0" w:color="auto"/>
              <w:right w:val="single" w:sz="4" w:space="0" w:color="auto"/>
            </w:tcBorders>
            <w:shd w:val="clear" w:color="auto" w:fill="auto"/>
            <w:vAlign w:val="center"/>
            <w:hideMark/>
          </w:tcPr>
          <w:p w14:paraId="4B38D420" w14:textId="77777777" w:rsidR="005C219B" w:rsidRPr="00540A9D" w:rsidRDefault="005C219B" w:rsidP="00750BC7">
            <w:pPr>
              <w:spacing w:after="0" w:line="240" w:lineRule="auto"/>
              <w:jc w:val="both"/>
              <w:rPr>
                <w:rFonts w:eastAsia="Times New Roman" w:cstheme="minorHAnsi"/>
                <w:sz w:val="24"/>
                <w:szCs w:val="24"/>
                <w:lang w:val="bg-BG" w:eastAsia="bg-BG"/>
              </w:rPr>
            </w:pPr>
            <w:r w:rsidRPr="00540A9D">
              <w:rPr>
                <w:rFonts w:eastAsia="Times New Roman" w:cstheme="minorHAnsi"/>
                <w:sz w:val="24"/>
                <w:szCs w:val="24"/>
                <w:lang w:val="bg-BG" w:eastAsia="bg-BG"/>
              </w:rPr>
              <w:t>Регламент (ЕС, Евратом) 2018/1046 на Европейския парламент и на Съвета от 18 юли 2018 г. относно финансовите правила, приложими за общия бюджет на Съюза, за изменение на регламенти (ЕС) No 1296/2013, (ЕС) No 1301/2013, (ЕС) No 1303/2013, (ЕС) No 1304/2013, (ЕС) No 1309/2013, (ЕС) No 1316/2013, (ЕС) No 223/2014, (ЕС) No 283/2014, и Решение No 541/2014/ЕС и за отмяна на Регламент (ЕС, Евратом) No 966/2012</w:t>
            </w:r>
          </w:p>
        </w:tc>
      </w:tr>
    </w:tbl>
    <w:p w14:paraId="3704F8FB" w14:textId="77777777" w:rsidR="009B4CFF" w:rsidRPr="00540A9D" w:rsidRDefault="009B4CFF" w:rsidP="005C219B">
      <w:pPr>
        <w:spacing w:after="0" w:line="240" w:lineRule="auto"/>
        <w:contextualSpacing/>
        <w:rPr>
          <w:rFonts w:cstheme="minorHAnsi"/>
          <w:sz w:val="24"/>
          <w:szCs w:val="24"/>
          <w:lang w:val="bg-BG"/>
        </w:rPr>
      </w:pPr>
    </w:p>
    <w:sectPr w:rsidR="009B4CFF" w:rsidRPr="00540A9D" w:rsidSect="00844F7A">
      <w:headerReference w:type="default" r:id="rId8"/>
      <w:footerReference w:type="default" r:id="rId9"/>
      <w:headerReference w:type="first" r:id="rId10"/>
      <w:footerReference w:type="first" r:id="rId11"/>
      <w:pgSz w:w="12240" w:h="15840"/>
      <w:pgMar w:top="851" w:right="1417" w:bottom="993" w:left="1134"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253146" w14:textId="77777777" w:rsidR="00670DE6" w:rsidRDefault="00670DE6" w:rsidP="00034CD0">
      <w:pPr>
        <w:spacing w:after="0" w:line="240" w:lineRule="auto"/>
      </w:pPr>
      <w:r>
        <w:separator/>
      </w:r>
    </w:p>
  </w:endnote>
  <w:endnote w:type="continuationSeparator" w:id="0">
    <w:p w14:paraId="36DE4322" w14:textId="77777777" w:rsidR="00670DE6" w:rsidRDefault="00670DE6" w:rsidP="00034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703413"/>
      <w:docPartObj>
        <w:docPartGallery w:val="Page Numbers (Bottom of Page)"/>
        <w:docPartUnique/>
      </w:docPartObj>
    </w:sdtPr>
    <w:sdtEndPr>
      <w:rPr>
        <w:rFonts w:ascii="Times New Roman" w:hAnsi="Times New Roman" w:cs="Times New Roman"/>
        <w:noProof/>
      </w:rPr>
    </w:sdtEndPr>
    <w:sdtContent>
      <w:p w14:paraId="1F95871C" w14:textId="16705E3E" w:rsidR="000B2BEF" w:rsidRPr="000B2BEF" w:rsidRDefault="000B2BEF" w:rsidP="000B2BEF">
        <w:pPr>
          <w:pStyle w:val="Footer"/>
          <w:jc w:val="right"/>
          <w:rPr>
            <w:rFonts w:ascii="Times New Roman" w:hAnsi="Times New Roman" w:cs="Times New Roman"/>
          </w:rPr>
        </w:pPr>
        <w:r w:rsidRPr="000B2BEF">
          <w:rPr>
            <w:rFonts w:ascii="Times New Roman" w:hAnsi="Times New Roman" w:cs="Times New Roman"/>
          </w:rPr>
          <w:fldChar w:fldCharType="begin"/>
        </w:r>
        <w:r w:rsidRPr="000B2BEF">
          <w:rPr>
            <w:rFonts w:ascii="Times New Roman" w:hAnsi="Times New Roman" w:cs="Times New Roman"/>
          </w:rPr>
          <w:instrText xml:space="preserve"> PAGE   \* MERGEFORMAT </w:instrText>
        </w:r>
        <w:r w:rsidRPr="000B2BEF">
          <w:rPr>
            <w:rFonts w:ascii="Times New Roman" w:hAnsi="Times New Roman" w:cs="Times New Roman"/>
          </w:rPr>
          <w:fldChar w:fldCharType="separate"/>
        </w:r>
        <w:r w:rsidR="00540A9D">
          <w:rPr>
            <w:rFonts w:ascii="Times New Roman" w:hAnsi="Times New Roman" w:cs="Times New Roman"/>
            <w:noProof/>
          </w:rPr>
          <w:t>2</w:t>
        </w:r>
        <w:r w:rsidRPr="000B2BEF">
          <w:rPr>
            <w:rFonts w:ascii="Times New Roman" w:hAnsi="Times New Roman" w:cs="Times New Roman"/>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8602040"/>
      <w:docPartObj>
        <w:docPartGallery w:val="Page Numbers (Bottom of Page)"/>
        <w:docPartUnique/>
      </w:docPartObj>
    </w:sdtPr>
    <w:sdtEndPr>
      <w:rPr>
        <w:rFonts w:ascii="Times New Roman" w:hAnsi="Times New Roman" w:cs="Times New Roman"/>
        <w:noProof/>
        <w:sz w:val="24"/>
        <w:szCs w:val="24"/>
      </w:rPr>
    </w:sdtEndPr>
    <w:sdtContent>
      <w:p w14:paraId="08A7B234" w14:textId="4B4BA15F" w:rsidR="00844F7A" w:rsidRPr="00844F7A" w:rsidRDefault="0053781D" w:rsidP="0053781D">
        <w:pPr>
          <w:pStyle w:val="Footer"/>
          <w:pBdr>
            <w:top w:val="single" w:sz="4" w:space="1" w:color="auto"/>
          </w:pBdr>
          <w:rPr>
            <w:rFonts w:ascii="Times New Roman" w:hAnsi="Times New Roman" w:cs="Times New Roman"/>
            <w:sz w:val="24"/>
            <w:szCs w:val="24"/>
          </w:rPr>
        </w:pPr>
        <w:r w:rsidRPr="00155934">
          <w:rPr>
            <w:sz w:val="18"/>
            <w:szCs w:val="18"/>
            <w:lang w:val="bg-BG"/>
          </w:rPr>
          <w:t>Направление: „Инвестиции, свързани с ефективно управление на води в земеделските стопанства“</w:t>
        </w:r>
        <w:r w:rsidRPr="00155934">
          <w:rPr>
            <w:lang w:val="bg-BG"/>
          </w:rPr>
          <w:t xml:space="preserve"> </w:t>
        </w:r>
        <w:r>
          <w:rPr>
            <w:lang w:val="bg-BG"/>
          </w:rPr>
          <w:tab/>
        </w:r>
        <w:r>
          <w:rPr>
            <w:lang w:val="bg-BG"/>
          </w:rPr>
          <w:tab/>
        </w:r>
        <w:r w:rsidR="00844F7A" w:rsidRPr="00844F7A">
          <w:rPr>
            <w:rFonts w:ascii="Times New Roman" w:hAnsi="Times New Roman" w:cs="Times New Roman"/>
            <w:sz w:val="24"/>
            <w:szCs w:val="24"/>
          </w:rPr>
          <w:fldChar w:fldCharType="begin"/>
        </w:r>
        <w:r w:rsidR="00844F7A" w:rsidRPr="00844F7A">
          <w:rPr>
            <w:rFonts w:ascii="Times New Roman" w:hAnsi="Times New Roman" w:cs="Times New Roman"/>
            <w:sz w:val="24"/>
            <w:szCs w:val="24"/>
          </w:rPr>
          <w:instrText xml:space="preserve"> PAGE   \* MERGEFORMAT </w:instrText>
        </w:r>
        <w:r w:rsidR="00844F7A" w:rsidRPr="00844F7A">
          <w:rPr>
            <w:rFonts w:ascii="Times New Roman" w:hAnsi="Times New Roman" w:cs="Times New Roman"/>
            <w:sz w:val="24"/>
            <w:szCs w:val="24"/>
          </w:rPr>
          <w:fldChar w:fldCharType="separate"/>
        </w:r>
        <w:r w:rsidR="00540A9D">
          <w:rPr>
            <w:rFonts w:ascii="Times New Roman" w:hAnsi="Times New Roman" w:cs="Times New Roman"/>
            <w:noProof/>
            <w:sz w:val="24"/>
            <w:szCs w:val="24"/>
          </w:rPr>
          <w:t>1</w:t>
        </w:r>
        <w:r w:rsidR="00844F7A" w:rsidRPr="00844F7A">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477B2" w14:textId="77777777" w:rsidR="00670DE6" w:rsidRDefault="00670DE6" w:rsidP="00034CD0">
      <w:pPr>
        <w:spacing w:after="0" w:line="240" w:lineRule="auto"/>
      </w:pPr>
      <w:r>
        <w:separator/>
      </w:r>
    </w:p>
  </w:footnote>
  <w:footnote w:type="continuationSeparator" w:id="0">
    <w:p w14:paraId="0CBED6CB" w14:textId="77777777" w:rsidR="00670DE6" w:rsidRDefault="00670DE6" w:rsidP="00034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42AB2" w14:textId="77777777" w:rsidR="00034CD0" w:rsidRPr="003F60A4" w:rsidRDefault="00540A9D" w:rsidP="003F60A4">
    <w:pPr>
      <w:pStyle w:val="Header"/>
    </w:pPr>
    <w:r>
      <w:rPr>
        <w:rFonts w:ascii="Times New Roman" w:eastAsia="Times New Roman" w:hAnsi="Times New Roman" w:cs="Times New Roman"/>
        <w:noProof/>
        <w:sz w:val="24"/>
        <w:szCs w:val="24"/>
        <w:lang w:val="bg-BG"/>
      </w:rPr>
      <w:pict w14:anchorId="213560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451580" o:spid="_x0000_s1032" type="#_x0000_t136" style="position:absolute;margin-left:0;margin-top:0;width:528.5pt;height:262.2pt;rotation:315;z-index:-251658752;mso-position-horizontal:center;mso-position-horizontal-relative:margin;mso-position-vertical:center;mso-position-vertical-relative:margin" o:allowincell="f" fillcolor="silver" stroked="f">
          <v:fill opacity=".5"/>
          <v:textpath style="font-family:&quot;HebarU&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CA40" w14:textId="37695CC0" w:rsidR="00844F7A" w:rsidRDefault="00F97593" w:rsidP="0053781D">
    <w:pPr>
      <w:pStyle w:val="Header"/>
      <w:jc w:val="center"/>
    </w:pPr>
    <w:bookmarkStart w:id="2" w:name="_Hlk128860497"/>
    <w:r>
      <w:rPr>
        <w:noProof/>
      </w:rPr>
      <w:drawing>
        <wp:inline distT="0" distB="0" distL="0" distR="0" wp14:anchorId="6017F5EF" wp14:editId="1242B6E8">
          <wp:extent cx="6076950" cy="600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6950" cy="600075"/>
                  </a:xfrm>
                  <a:prstGeom prst="rect">
                    <a:avLst/>
                  </a:prstGeom>
                  <a:noFill/>
                  <a:ln>
                    <a:noFill/>
                  </a:ln>
                </pic:spPr>
              </pic:pic>
            </a:graphicData>
          </a:graphic>
        </wp:inline>
      </w:drawing>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F3FE8"/>
    <w:multiLevelType w:val="hybridMultilevel"/>
    <w:tmpl w:val="DB76D2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34C553B"/>
    <w:multiLevelType w:val="hybridMultilevel"/>
    <w:tmpl w:val="4258A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0C5DF0"/>
    <w:multiLevelType w:val="multilevel"/>
    <w:tmpl w:val="CCF8BA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591"/>
    <w:rsid w:val="00012BC2"/>
    <w:rsid w:val="00034CD0"/>
    <w:rsid w:val="000563A1"/>
    <w:rsid w:val="00080FF0"/>
    <w:rsid w:val="00082BD0"/>
    <w:rsid w:val="000B2BEF"/>
    <w:rsid w:val="000B4872"/>
    <w:rsid w:val="000E43B5"/>
    <w:rsid w:val="000E694D"/>
    <w:rsid w:val="00124F20"/>
    <w:rsid w:val="00136C26"/>
    <w:rsid w:val="00144AAF"/>
    <w:rsid w:val="00146586"/>
    <w:rsid w:val="001B70A7"/>
    <w:rsid w:val="001D3A74"/>
    <w:rsid w:val="00272EEF"/>
    <w:rsid w:val="00283736"/>
    <w:rsid w:val="002A6D9D"/>
    <w:rsid w:val="002F0FBA"/>
    <w:rsid w:val="003946F9"/>
    <w:rsid w:val="003F60A4"/>
    <w:rsid w:val="004177D9"/>
    <w:rsid w:val="00417E59"/>
    <w:rsid w:val="0042621C"/>
    <w:rsid w:val="004418BA"/>
    <w:rsid w:val="00465036"/>
    <w:rsid w:val="004679F6"/>
    <w:rsid w:val="004B2F0C"/>
    <w:rsid w:val="004D45C3"/>
    <w:rsid w:val="004D4EDE"/>
    <w:rsid w:val="004E07B2"/>
    <w:rsid w:val="0053781D"/>
    <w:rsid w:val="00540A9D"/>
    <w:rsid w:val="005A1226"/>
    <w:rsid w:val="005A390B"/>
    <w:rsid w:val="005A711F"/>
    <w:rsid w:val="005C219B"/>
    <w:rsid w:val="005E1B51"/>
    <w:rsid w:val="005E1E14"/>
    <w:rsid w:val="005E5969"/>
    <w:rsid w:val="00613952"/>
    <w:rsid w:val="00615A3B"/>
    <w:rsid w:val="00621F00"/>
    <w:rsid w:val="00670DE6"/>
    <w:rsid w:val="00682A6B"/>
    <w:rsid w:val="006A3353"/>
    <w:rsid w:val="006B490D"/>
    <w:rsid w:val="006C6535"/>
    <w:rsid w:val="006D2DA2"/>
    <w:rsid w:val="006E6B5D"/>
    <w:rsid w:val="00713329"/>
    <w:rsid w:val="007233EC"/>
    <w:rsid w:val="007265CF"/>
    <w:rsid w:val="00740D71"/>
    <w:rsid w:val="00774ADF"/>
    <w:rsid w:val="007B6669"/>
    <w:rsid w:val="007C4C18"/>
    <w:rsid w:val="00844F7A"/>
    <w:rsid w:val="00880782"/>
    <w:rsid w:val="008927F6"/>
    <w:rsid w:val="008B4394"/>
    <w:rsid w:val="008D0206"/>
    <w:rsid w:val="008D4636"/>
    <w:rsid w:val="00971ECF"/>
    <w:rsid w:val="009A5EC3"/>
    <w:rsid w:val="009B4CFF"/>
    <w:rsid w:val="009F1320"/>
    <w:rsid w:val="00A27467"/>
    <w:rsid w:val="00A42591"/>
    <w:rsid w:val="00A53E83"/>
    <w:rsid w:val="00A65AC6"/>
    <w:rsid w:val="00AC6610"/>
    <w:rsid w:val="00AF04F1"/>
    <w:rsid w:val="00B17422"/>
    <w:rsid w:val="00B2614B"/>
    <w:rsid w:val="00B46E42"/>
    <w:rsid w:val="00B55038"/>
    <w:rsid w:val="00B56355"/>
    <w:rsid w:val="00B603E4"/>
    <w:rsid w:val="00B65E58"/>
    <w:rsid w:val="00BA758F"/>
    <w:rsid w:val="00BF1774"/>
    <w:rsid w:val="00BF7791"/>
    <w:rsid w:val="00C57E44"/>
    <w:rsid w:val="00CA175A"/>
    <w:rsid w:val="00CE7F55"/>
    <w:rsid w:val="00D16927"/>
    <w:rsid w:val="00D209BA"/>
    <w:rsid w:val="00D639F7"/>
    <w:rsid w:val="00D80E20"/>
    <w:rsid w:val="00DC141E"/>
    <w:rsid w:val="00E45F0E"/>
    <w:rsid w:val="00E53742"/>
    <w:rsid w:val="00E91661"/>
    <w:rsid w:val="00EC01D2"/>
    <w:rsid w:val="00EE6E49"/>
    <w:rsid w:val="00F0117D"/>
    <w:rsid w:val="00F0587E"/>
    <w:rsid w:val="00F167DF"/>
    <w:rsid w:val="00F525E4"/>
    <w:rsid w:val="00F61151"/>
    <w:rsid w:val="00F64CBB"/>
    <w:rsid w:val="00F97593"/>
    <w:rsid w:val="00FA0133"/>
    <w:rsid w:val="00FB4ACE"/>
    <w:rsid w:val="00FD0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373FC"/>
  <w15:docId w15:val="{E0D62D6C-D55E-4CAB-B9B5-B90BE6A83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4CD0"/>
    <w:pPr>
      <w:tabs>
        <w:tab w:val="center" w:pos="4536"/>
        <w:tab w:val="right" w:pos="9072"/>
      </w:tabs>
      <w:spacing w:after="0" w:line="240" w:lineRule="auto"/>
    </w:pPr>
  </w:style>
  <w:style w:type="character" w:customStyle="1" w:styleId="HeaderChar">
    <w:name w:val="Header Char"/>
    <w:basedOn w:val="DefaultParagraphFont"/>
    <w:link w:val="Header"/>
    <w:uiPriority w:val="99"/>
    <w:rsid w:val="00034CD0"/>
  </w:style>
  <w:style w:type="paragraph" w:styleId="Footer">
    <w:name w:val="footer"/>
    <w:basedOn w:val="Normal"/>
    <w:link w:val="FooterChar"/>
    <w:uiPriority w:val="99"/>
    <w:unhideWhenUsed/>
    <w:rsid w:val="00034CD0"/>
    <w:pPr>
      <w:tabs>
        <w:tab w:val="center" w:pos="4536"/>
        <w:tab w:val="right" w:pos="9072"/>
      </w:tabs>
      <w:spacing w:after="0" w:line="240" w:lineRule="auto"/>
    </w:pPr>
  </w:style>
  <w:style w:type="character" w:customStyle="1" w:styleId="FooterChar">
    <w:name w:val="Footer Char"/>
    <w:basedOn w:val="DefaultParagraphFont"/>
    <w:link w:val="Footer"/>
    <w:uiPriority w:val="99"/>
    <w:rsid w:val="00034CD0"/>
  </w:style>
  <w:style w:type="paragraph" w:styleId="BalloonText">
    <w:name w:val="Balloon Text"/>
    <w:basedOn w:val="Normal"/>
    <w:link w:val="BalloonTextChar"/>
    <w:uiPriority w:val="99"/>
    <w:semiHidden/>
    <w:unhideWhenUsed/>
    <w:rsid w:val="008D0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206"/>
    <w:rPr>
      <w:rFonts w:ascii="Tahoma" w:hAnsi="Tahoma" w:cs="Tahoma"/>
      <w:sz w:val="16"/>
      <w:szCs w:val="16"/>
    </w:rPr>
  </w:style>
  <w:style w:type="paragraph" w:styleId="ListParagraph">
    <w:name w:val="List Paragraph"/>
    <w:basedOn w:val="Normal"/>
    <w:uiPriority w:val="34"/>
    <w:qFormat/>
    <w:rsid w:val="00613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1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9FA5E-362A-41A4-AEBD-7600AF91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13</Pages>
  <Words>3764</Words>
  <Characters>21455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n0ak95</Company>
  <LinksUpToDate>false</LinksUpToDate>
  <CharactersWithSpaces>25169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n0ak95</dc:creator>
  <cp:lastModifiedBy>Petar Mihaylov</cp:lastModifiedBy>
  <cp:revision>11</cp:revision>
  <dcterms:created xsi:type="dcterms:W3CDTF">2023-03-05T12:33:00Z</dcterms:created>
  <dcterms:modified xsi:type="dcterms:W3CDTF">2023-03-29T13:32:00Z</dcterms:modified>
</cp:coreProperties>
</file>