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8EC53" w14:textId="188E8FCB" w:rsidR="00BC6BD9" w:rsidRPr="003D607C" w:rsidRDefault="00222173" w:rsidP="003948D1">
      <w:pPr>
        <w:spacing w:line="276" w:lineRule="auto"/>
        <w:jc w:val="right"/>
        <w:rPr>
          <w:rFonts w:cstheme="minorHAnsi"/>
          <w:b/>
          <w:sz w:val="32"/>
          <w:szCs w:val="32"/>
        </w:rPr>
      </w:pPr>
      <w:r w:rsidRPr="003D607C">
        <w:rPr>
          <w:rFonts w:cstheme="minorHAnsi"/>
          <w:b/>
          <w:sz w:val="32"/>
          <w:szCs w:val="32"/>
        </w:rPr>
        <w:t>Приложение</w:t>
      </w:r>
      <w:r w:rsidR="007F5A8B" w:rsidRPr="003D607C">
        <w:rPr>
          <w:rFonts w:cstheme="minorHAnsi"/>
          <w:b/>
          <w:sz w:val="32"/>
          <w:szCs w:val="32"/>
        </w:rPr>
        <w:t xml:space="preserve"> № </w:t>
      </w:r>
      <w:r w:rsidR="00EB1E0F" w:rsidRPr="003D607C">
        <w:rPr>
          <w:rFonts w:cstheme="minorHAnsi"/>
          <w:b/>
          <w:sz w:val="32"/>
          <w:szCs w:val="32"/>
        </w:rPr>
        <w:t>7</w:t>
      </w:r>
      <w:r w:rsidR="00BC6BD9" w:rsidRPr="003D607C">
        <w:rPr>
          <w:rFonts w:cstheme="minorHAnsi"/>
          <w:b/>
          <w:sz w:val="32"/>
          <w:szCs w:val="32"/>
        </w:rPr>
        <w:t xml:space="preserve"> </w:t>
      </w:r>
    </w:p>
    <w:p w14:paraId="1EAA22B9" w14:textId="77777777" w:rsidR="003D3336" w:rsidRPr="003D607C" w:rsidRDefault="003D3336" w:rsidP="005A4C07">
      <w:pPr>
        <w:spacing w:line="276" w:lineRule="auto"/>
        <w:rPr>
          <w:rFonts w:cstheme="minorHAnsi"/>
          <w:b/>
          <w:sz w:val="32"/>
          <w:szCs w:val="32"/>
        </w:rPr>
      </w:pPr>
    </w:p>
    <w:p w14:paraId="11744F08" w14:textId="5F020FB4" w:rsidR="007F5A8B" w:rsidRPr="003D607C" w:rsidRDefault="005A4C07" w:rsidP="00A5521E">
      <w:pPr>
        <w:spacing w:after="0" w:line="276" w:lineRule="auto"/>
        <w:rPr>
          <w:rFonts w:cstheme="minorHAnsi"/>
          <w:b/>
          <w:sz w:val="24"/>
          <w:szCs w:val="24"/>
        </w:rPr>
      </w:pPr>
      <w:r w:rsidRPr="003D607C">
        <w:rPr>
          <w:rFonts w:cstheme="minorHAnsi"/>
          <w:b/>
          <w:sz w:val="24"/>
          <w:szCs w:val="24"/>
        </w:rPr>
        <w:t>Документи за окончателно плащане</w:t>
      </w:r>
    </w:p>
    <w:p w14:paraId="681E24EF" w14:textId="77777777" w:rsidR="00A5521E" w:rsidRPr="003D607C" w:rsidRDefault="00A5521E" w:rsidP="00A5521E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</w:p>
    <w:p w14:paraId="3608A5AC" w14:textId="10820C4A" w:rsidR="007F5A8B" w:rsidRPr="003D607C" w:rsidRDefault="007F5A8B" w:rsidP="00A5521E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3D607C">
        <w:rPr>
          <w:rFonts w:cstheme="minorHAnsi"/>
          <w:b/>
          <w:sz w:val="24"/>
          <w:szCs w:val="24"/>
        </w:rPr>
        <w:t>А. Общи документи</w:t>
      </w:r>
    </w:p>
    <w:p w14:paraId="04C88111" w14:textId="4E201096" w:rsidR="007F5A8B" w:rsidRPr="003D607C" w:rsidRDefault="00EB1E0F" w:rsidP="00A5521E">
      <w:pPr>
        <w:pStyle w:val="ListParagraph"/>
        <w:numPr>
          <w:ilvl w:val="0"/>
          <w:numId w:val="2"/>
        </w:numPr>
        <w:tabs>
          <w:tab w:val="left" w:pos="284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П</w:t>
      </w:r>
      <w:r w:rsidR="007F5A8B" w:rsidRPr="003D607C">
        <w:rPr>
          <w:rFonts w:cstheme="minorHAnsi"/>
          <w:sz w:val="24"/>
          <w:szCs w:val="24"/>
        </w:rPr>
        <w:t>опълнена таблица за извършените инвестиции по групи р</w:t>
      </w:r>
      <w:r w:rsidRPr="003D607C">
        <w:rPr>
          <w:rFonts w:cstheme="minorHAnsi"/>
          <w:sz w:val="24"/>
          <w:szCs w:val="24"/>
        </w:rPr>
        <w:t xml:space="preserve">азходи към искането за плащане </w:t>
      </w:r>
      <w:r w:rsidR="007F5A8B" w:rsidRPr="003D607C">
        <w:rPr>
          <w:rFonts w:cstheme="minorHAnsi"/>
          <w:sz w:val="24"/>
          <w:szCs w:val="24"/>
        </w:rPr>
        <w:t xml:space="preserve">(по образец, подписан от </w:t>
      </w:r>
      <w:r w:rsidR="00473306" w:rsidRPr="003D607C">
        <w:rPr>
          <w:rFonts w:cstheme="minorHAnsi"/>
          <w:sz w:val="24"/>
          <w:szCs w:val="24"/>
        </w:rPr>
        <w:t>крайния получател</w:t>
      </w:r>
      <w:r w:rsidR="007F5A8B" w:rsidRPr="003D607C">
        <w:rPr>
          <w:rFonts w:cstheme="minorHAnsi"/>
          <w:sz w:val="24"/>
          <w:szCs w:val="24"/>
        </w:rPr>
        <w:t xml:space="preserve"> във формат „pdf“ или „jpg“, включително в „xls“ формат по образец).</w:t>
      </w:r>
    </w:p>
    <w:p w14:paraId="1B0C2AE4" w14:textId="750A51C6" w:rsidR="007F5A8B" w:rsidRPr="003D607C" w:rsidRDefault="007F5A8B" w:rsidP="00A5521E">
      <w:pPr>
        <w:pStyle w:val="ListParagraph"/>
        <w:numPr>
          <w:ilvl w:val="0"/>
          <w:numId w:val="2"/>
        </w:numPr>
        <w:tabs>
          <w:tab w:val="left" w:pos="284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 xml:space="preserve">Нотариално заверено изрично пълномощно, в случай че документите не се подават лично от </w:t>
      </w:r>
      <w:r w:rsidR="00473306" w:rsidRPr="003D607C">
        <w:rPr>
          <w:rFonts w:cstheme="minorHAnsi"/>
          <w:sz w:val="24"/>
          <w:szCs w:val="24"/>
        </w:rPr>
        <w:t>крайния получател</w:t>
      </w:r>
      <w:r w:rsidRPr="003D607C">
        <w:rPr>
          <w:rFonts w:cstheme="minorHAnsi"/>
          <w:sz w:val="24"/>
          <w:szCs w:val="24"/>
        </w:rPr>
        <w:t>, съгласно сключения договор</w:t>
      </w:r>
      <w:r w:rsidR="00473306" w:rsidRPr="003D607C">
        <w:rPr>
          <w:rFonts w:cstheme="minorHAnsi"/>
          <w:sz w:val="24"/>
          <w:szCs w:val="24"/>
        </w:rPr>
        <w:t xml:space="preserve"> за финансиране</w:t>
      </w:r>
      <w:r w:rsidRPr="003D607C">
        <w:rPr>
          <w:rFonts w:cstheme="minorHAnsi"/>
          <w:sz w:val="24"/>
          <w:szCs w:val="24"/>
        </w:rPr>
        <w:t>. Представя се във формат „pdf“ или „jpg“.</w:t>
      </w:r>
    </w:p>
    <w:p w14:paraId="487DAC82" w14:textId="5AD2CC4F" w:rsidR="00EB1E0F" w:rsidRPr="003D607C" w:rsidRDefault="003E3556" w:rsidP="00A5521E">
      <w:pPr>
        <w:pStyle w:val="ListParagraph"/>
        <w:numPr>
          <w:ilvl w:val="0"/>
          <w:numId w:val="2"/>
        </w:numPr>
        <w:tabs>
          <w:tab w:val="left" w:pos="284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Индивидуал</w:t>
      </w:r>
      <w:r w:rsidR="00B21976" w:rsidRPr="003D607C">
        <w:rPr>
          <w:rFonts w:cstheme="minorHAnsi"/>
          <w:sz w:val="24"/>
          <w:szCs w:val="24"/>
        </w:rPr>
        <w:t>ен</w:t>
      </w:r>
      <w:r w:rsidRPr="003D607C">
        <w:rPr>
          <w:rFonts w:cstheme="minorHAnsi"/>
          <w:sz w:val="24"/>
          <w:szCs w:val="24"/>
        </w:rPr>
        <w:t xml:space="preserve"> сметкоплан утвърден от ръководството на предприятието, с включени в него обособени счетоводни сметки специално открити за изпълнение на инвестицията</w:t>
      </w:r>
      <w:r w:rsidR="00016DE0" w:rsidRPr="003D607C">
        <w:rPr>
          <w:rFonts w:cstheme="minorHAnsi"/>
          <w:sz w:val="24"/>
          <w:szCs w:val="24"/>
        </w:rPr>
        <w:t xml:space="preserve"> - представя</w:t>
      </w:r>
      <w:r w:rsidRPr="003D607C">
        <w:rPr>
          <w:rFonts w:cstheme="minorHAnsi"/>
          <w:sz w:val="24"/>
          <w:szCs w:val="24"/>
        </w:rPr>
        <w:t xml:space="preserve"> се </w:t>
      </w:r>
      <w:r w:rsidR="00016DE0" w:rsidRPr="003D607C">
        <w:rPr>
          <w:rFonts w:cstheme="minorHAnsi"/>
          <w:sz w:val="24"/>
          <w:szCs w:val="24"/>
        </w:rPr>
        <w:t xml:space="preserve">при </w:t>
      </w:r>
      <w:r w:rsidRPr="003D607C">
        <w:rPr>
          <w:rFonts w:cstheme="minorHAnsi"/>
          <w:sz w:val="24"/>
          <w:szCs w:val="24"/>
        </w:rPr>
        <w:t xml:space="preserve"> междинно плащане, при промяна или, ако няма междинни плащания, при окончателно плащане.</w:t>
      </w:r>
      <w:r w:rsidR="004E19B4" w:rsidRPr="003D607C">
        <w:rPr>
          <w:rFonts w:cstheme="minorHAnsi"/>
          <w:sz w:val="24"/>
          <w:szCs w:val="24"/>
        </w:rPr>
        <w:t xml:space="preserve"> Представя се във формат „pdf“ или „jpg“.</w:t>
      </w:r>
    </w:p>
    <w:p w14:paraId="07AF2EC4" w14:textId="73FF2B92" w:rsidR="004E19B4" w:rsidRPr="003D607C" w:rsidRDefault="004E19B4" w:rsidP="00A5521E">
      <w:pPr>
        <w:pStyle w:val="ListParagraph"/>
        <w:numPr>
          <w:ilvl w:val="0"/>
          <w:numId w:val="2"/>
        </w:numPr>
        <w:tabs>
          <w:tab w:val="left" w:pos="284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Извлечения от обособените аналитични счетоводни сметки, които КП са длъжни да водят по време на изпълнение на договорите за финансиране. Представя се във формат „pdf“ или „jpg“.</w:t>
      </w:r>
    </w:p>
    <w:p w14:paraId="1D8107E7" w14:textId="5A2EA512" w:rsidR="007F5A8B" w:rsidRPr="003D607C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Копие от книга за приходите и копие от книга за разходите (за физически лица, прилагащи облекчена форма на финансова отчетност съгласно Закона за счетоводството). Представя се във формат „pdf“ или „jpg“.</w:t>
      </w:r>
    </w:p>
    <w:p w14:paraId="7A18EDC6" w14:textId="3B125070" w:rsidR="007F5A8B" w:rsidRPr="003D607C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 xml:space="preserve">Копие на извлечение от инвентарна книга или разпечатка от счетоводната система на </w:t>
      </w:r>
      <w:r w:rsidR="00473306" w:rsidRPr="003D607C">
        <w:rPr>
          <w:rFonts w:cstheme="minorHAnsi"/>
          <w:sz w:val="24"/>
          <w:szCs w:val="24"/>
        </w:rPr>
        <w:t>КП</w:t>
      </w:r>
      <w:r w:rsidRPr="003D607C">
        <w:rPr>
          <w:rFonts w:cstheme="minorHAnsi"/>
          <w:sz w:val="24"/>
          <w:szCs w:val="24"/>
        </w:rPr>
        <w:t>, доказващо заприходяването на финансирания актив. Представя се във формат „pdf“ или „jpg“.</w:t>
      </w:r>
    </w:p>
    <w:p w14:paraId="79747784" w14:textId="3C4B3620" w:rsidR="00DE6038" w:rsidRPr="003D607C" w:rsidRDefault="00DE6038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 xml:space="preserve">Декларация (в случай че </w:t>
      </w:r>
      <w:r w:rsidR="00473306" w:rsidRPr="003D607C">
        <w:rPr>
          <w:rFonts w:cstheme="minorHAnsi"/>
          <w:sz w:val="24"/>
          <w:szCs w:val="24"/>
        </w:rPr>
        <w:t>КП</w:t>
      </w:r>
      <w:r w:rsidRPr="003D607C">
        <w:rPr>
          <w:rFonts w:cstheme="minorHAnsi"/>
          <w:sz w:val="24"/>
          <w:szCs w:val="24"/>
        </w:rPr>
        <w:t xml:space="preserve"> на помощта няма регистрация по ЗДДС), че бенефициентът няма да упражни правото си на данъчен кредит за активи и услуги, финансирани от МВУ – Приложение № 8</w:t>
      </w:r>
      <w:r w:rsidR="008079B3" w:rsidRPr="003D607C">
        <w:rPr>
          <w:rFonts w:cstheme="minorHAnsi"/>
          <w:sz w:val="24"/>
          <w:szCs w:val="24"/>
        </w:rPr>
        <w:t>.</w:t>
      </w:r>
    </w:p>
    <w:p w14:paraId="6EE8B7FD" w14:textId="317EF9BF" w:rsidR="00DE6038" w:rsidRPr="003D607C" w:rsidRDefault="00DE6038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 xml:space="preserve">Декларация (в случай че </w:t>
      </w:r>
      <w:r w:rsidR="00D26E35" w:rsidRPr="003D607C">
        <w:rPr>
          <w:rFonts w:cstheme="minorHAnsi"/>
          <w:sz w:val="24"/>
          <w:szCs w:val="24"/>
        </w:rPr>
        <w:t>КП</w:t>
      </w:r>
      <w:r w:rsidRPr="003D607C">
        <w:rPr>
          <w:rFonts w:cstheme="minorHAnsi"/>
          <w:sz w:val="24"/>
          <w:szCs w:val="24"/>
        </w:rPr>
        <w:t xml:space="preserve"> на помощта има регистрация по ЗДДС), че бенефициентът няма да упражни правото си на данъчен кредит за активи и услуги, финансирани от МВУ – Приложение № 9</w:t>
      </w:r>
      <w:r w:rsidR="008079B3" w:rsidRPr="003D607C">
        <w:rPr>
          <w:rFonts w:cstheme="minorHAnsi"/>
          <w:sz w:val="24"/>
          <w:szCs w:val="24"/>
        </w:rPr>
        <w:t>.</w:t>
      </w:r>
      <w:r w:rsidR="00EB1B51" w:rsidRPr="003D607C">
        <w:rPr>
          <w:rFonts w:cstheme="minorHAnsi"/>
          <w:color w:val="FF0000"/>
          <w:sz w:val="24"/>
          <w:szCs w:val="24"/>
        </w:rPr>
        <w:t xml:space="preserve"> </w:t>
      </w:r>
    </w:p>
    <w:p w14:paraId="5B62CA48" w14:textId="1621765E" w:rsidR="00EB1B51" w:rsidRPr="003D607C" w:rsidRDefault="00EB1B51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lastRenderedPageBreak/>
        <w:t>Декларация за удостоверяване на спазването на принципите на забрана за кумулативно предоставяне и за двойно финансиране съгласно чл. 191, ал. 1 от финансовия регламент 1046/2018 – Приложение 5;</w:t>
      </w:r>
    </w:p>
    <w:p w14:paraId="7131444B" w14:textId="77777777" w:rsidR="00E55DEF" w:rsidRPr="003D607C" w:rsidRDefault="00E55DEF" w:rsidP="00E55DEF">
      <w:pPr>
        <w:pStyle w:val="ListParagraph"/>
        <w:tabs>
          <w:tab w:val="left" w:pos="284"/>
          <w:tab w:val="left" w:pos="426"/>
        </w:tabs>
        <w:spacing w:after="240" w:line="276" w:lineRule="auto"/>
        <w:ind w:left="0"/>
        <w:jc w:val="both"/>
        <w:rPr>
          <w:rFonts w:cstheme="minorHAnsi"/>
          <w:sz w:val="24"/>
          <w:szCs w:val="24"/>
        </w:rPr>
      </w:pPr>
    </w:p>
    <w:p w14:paraId="7402CA9D" w14:textId="0A15E191" w:rsidR="00DE6038" w:rsidRPr="003D607C" w:rsidRDefault="00EB1B51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Финансово идентификационна форма – Приложение 6</w:t>
      </w:r>
      <w:r w:rsidR="008079B3" w:rsidRPr="003D607C">
        <w:rPr>
          <w:rFonts w:cstheme="minorHAnsi"/>
          <w:sz w:val="24"/>
          <w:szCs w:val="24"/>
        </w:rPr>
        <w:t>.</w:t>
      </w:r>
    </w:p>
    <w:p w14:paraId="047B35F2" w14:textId="45AD059B" w:rsidR="00E55DEF" w:rsidRPr="003D607C" w:rsidRDefault="00E55DEF" w:rsidP="00E55DEF">
      <w:pPr>
        <w:pStyle w:val="ListParagraph"/>
        <w:tabs>
          <w:tab w:val="left" w:pos="284"/>
          <w:tab w:val="left" w:pos="426"/>
        </w:tabs>
        <w:spacing w:after="240" w:line="276" w:lineRule="auto"/>
        <w:ind w:left="0"/>
        <w:jc w:val="both"/>
        <w:rPr>
          <w:rFonts w:cstheme="minorHAnsi"/>
          <w:sz w:val="24"/>
          <w:szCs w:val="24"/>
        </w:rPr>
      </w:pPr>
    </w:p>
    <w:p w14:paraId="1D71C9F6" w14:textId="1B35FE03" w:rsidR="008079B3" w:rsidRPr="003D607C" w:rsidRDefault="00F047D4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Декларация за съотве</w:t>
      </w:r>
      <w:r w:rsidR="008079B3" w:rsidRPr="003D607C">
        <w:rPr>
          <w:rFonts w:cstheme="minorHAnsi"/>
          <w:sz w:val="24"/>
          <w:szCs w:val="24"/>
        </w:rPr>
        <w:t>т</w:t>
      </w:r>
      <w:r w:rsidRPr="003D607C">
        <w:rPr>
          <w:rFonts w:cstheme="minorHAnsi"/>
          <w:sz w:val="24"/>
          <w:szCs w:val="24"/>
        </w:rPr>
        <w:t>ствие с раздел 11.2 „Критерии за недопустимост на кандидатите“ от Условията за кандидатстване – Приложение № 1</w:t>
      </w:r>
      <w:r w:rsidR="00B21976" w:rsidRPr="003D607C">
        <w:rPr>
          <w:rFonts w:cstheme="minorHAnsi"/>
          <w:sz w:val="24"/>
          <w:szCs w:val="24"/>
        </w:rPr>
        <w:t>0</w:t>
      </w:r>
      <w:r w:rsidRPr="003D607C">
        <w:rPr>
          <w:rFonts w:cstheme="minorHAnsi"/>
          <w:sz w:val="24"/>
          <w:szCs w:val="24"/>
        </w:rPr>
        <w:t xml:space="preserve"> (представя се само при промяна на декларираните обстоятелства при етапа на кандидатстване)</w:t>
      </w:r>
      <w:r w:rsidR="008079B3" w:rsidRPr="003D607C">
        <w:rPr>
          <w:rFonts w:cstheme="minorHAnsi"/>
          <w:sz w:val="24"/>
          <w:szCs w:val="24"/>
        </w:rPr>
        <w:t>.</w:t>
      </w:r>
    </w:p>
    <w:p w14:paraId="015E8B5E" w14:textId="5C3E0F37" w:rsidR="00E55DEF" w:rsidRPr="003D607C" w:rsidRDefault="00E55DEF" w:rsidP="00E55DEF">
      <w:pPr>
        <w:pStyle w:val="ListParagraph"/>
        <w:tabs>
          <w:tab w:val="left" w:pos="284"/>
          <w:tab w:val="left" w:pos="426"/>
        </w:tabs>
        <w:spacing w:after="240" w:line="276" w:lineRule="auto"/>
        <w:ind w:left="0"/>
        <w:jc w:val="both"/>
        <w:rPr>
          <w:rFonts w:cstheme="minorHAnsi"/>
          <w:sz w:val="24"/>
          <w:szCs w:val="24"/>
        </w:rPr>
      </w:pPr>
    </w:p>
    <w:p w14:paraId="20EF7EB6" w14:textId="6E415C72" w:rsidR="00F047D4" w:rsidRPr="003D607C" w:rsidRDefault="00F047D4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 xml:space="preserve"> </w:t>
      </w:r>
      <w:r w:rsidR="003D607C" w:rsidRPr="003D607C">
        <w:rPr>
          <w:rFonts w:cstheme="minorHAnsi"/>
          <w:sz w:val="24"/>
          <w:szCs w:val="24"/>
        </w:rPr>
        <w:t xml:space="preserve">Попълнен в ИСМ-ИСУН 2020 Формуляр за самооценка. </w:t>
      </w:r>
      <w:r w:rsidR="003D607C" w:rsidRPr="003D607C">
        <w:rPr>
          <w:rFonts w:cstheme="minorHAnsi"/>
          <w:sz w:val="24"/>
          <w:szCs w:val="24"/>
        </w:rPr>
        <w:t>КП попълва аналогичен на този при кандидатстване Формуляр за самооценка. Формулярът за самооценка е задължителен за всяко предложение за изпълнение на инвестиция. Необходимо е попълване на съответните полета на формуляра, озаглавени контролен лист 1 и 2  (при необходимост, съгласно инструкциите). Формулярът за самооценка се попълва електронно в информационната система ИСМ-ИСУН 2020, раздел НПВУ от всеки кандидат и е част от приложенията към секция е-Декларации към Искане за плащане.</w:t>
      </w:r>
      <w:r w:rsidR="003D607C">
        <w:rPr>
          <w:rFonts w:cstheme="minorHAnsi"/>
          <w:sz w:val="24"/>
          <w:szCs w:val="24"/>
        </w:rPr>
        <w:t xml:space="preserve"> </w:t>
      </w:r>
    </w:p>
    <w:p w14:paraId="035F9CB4" w14:textId="7EBD7ED6" w:rsidR="00E55DEF" w:rsidRPr="003D607C" w:rsidRDefault="00E55DEF" w:rsidP="00E55DEF">
      <w:pPr>
        <w:pStyle w:val="ListParagraph"/>
        <w:tabs>
          <w:tab w:val="left" w:pos="284"/>
          <w:tab w:val="left" w:pos="426"/>
        </w:tabs>
        <w:spacing w:after="240" w:line="276" w:lineRule="auto"/>
        <w:ind w:left="0"/>
        <w:jc w:val="both"/>
        <w:rPr>
          <w:rFonts w:cstheme="minorHAnsi"/>
          <w:sz w:val="24"/>
          <w:szCs w:val="24"/>
        </w:rPr>
      </w:pPr>
    </w:p>
    <w:p w14:paraId="663B1FF5" w14:textId="432404F1" w:rsidR="007F5A8B" w:rsidRPr="003D607C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 xml:space="preserve">Договор за услуги/работи/доставки за всеки обект на инвестицията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сметка, която да е </w:t>
      </w:r>
      <w:r w:rsidR="0035737E" w:rsidRPr="003D607C">
        <w:rPr>
          <w:rFonts w:cstheme="minorHAnsi"/>
          <w:sz w:val="24"/>
          <w:szCs w:val="24"/>
        </w:rPr>
        <w:t xml:space="preserve">сканирана </w:t>
      </w:r>
      <w:r w:rsidRPr="003D607C">
        <w:rPr>
          <w:rFonts w:cstheme="minorHAnsi"/>
          <w:sz w:val="24"/>
          <w:szCs w:val="24"/>
        </w:rPr>
        <w:t xml:space="preserve">и </w:t>
      </w:r>
      <w:r w:rsidR="0035737E" w:rsidRPr="003D607C">
        <w:rPr>
          <w:rFonts w:cstheme="minorHAnsi"/>
          <w:sz w:val="24"/>
          <w:szCs w:val="24"/>
        </w:rPr>
        <w:t xml:space="preserve">във формат „xls“ на </w:t>
      </w:r>
      <w:r w:rsidRPr="003D607C">
        <w:rPr>
          <w:rFonts w:cstheme="minorHAnsi"/>
          <w:sz w:val="24"/>
          <w:szCs w:val="24"/>
        </w:rPr>
        <w:t>електронен носител. В договорите се описва ДДС. Представ</w:t>
      </w:r>
      <w:r w:rsidR="00EA2991" w:rsidRPr="003D607C">
        <w:rPr>
          <w:rFonts w:cstheme="minorHAnsi"/>
          <w:sz w:val="24"/>
          <w:szCs w:val="24"/>
        </w:rPr>
        <w:t>я се във формат „pdf“ или „jpg“, включително в „xls“ формат.</w:t>
      </w:r>
      <w:r w:rsidR="0035737E" w:rsidRPr="003D607C">
        <w:rPr>
          <w:rFonts w:cstheme="minorHAnsi"/>
          <w:sz w:val="24"/>
          <w:szCs w:val="24"/>
        </w:rPr>
        <w:t xml:space="preserve"> Представя се в случай, че не е представен при кандидатстване или по време на избора на изпълнител.</w:t>
      </w:r>
    </w:p>
    <w:p w14:paraId="0545E05C" w14:textId="4F8B3C92" w:rsidR="007F5A8B" w:rsidRPr="003D607C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 xml:space="preserve">Приемно-предавателен протокол между доставчика/изпълнителя и </w:t>
      </w:r>
      <w:r w:rsidR="00D26E35" w:rsidRPr="003D607C">
        <w:rPr>
          <w:rFonts w:cstheme="minorHAnsi"/>
          <w:sz w:val="24"/>
          <w:szCs w:val="24"/>
        </w:rPr>
        <w:t>КП</w:t>
      </w:r>
      <w:r w:rsidRPr="003D607C">
        <w:rPr>
          <w:rFonts w:cstheme="minorHAnsi"/>
          <w:sz w:val="24"/>
          <w:szCs w:val="24"/>
        </w:rPr>
        <w:t xml:space="preserve"> за всеки обект на инвестицията, съдържащ детайлно описание на техническите характеристики и индивидуализиращи данни, когато е приложимо</w:t>
      </w:r>
      <w:r w:rsidR="00EA2991" w:rsidRPr="003D607C">
        <w:rPr>
          <w:rFonts w:cstheme="minorHAnsi"/>
          <w:sz w:val="24"/>
          <w:szCs w:val="24"/>
        </w:rPr>
        <w:t xml:space="preserve"> </w:t>
      </w:r>
      <w:r w:rsidRPr="003D607C">
        <w:rPr>
          <w:rFonts w:cstheme="minorHAnsi"/>
          <w:sz w:val="24"/>
          <w:szCs w:val="24"/>
        </w:rPr>
        <w:t xml:space="preserve">(напр. серийни номера, номер на рама, номер на двигател, др.). Представя се във формат „pdf“ или „jpg“, включително в „xls“ формат. </w:t>
      </w:r>
    </w:p>
    <w:p w14:paraId="64BCE18B" w14:textId="6FC21531" w:rsidR="007F5A8B" w:rsidRPr="003D607C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Копие от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„pdf“ или „jpg“.</w:t>
      </w:r>
    </w:p>
    <w:p w14:paraId="3D256D35" w14:textId="7FCFB21A" w:rsidR="007F5A8B" w:rsidRPr="003D607C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Първични счетоводни документи (напр. фактури), доказващи извършените разходи. Представя се във формат „pdf“ или „jpg“.</w:t>
      </w:r>
    </w:p>
    <w:p w14:paraId="5FDB70AE" w14:textId="57DE6911" w:rsidR="007F5A8B" w:rsidRPr="003D607C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Платежни нареждания, доказващи плащане на одобрените разходи от страна на бенефициента, заверени от обслужващата банка. Представя се във формат „pdf“ или „jpg“.</w:t>
      </w:r>
      <w:r w:rsidR="00125578" w:rsidRPr="003D607C">
        <w:rPr>
          <w:rFonts w:cstheme="minorHAnsi"/>
          <w:sz w:val="24"/>
          <w:szCs w:val="24"/>
        </w:rPr>
        <w:t xml:space="preserve"> Заверка от банка не се изисква за представени платежни нареждания от система за </w:t>
      </w:r>
      <w:r w:rsidR="00125578" w:rsidRPr="003D607C">
        <w:rPr>
          <w:rFonts w:cstheme="minorHAnsi"/>
          <w:sz w:val="24"/>
          <w:szCs w:val="24"/>
        </w:rPr>
        <w:lastRenderedPageBreak/>
        <w:t>електронно банкиране, като същите задължително следва да съдържат референтен номер и дата на извършената банковата операция</w:t>
      </w:r>
      <w:r w:rsidR="0035737E" w:rsidRPr="003D607C">
        <w:rPr>
          <w:rFonts w:cstheme="minorHAnsi"/>
          <w:sz w:val="24"/>
          <w:szCs w:val="24"/>
        </w:rPr>
        <w:t>.</w:t>
      </w:r>
    </w:p>
    <w:p w14:paraId="007EA8AB" w14:textId="18579BC1" w:rsidR="007F5A8B" w:rsidRPr="003D607C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„pdf“ или „jpg“.</w:t>
      </w:r>
    </w:p>
    <w:p w14:paraId="2A90B91E" w14:textId="1951D2DE" w:rsidR="0079282E" w:rsidRPr="003D607C" w:rsidRDefault="0079282E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 xml:space="preserve">Удостоверение за регистрация на животновъден обект по чл. 137 от </w:t>
      </w:r>
      <w:r w:rsidR="00B63D9A" w:rsidRPr="003D607C">
        <w:rPr>
          <w:rFonts w:cstheme="minorHAnsi"/>
          <w:sz w:val="24"/>
          <w:szCs w:val="24"/>
        </w:rPr>
        <w:t>Закона за ветеринарномедицинската дейност</w:t>
      </w:r>
      <w:r w:rsidRPr="003D607C">
        <w:rPr>
          <w:rFonts w:cstheme="minorHAnsi"/>
          <w:sz w:val="24"/>
          <w:szCs w:val="24"/>
        </w:rPr>
        <w:t>, издадено от Българската агенция по безопасност на храните (БАБХ). Представя се във формат „pdf“ или „jpg“.</w:t>
      </w:r>
    </w:p>
    <w:p w14:paraId="3181E98C" w14:textId="029C23B4" w:rsidR="0079282E" w:rsidRPr="003D607C" w:rsidRDefault="00B63D9A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С</w:t>
      </w:r>
      <w:r w:rsidR="0079282E" w:rsidRPr="003D607C">
        <w:rPr>
          <w:rFonts w:cstheme="minorHAnsi"/>
          <w:sz w:val="24"/>
          <w:szCs w:val="24"/>
        </w:rPr>
        <w:t xml:space="preserve">тановище на БАБХ, че земеделското стопанство и дейността му отговарят на изискванията на </w:t>
      </w:r>
      <w:hyperlink r:id="rId7" w:history="1">
        <w:r w:rsidR="0079282E" w:rsidRPr="003D607C">
          <w:rPr>
            <w:rFonts w:cstheme="minorHAnsi"/>
            <w:sz w:val="24"/>
            <w:szCs w:val="24"/>
          </w:rPr>
          <w:t>Закона за защита на растенията</w:t>
        </w:r>
      </w:hyperlink>
      <w:r w:rsidR="0079282E" w:rsidRPr="003D607C">
        <w:rPr>
          <w:rFonts w:cstheme="minorHAnsi"/>
          <w:sz w:val="24"/>
          <w:szCs w:val="24"/>
        </w:rPr>
        <w:t>, ако бенефициента отглежда земеделски култури. Представя се във формат „pdf“ или „jpg“.</w:t>
      </w:r>
    </w:p>
    <w:p w14:paraId="5E1E63B1" w14:textId="57A62D71" w:rsidR="007F5A8B" w:rsidRPr="003D607C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Декларация от всеки доставчик, че активите, обект на инвестиция, не са втора употреба, съдържаща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др.). Представя се във формат „pdf“ или „jpg“.</w:t>
      </w:r>
    </w:p>
    <w:p w14:paraId="02819288" w14:textId="2E9D3296" w:rsidR="007F5A8B" w:rsidRPr="003D607C" w:rsidRDefault="00954C43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Д</w:t>
      </w:r>
      <w:r w:rsidR="007F5A8B" w:rsidRPr="003D607C">
        <w:rPr>
          <w:rFonts w:cstheme="minorHAnsi"/>
          <w:sz w:val="24"/>
          <w:szCs w:val="24"/>
        </w:rPr>
        <w:t>окумент, удостоверяващ, че земеделското стопанство отговаря на изискванията за хигиена на фуражите и тяхната безопасност, издаден от БАБХ, в случай на производство на фуражи. Представя се във формат „pdf“ или „jpg“.</w:t>
      </w:r>
    </w:p>
    <w:p w14:paraId="3FDF10CC" w14:textId="728E7D73" w:rsidR="007F5A8B" w:rsidRPr="003D607C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Договор за финансов лизинг с приложен към него погасителен план за изплащане на лизинговите вноски (в случаите на закупуване на активи чрез финансов лизинг). Представя се във формат „pdf“ или „jpg“.</w:t>
      </w:r>
    </w:p>
    <w:p w14:paraId="5BC1130C" w14:textId="4B9AC895" w:rsidR="003B0378" w:rsidRPr="003D607C" w:rsidRDefault="003B0378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 xml:space="preserve">Удостоверение за наличие или липса на задължения по Закона за местните данъци и такси от съответната община по седалището на </w:t>
      </w:r>
      <w:r w:rsidR="00D26E35" w:rsidRPr="003D607C">
        <w:rPr>
          <w:rFonts w:cstheme="minorHAnsi"/>
          <w:sz w:val="24"/>
          <w:szCs w:val="24"/>
        </w:rPr>
        <w:t>КП</w:t>
      </w:r>
      <w:r w:rsidR="00D93908" w:rsidRPr="003D607C">
        <w:rPr>
          <w:rFonts w:cstheme="minorHAnsi"/>
          <w:sz w:val="24"/>
          <w:szCs w:val="24"/>
        </w:rPr>
        <w:t>, из</w:t>
      </w:r>
      <w:r w:rsidR="006311E4" w:rsidRPr="003D607C">
        <w:rPr>
          <w:rFonts w:cstheme="minorHAnsi"/>
          <w:sz w:val="24"/>
          <w:szCs w:val="24"/>
        </w:rPr>
        <w:t>дадено не по – късно от 6 месеца</w:t>
      </w:r>
      <w:r w:rsidR="00D93908" w:rsidRPr="003D607C">
        <w:rPr>
          <w:rFonts w:cstheme="minorHAnsi"/>
          <w:sz w:val="24"/>
          <w:szCs w:val="24"/>
        </w:rPr>
        <w:t xml:space="preserve"> преди подаване на искането за плащане</w:t>
      </w:r>
      <w:r w:rsidRPr="003D607C">
        <w:rPr>
          <w:rFonts w:cstheme="minorHAnsi"/>
          <w:sz w:val="24"/>
          <w:szCs w:val="24"/>
        </w:rPr>
        <w:t>.</w:t>
      </w:r>
      <w:r w:rsidR="00122C48" w:rsidRPr="003D607C">
        <w:rPr>
          <w:rFonts w:cstheme="minorHAnsi"/>
          <w:sz w:val="24"/>
          <w:szCs w:val="24"/>
        </w:rPr>
        <w:t xml:space="preserve"> Представя се във формат „pdf“ или „jpg“.</w:t>
      </w:r>
      <w:r w:rsidR="00D93908" w:rsidRPr="003D607C">
        <w:rPr>
          <w:rFonts w:cstheme="minorHAnsi"/>
          <w:sz w:val="24"/>
          <w:szCs w:val="24"/>
        </w:rPr>
        <w:t xml:space="preserve"> (не се изисква от крайни получатели със седалище Столична община)</w:t>
      </w:r>
    </w:p>
    <w:p w14:paraId="1F9E9C92" w14:textId="77777777" w:rsidR="007F5A8B" w:rsidRPr="003D607C" w:rsidRDefault="007F5A8B" w:rsidP="00A5521E">
      <w:pPr>
        <w:spacing w:after="240" w:line="276" w:lineRule="auto"/>
        <w:jc w:val="both"/>
        <w:rPr>
          <w:rFonts w:cstheme="minorHAnsi"/>
          <w:b/>
          <w:sz w:val="24"/>
          <w:szCs w:val="24"/>
        </w:rPr>
      </w:pPr>
      <w:r w:rsidRPr="003D607C">
        <w:rPr>
          <w:rFonts w:cstheme="minorHAnsi"/>
          <w:b/>
          <w:sz w:val="24"/>
          <w:szCs w:val="24"/>
        </w:rPr>
        <w:t>Б. Специфични документи по видове разходи:</w:t>
      </w:r>
    </w:p>
    <w:p w14:paraId="22E955F2" w14:textId="7126F90F" w:rsidR="007F5A8B" w:rsidRPr="003D607C" w:rsidRDefault="007F5A8B" w:rsidP="00A5521E">
      <w:pPr>
        <w:spacing w:after="240" w:line="276" w:lineRule="auto"/>
        <w:jc w:val="both"/>
        <w:rPr>
          <w:rFonts w:cstheme="minorHAnsi"/>
          <w:b/>
          <w:sz w:val="24"/>
          <w:szCs w:val="24"/>
        </w:rPr>
      </w:pPr>
      <w:r w:rsidRPr="003D607C">
        <w:rPr>
          <w:rFonts w:cstheme="minorHAnsi"/>
          <w:b/>
          <w:sz w:val="24"/>
          <w:szCs w:val="24"/>
        </w:rPr>
        <w:t xml:space="preserve">1. Строителство </w:t>
      </w:r>
      <w:r w:rsidR="002C3C3D" w:rsidRPr="003D607C">
        <w:rPr>
          <w:rFonts w:cstheme="minorHAnsi"/>
          <w:b/>
          <w:sz w:val="24"/>
          <w:szCs w:val="24"/>
        </w:rPr>
        <w:t>– монтажни работи</w:t>
      </w:r>
      <w:r w:rsidRPr="003D607C">
        <w:rPr>
          <w:rFonts w:cstheme="minorHAnsi"/>
          <w:b/>
          <w:sz w:val="24"/>
          <w:szCs w:val="24"/>
        </w:rPr>
        <w:t>:</w:t>
      </w:r>
    </w:p>
    <w:p w14:paraId="6C92F4A3" w14:textId="21D54B7A" w:rsidR="007F5A8B" w:rsidRPr="003D607C" w:rsidRDefault="007F5A8B" w:rsidP="00A5521E">
      <w:pPr>
        <w:spacing w:after="240" w:line="276" w:lineRule="auto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1.1. Разрешително за ползване на строеж и акт образец 16 (съгласно Наредба № 3 от 2003 г. за съставяне на актове и протоколи по време на строителството</w:t>
      </w:r>
      <w:r w:rsidR="00870238" w:rsidRPr="003D607C">
        <w:rPr>
          <w:rFonts w:cstheme="minorHAnsi"/>
          <w:sz w:val="24"/>
          <w:szCs w:val="24"/>
        </w:rPr>
        <w:t xml:space="preserve"> и</w:t>
      </w:r>
      <w:r w:rsidRPr="003D607C">
        <w:rPr>
          <w:rFonts w:cstheme="minorHAnsi"/>
          <w:sz w:val="24"/>
          <w:szCs w:val="24"/>
        </w:rPr>
        <w:t xml:space="preserve"> в зависимост от характера на инвестицията). Представя се във формат „pdf“ или „jpg“.</w:t>
      </w:r>
    </w:p>
    <w:p w14:paraId="1835F3E2" w14:textId="0EBD3E05" w:rsidR="002C3C3D" w:rsidRPr="003D607C" w:rsidRDefault="007F5A8B" w:rsidP="00A5521E">
      <w:pPr>
        <w:spacing w:after="240" w:line="276" w:lineRule="auto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1.2. Удостоверение за въвеждане в експлоатация и акт образец 15 (съгласно Наредба № 3 от 2003 г.). Представя се във формат „pdf“ или „jpg“.</w:t>
      </w:r>
    </w:p>
    <w:p w14:paraId="3D66A380" w14:textId="37713BEC" w:rsidR="00B77A3D" w:rsidRPr="003D607C" w:rsidRDefault="00B77A3D" w:rsidP="00A5521E">
      <w:pPr>
        <w:spacing w:after="240" w:line="276" w:lineRule="auto"/>
        <w:jc w:val="both"/>
        <w:rPr>
          <w:rFonts w:cstheme="minorHAnsi"/>
          <w:sz w:val="24"/>
          <w:szCs w:val="24"/>
        </w:rPr>
      </w:pPr>
      <w:r w:rsidRPr="003D607C">
        <w:rPr>
          <w:rFonts w:eastAsia="Verdana" w:cstheme="minorHAnsi"/>
          <w:sz w:val="24"/>
          <w:szCs w:val="24"/>
        </w:rPr>
        <w:lastRenderedPageBreak/>
        <w:t xml:space="preserve">1.3. </w:t>
      </w:r>
      <w:r w:rsidRPr="003D607C">
        <w:rPr>
          <w:rFonts w:cstheme="minorHAnsi"/>
          <w:sz w:val="24"/>
          <w:szCs w:val="24"/>
        </w:rPr>
        <w:t>Документ удостоверяващ правото на ползване върху съответния недвижим имот обект на интервенция (нотариален акт, договор за наем и други), когато не е представен на етап кандидатстване. Представя се във формат „pdf“ или „jpg“.</w:t>
      </w:r>
    </w:p>
    <w:p w14:paraId="4E02092B" w14:textId="0C7B22AA" w:rsidR="00B77A3D" w:rsidRPr="003D607C" w:rsidRDefault="00B77A3D" w:rsidP="00A5521E">
      <w:pPr>
        <w:spacing w:after="240" w:line="276" w:lineRule="auto"/>
        <w:jc w:val="both"/>
        <w:rPr>
          <w:rFonts w:cstheme="minorHAnsi"/>
          <w:sz w:val="24"/>
          <w:szCs w:val="24"/>
        </w:rPr>
      </w:pPr>
      <w:r w:rsidRPr="003D607C">
        <w:rPr>
          <w:rFonts w:eastAsia="Calibri" w:cstheme="minorHAnsi"/>
          <w:sz w:val="24"/>
          <w:szCs w:val="24"/>
        </w:rPr>
        <w:t xml:space="preserve">1.4. Разрешение за поставяне, издадено в съответствие със ЗУТ - </w:t>
      </w:r>
      <w:r w:rsidRPr="003D607C">
        <w:rPr>
          <w:rFonts w:eastAsia="Calibri" w:cstheme="minorHAnsi"/>
          <w:i/>
          <w:iCs/>
          <w:sz w:val="24"/>
          <w:szCs w:val="24"/>
        </w:rPr>
        <w:t>важи в случай, че проектното предложение включва разходи за преместваеми обекти</w:t>
      </w:r>
      <w:r w:rsidRPr="003D607C">
        <w:rPr>
          <w:rFonts w:eastAsia="Verdana" w:cstheme="minorHAnsi"/>
          <w:sz w:val="24"/>
          <w:szCs w:val="24"/>
        </w:rPr>
        <w:t>), когато не е представен на етап кандидатстване.</w:t>
      </w:r>
      <w:r w:rsidRPr="003D607C">
        <w:rPr>
          <w:rFonts w:eastAsia="Calibri" w:cstheme="minorHAnsi"/>
          <w:iCs/>
          <w:sz w:val="24"/>
          <w:szCs w:val="24"/>
        </w:rPr>
        <w:t xml:space="preserve"> Представя се във формат „</w:t>
      </w:r>
      <w:r w:rsidRPr="003D607C">
        <w:rPr>
          <w:rFonts w:eastAsia="Calibri" w:cstheme="minorHAnsi"/>
          <w:iCs/>
          <w:sz w:val="24"/>
          <w:szCs w:val="24"/>
          <w:lang w:val="en-US"/>
        </w:rPr>
        <w:t>pdf</w:t>
      </w:r>
      <w:r w:rsidRPr="003D607C">
        <w:rPr>
          <w:rFonts w:eastAsia="Calibri" w:cstheme="minorHAnsi"/>
          <w:iCs/>
          <w:sz w:val="24"/>
          <w:szCs w:val="24"/>
        </w:rPr>
        <w:t>”</w:t>
      </w:r>
      <w:r w:rsidRPr="003D607C">
        <w:rPr>
          <w:rFonts w:eastAsia="Calibri" w:cstheme="minorHAnsi"/>
          <w:sz w:val="24"/>
          <w:szCs w:val="24"/>
        </w:rPr>
        <w:t xml:space="preserve"> </w:t>
      </w:r>
      <w:r w:rsidRPr="003D607C">
        <w:rPr>
          <w:rFonts w:eastAsia="Calibri" w:cstheme="minorHAnsi"/>
          <w:iCs/>
          <w:sz w:val="24"/>
          <w:szCs w:val="24"/>
        </w:rPr>
        <w:t>или „</w:t>
      </w:r>
      <w:r w:rsidRPr="003D607C">
        <w:rPr>
          <w:rFonts w:eastAsia="Calibri" w:cstheme="minorHAnsi"/>
          <w:iCs/>
          <w:sz w:val="24"/>
          <w:szCs w:val="24"/>
          <w:lang w:val="en-US"/>
        </w:rPr>
        <w:t>jpg</w:t>
      </w:r>
      <w:r w:rsidRPr="003D607C">
        <w:rPr>
          <w:rFonts w:eastAsia="Calibri" w:cstheme="minorHAnsi"/>
          <w:sz w:val="24"/>
          <w:szCs w:val="24"/>
        </w:rPr>
        <w:t>”</w:t>
      </w:r>
      <w:r w:rsidRPr="003D607C">
        <w:rPr>
          <w:rFonts w:eastAsia="Calibri" w:cstheme="minorHAnsi"/>
          <w:iCs/>
          <w:sz w:val="24"/>
          <w:szCs w:val="24"/>
        </w:rPr>
        <w:t>.</w:t>
      </w:r>
    </w:p>
    <w:p w14:paraId="3E76D463" w14:textId="347E2513" w:rsidR="00A0278E" w:rsidRPr="003D607C" w:rsidRDefault="00A0278E" w:rsidP="00A5521E">
      <w:pPr>
        <w:spacing w:after="240" w:line="276" w:lineRule="auto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1.</w:t>
      </w:r>
      <w:r w:rsidR="00B77A3D" w:rsidRPr="003D607C">
        <w:rPr>
          <w:rFonts w:cstheme="minorHAnsi"/>
          <w:sz w:val="24"/>
          <w:szCs w:val="24"/>
        </w:rPr>
        <w:t>5</w:t>
      </w:r>
      <w:r w:rsidRPr="003D607C">
        <w:rPr>
          <w:rFonts w:cstheme="minorHAnsi"/>
          <w:sz w:val="24"/>
          <w:szCs w:val="24"/>
        </w:rPr>
        <w:t xml:space="preserve">. </w:t>
      </w:r>
      <w:r w:rsidRPr="003D607C">
        <w:rPr>
          <w:rFonts w:eastAsia="Calibri" w:cstheme="minorHAnsi"/>
          <w:sz w:val="24"/>
          <w:szCs w:val="24"/>
        </w:rPr>
        <w:t xml:space="preserve">Становище на главния архитект, че строежът не се нуждае от издаване на разрешение за строеж </w:t>
      </w:r>
      <w:r w:rsidRPr="003D607C">
        <w:rPr>
          <w:rFonts w:eastAsia="Calibri" w:cstheme="minorHAnsi"/>
          <w:i/>
          <w:sz w:val="24"/>
          <w:szCs w:val="24"/>
        </w:rPr>
        <w:t>(важи в случай, че ПИИ включва разходи за СМР и за тях не се изисква издаване на разрешение за строеж, съгласно ЗУТ).</w:t>
      </w:r>
      <w:r w:rsidRPr="003D607C">
        <w:rPr>
          <w:rFonts w:eastAsia="Calibri" w:cstheme="minorHAnsi"/>
          <w:sz w:val="24"/>
          <w:szCs w:val="24"/>
        </w:rPr>
        <w:t xml:space="preserve"> Представя се във формат „pdf” или „jpg”.</w:t>
      </w:r>
    </w:p>
    <w:p w14:paraId="4B30383E" w14:textId="4098C939" w:rsidR="007F5A8B" w:rsidRPr="003D607C" w:rsidRDefault="00A0278E" w:rsidP="00A5521E">
      <w:pPr>
        <w:spacing w:after="240" w:line="276" w:lineRule="auto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1.</w:t>
      </w:r>
      <w:r w:rsidR="00B77A3D" w:rsidRPr="003D607C">
        <w:rPr>
          <w:rFonts w:cstheme="minorHAnsi"/>
          <w:sz w:val="24"/>
          <w:szCs w:val="24"/>
        </w:rPr>
        <w:t>6</w:t>
      </w:r>
      <w:r w:rsidR="007F5A8B" w:rsidRPr="003D607C">
        <w:rPr>
          <w:rFonts w:cstheme="minorHAnsi"/>
          <w:sz w:val="24"/>
          <w:szCs w:val="24"/>
        </w:rPr>
        <w:t>. Приемателно-предавателен протокол между строителя и бенефициента за всички извършени строително-монтажни работи. Представ</w:t>
      </w:r>
      <w:r w:rsidR="004A5F34" w:rsidRPr="003D607C">
        <w:rPr>
          <w:rFonts w:cstheme="minorHAnsi"/>
          <w:sz w:val="24"/>
          <w:szCs w:val="24"/>
        </w:rPr>
        <w:t>я се във формат „pdf“ или „jpg“, включително в „xls“ формат.</w:t>
      </w:r>
    </w:p>
    <w:p w14:paraId="26CEC558" w14:textId="4C3E64C4" w:rsidR="001C4A19" w:rsidRPr="003D607C" w:rsidRDefault="001C4A19" w:rsidP="00A5521E">
      <w:pPr>
        <w:spacing w:after="240" w:line="276" w:lineRule="auto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b/>
          <w:sz w:val="24"/>
          <w:szCs w:val="24"/>
        </w:rPr>
        <w:t>2</w:t>
      </w:r>
      <w:r w:rsidR="007F5A8B" w:rsidRPr="003D607C">
        <w:rPr>
          <w:rFonts w:cstheme="minorHAnsi"/>
          <w:b/>
          <w:sz w:val="24"/>
          <w:szCs w:val="24"/>
        </w:rPr>
        <w:t xml:space="preserve">. </w:t>
      </w:r>
      <w:r w:rsidRPr="003D607C">
        <w:rPr>
          <w:rFonts w:cstheme="minorHAnsi"/>
          <w:b/>
          <w:sz w:val="24"/>
          <w:szCs w:val="24"/>
        </w:rPr>
        <w:t xml:space="preserve">Закупуване, включително чрез финансов лизинг, и/или инсталиране на нови </w:t>
      </w:r>
      <w:r w:rsidR="00040F74" w:rsidRPr="003D607C">
        <w:rPr>
          <w:rFonts w:cstheme="minorHAnsi"/>
          <w:b/>
          <w:sz w:val="24"/>
          <w:szCs w:val="24"/>
        </w:rPr>
        <w:t>машини, съоръжения и оборудване</w:t>
      </w:r>
      <w:r w:rsidR="001639F7" w:rsidRPr="003D607C">
        <w:rPr>
          <w:rFonts w:cstheme="minorHAnsi"/>
          <w:sz w:val="24"/>
          <w:szCs w:val="24"/>
        </w:rPr>
        <w:t>.</w:t>
      </w:r>
      <w:r w:rsidRPr="003D607C">
        <w:rPr>
          <w:rFonts w:cstheme="minorHAnsi"/>
          <w:sz w:val="24"/>
          <w:szCs w:val="24"/>
        </w:rPr>
        <w:t xml:space="preserve"> </w:t>
      </w:r>
    </w:p>
    <w:p w14:paraId="25C8694F" w14:textId="650D6AC9" w:rsidR="00B51505" w:rsidRPr="003D607C" w:rsidRDefault="001C4A19" w:rsidP="00A5521E">
      <w:pPr>
        <w:spacing w:after="240" w:line="276" w:lineRule="auto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2.1. П</w:t>
      </w:r>
      <w:r w:rsidR="007F5A8B" w:rsidRPr="003D607C">
        <w:rPr>
          <w:rFonts w:cstheme="minorHAnsi"/>
          <w:sz w:val="24"/>
          <w:szCs w:val="24"/>
        </w:rPr>
        <w:t>ротокол за проведена 72-часова проба при експлоатационни условия, в случаите, когато се изисква съгласно действащата нормативна уредба</w:t>
      </w:r>
      <w:r w:rsidRPr="003D607C">
        <w:rPr>
          <w:rFonts w:cstheme="minorHAnsi"/>
          <w:sz w:val="24"/>
          <w:szCs w:val="24"/>
        </w:rPr>
        <w:t xml:space="preserve">. </w:t>
      </w:r>
      <w:r w:rsidR="007F5A8B" w:rsidRPr="003D607C">
        <w:rPr>
          <w:rFonts w:cstheme="minorHAnsi"/>
          <w:sz w:val="24"/>
          <w:szCs w:val="24"/>
        </w:rPr>
        <w:t>Представ</w:t>
      </w:r>
      <w:r w:rsidR="00B51505" w:rsidRPr="003D607C">
        <w:rPr>
          <w:rFonts w:cstheme="minorHAnsi"/>
          <w:sz w:val="24"/>
          <w:szCs w:val="24"/>
        </w:rPr>
        <w:t>я се във формат „pdf“ или „jpg“</w:t>
      </w:r>
    </w:p>
    <w:p w14:paraId="35EAB72C" w14:textId="5BE1300C" w:rsidR="00A05090" w:rsidRPr="00B0359F" w:rsidRDefault="00B77A3D" w:rsidP="00A5521E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cstheme="minorHAnsi"/>
          <w:sz w:val="24"/>
          <w:szCs w:val="24"/>
        </w:rPr>
      </w:pPr>
      <w:r w:rsidRPr="00B0359F">
        <w:rPr>
          <w:rFonts w:cstheme="minorHAnsi"/>
          <w:sz w:val="24"/>
          <w:szCs w:val="24"/>
        </w:rPr>
        <w:t xml:space="preserve">2.2. </w:t>
      </w:r>
      <w:r w:rsidR="000D4A39" w:rsidRPr="00B0359F">
        <w:rPr>
          <w:rFonts w:cstheme="minorHAnsi"/>
          <w:sz w:val="24"/>
          <w:szCs w:val="24"/>
        </w:rPr>
        <w:t>Протокол за въвеждане</w:t>
      </w:r>
      <w:r w:rsidR="003278E4" w:rsidRPr="00B0359F">
        <w:rPr>
          <w:rFonts w:cstheme="minorHAnsi"/>
          <w:sz w:val="24"/>
          <w:szCs w:val="24"/>
        </w:rPr>
        <w:t xml:space="preserve"> в експлоатация на </w:t>
      </w:r>
      <w:r w:rsidR="000D4A39" w:rsidRPr="00B0359F">
        <w:rPr>
          <w:rFonts w:cstheme="minorHAnsi"/>
          <w:sz w:val="24"/>
          <w:szCs w:val="24"/>
        </w:rPr>
        <w:t>съоръжение</w:t>
      </w:r>
      <w:r w:rsidR="003278E4" w:rsidRPr="00B0359F">
        <w:rPr>
          <w:rFonts w:cstheme="minorHAnsi"/>
          <w:sz w:val="24"/>
          <w:szCs w:val="24"/>
        </w:rPr>
        <w:t xml:space="preserve"> за производство на енергия (ВЕИ)</w:t>
      </w:r>
      <w:r w:rsidR="00A05090" w:rsidRPr="00B0359F">
        <w:rPr>
          <w:rFonts w:cstheme="minorHAnsi"/>
          <w:sz w:val="24"/>
          <w:szCs w:val="24"/>
        </w:rPr>
        <w:t xml:space="preserve"> за собствени нужди</w:t>
      </w:r>
      <w:r w:rsidR="003278E4" w:rsidRPr="00B0359F">
        <w:rPr>
          <w:rFonts w:cstheme="minorHAnsi"/>
          <w:sz w:val="24"/>
          <w:szCs w:val="24"/>
        </w:rPr>
        <w:t>.</w:t>
      </w:r>
      <w:r w:rsidR="00A05090" w:rsidRPr="00B0359F">
        <w:rPr>
          <w:rFonts w:cstheme="minorHAnsi"/>
          <w:sz w:val="24"/>
          <w:szCs w:val="24"/>
        </w:rPr>
        <w:t xml:space="preserve"> Представя се във формат „pdf“ или „jpg“.</w:t>
      </w:r>
    </w:p>
    <w:p w14:paraId="4AB827E4" w14:textId="40305613" w:rsidR="001C4A19" w:rsidRPr="003D607C" w:rsidRDefault="001C4A19" w:rsidP="00A5521E">
      <w:pPr>
        <w:spacing w:after="240" w:line="276" w:lineRule="auto"/>
        <w:jc w:val="both"/>
        <w:rPr>
          <w:rFonts w:cstheme="minorHAnsi"/>
          <w:b/>
          <w:sz w:val="24"/>
          <w:szCs w:val="24"/>
        </w:rPr>
      </w:pPr>
    </w:p>
    <w:p w14:paraId="5B365BB1" w14:textId="023D6716" w:rsidR="007F5A8B" w:rsidRPr="003D607C" w:rsidRDefault="007F5A8B" w:rsidP="00A5521E">
      <w:pPr>
        <w:spacing w:after="240" w:line="276" w:lineRule="auto"/>
        <w:jc w:val="both"/>
        <w:rPr>
          <w:rFonts w:cstheme="minorHAnsi"/>
          <w:b/>
          <w:sz w:val="24"/>
          <w:szCs w:val="24"/>
        </w:rPr>
      </w:pPr>
      <w:r w:rsidRPr="003D607C">
        <w:rPr>
          <w:rFonts w:cstheme="minorHAnsi"/>
          <w:b/>
          <w:sz w:val="24"/>
          <w:szCs w:val="24"/>
        </w:rPr>
        <w:t>В.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4F6872D0" w14:textId="77777777" w:rsidR="007F5A8B" w:rsidRPr="003D607C" w:rsidRDefault="007F5A8B" w:rsidP="00A5521E">
      <w:pPr>
        <w:spacing w:after="240" w:line="276" w:lineRule="auto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 xml:space="preserve">1. Фактури, представени във формат „pdf“ или „jpg“, и/или </w:t>
      </w:r>
    </w:p>
    <w:p w14:paraId="75096369" w14:textId="77777777" w:rsidR="007F5A8B" w:rsidRPr="003D607C" w:rsidRDefault="007F5A8B" w:rsidP="00A5521E">
      <w:pPr>
        <w:spacing w:after="240" w:line="276" w:lineRule="auto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2. Договор за наем, представен във формат „pdf“ или „jpg“, и/или</w:t>
      </w:r>
    </w:p>
    <w:p w14:paraId="0437A8C9" w14:textId="77777777" w:rsidR="007F5A8B" w:rsidRPr="003D607C" w:rsidRDefault="007F5A8B" w:rsidP="00A5521E">
      <w:pPr>
        <w:spacing w:after="240" w:line="276" w:lineRule="auto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3. Приемно-предавателни протоколи, представени във формат „pdf“ или „jpg“, и/или</w:t>
      </w:r>
    </w:p>
    <w:p w14:paraId="6652E163" w14:textId="77777777" w:rsidR="007A6DD3" w:rsidRPr="003D607C" w:rsidRDefault="007F5A8B" w:rsidP="00A5521E">
      <w:pPr>
        <w:spacing w:after="240" w:line="276" w:lineRule="auto"/>
        <w:jc w:val="both"/>
        <w:rPr>
          <w:rFonts w:cstheme="minorHAnsi"/>
          <w:sz w:val="24"/>
          <w:szCs w:val="24"/>
        </w:rPr>
      </w:pPr>
      <w:r w:rsidRPr="003D607C">
        <w:rPr>
          <w:rFonts w:cstheme="minorHAnsi"/>
          <w:sz w:val="24"/>
          <w:szCs w:val="24"/>
        </w:rPr>
        <w:t>4. Други в зависимост от вида на инвестицията, представени във формат „pdf“ или „jpg“.</w:t>
      </w:r>
    </w:p>
    <w:sectPr w:rsidR="007A6DD3" w:rsidRPr="003D607C" w:rsidSect="008079B3">
      <w:headerReference w:type="default" r:id="rId8"/>
      <w:pgSz w:w="11906" w:h="16838"/>
      <w:pgMar w:top="1417" w:right="127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190F5" w14:textId="77777777" w:rsidR="000A1D5B" w:rsidRDefault="000A1D5B" w:rsidP="00222173">
      <w:pPr>
        <w:spacing w:after="0" w:line="240" w:lineRule="auto"/>
      </w:pPr>
      <w:r>
        <w:separator/>
      </w:r>
    </w:p>
  </w:endnote>
  <w:endnote w:type="continuationSeparator" w:id="0">
    <w:p w14:paraId="519D6DD4" w14:textId="77777777" w:rsidR="000A1D5B" w:rsidRDefault="000A1D5B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2AC53" w14:textId="77777777" w:rsidR="000A1D5B" w:rsidRDefault="000A1D5B" w:rsidP="00222173">
      <w:pPr>
        <w:spacing w:after="0" w:line="240" w:lineRule="auto"/>
      </w:pPr>
      <w:r>
        <w:separator/>
      </w:r>
    </w:p>
  </w:footnote>
  <w:footnote w:type="continuationSeparator" w:id="0">
    <w:p w14:paraId="0FD45B36" w14:textId="77777777" w:rsidR="000A1D5B" w:rsidRDefault="000A1D5B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F5E38" w14:textId="77777777" w:rsidR="006D3822" w:rsidRDefault="00222173" w:rsidP="00222173">
    <w:pPr>
      <w:pStyle w:val="Header"/>
    </w:pPr>
    <w:r>
      <w:t xml:space="preserve">                                                                      </w:t>
    </w:r>
  </w:p>
  <w:p w14:paraId="10809007" w14:textId="1977CF39" w:rsidR="00222173" w:rsidRDefault="00FD154A" w:rsidP="00FD154A">
    <w:pPr>
      <w:pStyle w:val="Header"/>
      <w:jc w:val="center"/>
    </w:pPr>
    <w:r>
      <w:rPr>
        <w:noProof/>
      </w:rPr>
      <w:drawing>
        <wp:inline distT="0" distB="0" distL="0" distR="0" wp14:anchorId="342DC659" wp14:editId="13F78361">
          <wp:extent cx="6104890" cy="6191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489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303E689" w14:textId="77777777" w:rsidR="00222173" w:rsidRDefault="00222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C750C"/>
    <w:multiLevelType w:val="hybridMultilevel"/>
    <w:tmpl w:val="35929F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111657">
    <w:abstractNumId w:val="1"/>
  </w:num>
  <w:num w:numId="2" w16cid:durableId="1804811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A8B"/>
    <w:rsid w:val="00016DE0"/>
    <w:rsid w:val="000322F2"/>
    <w:rsid w:val="00040F74"/>
    <w:rsid w:val="00055F24"/>
    <w:rsid w:val="000577AA"/>
    <w:rsid w:val="00074D72"/>
    <w:rsid w:val="000A1D5B"/>
    <w:rsid w:val="000C6BA6"/>
    <w:rsid w:val="000D4A39"/>
    <w:rsid w:val="00104406"/>
    <w:rsid w:val="00122C48"/>
    <w:rsid w:val="00125578"/>
    <w:rsid w:val="001639F7"/>
    <w:rsid w:val="0017528D"/>
    <w:rsid w:val="0017777E"/>
    <w:rsid w:val="001A4DBA"/>
    <w:rsid w:val="001C4A19"/>
    <w:rsid w:val="0020501E"/>
    <w:rsid w:val="00222173"/>
    <w:rsid w:val="0023655A"/>
    <w:rsid w:val="00275E59"/>
    <w:rsid w:val="00283FF4"/>
    <w:rsid w:val="002A3FE5"/>
    <w:rsid w:val="002C3C3D"/>
    <w:rsid w:val="002D2866"/>
    <w:rsid w:val="002D5E7B"/>
    <w:rsid w:val="003278E4"/>
    <w:rsid w:val="0035737E"/>
    <w:rsid w:val="00383761"/>
    <w:rsid w:val="003948D1"/>
    <w:rsid w:val="003B0378"/>
    <w:rsid w:val="003D1694"/>
    <w:rsid w:val="003D3336"/>
    <w:rsid w:val="003D607C"/>
    <w:rsid w:val="003E2040"/>
    <w:rsid w:val="003E2A16"/>
    <w:rsid w:val="003E3556"/>
    <w:rsid w:val="00411B4B"/>
    <w:rsid w:val="00424E23"/>
    <w:rsid w:val="00435C4D"/>
    <w:rsid w:val="00437D87"/>
    <w:rsid w:val="00461EC0"/>
    <w:rsid w:val="00470237"/>
    <w:rsid w:val="00473306"/>
    <w:rsid w:val="004A5F34"/>
    <w:rsid w:val="004A6A92"/>
    <w:rsid w:val="004D6E91"/>
    <w:rsid w:val="004E19B4"/>
    <w:rsid w:val="005240AF"/>
    <w:rsid w:val="00566E0A"/>
    <w:rsid w:val="0057624B"/>
    <w:rsid w:val="005A0024"/>
    <w:rsid w:val="005A3FED"/>
    <w:rsid w:val="005A4C07"/>
    <w:rsid w:val="005C21B5"/>
    <w:rsid w:val="005D232F"/>
    <w:rsid w:val="005D40F6"/>
    <w:rsid w:val="00604DF1"/>
    <w:rsid w:val="00612C81"/>
    <w:rsid w:val="00627517"/>
    <w:rsid w:val="006311E4"/>
    <w:rsid w:val="00655709"/>
    <w:rsid w:val="006A1CC8"/>
    <w:rsid w:val="006A40F0"/>
    <w:rsid w:val="006C0A5A"/>
    <w:rsid w:val="006D1DCA"/>
    <w:rsid w:val="006D24AC"/>
    <w:rsid w:val="006D3822"/>
    <w:rsid w:val="006D7E91"/>
    <w:rsid w:val="00707FDA"/>
    <w:rsid w:val="00720E87"/>
    <w:rsid w:val="00727427"/>
    <w:rsid w:val="007457D5"/>
    <w:rsid w:val="00760DBE"/>
    <w:rsid w:val="0079282E"/>
    <w:rsid w:val="007A6DD3"/>
    <w:rsid w:val="007B2F2E"/>
    <w:rsid w:val="007C52B5"/>
    <w:rsid w:val="007C58FD"/>
    <w:rsid w:val="007D44AB"/>
    <w:rsid w:val="007D5A42"/>
    <w:rsid w:val="007F5A8B"/>
    <w:rsid w:val="008079B3"/>
    <w:rsid w:val="008254E4"/>
    <w:rsid w:val="0084043C"/>
    <w:rsid w:val="0084648B"/>
    <w:rsid w:val="00847947"/>
    <w:rsid w:val="00870238"/>
    <w:rsid w:val="008A09EB"/>
    <w:rsid w:val="008B35DC"/>
    <w:rsid w:val="008C7757"/>
    <w:rsid w:val="00915F83"/>
    <w:rsid w:val="009305B2"/>
    <w:rsid w:val="009466AF"/>
    <w:rsid w:val="00954C43"/>
    <w:rsid w:val="009721DB"/>
    <w:rsid w:val="009834B0"/>
    <w:rsid w:val="00994D5A"/>
    <w:rsid w:val="009E09B6"/>
    <w:rsid w:val="00A0278E"/>
    <w:rsid w:val="00A05090"/>
    <w:rsid w:val="00A0740E"/>
    <w:rsid w:val="00A132CA"/>
    <w:rsid w:val="00A24C16"/>
    <w:rsid w:val="00A31499"/>
    <w:rsid w:val="00A33654"/>
    <w:rsid w:val="00A5521E"/>
    <w:rsid w:val="00A72088"/>
    <w:rsid w:val="00A9746B"/>
    <w:rsid w:val="00A977D3"/>
    <w:rsid w:val="00AB1EBB"/>
    <w:rsid w:val="00AB6983"/>
    <w:rsid w:val="00AD3116"/>
    <w:rsid w:val="00B0359F"/>
    <w:rsid w:val="00B07BB3"/>
    <w:rsid w:val="00B1353C"/>
    <w:rsid w:val="00B21976"/>
    <w:rsid w:val="00B33992"/>
    <w:rsid w:val="00B51505"/>
    <w:rsid w:val="00B63D9A"/>
    <w:rsid w:val="00B64C6A"/>
    <w:rsid w:val="00B77A3D"/>
    <w:rsid w:val="00B914F5"/>
    <w:rsid w:val="00B9684F"/>
    <w:rsid w:val="00BC6BD9"/>
    <w:rsid w:val="00C142CA"/>
    <w:rsid w:val="00C521C7"/>
    <w:rsid w:val="00C5337A"/>
    <w:rsid w:val="00C809E4"/>
    <w:rsid w:val="00C8233A"/>
    <w:rsid w:val="00C8316B"/>
    <w:rsid w:val="00CE4673"/>
    <w:rsid w:val="00CE76BD"/>
    <w:rsid w:val="00D170FD"/>
    <w:rsid w:val="00D26E35"/>
    <w:rsid w:val="00D518A0"/>
    <w:rsid w:val="00D5420B"/>
    <w:rsid w:val="00D93908"/>
    <w:rsid w:val="00DE6038"/>
    <w:rsid w:val="00E01827"/>
    <w:rsid w:val="00E127F1"/>
    <w:rsid w:val="00E411CC"/>
    <w:rsid w:val="00E43D05"/>
    <w:rsid w:val="00E44446"/>
    <w:rsid w:val="00E54911"/>
    <w:rsid w:val="00E55DEF"/>
    <w:rsid w:val="00EA2991"/>
    <w:rsid w:val="00EB1B51"/>
    <w:rsid w:val="00EB1E0F"/>
    <w:rsid w:val="00F047D4"/>
    <w:rsid w:val="00F17311"/>
    <w:rsid w:val="00F20858"/>
    <w:rsid w:val="00F26C41"/>
    <w:rsid w:val="00F37AE8"/>
    <w:rsid w:val="00F37FEC"/>
    <w:rsid w:val="00F54F12"/>
    <w:rsid w:val="00F82B32"/>
    <w:rsid w:val="00FA0CA7"/>
    <w:rsid w:val="00FA2BB3"/>
    <w:rsid w:val="00FB5401"/>
    <w:rsid w:val="00FC1D44"/>
    <w:rsid w:val="00FC37E1"/>
    <w:rsid w:val="00FD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04B6FBF"/>
  <w15:docId w15:val="{4CB92106-4904-43BE-9068-31C466DB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F17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&#1047;&#1047;&#1056;&#1072;&#1089;&#1090;_2014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user</cp:lastModifiedBy>
  <cp:revision>75</cp:revision>
  <dcterms:created xsi:type="dcterms:W3CDTF">2023-03-08T12:49:00Z</dcterms:created>
  <dcterms:modified xsi:type="dcterms:W3CDTF">2023-04-02T16:00:00Z</dcterms:modified>
</cp:coreProperties>
</file>