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F1BC" w14:textId="77777777" w:rsidR="00462A6B" w:rsidRPr="00F51C68" w:rsidRDefault="00462A6B" w:rsidP="00CC190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01586B03" w14:textId="77777777" w:rsidR="00F96E05" w:rsidRDefault="00F96E05" w:rsidP="003856C6">
      <w:pPr>
        <w:overflowPunct/>
        <w:adjustRightInd/>
        <w:spacing w:line="360" w:lineRule="auto"/>
        <w:ind w:left="3118"/>
        <w:jc w:val="right"/>
        <w:textAlignment w:val="auto"/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</w:pPr>
    </w:p>
    <w:p w14:paraId="6F018798" w14:textId="34B0E545" w:rsidR="003856C6" w:rsidRPr="00F51C68" w:rsidRDefault="003856C6" w:rsidP="003856C6">
      <w:pPr>
        <w:overflowPunct/>
        <w:adjustRightInd/>
        <w:spacing w:line="360" w:lineRule="auto"/>
        <w:ind w:left="3118"/>
        <w:jc w:val="right"/>
        <w:textAlignment w:val="auto"/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</w:pPr>
      <w:r w:rsidRPr="00F51C68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Приложение към Заповед № ……………… </w:t>
      </w:r>
    </w:p>
    <w:p w14:paraId="28BBCB4E" w14:textId="77777777" w:rsidR="003856C6" w:rsidRPr="00F51C68" w:rsidRDefault="003856C6" w:rsidP="003856C6">
      <w:pPr>
        <w:overflowPunct/>
        <w:adjustRightInd/>
        <w:spacing w:line="360" w:lineRule="auto"/>
        <w:ind w:left="3118"/>
        <w:jc w:val="right"/>
        <w:textAlignment w:val="auto"/>
        <w:rPr>
          <w:rFonts w:ascii="Times New Roman" w:eastAsia="Calibri" w:hAnsi="Times New Roman"/>
          <w:caps/>
          <w:color w:val="000000"/>
          <w:sz w:val="24"/>
          <w:szCs w:val="24"/>
          <w:lang w:val="bg-BG" w:eastAsia="bg-BG"/>
        </w:rPr>
      </w:pPr>
      <w:r w:rsidRPr="00F51C68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на министъра на земеделието от ………………… г. </w:t>
      </w:r>
    </w:p>
    <w:p w14:paraId="47733731" w14:textId="77777777" w:rsidR="003856C6" w:rsidRPr="00907551" w:rsidRDefault="003856C6" w:rsidP="003856C6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A19340F" w14:textId="79BA3B59" w:rsidR="003856C6" w:rsidRDefault="003856C6" w:rsidP="003856C6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7883B4BF" w14:textId="77777777" w:rsidR="00F96E05" w:rsidRPr="00907551" w:rsidRDefault="00F96E05" w:rsidP="003856C6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3EEF473" w14:textId="77777777" w:rsidR="00293F67" w:rsidRPr="00F51C68" w:rsidRDefault="002B3457" w:rsidP="003856C6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F51C68">
        <w:rPr>
          <w:rFonts w:ascii="Times New Roman" w:hAnsi="Times New Roman"/>
          <w:b/>
          <w:caps/>
          <w:sz w:val="28"/>
          <w:szCs w:val="28"/>
          <w:lang w:val="bg-BG"/>
        </w:rPr>
        <w:t>Методика</w:t>
      </w:r>
    </w:p>
    <w:p w14:paraId="2124A0D1" w14:textId="77777777" w:rsidR="002B3457" w:rsidRPr="00F51C68" w:rsidRDefault="002B3457" w:rsidP="003856C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51C68">
        <w:rPr>
          <w:rFonts w:ascii="Times New Roman" w:hAnsi="Times New Roman"/>
          <w:b/>
          <w:sz w:val="28"/>
          <w:szCs w:val="28"/>
          <w:lang w:val="bg-BG"/>
        </w:rPr>
        <w:t>по мярка 11 „Биологично земеделие” от Програмата за развитие на селските райони за периода 2014</w:t>
      </w:r>
      <w:r w:rsidR="00FF208C" w:rsidRPr="00F51C68">
        <w:rPr>
          <w:rFonts w:ascii="Times New Roman" w:hAnsi="Times New Roman"/>
          <w:b/>
          <w:sz w:val="28"/>
          <w:szCs w:val="28"/>
          <w:lang w:val="bg-BG"/>
        </w:rPr>
        <w:t xml:space="preserve"> – </w:t>
      </w:r>
      <w:r w:rsidRPr="00F51C68">
        <w:rPr>
          <w:rFonts w:ascii="Times New Roman" w:hAnsi="Times New Roman"/>
          <w:b/>
          <w:sz w:val="28"/>
          <w:szCs w:val="28"/>
          <w:lang w:val="bg-BG"/>
        </w:rPr>
        <w:t>2020 г.</w:t>
      </w:r>
    </w:p>
    <w:p w14:paraId="153A3EE1" w14:textId="24A8FFFE" w:rsidR="00193CC0" w:rsidRDefault="00193CC0" w:rsidP="00193CC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2718061" w14:textId="77777777" w:rsidR="00F96E05" w:rsidRPr="00F51C68" w:rsidRDefault="00F96E05" w:rsidP="00193CC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073E0F2" w14:textId="77777777" w:rsidR="00027125" w:rsidRPr="00F51C68" w:rsidRDefault="00027125" w:rsidP="00F51C68">
      <w:pPr>
        <w:widowControl w:val="0"/>
        <w:tabs>
          <w:tab w:val="left" w:pos="2505"/>
        </w:tabs>
        <w:spacing w:line="360" w:lineRule="auto"/>
        <w:jc w:val="center"/>
        <w:rPr>
          <w:rFonts w:ascii="Times New Roman" w:hAnsi="Times New Roman"/>
          <w:bCs/>
          <w:spacing w:val="70"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pacing w:val="70"/>
          <w:sz w:val="24"/>
          <w:szCs w:val="24"/>
          <w:lang w:val="bg-BG"/>
        </w:rPr>
        <w:t>Глава първа</w:t>
      </w:r>
    </w:p>
    <w:p w14:paraId="38896CAC" w14:textId="77777777" w:rsidR="00027125" w:rsidRPr="00F51C68" w:rsidRDefault="00027125" w:rsidP="00F51C68">
      <w:pPr>
        <w:widowControl w:val="0"/>
        <w:tabs>
          <w:tab w:val="left" w:pos="2505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ОБЩИ ПОЛОЖЕНИЯ</w:t>
      </w:r>
    </w:p>
    <w:p w14:paraId="34E33DE9" w14:textId="77777777" w:rsidR="00027125" w:rsidRPr="00F51C68" w:rsidRDefault="00027125" w:rsidP="00027125">
      <w:pPr>
        <w:widowControl w:val="0"/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608253F9" w14:textId="4A7FDDF1" w:rsidR="00A02303" w:rsidRPr="00F51C68" w:rsidRDefault="00A02303" w:rsidP="00480440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>Чл. 1.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Настоящата методика обхваща приложими разпоредби по чл. 35, параграф 2 и 3 от Делегиран регламент (ЕС) № 640/2014 на Комисията от 11 март 2014 г.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 (ОВ, L 181 от 20.юни.2014 г.), наричан по – нататък „Делеги</w:t>
      </w:r>
      <w:r w:rsidR="00907551">
        <w:rPr>
          <w:rFonts w:ascii="Times New Roman" w:hAnsi="Times New Roman"/>
          <w:sz w:val="24"/>
          <w:szCs w:val="24"/>
          <w:lang w:val="bg-BG"/>
        </w:rPr>
        <w:t>ран регламент (ЕС) № 640/2014“.</w:t>
      </w:r>
    </w:p>
    <w:p w14:paraId="24F63AD8" w14:textId="77777777" w:rsidR="00005BB5" w:rsidRDefault="00005BB5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02DC5D83" w14:textId="4AC93B56" w:rsidR="00A02303" w:rsidRPr="00F51C68" w:rsidRDefault="00A02303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>Чл. 2.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(1) Методиката се прилага </w:t>
      </w:r>
      <w:r w:rsidRPr="00CE44B1">
        <w:rPr>
          <w:rFonts w:ascii="Times New Roman" w:hAnsi="Times New Roman"/>
          <w:sz w:val="24"/>
          <w:szCs w:val="24"/>
          <w:lang w:val="bg-BG"/>
        </w:rPr>
        <w:t xml:space="preserve">при установено от Държавен фонд „Земеделие“ </w:t>
      </w:r>
      <w:r w:rsidR="00005BB5" w:rsidRPr="008A2A90">
        <w:rPr>
          <w:rFonts w:ascii="Times New Roman" w:hAnsi="Times New Roman"/>
          <w:sz w:val="24"/>
          <w:szCs w:val="24"/>
          <w:lang w:val="bg-BG"/>
        </w:rPr>
        <w:t>неспазване</w:t>
      </w:r>
      <w:r w:rsidR="00005BB5" w:rsidRPr="00005BB5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CE44B1">
        <w:rPr>
          <w:rFonts w:ascii="Times New Roman" w:hAnsi="Times New Roman"/>
          <w:sz w:val="24"/>
          <w:szCs w:val="24"/>
          <w:lang w:val="bg-BG"/>
        </w:rPr>
        <w:t>на базовите изисквания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, минималните изисквания за торене и използване на продукти за растителна защита и </w:t>
      </w:r>
      <w:r w:rsidRPr="00F51C68">
        <w:rPr>
          <w:rFonts w:ascii="Times New Roman" w:hAnsi="Times New Roman"/>
          <w:spacing w:val="4"/>
          <w:sz w:val="24"/>
          <w:szCs w:val="24"/>
          <w:lang w:val="bg-BG"/>
        </w:rPr>
        <w:t>изискванията по уп</w:t>
      </w:r>
      <w:r w:rsidR="00F51C68" w:rsidRPr="00F51C68">
        <w:rPr>
          <w:rFonts w:ascii="Times New Roman" w:hAnsi="Times New Roman"/>
          <w:spacing w:val="4"/>
          <w:sz w:val="24"/>
          <w:szCs w:val="24"/>
          <w:lang w:val="bg-BG"/>
        </w:rPr>
        <w:t>равление, определени в Наредба</w:t>
      </w:r>
      <w:r w:rsid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4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от 2015 г. за прилагане на мярка 1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1 „Биологично земеделие</w:t>
      </w:r>
      <w:r w:rsidRPr="00F51C68">
        <w:rPr>
          <w:rFonts w:ascii="Times New Roman" w:hAnsi="Times New Roman"/>
          <w:sz w:val="24"/>
          <w:szCs w:val="24"/>
          <w:lang w:val="bg-BG"/>
        </w:rPr>
        <w:t>” от Програмата за развитие на селските райони за периода 2014 – 2020 г. (ДВ, бр. 16 от 2015 г.),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 xml:space="preserve"> наричана по-нататък „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Наредба № 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4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 xml:space="preserve"> от 2015 г.“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, при извършване на проверки, предвидени в </w:t>
      </w:r>
      <w:r w:rsidR="002E125A" w:rsidRPr="00F51C68">
        <w:rPr>
          <w:rFonts w:ascii="Times New Roman" w:hAnsi="Times New Roman"/>
          <w:sz w:val="24"/>
          <w:szCs w:val="24"/>
          <w:lang w:val="bg-BG"/>
        </w:rPr>
        <w:t xml:space="preserve">националната правна уредба </w:t>
      </w:r>
      <w:r w:rsidRPr="00F51C68">
        <w:rPr>
          <w:rFonts w:ascii="Times New Roman" w:hAnsi="Times New Roman"/>
          <w:sz w:val="24"/>
          <w:szCs w:val="24"/>
          <w:lang w:val="bg-BG"/>
        </w:rPr>
        <w:t>или в правото на Европейския съюз в периода на изпълнение на ангажимента.</w:t>
      </w:r>
    </w:p>
    <w:p w14:paraId="5AFC2D33" w14:textId="5F5328E9" w:rsidR="00A02303" w:rsidRPr="00F51C68" w:rsidRDefault="00A02303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(2) Плащанията, представляващи годишна безвъзмездна финансова помощ по мярка 1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1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Биологично земеделие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“ от </w:t>
      </w:r>
      <w:r w:rsidR="00027125" w:rsidRPr="00F51C68">
        <w:rPr>
          <w:rFonts w:ascii="Times New Roman" w:hAnsi="Times New Roman"/>
          <w:sz w:val="24"/>
          <w:szCs w:val="24"/>
          <w:lang w:val="bg-BG"/>
        </w:rPr>
        <w:t>Програмата за развитие на селските райони за периода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2014 – 2020 г., могат да бъдат отказани изцяло или със съответното процентно намаление, когато Държавен фонд „Земеделие“ к</w:t>
      </w:r>
      <w:r w:rsidR="00F51C68">
        <w:rPr>
          <w:rFonts w:ascii="Times New Roman" w:hAnsi="Times New Roman"/>
          <w:sz w:val="24"/>
          <w:szCs w:val="24"/>
          <w:lang w:val="bg-BG"/>
        </w:rPr>
        <w:t>онстатира неспазвания по ал. 1.</w:t>
      </w:r>
    </w:p>
    <w:p w14:paraId="175EE9BB" w14:textId="48F1ADDD" w:rsidR="00A02303" w:rsidRPr="00F51C68" w:rsidRDefault="00A02303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lastRenderedPageBreak/>
        <w:t xml:space="preserve">(3) Основа за изчисление на сумата на отказите или съответното процентно намаление по ал. 2 е сумата по </w:t>
      </w:r>
      <w:r w:rsidRPr="00F51C68">
        <w:rPr>
          <w:rFonts w:ascii="Times New Roman" w:hAnsi="Times New Roman"/>
          <w:spacing w:val="4"/>
          <w:sz w:val="24"/>
          <w:szCs w:val="24"/>
          <w:lang w:val="bg-BG"/>
        </w:rPr>
        <w:t>чл. 6, т. 2, буква „а“ от Регламент за изпълнение (ЕС)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№ 809/2014 на Комисията от 17 юли 2014 година </w:t>
      </w:r>
      <w:hyperlink r:id="rId8" w:tooltip="32014R0809" w:history="1">
        <w:r w:rsidRPr="00F51C6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</w:t>
        </w:r>
      </w:hyperlink>
      <w:r w:rsidRPr="00F51C68">
        <w:rPr>
          <w:rFonts w:ascii="Times New Roman" w:hAnsi="Times New Roman"/>
          <w:sz w:val="24"/>
          <w:szCs w:val="24"/>
          <w:lang w:val="bg-BG"/>
        </w:rPr>
        <w:t xml:space="preserve"> (ОВ, L 22</w:t>
      </w:r>
      <w:r w:rsidR="008A6C2E" w:rsidRPr="00F51C68">
        <w:rPr>
          <w:rFonts w:ascii="Times New Roman" w:hAnsi="Times New Roman"/>
          <w:sz w:val="24"/>
          <w:szCs w:val="24"/>
          <w:lang w:val="bg-BG"/>
        </w:rPr>
        <w:t>7 от 31.юли.2014 г.).</w:t>
      </w:r>
    </w:p>
    <w:p w14:paraId="4643DB30" w14:textId="7E74BD3D" w:rsidR="00A02303" w:rsidRPr="00F51C68" w:rsidRDefault="00A02303" w:rsidP="00027125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(4) При определяне на отказа или процентното намаление за съответните неспазвания са отчетени тежестта, степента, продължителността и системността на нарушението, като намаленията са отнесени съответно към парцел, животно, пчелно семейство, блок на земеделско стопанство (БЗС), дейност или цялото направление.</w:t>
      </w:r>
    </w:p>
    <w:p w14:paraId="32336D1D" w14:textId="77777777" w:rsidR="00866E3E" w:rsidRPr="008275C7" w:rsidRDefault="00866E3E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343C9E8C" w14:textId="60E4523A" w:rsidR="00A02303" w:rsidRPr="00F51C68" w:rsidRDefault="00A02303" w:rsidP="00A02303">
      <w:pPr>
        <w:widowControl w:val="0"/>
        <w:tabs>
          <w:tab w:val="left" w:pos="2505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3. </w:t>
      </w:r>
      <w:r w:rsidRPr="00F51C68">
        <w:rPr>
          <w:rFonts w:ascii="Times New Roman" w:hAnsi="Times New Roman"/>
          <w:sz w:val="24"/>
          <w:szCs w:val="24"/>
          <w:lang w:val="bg-BG"/>
        </w:rPr>
        <w:t>Изчислените процентни намаления не могат да надвишават стойността на заявената сума.</w:t>
      </w:r>
    </w:p>
    <w:p w14:paraId="52D6BBA9" w14:textId="1205BA5D" w:rsidR="00A02303" w:rsidRPr="00F51C68" w:rsidRDefault="00A02303" w:rsidP="008275C7">
      <w:pPr>
        <w:widowControl w:val="0"/>
        <w:tabs>
          <w:tab w:val="left" w:pos="2505"/>
        </w:tabs>
        <w:spacing w:line="36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</w:p>
    <w:p w14:paraId="503A8423" w14:textId="77777777" w:rsidR="004D15D9" w:rsidRPr="00F51C68" w:rsidRDefault="004D15D9" w:rsidP="00F51C68">
      <w:pPr>
        <w:widowControl w:val="0"/>
        <w:tabs>
          <w:tab w:val="left" w:pos="2505"/>
        </w:tabs>
        <w:spacing w:line="360" w:lineRule="auto"/>
        <w:jc w:val="center"/>
        <w:rPr>
          <w:rFonts w:ascii="Times New Roman" w:hAnsi="Times New Roman"/>
          <w:bCs/>
          <w:spacing w:val="70"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pacing w:val="70"/>
          <w:sz w:val="24"/>
          <w:szCs w:val="24"/>
          <w:lang w:val="bg-BG"/>
        </w:rPr>
        <w:t>Глава втора</w:t>
      </w:r>
    </w:p>
    <w:p w14:paraId="00CB3351" w14:textId="4B78EBDD" w:rsidR="004D15D9" w:rsidRPr="00F51C68" w:rsidRDefault="004D15D9" w:rsidP="008F3B90">
      <w:pPr>
        <w:widowControl w:val="0"/>
        <w:tabs>
          <w:tab w:val="left" w:pos="2505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ОПРЕДЕЛЯНЕ НА ОТКАЗИТЕ И НАМАЛЕНИЯТА</w:t>
      </w:r>
    </w:p>
    <w:p w14:paraId="548A1453" w14:textId="77777777" w:rsidR="004D15D9" w:rsidRPr="00F51C68" w:rsidRDefault="004D15D9" w:rsidP="008275C7">
      <w:pPr>
        <w:widowControl w:val="0"/>
        <w:tabs>
          <w:tab w:val="left" w:pos="2505"/>
        </w:tabs>
        <w:spacing w:line="36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</w:p>
    <w:p w14:paraId="252943F8" w14:textId="05470181" w:rsidR="00DA224E" w:rsidRPr="00F51C68" w:rsidRDefault="00172908" w:rsidP="008F3B90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Раздел I</w:t>
      </w:r>
    </w:p>
    <w:p w14:paraId="74C1A871" w14:textId="3B214115" w:rsidR="001A525E" w:rsidRPr="00F51C68" w:rsidRDefault="00172908" w:rsidP="008F3B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>Намаления</w:t>
      </w:r>
    </w:p>
    <w:p w14:paraId="664499E2" w14:textId="77777777" w:rsidR="00044CCB" w:rsidRPr="00044CCB" w:rsidRDefault="00044CCB" w:rsidP="00044CCB">
      <w:pPr>
        <w:widowControl w:val="0"/>
        <w:tabs>
          <w:tab w:val="left" w:pos="2505"/>
        </w:tabs>
        <w:spacing w:line="36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</w:p>
    <w:p w14:paraId="4467F1B5" w14:textId="0BB90983" w:rsidR="00CD67CC" w:rsidRPr="00F51C68" w:rsidRDefault="00172908" w:rsidP="003856C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4D15D9" w:rsidRPr="00F51C6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DA224E" w:rsidRPr="00F51C6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D76604"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(1)</w:t>
      </w: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CA06DC" w:rsidRPr="00F51C68">
        <w:rPr>
          <w:rFonts w:ascii="Times New Roman" w:hAnsi="Times New Roman"/>
          <w:sz w:val="24"/>
          <w:szCs w:val="24"/>
          <w:lang w:val="bg-BG"/>
        </w:rPr>
        <w:t>Държавен фонд „Земеделие“ определя плащания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>та</w:t>
      </w:r>
      <w:r w:rsidR="00CA06DC" w:rsidRPr="00F51C68">
        <w:rPr>
          <w:rFonts w:ascii="Times New Roman" w:hAnsi="Times New Roman"/>
          <w:sz w:val="24"/>
          <w:szCs w:val="24"/>
          <w:lang w:val="bg-BG"/>
        </w:rPr>
        <w:t xml:space="preserve"> по направленията по мярка 11 „Биологично земеделие“, като произведение на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 xml:space="preserve"> общите годни </w:t>
      </w:r>
      <w:r w:rsidR="00CA06DC" w:rsidRPr="00F51C68">
        <w:rPr>
          <w:rFonts w:ascii="Times New Roman" w:hAnsi="Times New Roman"/>
          <w:sz w:val="24"/>
          <w:szCs w:val="24"/>
          <w:lang w:val="bg-BG"/>
        </w:rPr>
        <w:t xml:space="preserve">за подпомагане площи, животни или пчелни семейства, умножени по предвидения годишен размер за финансово подпомагане по </w:t>
      </w:r>
      <w:r w:rsidR="00CD67CC" w:rsidRPr="00F51C68">
        <w:rPr>
          <w:rFonts w:ascii="Times New Roman" w:hAnsi="Times New Roman"/>
          <w:sz w:val="24"/>
          <w:szCs w:val="24"/>
          <w:lang w:val="bg-BG"/>
        </w:rPr>
        <w:t>чл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>.</w:t>
      </w:r>
      <w:r w:rsidR="00022955" w:rsidRPr="00F51C68">
        <w:rPr>
          <w:rFonts w:ascii="Times New Roman" w:hAnsi="Times New Roman"/>
          <w:sz w:val="24"/>
          <w:szCs w:val="24"/>
          <w:lang w:val="bg-BG"/>
        </w:rPr>
        <w:t xml:space="preserve"> 11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67CC" w:rsidRPr="00F51C68">
        <w:rPr>
          <w:rFonts w:ascii="Times New Roman" w:hAnsi="Times New Roman"/>
          <w:sz w:val="24"/>
          <w:szCs w:val="24"/>
          <w:lang w:val="bg-BG"/>
        </w:rPr>
        <w:t>от Наредба № 4 от 2015 г.</w:t>
      </w:r>
      <w:r w:rsidR="00211FE4" w:rsidRPr="00F51C6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A6C2E" w:rsidRPr="00F51C68">
        <w:rPr>
          <w:rFonts w:ascii="Times New Roman" w:hAnsi="Times New Roman"/>
          <w:sz w:val="24"/>
          <w:szCs w:val="24"/>
          <w:lang w:val="bg-BG"/>
        </w:rPr>
        <w:t xml:space="preserve">след </w:t>
      </w:r>
      <w:r w:rsidR="00211FE4" w:rsidRPr="00F51C68">
        <w:rPr>
          <w:rFonts w:ascii="Times New Roman" w:hAnsi="Times New Roman"/>
          <w:sz w:val="24"/>
          <w:szCs w:val="24"/>
          <w:lang w:val="bg-BG"/>
        </w:rPr>
        <w:t>като с</w:t>
      </w:r>
      <w:r w:rsidR="008A6C2E" w:rsidRPr="00F51C68">
        <w:rPr>
          <w:rFonts w:ascii="Times New Roman" w:hAnsi="Times New Roman"/>
          <w:sz w:val="24"/>
          <w:szCs w:val="24"/>
          <w:lang w:val="bg-BG"/>
        </w:rPr>
        <w:t xml:space="preserve">е съобразят </w:t>
      </w:r>
      <w:r w:rsidR="00211FE4" w:rsidRPr="00F51C68">
        <w:rPr>
          <w:rFonts w:ascii="Times New Roman" w:hAnsi="Times New Roman"/>
          <w:sz w:val="24"/>
          <w:szCs w:val="24"/>
          <w:lang w:val="bg-BG"/>
        </w:rPr>
        <w:t>разпоредбите по чл. 11а, 11б и 11в от Наредба № 4 от 2015 г.</w:t>
      </w:r>
    </w:p>
    <w:p w14:paraId="7AD8D909" w14:textId="010337F0" w:rsidR="00156703" w:rsidRPr="00F51C68" w:rsidRDefault="00156703" w:rsidP="003856C6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(2)</w:t>
      </w: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>Държавен фонд „Земеделие“ определя като общи годни за подпомагане площи, животни или пчелни семейства</w:t>
      </w:r>
      <w:r w:rsidR="00B6403A" w:rsidRPr="00F51C68">
        <w:rPr>
          <w:rFonts w:ascii="Times New Roman" w:hAnsi="Times New Roman"/>
          <w:sz w:val="24"/>
          <w:szCs w:val="24"/>
          <w:lang w:val="bg-BG"/>
        </w:rPr>
        <w:t xml:space="preserve"> тези площ</w:t>
      </w:r>
      <w:r w:rsidR="003333FC" w:rsidRPr="00F51C68">
        <w:rPr>
          <w:rFonts w:ascii="Times New Roman" w:hAnsi="Times New Roman"/>
          <w:sz w:val="24"/>
          <w:szCs w:val="24"/>
          <w:lang w:val="bg-BG"/>
        </w:rPr>
        <w:t>и, животни или пчелни семейства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, за които са спазени базовите изисквания съгласно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приложение № 2 към чл. 13 и чл. 19, ал. 2 от Наредба № 4 от 2015 г.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и изискванията по управление съгласно глава пета „Изисквания за управление“ от Наредба № 4 от 2015 г.</w:t>
      </w:r>
    </w:p>
    <w:p w14:paraId="3B3FA35E" w14:textId="5281519E" w:rsidR="001D37BF" w:rsidRPr="00F51C68" w:rsidRDefault="00FD4F6B" w:rsidP="001D37BF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(</w:t>
      </w:r>
      <w:r w:rsidR="00156703" w:rsidRPr="00F51C68"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 xml:space="preserve">В съответствие с чл. 11, ал. 5 от Наредба № 4 от 2015 г. след изтичане на минималните периоди на преход към биологично производство, съгласно чл. 36, параграф 1, чл. 37, </w:t>
      </w:r>
      <w:r w:rsidR="00F51C68">
        <w:rPr>
          <w:rFonts w:ascii="Times New Roman" w:hAnsi="Times New Roman"/>
          <w:sz w:val="24"/>
          <w:szCs w:val="24"/>
          <w:lang w:val="bg-BG"/>
        </w:rPr>
        <w:t>параграф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 xml:space="preserve"> 1 и чл. 38 от Регламент на Комисията (ЕО) № 889/2008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контрола (ОВ, L 250 от 18 септември 2008 г.), не се предоставя финансово подпомагане за площите, животните и пчелните семейства, заявени за подпомагане по дейност за преминаване към биологично земеделие (периода на преход), като установения размер на </w:t>
      </w:r>
      <w:r w:rsidR="001D37BF" w:rsidRPr="00F51C68">
        <w:rPr>
          <w:rFonts w:ascii="Times New Roman" w:hAnsi="Times New Roman"/>
          <w:bCs/>
          <w:sz w:val="24"/>
          <w:szCs w:val="24"/>
          <w:lang w:val="bg-BG"/>
        </w:rPr>
        <w:t xml:space="preserve">площите, животните или пчелните семейства 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>се изключва от общите годни за подпомагане площи, животни или пчелни семейства.</w:t>
      </w:r>
    </w:p>
    <w:p w14:paraId="351143BD" w14:textId="77777777" w:rsidR="008275C7" w:rsidRPr="008275C7" w:rsidRDefault="008275C7" w:rsidP="003333FC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53C6FE9" w14:textId="56D46BE6" w:rsidR="003333FC" w:rsidRPr="00F51C68" w:rsidRDefault="003333FC" w:rsidP="004A3297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5. 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>Когато</w:t>
      </w:r>
      <w:r w:rsidR="008A6C2E" w:rsidRPr="00F51C68">
        <w:rPr>
          <w:rFonts w:ascii="Times New Roman" w:hAnsi="Times New Roman"/>
          <w:bCs/>
          <w:sz w:val="24"/>
          <w:szCs w:val="24"/>
          <w:lang w:val="bg-BG"/>
        </w:rPr>
        <w:t xml:space="preserve"> е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констатирано неспазване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 xml:space="preserve"> на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>изискванията по управление съгласно глава пета „Изисквания за управление</w:t>
      </w:r>
      <w:r w:rsidR="004A329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4A3297" w:rsidRPr="004A3297">
        <w:rPr>
          <w:rFonts w:ascii="Times New Roman" w:hAnsi="Times New Roman"/>
          <w:bCs/>
          <w:sz w:val="24"/>
          <w:szCs w:val="24"/>
          <w:lang w:val="bg-BG"/>
        </w:rPr>
        <w:t>на подпомаганите дейности“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 xml:space="preserve"> от Наредба № 4 от 2015 г</w:t>
      </w:r>
      <w:r w:rsidR="00E52C59" w:rsidRPr="00F51C68">
        <w:rPr>
          <w:rFonts w:ascii="Times New Roman" w:hAnsi="Times New Roman"/>
          <w:bCs/>
          <w:sz w:val="24"/>
          <w:szCs w:val="24"/>
          <w:lang w:val="bg-BG"/>
        </w:rPr>
        <w:t>.,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 xml:space="preserve"> Държавен фонд „Земеделие“ намалява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плащанията </w:t>
      </w:r>
      <w:r w:rsidR="00DD4253" w:rsidRPr="00F51C68">
        <w:rPr>
          <w:rFonts w:ascii="Times New Roman" w:hAnsi="Times New Roman"/>
          <w:bCs/>
          <w:sz w:val="24"/>
          <w:szCs w:val="24"/>
          <w:lang w:val="bg-BG"/>
        </w:rPr>
        <w:t>съгласно приложението.</w:t>
      </w:r>
    </w:p>
    <w:p w14:paraId="480AB512" w14:textId="77777777" w:rsidR="001A525E" w:rsidRPr="00F51C68" w:rsidRDefault="001A525E" w:rsidP="003856C6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04285B0B" w14:textId="5B9F1853" w:rsidR="004A611A" w:rsidRPr="00F51C68" w:rsidRDefault="004A611A" w:rsidP="008F3B90">
      <w:pPr>
        <w:widowControl w:val="0"/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Раздел II</w:t>
      </w:r>
    </w:p>
    <w:p w14:paraId="1B395F1C" w14:textId="298CC548" w:rsidR="004A611A" w:rsidRPr="00F51C68" w:rsidRDefault="004A611A" w:rsidP="008F3B90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Намаления </w:t>
      </w:r>
      <w:r w:rsidR="001D37BF" w:rsidRPr="00F51C68">
        <w:rPr>
          <w:rFonts w:ascii="Times New Roman" w:hAnsi="Times New Roman"/>
          <w:b/>
          <w:bCs/>
          <w:sz w:val="24"/>
          <w:szCs w:val="24"/>
          <w:lang w:val="bg-BG"/>
        </w:rPr>
        <w:t>по направление „Биологично растениевъдство“</w:t>
      </w:r>
    </w:p>
    <w:p w14:paraId="03026BCC" w14:textId="77777777" w:rsidR="004A611A" w:rsidRPr="00F51C68" w:rsidRDefault="004A611A" w:rsidP="008275C7">
      <w:pPr>
        <w:widowControl w:val="0"/>
        <w:spacing w:line="36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</w:p>
    <w:p w14:paraId="0EEE348C" w14:textId="7A00B6C0" w:rsidR="004A611A" w:rsidRPr="00F51C68" w:rsidRDefault="004A611A" w:rsidP="004A611A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DA224E" w:rsidRPr="00F51C68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F51C68">
        <w:rPr>
          <w:rFonts w:ascii="Times New Roman" w:hAnsi="Times New Roman"/>
          <w:sz w:val="24"/>
          <w:szCs w:val="24"/>
          <w:lang w:val="bg-BG"/>
        </w:rPr>
        <w:t>(1) Когато Държавен фонд „Земеделие“ констатира неспазване на базово изискване съгласно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 xml:space="preserve"> т. 1 от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приложение № 2 към чл. 13 и чл.19, ал. 2 от Наредба № 4 от 2015 г. г. на конкретен парцел, заявен за подпомагане, установената площ на парцела се изключва от общата годна за подпомагане площ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 xml:space="preserve">, без да се счита за </w:t>
      </w:r>
      <w:proofErr w:type="spellStart"/>
      <w:r w:rsidR="001D37BF" w:rsidRPr="00F51C68">
        <w:rPr>
          <w:rFonts w:ascii="Times New Roman" w:hAnsi="Times New Roman"/>
          <w:sz w:val="24"/>
          <w:szCs w:val="24"/>
          <w:lang w:val="bg-BG"/>
        </w:rPr>
        <w:t>наддекларирана</w:t>
      </w:r>
      <w:proofErr w:type="spellEnd"/>
      <w:r w:rsidR="001D37BF" w:rsidRPr="00F51C68">
        <w:rPr>
          <w:rFonts w:ascii="Times New Roman" w:hAnsi="Times New Roman"/>
          <w:sz w:val="24"/>
          <w:szCs w:val="24"/>
          <w:lang w:val="bg-BG"/>
        </w:rPr>
        <w:t>.</w:t>
      </w:r>
    </w:p>
    <w:p w14:paraId="40DA5C30" w14:textId="1F20E276" w:rsidR="008E5FED" w:rsidRPr="00F51C68" w:rsidRDefault="008A6C2E" w:rsidP="00956E1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Hlk126577203"/>
      <w:r w:rsidRPr="00F51C68">
        <w:rPr>
          <w:rFonts w:ascii="Times New Roman" w:hAnsi="Times New Roman"/>
          <w:sz w:val="24"/>
          <w:szCs w:val="24"/>
          <w:lang w:val="bg-BG"/>
        </w:rPr>
        <w:t>(</w:t>
      </w:r>
      <w:r w:rsidR="001D37BF" w:rsidRPr="00F51C68">
        <w:rPr>
          <w:rFonts w:ascii="Times New Roman" w:hAnsi="Times New Roman"/>
          <w:sz w:val="24"/>
          <w:szCs w:val="24"/>
          <w:lang w:val="bg-BG"/>
        </w:rPr>
        <w:t>2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>) Когато вследствие на нанесена вреда от трети лица бъде унищожена културата върху заявен за подпомагане парцел или част от него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 или при разораване на пасища 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>и бенефициентът е информирал Държавен фонд „Земеделие“ в определения 15-дневен срок от настъпване на събитието, като е предоставил документ от съответния компетентен административен орган</w:t>
      </w:r>
      <w:r w:rsidR="00DA224E" w:rsidRPr="00F51C68">
        <w:rPr>
          <w:rFonts w:ascii="Times New Roman" w:hAnsi="Times New Roman"/>
          <w:sz w:val="24"/>
          <w:szCs w:val="24"/>
          <w:lang w:val="bg-BG"/>
        </w:rPr>
        <w:t>,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>съгласно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022955" w:rsidRPr="00F51C68">
        <w:rPr>
          <w:rFonts w:ascii="Times New Roman" w:hAnsi="Times New Roman"/>
          <w:sz w:val="24"/>
          <w:szCs w:val="24"/>
          <w:lang w:val="bg-BG"/>
        </w:rPr>
        <w:t xml:space="preserve">32 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 xml:space="preserve">от Наредба № </w:t>
      </w:r>
      <w:r w:rsidR="00022955" w:rsidRPr="00F51C68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4A611A" w:rsidRPr="00F51C68">
        <w:rPr>
          <w:rFonts w:ascii="Times New Roman" w:hAnsi="Times New Roman"/>
          <w:sz w:val="24"/>
          <w:szCs w:val="24"/>
          <w:lang w:val="bg-BG"/>
        </w:rPr>
        <w:t>от 2015 г., не се отпуска подпомагане за площта за съответната година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, без да се счита за </w:t>
      </w:r>
      <w:proofErr w:type="spellStart"/>
      <w:r w:rsidR="00D061BC" w:rsidRPr="00F51C68">
        <w:rPr>
          <w:rFonts w:ascii="Times New Roman" w:hAnsi="Times New Roman"/>
          <w:sz w:val="24"/>
          <w:szCs w:val="24"/>
          <w:lang w:val="bg-BG"/>
        </w:rPr>
        <w:t>наддекларирана</w:t>
      </w:r>
      <w:bookmarkEnd w:id="0"/>
      <w:proofErr w:type="spellEnd"/>
      <w:r w:rsidR="00D061BC" w:rsidRPr="00F51C68">
        <w:rPr>
          <w:rFonts w:ascii="Times New Roman" w:hAnsi="Times New Roman"/>
          <w:sz w:val="24"/>
          <w:szCs w:val="24"/>
          <w:lang w:val="bg-BG"/>
        </w:rPr>
        <w:t>.</w:t>
      </w:r>
    </w:p>
    <w:p w14:paraId="25F55C0E" w14:textId="77777777" w:rsidR="00866E3E" w:rsidRPr="00F51C68" w:rsidRDefault="00866E3E" w:rsidP="00257A9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8E8818" w14:textId="097D460F" w:rsidR="006A63AE" w:rsidRPr="00F51C68" w:rsidRDefault="00DA224E" w:rsidP="00257A9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sz w:val="24"/>
          <w:szCs w:val="24"/>
          <w:lang w:val="bg-BG"/>
        </w:rPr>
        <w:t>Чл. 7</w:t>
      </w:r>
      <w:r w:rsidR="00CA06DC" w:rsidRPr="00F51C68">
        <w:rPr>
          <w:rFonts w:ascii="Times New Roman" w:hAnsi="Times New Roman"/>
          <w:b/>
          <w:sz w:val="24"/>
          <w:szCs w:val="24"/>
          <w:lang w:val="bg-BG"/>
        </w:rPr>
        <w:t>.</w:t>
      </w:r>
      <w:r w:rsidR="00CA06DC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1" w:name="_Hlk126571171"/>
      <w:r w:rsidR="00CA06DC" w:rsidRPr="00F51C68">
        <w:rPr>
          <w:rFonts w:ascii="Times New Roman" w:hAnsi="Times New Roman"/>
          <w:sz w:val="24"/>
          <w:szCs w:val="24"/>
          <w:lang w:val="bg-BG"/>
        </w:rPr>
        <w:t xml:space="preserve">(1) </w:t>
      </w:r>
      <w:bookmarkEnd w:id="1"/>
      <w:r w:rsidR="006A63AE" w:rsidRPr="00F51C68">
        <w:rPr>
          <w:rFonts w:ascii="Times New Roman" w:hAnsi="Times New Roman"/>
          <w:sz w:val="24"/>
          <w:szCs w:val="24"/>
          <w:lang w:val="bg-BG"/>
        </w:rPr>
        <w:t xml:space="preserve">Когато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бенефициентите </w:t>
      </w:r>
      <w:r w:rsidR="006A63AE" w:rsidRPr="00F51C68">
        <w:rPr>
          <w:rFonts w:ascii="Times New Roman" w:hAnsi="Times New Roman"/>
          <w:sz w:val="24"/>
          <w:szCs w:val="24"/>
          <w:lang w:val="bg-BG"/>
        </w:rPr>
        <w:t xml:space="preserve">отбележат в заявлението за подпомагане/плащане конкретен парцел с код: в преход, а контролиращото лице е посочило в регистъра по чл. </w:t>
      </w:r>
      <w:r w:rsidR="00133147" w:rsidRPr="00F51C68">
        <w:rPr>
          <w:rFonts w:ascii="Times New Roman" w:hAnsi="Times New Roman"/>
          <w:sz w:val="24"/>
          <w:szCs w:val="24"/>
          <w:lang w:val="bg-BG"/>
        </w:rPr>
        <w:t xml:space="preserve">чл. 16а, ал. 1, т. 1 от Закона за прилагане на Общата организация на пазарите на земеделски продукти на Европейския съюз </w:t>
      </w:r>
      <w:r w:rsidR="005D1C55" w:rsidRPr="00F51C68">
        <w:rPr>
          <w:rFonts w:ascii="Times New Roman" w:hAnsi="Times New Roman"/>
          <w:sz w:val="24"/>
          <w:szCs w:val="24"/>
          <w:lang w:val="bg-BG"/>
        </w:rPr>
        <w:t>, че този</w:t>
      </w:r>
      <w:r w:rsidR="002E125A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63AE" w:rsidRPr="00F51C68">
        <w:rPr>
          <w:rFonts w:ascii="Times New Roman" w:hAnsi="Times New Roman"/>
          <w:sz w:val="24"/>
          <w:szCs w:val="24"/>
          <w:lang w:val="bg-BG"/>
        </w:rPr>
        <w:t xml:space="preserve">парцел 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>е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 в статус: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63AE" w:rsidRPr="00F51C68">
        <w:rPr>
          <w:rFonts w:ascii="Times New Roman" w:hAnsi="Times New Roman"/>
          <w:sz w:val="24"/>
          <w:szCs w:val="24"/>
          <w:lang w:val="bg-BG"/>
        </w:rPr>
        <w:t>биологичен, тогава Държавен фонд „Земеделие“ изключва парцел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>а</w:t>
      </w:r>
      <w:r w:rsidR="006A63AE" w:rsidRPr="00F51C68">
        <w:rPr>
          <w:rFonts w:ascii="Times New Roman" w:hAnsi="Times New Roman"/>
          <w:sz w:val="24"/>
          <w:szCs w:val="24"/>
          <w:lang w:val="bg-BG"/>
        </w:rPr>
        <w:t xml:space="preserve"> от общата 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 xml:space="preserve">годна </w:t>
      </w:r>
      <w:r w:rsidR="006A63AE" w:rsidRPr="00F51C68">
        <w:rPr>
          <w:rFonts w:ascii="Times New Roman" w:hAnsi="Times New Roman"/>
          <w:sz w:val="24"/>
          <w:szCs w:val="24"/>
          <w:lang w:val="bg-BG"/>
        </w:rPr>
        <w:t>за подпомагане площ.</w:t>
      </w:r>
    </w:p>
    <w:p w14:paraId="1943F69D" w14:textId="68EFA31D" w:rsidR="006A63AE" w:rsidRPr="00F51C68" w:rsidRDefault="006A63AE" w:rsidP="006A63A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</w:t>
      </w:r>
      <w:r w:rsidR="00257A98" w:rsidRPr="00F51C68">
        <w:rPr>
          <w:rFonts w:ascii="Times New Roman" w:hAnsi="Times New Roman"/>
          <w:sz w:val="24"/>
          <w:szCs w:val="24"/>
          <w:lang w:val="bg-BG"/>
        </w:rPr>
        <w:t>2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) Когато бенефициентите отбележат в заявлението за подпомагане/плащане конкретен парцел с код: биологичен, а контролиращото лице е посочило в регистъра по </w:t>
      </w:r>
      <w:r w:rsidR="00133147" w:rsidRPr="00F51C68">
        <w:rPr>
          <w:rFonts w:ascii="Times New Roman" w:hAnsi="Times New Roman"/>
          <w:sz w:val="24"/>
          <w:szCs w:val="24"/>
          <w:lang w:val="bg-BG"/>
        </w:rPr>
        <w:t>чл. 16а, ал. 1, т. 1 от Закона за прилагане на Общата организация на пазарите на земеделс</w:t>
      </w:r>
      <w:r w:rsidR="004A3297">
        <w:rPr>
          <w:rFonts w:ascii="Times New Roman" w:hAnsi="Times New Roman"/>
          <w:sz w:val="24"/>
          <w:szCs w:val="24"/>
          <w:lang w:val="bg-BG"/>
        </w:rPr>
        <w:t>ки продукти на Европейския съюз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>,</w:t>
      </w:r>
      <w:r w:rsidR="004A32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 xml:space="preserve">че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този парцел 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>е в статус „в преход към биологично производство</w:t>
      </w:r>
      <w:r w:rsidR="00D061BC" w:rsidRPr="00F51C68" w:rsidDel="00D061B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>тогава Държавен фонд „Земеделие“ изключва този парцел от общата</w:t>
      </w:r>
      <w:r w:rsidR="00156703" w:rsidRPr="00F51C68">
        <w:rPr>
          <w:rFonts w:ascii="Times New Roman" w:hAnsi="Times New Roman"/>
          <w:sz w:val="24"/>
          <w:szCs w:val="24"/>
          <w:lang w:val="bg-BG"/>
        </w:rPr>
        <w:t xml:space="preserve"> годна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за подпомагане площ</w:t>
      </w:r>
      <w:r w:rsidR="00413CA2">
        <w:rPr>
          <w:rFonts w:ascii="Times New Roman" w:hAnsi="Times New Roman"/>
          <w:sz w:val="24"/>
          <w:szCs w:val="24"/>
          <w:lang w:val="bg-BG"/>
        </w:rPr>
        <w:t xml:space="preserve">, без да се счита </w:t>
      </w:r>
      <w:proofErr w:type="spellStart"/>
      <w:r w:rsidR="00413CA2" w:rsidRPr="008A2A90">
        <w:rPr>
          <w:rFonts w:ascii="Times New Roman" w:hAnsi="Times New Roman"/>
          <w:sz w:val="24"/>
          <w:szCs w:val="24"/>
          <w:lang w:val="bg-BG"/>
        </w:rPr>
        <w:t>наддеклариран</w:t>
      </w:r>
      <w:proofErr w:type="spellEnd"/>
      <w:r w:rsidR="008A6C2E" w:rsidRPr="008A2A90">
        <w:rPr>
          <w:rFonts w:ascii="Times New Roman" w:hAnsi="Times New Roman"/>
          <w:sz w:val="24"/>
          <w:szCs w:val="24"/>
          <w:lang w:val="bg-BG"/>
        </w:rPr>
        <w:t>.</w:t>
      </w:r>
    </w:p>
    <w:p w14:paraId="1DC7E8EA" w14:textId="4CB02BE9" w:rsidR="00573657" w:rsidRPr="00F51C68" w:rsidRDefault="006A63AE" w:rsidP="0057365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lastRenderedPageBreak/>
        <w:t>(</w:t>
      </w:r>
      <w:r w:rsidR="00257A98" w:rsidRPr="00F51C68">
        <w:rPr>
          <w:rFonts w:ascii="Times New Roman" w:hAnsi="Times New Roman"/>
          <w:sz w:val="24"/>
          <w:szCs w:val="24"/>
          <w:lang w:val="bg-BG"/>
        </w:rPr>
        <w:t>3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) Когато Държавен фонд „Земеделие“ </w:t>
      </w:r>
      <w:r w:rsidR="00387E49" w:rsidRPr="00F51C68">
        <w:rPr>
          <w:rFonts w:ascii="Times New Roman" w:hAnsi="Times New Roman"/>
          <w:sz w:val="24"/>
          <w:szCs w:val="24"/>
          <w:lang w:val="bg-BG"/>
        </w:rPr>
        <w:t>констатира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разлика между заявената култура и </w:t>
      </w:r>
      <w:r w:rsidR="00573657" w:rsidRPr="00F51C68">
        <w:rPr>
          <w:rFonts w:ascii="Times New Roman" w:hAnsi="Times New Roman"/>
          <w:sz w:val="24"/>
          <w:szCs w:val="24"/>
          <w:lang w:val="bg-BG"/>
        </w:rPr>
        <w:t xml:space="preserve">установената при извършени административни проверки </w:t>
      </w:r>
      <w:r w:rsidR="00046471" w:rsidRPr="00F51C68">
        <w:rPr>
          <w:rFonts w:ascii="Times New Roman" w:hAnsi="Times New Roman"/>
          <w:sz w:val="24"/>
          <w:szCs w:val="24"/>
          <w:lang w:val="bg-BG"/>
        </w:rPr>
        <w:t xml:space="preserve">в регистъра по чл. 16а, ал. 1, т. 1 от Закона за прилагане на Общата организация на пазарите на земеделски продукти на Европейския съюз </w:t>
      </w:r>
      <w:r w:rsidR="00573657" w:rsidRPr="00F51C68">
        <w:rPr>
          <w:rFonts w:ascii="Times New Roman" w:hAnsi="Times New Roman"/>
          <w:sz w:val="24"/>
          <w:szCs w:val="24"/>
          <w:lang w:val="bg-BG"/>
        </w:rPr>
        <w:t>или проверки на място</w:t>
      </w:r>
      <w:r w:rsidR="00387E49" w:rsidRPr="00F51C68">
        <w:rPr>
          <w:rFonts w:ascii="Times New Roman" w:hAnsi="Times New Roman"/>
          <w:sz w:val="24"/>
          <w:szCs w:val="24"/>
          <w:lang w:val="bg-BG"/>
        </w:rPr>
        <w:t xml:space="preserve"> култур</w:t>
      </w:r>
      <w:r w:rsidR="00257A98" w:rsidRPr="00F51C68">
        <w:rPr>
          <w:rFonts w:ascii="Times New Roman" w:hAnsi="Times New Roman"/>
          <w:sz w:val="24"/>
          <w:szCs w:val="24"/>
          <w:lang w:val="bg-BG"/>
        </w:rPr>
        <w:t>а</w:t>
      </w:r>
      <w:r w:rsidR="00573657" w:rsidRPr="00F51C68">
        <w:rPr>
          <w:rFonts w:ascii="Times New Roman" w:hAnsi="Times New Roman"/>
          <w:sz w:val="24"/>
          <w:szCs w:val="24"/>
          <w:lang w:val="bg-BG"/>
        </w:rPr>
        <w:t>, тогава парцелът, зает с тази култура, се изключва от общата годна за подпомагане площ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, без да се счита за </w:t>
      </w:r>
      <w:proofErr w:type="spellStart"/>
      <w:r w:rsidR="00D061BC" w:rsidRPr="00F51C68">
        <w:rPr>
          <w:rFonts w:ascii="Times New Roman" w:hAnsi="Times New Roman"/>
          <w:sz w:val="24"/>
          <w:szCs w:val="24"/>
          <w:lang w:val="bg-BG"/>
        </w:rPr>
        <w:t>наддекларирана</w:t>
      </w:r>
      <w:proofErr w:type="spellEnd"/>
      <w:r w:rsidR="00573657" w:rsidRPr="00F51C6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164DC655" w14:textId="77777777" w:rsidR="005F6277" w:rsidRPr="00F51C68" w:rsidRDefault="005F6277" w:rsidP="003856C6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iCs/>
          <w:sz w:val="24"/>
          <w:szCs w:val="24"/>
          <w:lang w:val="bg-BG"/>
        </w:rPr>
      </w:pPr>
    </w:p>
    <w:p w14:paraId="46996D42" w14:textId="73A73ABA" w:rsidR="00956E17" w:rsidRPr="00F51C68" w:rsidRDefault="00387E49" w:rsidP="008F3B90">
      <w:pPr>
        <w:widowControl w:val="0"/>
        <w:overflowPunct/>
        <w:spacing w:line="360" w:lineRule="auto"/>
        <w:jc w:val="center"/>
        <w:textAlignment w:val="auto"/>
        <w:rPr>
          <w:rFonts w:ascii="Times New Roman" w:hAnsi="Times New Roman" w:cstheme="minorBidi"/>
          <w:bCs/>
          <w:iCs/>
          <w:sz w:val="24"/>
          <w:szCs w:val="21"/>
          <w:lang w:val="bg-BG" w:bidi="sa-IN"/>
        </w:rPr>
      </w:pPr>
      <w:r w:rsidRPr="00F51C68">
        <w:rPr>
          <w:rFonts w:ascii="Times New Roman" w:hAnsi="Times New Roman"/>
          <w:bCs/>
          <w:iCs/>
          <w:sz w:val="24"/>
          <w:szCs w:val="24"/>
          <w:lang w:val="bg-BG"/>
        </w:rPr>
        <w:t>Раздел III</w:t>
      </w:r>
    </w:p>
    <w:p w14:paraId="47AE6FF8" w14:textId="3F700E39" w:rsidR="00387E49" w:rsidRDefault="00387E49" w:rsidP="008F3B90">
      <w:pPr>
        <w:widowControl w:val="0"/>
        <w:overflowPunct/>
        <w:spacing w:line="360" w:lineRule="auto"/>
        <w:jc w:val="center"/>
        <w:textAlignment w:val="auto"/>
        <w:rPr>
          <w:rFonts w:ascii="Times New Roman" w:hAnsi="Times New Roman" w:cstheme="minorBidi"/>
          <w:b/>
          <w:bCs/>
          <w:iCs/>
          <w:sz w:val="24"/>
          <w:szCs w:val="21"/>
          <w:lang w:val="bg-BG" w:bidi="sa-IN"/>
        </w:rPr>
      </w:pPr>
      <w:r w:rsidRPr="00F51C68">
        <w:rPr>
          <w:rFonts w:ascii="Times New Roman" w:hAnsi="Times New Roman" w:cstheme="minorBidi"/>
          <w:b/>
          <w:bCs/>
          <w:iCs/>
          <w:sz w:val="24"/>
          <w:szCs w:val="21"/>
          <w:lang w:val="bg-BG" w:bidi="sa-IN"/>
        </w:rPr>
        <w:t>Намаления по направление „Биологично пчеларство“</w:t>
      </w:r>
    </w:p>
    <w:p w14:paraId="48DE87E2" w14:textId="77777777" w:rsidR="00F51C68" w:rsidRPr="00F51C68" w:rsidRDefault="00F51C68" w:rsidP="008275C7">
      <w:pPr>
        <w:widowControl w:val="0"/>
        <w:overflowPunct/>
        <w:spacing w:line="360" w:lineRule="auto"/>
        <w:ind w:firstLine="709"/>
        <w:textAlignment w:val="auto"/>
        <w:rPr>
          <w:rFonts w:ascii="Times New Roman" w:hAnsi="Times New Roman" w:cstheme="minorBidi"/>
          <w:bCs/>
          <w:iCs/>
          <w:sz w:val="24"/>
          <w:szCs w:val="21"/>
          <w:lang w:val="bg-BG" w:bidi="sa-IN"/>
        </w:rPr>
      </w:pPr>
    </w:p>
    <w:p w14:paraId="66136E3E" w14:textId="49009B47" w:rsidR="00714EDC" w:rsidRPr="00F51C68" w:rsidRDefault="005F7205" w:rsidP="003A63CA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Чл. </w:t>
      </w:r>
      <w:r w:rsidR="00480440"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>8</w:t>
      </w:r>
      <w:r w:rsidR="003A63CA"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>.</w:t>
      </w:r>
      <w:r w:rsidR="00347C80"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="00046471" w:rsidRPr="008F3B90">
        <w:rPr>
          <w:rFonts w:ascii="Times New Roman" w:hAnsi="Times New Roman"/>
          <w:bCs/>
          <w:iCs/>
          <w:sz w:val="24"/>
          <w:szCs w:val="24"/>
          <w:lang w:val="bg-BG"/>
        </w:rPr>
        <w:t>(1)</w:t>
      </w:r>
      <w:r w:rsidR="00046471"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="00046471" w:rsidRPr="00F51C68">
        <w:rPr>
          <w:rFonts w:ascii="Times New Roman" w:hAnsi="Times New Roman"/>
          <w:bCs/>
          <w:iCs/>
          <w:sz w:val="24"/>
          <w:szCs w:val="24"/>
          <w:lang w:val="bg-BG"/>
        </w:rPr>
        <w:t>Държавен фонд „Земеделие“</w:t>
      </w:r>
      <w:r w:rsidR="002A5DF4"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="00046471" w:rsidRPr="00F51C68">
        <w:rPr>
          <w:rFonts w:ascii="Times New Roman" w:hAnsi="Times New Roman"/>
          <w:bCs/>
          <w:iCs/>
          <w:sz w:val="24"/>
          <w:szCs w:val="24"/>
          <w:lang w:val="bg-BG"/>
        </w:rPr>
        <w:t xml:space="preserve">определя плащания по направление „Биологично пчеларство“ на база общия годен за подпомагане </w:t>
      </w:r>
      <w:r w:rsidR="00046471" w:rsidRPr="00F51C68">
        <w:rPr>
          <w:rFonts w:ascii="Times New Roman" w:hAnsi="Times New Roman"/>
          <w:bCs/>
          <w:sz w:val="24"/>
          <w:szCs w:val="24"/>
          <w:lang w:val="bg-BG"/>
        </w:rPr>
        <w:t>брой пчелни семейства, умножени по годишния размер на плащанията по чл. 11, ал. 1, т. 6 или ал. 2, т. 6 от Наредба № 4 от 2015 г.</w:t>
      </w:r>
    </w:p>
    <w:p w14:paraId="260EDFEC" w14:textId="59B24FEE" w:rsidR="00046471" w:rsidRPr="00F51C68" w:rsidRDefault="00046471" w:rsidP="00046471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(2) Държавен фонд „Земеделие“</w:t>
      </w:r>
      <w:r w:rsidR="0090755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извършва проверка за допустимост за всяко едно заявено за подпомагане пчелно семейство в регистъра на Българска агенция по безопасност на храните (БАБХ).</w:t>
      </w:r>
    </w:p>
    <w:p w14:paraId="23B11BDB" w14:textId="34B90CE6" w:rsidR="00046471" w:rsidRPr="00F51C68" w:rsidRDefault="00046471" w:rsidP="00046471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>(3)</w:t>
      </w:r>
      <w:r w:rsidR="00866E3E" w:rsidRPr="00F51C6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Държавен фонд „Земеделие“</w:t>
      </w:r>
      <w:r w:rsidR="0090755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>извършва проверка за спазване на базовите изискване съгласно приложение № 2 към чл. 19, ал. 2</w:t>
      </w: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и изискванията по управление съгласно глава </w:t>
      </w:r>
      <w:r w:rsidRPr="00F51C68">
        <w:rPr>
          <w:rFonts w:ascii="Times New Roman" w:hAnsi="Times New Roman"/>
          <w:bCs/>
          <w:iCs/>
          <w:sz w:val="24"/>
          <w:szCs w:val="24"/>
          <w:lang w:val="bg-BG"/>
        </w:rPr>
        <w:t>пета</w:t>
      </w:r>
      <w:r w:rsidRPr="00F51C68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 „Изисквания за управление“ от Наредба № 4 от 2015 г.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за всяко едно заявено за подпомагане пчелно семейство в регистъра по чл. 16 а, ал. 1, т. 1 от Закона за прилагане на Общата организация на пазарите на земеделски продукти на Европейския съюз и/или при </w:t>
      </w:r>
      <w:r w:rsidR="00CA39BD">
        <w:rPr>
          <w:rFonts w:ascii="Times New Roman" w:hAnsi="Times New Roman"/>
          <w:bCs/>
          <w:sz w:val="24"/>
          <w:szCs w:val="24"/>
          <w:lang w:val="bg-BG"/>
        </w:rPr>
        <w:t>извършване на проверка на място.</w:t>
      </w:r>
    </w:p>
    <w:p w14:paraId="2E93293C" w14:textId="69AC663D" w:rsidR="00046471" w:rsidRPr="00F51C68" w:rsidRDefault="00046471" w:rsidP="008A6C2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(4) </w:t>
      </w:r>
      <w:r w:rsidR="00413CA2">
        <w:rPr>
          <w:rFonts w:ascii="Times New Roman" w:hAnsi="Times New Roman"/>
          <w:bCs/>
          <w:sz w:val="24"/>
          <w:szCs w:val="24"/>
          <w:lang w:val="bg-BG"/>
        </w:rPr>
        <w:t>При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 установено недопустимо за подпомагане пчелно семейство </w:t>
      </w:r>
      <w:r w:rsidR="00413CA2" w:rsidRPr="008A2A90">
        <w:rPr>
          <w:rFonts w:ascii="Times New Roman" w:hAnsi="Times New Roman"/>
          <w:bCs/>
          <w:sz w:val="24"/>
          <w:szCs w:val="24"/>
          <w:lang w:val="bg-BG"/>
        </w:rPr>
        <w:t xml:space="preserve">при извършване на проверката </w:t>
      </w:r>
      <w:r w:rsidR="00413CA2">
        <w:rPr>
          <w:rFonts w:ascii="Times New Roman" w:hAnsi="Times New Roman"/>
          <w:bCs/>
          <w:sz w:val="24"/>
          <w:szCs w:val="24"/>
          <w:lang w:val="bg-BG"/>
        </w:rPr>
        <w:t xml:space="preserve">по 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ал. 2 и/или </w:t>
      </w:r>
      <w:r w:rsidR="00413CA2">
        <w:rPr>
          <w:rFonts w:ascii="Times New Roman" w:hAnsi="Times New Roman"/>
          <w:bCs/>
          <w:sz w:val="24"/>
          <w:szCs w:val="24"/>
          <w:lang w:val="bg-BG"/>
        </w:rPr>
        <w:t>по</w:t>
      </w:r>
      <w:r w:rsidRPr="00F51C68">
        <w:rPr>
          <w:rFonts w:ascii="Times New Roman" w:hAnsi="Times New Roman"/>
          <w:bCs/>
          <w:sz w:val="24"/>
          <w:szCs w:val="24"/>
          <w:lang w:val="bg-BG"/>
        </w:rPr>
        <w:t xml:space="preserve"> ал. 3 същото се счита за неизбираемо и за него не се изплаща финансово подпомагане </w:t>
      </w:r>
      <w:r w:rsidR="0054379B" w:rsidRPr="00F51C68">
        <w:rPr>
          <w:rFonts w:ascii="Times New Roman" w:hAnsi="Times New Roman"/>
          <w:bCs/>
          <w:sz w:val="24"/>
          <w:szCs w:val="24"/>
          <w:lang w:val="bg-BG"/>
        </w:rPr>
        <w:t>за годината на подаването на заявлението.</w:t>
      </w:r>
    </w:p>
    <w:p w14:paraId="465091D8" w14:textId="77777777" w:rsidR="00866E3E" w:rsidRPr="009F5CA5" w:rsidRDefault="00866E3E" w:rsidP="003A63CA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14:paraId="3B09B4C6" w14:textId="7BCB6E3A" w:rsidR="003A63CA" w:rsidRPr="00F51C68" w:rsidRDefault="003A63CA" w:rsidP="003A63CA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044CCB">
        <w:rPr>
          <w:rFonts w:ascii="Times New Roman" w:hAnsi="Times New Roman"/>
          <w:b/>
          <w:bCs/>
          <w:iCs/>
          <w:sz w:val="24"/>
          <w:szCs w:val="24"/>
          <w:lang w:val="bg-BG"/>
        </w:rPr>
        <w:t>Чл. 9.</w:t>
      </w:r>
      <w:r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bCs/>
          <w:iCs/>
          <w:sz w:val="24"/>
          <w:szCs w:val="24"/>
          <w:lang w:val="bg-BG"/>
        </w:rPr>
        <w:t xml:space="preserve">Когато Държавен фонд „Земеделие“ установи неспазване на базови изисквания </w:t>
      </w:r>
      <w:r w:rsidR="00D061BC" w:rsidRPr="00F51C68">
        <w:rPr>
          <w:rFonts w:ascii="Times New Roman" w:hAnsi="Times New Roman"/>
          <w:bCs/>
          <w:iCs/>
          <w:sz w:val="24"/>
          <w:szCs w:val="24"/>
          <w:lang w:val="bg-BG"/>
        </w:rPr>
        <w:t>т. 2 от приложение № 2 към чл. 13 и чл. 19,</w:t>
      </w:r>
      <w:r w:rsidR="00D061BC"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="00D061BC" w:rsidRPr="00F51C68">
        <w:rPr>
          <w:rFonts w:ascii="Times New Roman" w:hAnsi="Times New Roman"/>
          <w:bCs/>
          <w:iCs/>
          <w:sz w:val="24"/>
          <w:szCs w:val="24"/>
          <w:lang w:val="bg-BG"/>
        </w:rPr>
        <w:t xml:space="preserve">ал. </w:t>
      </w:r>
      <w:r w:rsidRPr="00F51C68">
        <w:rPr>
          <w:rFonts w:ascii="Times New Roman" w:hAnsi="Times New Roman"/>
          <w:bCs/>
          <w:iCs/>
          <w:sz w:val="24"/>
          <w:szCs w:val="24"/>
          <w:lang w:val="bg-BG"/>
        </w:rPr>
        <w:t xml:space="preserve">от Наредба № 4 от 2015 г. за конкретен пчелин, плащанията се определят съобразно установеният брой пчелни семейства в пчелина. </w:t>
      </w:r>
    </w:p>
    <w:p w14:paraId="7A9E8CCA" w14:textId="77777777" w:rsidR="002B3457" w:rsidRPr="008275C7" w:rsidRDefault="002B3457" w:rsidP="008275C7">
      <w:pPr>
        <w:widowControl w:val="0"/>
        <w:spacing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14:paraId="299B80A7" w14:textId="2DDF68EC" w:rsidR="00B57988" w:rsidRPr="00F51C68" w:rsidRDefault="00530CB3" w:rsidP="008F3B90">
      <w:pPr>
        <w:widowControl w:val="0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F51C68">
        <w:rPr>
          <w:rFonts w:ascii="Times New Roman" w:hAnsi="Times New Roman"/>
          <w:bCs/>
          <w:iCs/>
          <w:sz w:val="24"/>
          <w:szCs w:val="24"/>
          <w:lang w:val="bg-BG"/>
        </w:rPr>
        <w:t>Раздел IV</w:t>
      </w:r>
    </w:p>
    <w:p w14:paraId="2F3BDA71" w14:textId="4DA3465B" w:rsidR="002B3457" w:rsidRPr="00F51C68" w:rsidRDefault="00530CB3" w:rsidP="008F3B90">
      <w:pPr>
        <w:widowControl w:val="0"/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iCs/>
          <w:sz w:val="24"/>
          <w:szCs w:val="24"/>
          <w:lang w:val="bg-BG"/>
        </w:rPr>
        <w:t>Намаления по направление „Биологично животновъдство“</w:t>
      </w:r>
    </w:p>
    <w:p w14:paraId="6042500C" w14:textId="77777777" w:rsidR="00530CB3" w:rsidRPr="00F51C68" w:rsidRDefault="00530CB3" w:rsidP="00530CB3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6B8799" w14:textId="7D3A8F30" w:rsidR="008A6C2E" w:rsidRPr="00F51C68" w:rsidRDefault="00530CB3" w:rsidP="0010642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44B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3A63CA" w:rsidRPr="00CE44B1">
        <w:rPr>
          <w:rFonts w:ascii="Times New Roman" w:hAnsi="Times New Roman"/>
          <w:b/>
          <w:sz w:val="24"/>
          <w:szCs w:val="24"/>
          <w:lang w:val="bg-BG"/>
        </w:rPr>
        <w:t>1</w:t>
      </w:r>
      <w:r w:rsidR="00CE44B1" w:rsidRPr="00CE44B1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E44B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(1) Държавен фонд „Земеделие“ 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Pr="00F51C68">
        <w:rPr>
          <w:rFonts w:ascii="Times New Roman" w:hAnsi="Times New Roman"/>
          <w:sz w:val="24"/>
          <w:szCs w:val="24"/>
          <w:lang w:val="bg-BG"/>
        </w:rPr>
        <w:t>определя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>не на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плащането по </w:t>
      </w:r>
      <w:r w:rsidRPr="00F51C68">
        <w:rPr>
          <w:rFonts w:ascii="Times New Roman" w:hAnsi="Times New Roman"/>
          <w:sz w:val="24"/>
          <w:szCs w:val="24"/>
          <w:lang w:val="bg-BG"/>
        </w:rPr>
        <w:lastRenderedPageBreak/>
        <w:t xml:space="preserve">направление </w:t>
      </w:r>
      <w:r w:rsidRPr="00F51C68">
        <w:rPr>
          <w:rFonts w:ascii="Times New Roman" w:hAnsi="Times New Roman"/>
          <w:iCs/>
          <w:sz w:val="24"/>
          <w:szCs w:val="24"/>
          <w:lang w:val="bg-BG"/>
        </w:rPr>
        <w:t>„Биологично животновъдство“</w:t>
      </w:r>
      <w:r w:rsidR="0054379B" w:rsidRPr="00F51C68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>използва по – малкия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размер измежду </w:t>
      </w:r>
      <w:r w:rsidR="00E3382B" w:rsidRPr="00F51C68">
        <w:rPr>
          <w:rFonts w:ascii="Times New Roman" w:hAnsi="Times New Roman"/>
          <w:sz w:val="24"/>
          <w:szCs w:val="24"/>
          <w:lang w:val="bg-BG"/>
        </w:rPr>
        <w:t xml:space="preserve">общите </w:t>
      </w:r>
      <w:r w:rsidR="008A2D81" w:rsidRPr="00F51C68">
        <w:rPr>
          <w:rFonts w:ascii="Times New Roman" w:hAnsi="Times New Roman"/>
          <w:sz w:val="24"/>
          <w:szCs w:val="24"/>
          <w:lang w:val="bg-BG"/>
        </w:rPr>
        <w:t>годни за подпомагане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ЖЕ, с които се извършва дейността, и </w:t>
      </w:r>
      <w:r w:rsidR="00257A98" w:rsidRPr="00F51C68">
        <w:rPr>
          <w:rFonts w:ascii="Times New Roman" w:hAnsi="Times New Roman"/>
          <w:sz w:val="24"/>
          <w:szCs w:val="24"/>
          <w:lang w:val="bg-BG"/>
        </w:rPr>
        <w:t xml:space="preserve">общата годна </w:t>
      </w:r>
      <w:r w:rsidRPr="00F51C68">
        <w:rPr>
          <w:rFonts w:ascii="Times New Roman" w:hAnsi="Times New Roman"/>
          <w:sz w:val="24"/>
          <w:szCs w:val="24"/>
          <w:lang w:val="bg-BG"/>
        </w:rPr>
        <w:t>за подпомагане площ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>, като се спазва</w:t>
      </w:r>
      <w:r w:rsidR="008A2D81" w:rsidRPr="00F51C68">
        <w:rPr>
          <w:rFonts w:ascii="Times New Roman" w:hAnsi="Times New Roman"/>
          <w:sz w:val="24"/>
          <w:szCs w:val="24"/>
          <w:lang w:val="bg-BG"/>
        </w:rPr>
        <w:t xml:space="preserve"> съотношението 1ха=1ЖЕ</w:t>
      </w:r>
      <w:r w:rsidR="00E3382B" w:rsidRPr="00F51C68">
        <w:rPr>
          <w:rFonts w:ascii="Times New Roman" w:hAnsi="Times New Roman"/>
          <w:sz w:val="24"/>
          <w:szCs w:val="24"/>
          <w:lang w:val="bg-BG"/>
        </w:rPr>
        <w:t>.</w:t>
      </w:r>
    </w:p>
    <w:p w14:paraId="3F54FBB4" w14:textId="6B8201F3" w:rsidR="00472BF4" w:rsidRPr="00F51C68" w:rsidRDefault="00D061BC" w:rsidP="0010642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</w:t>
      </w:r>
      <w:r w:rsidR="00472BF4" w:rsidRPr="00F51C68">
        <w:rPr>
          <w:rFonts w:ascii="Times New Roman" w:hAnsi="Times New Roman"/>
          <w:sz w:val="24"/>
          <w:szCs w:val="24"/>
          <w:lang w:val="bg-BG"/>
        </w:rPr>
        <w:t>2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9F5CA5">
        <w:rPr>
          <w:rFonts w:ascii="Times New Roman" w:hAnsi="Times New Roman"/>
          <w:sz w:val="24"/>
          <w:szCs w:val="24"/>
          <w:lang w:val="bg-BG"/>
        </w:rPr>
        <w:t xml:space="preserve">Държавен фонд „Земеделие“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установява общия годен за подпомагане брой животни след извършване на проверка за всяко едно заявено за подпомагане животно в регистъра на Българска агенция по безопасност на храните (БАБХ), в регистъра по чл. 16 а, ал. 1, т. 1 от Закона за прилагане на Общата организация на пазарите на земеделски продукти на Европейския съюз  и след проверка за спазване на съответните на базови изисквания съгласно приложение № 2 </w:t>
      </w:r>
      <w:r w:rsidRPr="00A9300D">
        <w:rPr>
          <w:rFonts w:ascii="Times New Roman" w:hAnsi="Times New Roman"/>
          <w:spacing w:val="6"/>
          <w:sz w:val="24"/>
          <w:szCs w:val="24"/>
          <w:lang w:val="bg-BG"/>
        </w:rPr>
        <w:t>към чл. 13 и към чл</w:t>
      </w:r>
      <w:r w:rsidRPr="00F51C68">
        <w:rPr>
          <w:rFonts w:ascii="Times New Roman" w:hAnsi="Times New Roman"/>
          <w:sz w:val="24"/>
          <w:szCs w:val="24"/>
          <w:lang w:val="bg-BG"/>
        </w:rPr>
        <w:t>. 19, ал. 2 и изискванията по управление съгласно глава пета  „Изисквания за управление“ от Наредба № 4 от 2015 г.</w:t>
      </w:r>
    </w:p>
    <w:p w14:paraId="49E1E328" w14:textId="390CB2DC" w:rsidR="002B3457" w:rsidRPr="00F51C68" w:rsidRDefault="008A2D81" w:rsidP="0010642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</w:t>
      </w:r>
      <w:r w:rsidR="00472BF4" w:rsidRPr="00F51C68">
        <w:rPr>
          <w:rFonts w:ascii="Times New Roman" w:hAnsi="Times New Roman"/>
          <w:sz w:val="24"/>
          <w:szCs w:val="24"/>
          <w:lang w:val="bg-BG"/>
        </w:rPr>
        <w:t>3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) Когато Държавен фонд „Земеделие“ установи при административни проверки </w:t>
      </w:r>
      <w:r w:rsidR="00E3382B" w:rsidRPr="00F51C68">
        <w:rPr>
          <w:rFonts w:ascii="Times New Roman" w:hAnsi="Times New Roman"/>
          <w:sz w:val="24"/>
          <w:szCs w:val="24"/>
          <w:lang w:val="bg-BG"/>
        </w:rPr>
        <w:t xml:space="preserve">или при проверки на място </w:t>
      </w:r>
      <w:r w:rsidRPr="00F51C68">
        <w:rPr>
          <w:rFonts w:ascii="Times New Roman" w:hAnsi="Times New Roman"/>
          <w:sz w:val="24"/>
          <w:szCs w:val="24"/>
          <w:lang w:val="bg-BG"/>
        </w:rPr>
        <w:t>по направлението по ал. 1 разлика в декларираното предназначение (за мляко или за месо) на заявено за подпомагане животно от едър рогат добитък, то тези животни се изключват от</w:t>
      </w:r>
      <w:r w:rsidR="00E3382B" w:rsidRPr="00F51C68">
        <w:rPr>
          <w:rFonts w:ascii="Times New Roman" w:hAnsi="Times New Roman"/>
          <w:sz w:val="24"/>
          <w:szCs w:val="24"/>
          <w:lang w:val="bg-BG"/>
        </w:rPr>
        <w:t xml:space="preserve"> общите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годни за подпомагане ЖЕ</w:t>
      </w:r>
      <w:r w:rsidR="00D061BC" w:rsidRPr="00F51C68">
        <w:rPr>
          <w:rFonts w:ascii="Times New Roman" w:hAnsi="Times New Roman"/>
          <w:sz w:val="24"/>
          <w:szCs w:val="24"/>
          <w:lang w:val="bg-BG"/>
        </w:rPr>
        <w:t xml:space="preserve">, без да се считат за </w:t>
      </w:r>
      <w:proofErr w:type="spellStart"/>
      <w:r w:rsidR="00D061BC" w:rsidRPr="00F51C68">
        <w:rPr>
          <w:rFonts w:ascii="Times New Roman" w:hAnsi="Times New Roman"/>
          <w:sz w:val="24"/>
          <w:szCs w:val="24"/>
          <w:lang w:val="bg-BG"/>
        </w:rPr>
        <w:t>наддекларирани</w:t>
      </w:r>
      <w:proofErr w:type="spellEnd"/>
      <w:r w:rsidRPr="00F51C68">
        <w:rPr>
          <w:rFonts w:ascii="Times New Roman" w:hAnsi="Times New Roman"/>
          <w:sz w:val="24"/>
          <w:szCs w:val="24"/>
          <w:lang w:val="bg-BG"/>
        </w:rPr>
        <w:t>.</w:t>
      </w:r>
    </w:p>
    <w:p w14:paraId="25A91DCA" w14:textId="5558019F" w:rsidR="00046471" w:rsidRDefault="00046471" w:rsidP="0010642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 xml:space="preserve">(4) Когато Държавен фонд „Земеделие“ констатира разлика между заявената култура и установената при извършени административни проверки в регистъра по чл. 16а, ал. 1, т. 1 от Закона за прилагане на Общата организация на пазарите на земеделски продукти на Европейския съюз или проверки на място култура, тогава парцелът, зает с тази култура, се изключва от общата годна за подпомагане площ, без да се счита за </w:t>
      </w:r>
      <w:proofErr w:type="spellStart"/>
      <w:r w:rsidRPr="00F51C68">
        <w:rPr>
          <w:rFonts w:ascii="Times New Roman" w:hAnsi="Times New Roman"/>
          <w:sz w:val="24"/>
          <w:szCs w:val="24"/>
          <w:lang w:val="bg-BG"/>
        </w:rPr>
        <w:t>наддекларирана</w:t>
      </w:r>
      <w:proofErr w:type="spellEnd"/>
      <w:r w:rsidRPr="00F51C68">
        <w:rPr>
          <w:rFonts w:ascii="Times New Roman" w:hAnsi="Times New Roman"/>
          <w:sz w:val="24"/>
          <w:szCs w:val="24"/>
          <w:lang w:val="bg-BG"/>
        </w:rPr>
        <w:t>.</w:t>
      </w:r>
    </w:p>
    <w:p w14:paraId="2C432161" w14:textId="77777777" w:rsidR="00266EB3" w:rsidRPr="00F51C68" w:rsidRDefault="00266EB3" w:rsidP="0010642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81360B" w14:textId="2AA91C8C" w:rsidR="00B6403A" w:rsidRPr="00F51C68" w:rsidRDefault="0076223E" w:rsidP="008F3B90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Раздел V</w:t>
      </w:r>
    </w:p>
    <w:p w14:paraId="24D2D651" w14:textId="1F033238" w:rsidR="00530CB3" w:rsidRPr="00F51C68" w:rsidRDefault="00530CB3" w:rsidP="008F3B9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sz w:val="24"/>
          <w:szCs w:val="24"/>
          <w:lang w:val="bg-BG"/>
        </w:rPr>
        <w:t>Други намаления за всички дейности от съответното направление</w:t>
      </w:r>
    </w:p>
    <w:p w14:paraId="50D0B338" w14:textId="77777777" w:rsidR="00472BF4" w:rsidRPr="00DA0DD4" w:rsidRDefault="00472BF4" w:rsidP="008275C7">
      <w:pPr>
        <w:spacing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14:paraId="05C469E3" w14:textId="6301C5B2" w:rsidR="001A24A5" w:rsidRPr="00F51C68" w:rsidRDefault="00257A98" w:rsidP="003856C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2" w:name="_Hlk126578049"/>
      <w:r w:rsidRPr="00CE44B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bookmarkEnd w:id="2"/>
      <w:r w:rsidR="004876FB" w:rsidRPr="00CE44B1">
        <w:rPr>
          <w:rFonts w:ascii="Times New Roman" w:hAnsi="Times New Roman"/>
          <w:b/>
          <w:sz w:val="24"/>
          <w:szCs w:val="24"/>
          <w:lang w:val="bg-BG"/>
        </w:rPr>
        <w:t>1</w:t>
      </w:r>
      <w:r w:rsidR="00CE44B1" w:rsidRPr="00CE44B1">
        <w:rPr>
          <w:rFonts w:ascii="Times New Roman" w:hAnsi="Times New Roman"/>
          <w:b/>
          <w:sz w:val="24"/>
          <w:szCs w:val="24"/>
          <w:lang w:val="bg-BG"/>
        </w:rPr>
        <w:t>1</w:t>
      </w:r>
      <w:r w:rsidR="004876FB" w:rsidRPr="00CE44B1">
        <w:rPr>
          <w:rFonts w:ascii="Times New Roman" w:hAnsi="Times New Roman"/>
          <w:b/>
          <w:sz w:val="24"/>
          <w:szCs w:val="24"/>
          <w:lang w:val="bg-BG"/>
        </w:rPr>
        <w:t>.</w:t>
      </w:r>
      <w:r w:rsidR="004876FB" w:rsidRPr="00F51C6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30EE" w:rsidRPr="00F51C68">
        <w:rPr>
          <w:rFonts w:ascii="Times New Roman" w:hAnsi="Times New Roman"/>
          <w:sz w:val="24"/>
          <w:szCs w:val="24"/>
          <w:lang w:val="bg-BG"/>
        </w:rPr>
        <w:t>В</w:t>
      </w:r>
      <w:r w:rsidR="00892EA8" w:rsidRPr="00F51C68">
        <w:rPr>
          <w:rFonts w:ascii="Times New Roman" w:hAnsi="Times New Roman"/>
          <w:sz w:val="24"/>
          <w:szCs w:val="24"/>
          <w:lang w:val="bg-BG"/>
        </w:rPr>
        <w:t xml:space="preserve"> случаите на чл. 14, ал. 1,</w:t>
      </w:r>
      <w:r w:rsidR="003C30EE" w:rsidRPr="00F51C68">
        <w:rPr>
          <w:rFonts w:ascii="Times New Roman" w:hAnsi="Times New Roman"/>
          <w:sz w:val="24"/>
          <w:szCs w:val="24"/>
          <w:lang w:val="bg-BG"/>
        </w:rPr>
        <w:t xml:space="preserve"> т. 4 от Наредба № 4 от 2015 г.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2F4" w:rsidRPr="00F51C68">
        <w:rPr>
          <w:rFonts w:ascii="Times New Roman" w:hAnsi="Times New Roman"/>
          <w:sz w:val="24"/>
          <w:szCs w:val="24"/>
          <w:lang w:val="bg-BG"/>
        </w:rPr>
        <w:t xml:space="preserve">Държавен фонд „Земеделие“ 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 xml:space="preserve">намалява размера на </w:t>
      </w:r>
      <w:r w:rsidR="004876FB" w:rsidRPr="00F51C68">
        <w:rPr>
          <w:rFonts w:ascii="Times New Roman" w:hAnsi="Times New Roman"/>
          <w:sz w:val="24"/>
          <w:szCs w:val="24"/>
          <w:lang w:val="bg-BG"/>
        </w:rPr>
        <w:t>плащанията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 xml:space="preserve"> със сумата, изчислена за </w:t>
      </w:r>
      <w:r w:rsidR="00E467D6" w:rsidRPr="00F51C68">
        <w:rPr>
          <w:rFonts w:ascii="Times New Roman" w:hAnsi="Times New Roman"/>
          <w:sz w:val="24"/>
          <w:szCs w:val="24"/>
          <w:lang w:val="bg-BG"/>
        </w:rPr>
        <w:t xml:space="preserve">установената площ на </w:t>
      </w:r>
      <w:r w:rsidR="008578DE" w:rsidRPr="00F51C68">
        <w:rPr>
          <w:rFonts w:ascii="Times New Roman" w:hAnsi="Times New Roman"/>
          <w:sz w:val="24"/>
          <w:szCs w:val="24"/>
          <w:lang w:val="bg-BG"/>
        </w:rPr>
        <w:t>съответния</w:t>
      </w:r>
      <w:r w:rsidR="001B23F1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67D6" w:rsidRPr="00F51C68">
        <w:rPr>
          <w:rFonts w:ascii="Times New Roman" w:hAnsi="Times New Roman"/>
          <w:sz w:val="24"/>
          <w:szCs w:val="24"/>
          <w:lang w:val="bg-BG"/>
        </w:rPr>
        <w:t xml:space="preserve">парцел, 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>пчелн</w:t>
      </w:r>
      <w:r w:rsidR="008578DE" w:rsidRPr="00F51C68">
        <w:rPr>
          <w:rFonts w:ascii="Times New Roman" w:hAnsi="Times New Roman"/>
          <w:sz w:val="24"/>
          <w:szCs w:val="24"/>
          <w:lang w:val="bg-BG"/>
        </w:rPr>
        <w:t>о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 xml:space="preserve"> семейств</w:t>
      </w:r>
      <w:r w:rsidR="008578DE" w:rsidRPr="00F51C68">
        <w:rPr>
          <w:rFonts w:ascii="Times New Roman" w:hAnsi="Times New Roman"/>
          <w:sz w:val="24"/>
          <w:szCs w:val="24"/>
          <w:lang w:val="bg-BG"/>
        </w:rPr>
        <w:t>о</w:t>
      </w:r>
      <w:r w:rsidR="00B60587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78DE" w:rsidRPr="00F51C68">
        <w:rPr>
          <w:rFonts w:ascii="Times New Roman" w:hAnsi="Times New Roman"/>
          <w:sz w:val="24"/>
          <w:szCs w:val="24"/>
          <w:lang w:val="bg-BG"/>
        </w:rPr>
        <w:t xml:space="preserve">и/или </w:t>
      </w:r>
      <w:r w:rsidR="00400D39" w:rsidRPr="00F51C68">
        <w:rPr>
          <w:rFonts w:ascii="Times New Roman" w:hAnsi="Times New Roman"/>
          <w:sz w:val="24"/>
          <w:szCs w:val="24"/>
          <w:lang w:val="bg-BG"/>
        </w:rPr>
        <w:t>животно</w:t>
      </w:r>
      <w:r w:rsidR="008578DE" w:rsidRPr="00F51C68">
        <w:rPr>
          <w:rFonts w:ascii="Times New Roman" w:hAnsi="Times New Roman"/>
          <w:sz w:val="24"/>
          <w:szCs w:val="24"/>
          <w:lang w:val="bg-BG"/>
        </w:rPr>
        <w:t>, изчислено в ЖЕ</w:t>
      </w:r>
      <w:r w:rsidR="00DA0DD4">
        <w:rPr>
          <w:rFonts w:ascii="Times New Roman" w:hAnsi="Times New Roman"/>
          <w:sz w:val="24"/>
          <w:szCs w:val="24"/>
          <w:lang w:val="bg-BG"/>
        </w:rPr>
        <w:t>.</w:t>
      </w:r>
    </w:p>
    <w:p w14:paraId="21F0A19B" w14:textId="77777777" w:rsidR="00DA0DD4" w:rsidRPr="00DA0DD4" w:rsidRDefault="00DA0DD4" w:rsidP="003856C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1EDDB0" w14:textId="76CBAC40" w:rsidR="005D27C7" w:rsidRPr="00F51C68" w:rsidRDefault="00F23006" w:rsidP="003856C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44B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4876FB" w:rsidRPr="00CE44B1">
        <w:rPr>
          <w:rFonts w:ascii="Times New Roman" w:hAnsi="Times New Roman"/>
          <w:b/>
          <w:sz w:val="24"/>
          <w:szCs w:val="24"/>
          <w:lang w:val="bg-BG"/>
        </w:rPr>
        <w:t>1</w:t>
      </w:r>
      <w:r w:rsidR="00CE44B1" w:rsidRPr="00CE44B1">
        <w:rPr>
          <w:rFonts w:ascii="Times New Roman" w:hAnsi="Times New Roman"/>
          <w:b/>
          <w:sz w:val="24"/>
          <w:szCs w:val="24"/>
          <w:lang w:val="bg-BG"/>
        </w:rPr>
        <w:t>2</w:t>
      </w:r>
      <w:r w:rsidR="004876FB" w:rsidRPr="00CE44B1">
        <w:rPr>
          <w:rFonts w:ascii="Times New Roman" w:hAnsi="Times New Roman"/>
          <w:b/>
          <w:sz w:val="24"/>
          <w:szCs w:val="24"/>
          <w:lang w:val="bg-BG"/>
        </w:rPr>
        <w:t>.</w:t>
      </w:r>
      <w:r w:rsidR="001C39F1" w:rsidRPr="00F51C6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C39F1" w:rsidRPr="00F51C68">
        <w:rPr>
          <w:rFonts w:ascii="Times New Roman" w:hAnsi="Times New Roman"/>
          <w:sz w:val="24"/>
          <w:szCs w:val="24"/>
          <w:lang w:val="bg-BG"/>
        </w:rPr>
        <w:t>(1)</w:t>
      </w:r>
      <w:r w:rsidR="001C39F1" w:rsidRPr="00F51C6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Когато Държавен фонд „Земеделие“ установи неизпълнение на </w:t>
      </w:r>
      <w:r w:rsidR="00092751" w:rsidRPr="00F51C68">
        <w:rPr>
          <w:rFonts w:ascii="Times New Roman" w:hAnsi="Times New Roman"/>
          <w:sz w:val="24"/>
          <w:szCs w:val="24"/>
          <w:lang w:val="bg-BG"/>
        </w:rPr>
        <w:t>чл. 27 от Наредба № 4 от 2015 г.,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плащането</w:t>
      </w:r>
      <w:r w:rsidR="00092751" w:rsidRPr="00F51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BE5" w:rsidRPr="00F51C68">
        <w:rPr>
          <w:rFonts w:ascii="Times New Roman" w:hAnsi="Times New Roman"/>
          <w:sz w:val="24"/>
          <w:szCs w:val="24"/>
          <w:lang w:val="bg-BG"/>
        </w:rPr>
        <w:t xml:space="preserve">се намалява с 10 </w:t>
      </w:r>
      <w:r w:rsidR="006012F4" w:rsidRPr="00F51C68">
        <w:rPr>
          <w:rFonts w:ascii="Times New Roman" w:hAnsi="Times New Roman"/>
          <w:sz w:val="24"/>
          <w:szCs w:val="24"/>
          <w:lang w:val="bg-BG"/>
        </w:rPr>
        <w:t>на сто</w:t>
      </w:r>
      <w:r w:rsidR="00E52C59" w:rsidRPr="00F51C68">
        <w:rPr>
          <w:rFonts w:ascii="Times New Roman" w:hAnsi="Times New Roman"/>
          <w:sz w:val="24"/>
          <w:szCs w:val="24"/>
          <w:lang w:val="bg-BG"/>
        </w:rPr>
        <w:t xml:space="preserve"> за всяка дейност от мярка 11 „Биологично земеделие“</w:t>
      </w:r>
      <w:r w:rsidR="002B3457" w:rsidRPr="00F51C6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18E495A2" w14:textId="1F83BA34" w:rsidR="00F23006" w:rsidRPr="00F51C68" w:rsidRDefault="00F23006" w:rsidP="00F230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 xml:space="preserve">(2) Когато Държавен фонд „Земеделие“ установи неспазване на Условията за поддържане на земята в добро земеделско и екологично състояние и законоустановените изисквания за управление, одобрени съгласно чл. 42 от Закон за подпомагане на земеделските производители в стопанството, за всички дейности от мярка </w:t>
      </w:r>
      <w:r w:rsidR="001C39F1" w:rsidRPr="00F51C68">
        <w:rPr>
          <w:rFonts w:ascii="Times New Roman" w:hAnsi="Times New Roman"/>
          <w:sz w:val="24"/>
          <w:szCs w:val="24"/>
          <w:lang w:val="bg-BG"/>
        </w:rPr>
        <w:t xml:space="preserve">11 </w:t>
      </w:r>
      <w:r w:rsidRPr="00F51C68">
        <w:rPr>
          <w:rFonts w:ascii="Times New Roman" w:hAnsi="Times New Roman"/>
          <w:sz w:val="24"/>
          <w:szCs w:val="24"/>
          <w:lang w:val="bg-BG"/>
        </w:rPr>
        <w:lastRenderedPageBreak/>
        <w:t>„</w:t>
      </w:r>
      <w:r w:rsidR="001C39F1" w:rsidRPr="00F51C68">
        <w:rPr>
          <w:rFonts w:ascii="Times New Roman" w:hAnsi="Times New Roman"/>
          <w:sz w:val="24"/>
          <w:szCs w:val="24"/>
          <w:lang w:val="bg-BG"/>
        </w:rPr>
        <w:t>Биологично земеделие</w:t>
      </w:r>
      <w:r w:rsidRPr="00F51C68">
        <w:rPr>
          <w:rFonts w:ascii="Times New Roman" w:hAnsi="Times New Roman"/>
          <w:sz w:val="24"/>
          <w:szCs w:val="24"/>
          <w:lang w:val="bg-BG"/>
        </w:rPr>
        <w:t>“ от ПРСР 2014 – 2020 г., се прилага изчисления процент, съгласно действащата Методика за прилагане на Кръстосаното съответствие в България.</w:t>
      </w:r>
    </w:p>
    <w:p w14:paraId="2BA2A018" w14:textId="18670EBC" w:rsidR="00F23006" w:rsidRPr="00F51C68" w:rsidRDefault="00F23006" w:rsidP="004876F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>(3) Когато Държавен фонд „Земеделие“ констатира неспазване на минималните изисквания за торене и използване на продукти за растителна защита в стопанството, се прилага процентно намаление в размер на 5 на сто на общата сума на плащанията за всяка дейност от направлението.</w:t>
      </w:r>
    </w:p>
    <w:p w14:paraId="0D159D4B" w14:textId="77777777" w:rsidR="00DA0DD4" w:rsidRPr="00DA0DD4" w:rsidRDefault="00DA0DD4" w:rsidP="008A6C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01F656" w14:textId="2FB2B6B3" w:rsidR="00293F67" w:rsidRPr="00DA0DD4" w:rsidRDefault="00176660" w:rsidP="008A6C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44B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CE44B1" w:rsidRPr="00CE44B1">
        <w:rPr>
          <w:rFonts w:ascii="Times New Roman" w:hAnsi="Times New Roman"/>
          <w:b/>
          <w:sz w:val="24"/>
          <w:szCs w:val="24"/>
          <w:lang w:val="bg-BG"/>
        </w:rPr>
        <w:t>13</w:t>
      </w:r>
      <w:r w:rsidR="004876FB" w:rsidRPr="00CE44B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В съответствие с чл. 35, параграф 3 от Делегиран Регламент (ЕС) </w:t>
      </w:r>
      <w:r w:rsidR="008F3B90">
        <w:rPr>
          <w:rFonts w:ascii="Times New Roman" w:hAnsi="Times New Roman"/>
          <w:sz w:val="24"/>
          <w:szCs w:val="24"/>
          <w:lang w:val="bg-BG"/>
        </w:rPr>
        <w:t xml:space="preserve">                 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№ 640/2014 на Комисията, при констатирана системност на неспазването, </w:t>
      </w:r>
      <w:r w:rsidR="00470320">
        <w:rPr>
          <w:rFonts w:ascii="Times New Roman" w:hAnsi="Times New Roman"/>
          <w:sz w:val="24"/>
          <w:szCs w:val="24"/>
          <w:lang w:val="bg-BG"/>
        </w:rPr>
        <w:t>а именно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подобни случаи на неспазване са били констатирани при същия кандидат и същата мярка или същия вид операция и по</w:t>
      </w:r>
      <w:r w:rsidR="00907551">
        <w:rPr>
          <w:rFonts w:ascii="Times New Roman" w:hAnsi="Times New Roman"/>
          <w:sz w:val="24"/>
          <w:szCs w:val="24"/>
          <w:lang w:val="bg-BG"/>
        </w:rPr>
        <w:t>– РА</w:t>
      </w:r>
      <w:r w:rsidR="00266E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но през последните четири години или през целия програмен период 2014 – 2020 г., изчислената сума след определяне на намаленията по раздел </w:t>
      </w:r>
      <w:r w:rsidR="00472BF4" w:rsidRPr="00F51C68">
        <w:rPr>
          <w:rFonts w:ascii="Times New Roman" w:hAnsi="Times New Roman"/>
          <w:sz w:val="24"/>
          <w:szCs w:val="24"/>
          <w:lang w:val="bg-BG"/>
        </w:rPr>
        <w:t xml:space="preserve">II, III и </w:t>
      </w:r>
      <w:r w:rsidRPr="00F51C68">
        <w:rPr>
          <w:rFonts w:ascii="Times New Roman" w:hAnsi="Times New Roman"/>
          <w:sz w:val="24"/>
          <w:szCs w:val="24"/>
          <w:lang w:val="bg-BG"/>
        </w:rPr>
        <w:t>IV</w:t>
      </w:r>
      <w:r w:rsidR="0054379B" w:rsidRPr="00F51C6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се редуцира допълнително с 3 на сто за съответното направление, ако е първо повторение по тази мярка в периода 2014 – 2020 г. </w:t>
      </w:r>
      <w:r w:rsidR="00BC5741" w:rsidRPr="008A2A90">
        <w:rPr>
          <w:rFonts w:ascii="Times New Roman" w:hAnsi="Times New Roman"/>
          <w:sz w:val="24"/>
          <w:szCs w:val="24"/>
          <w:lang w:val="bg-BG"/>
        </w:rPr>
        <w:t>При следващо неспазване предходно наложения допълнителен процент се удвоява, като не може да бъде повече от 30 на сто</w:t>
      </w:r>
      <w:r w:rsidR="00BC5741" w:rsidRPr="008A2A90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7BD9D116" w14:textId="77777777" w:rsidR="00530CB3" w:rsidRPr="00F51C68" w:rsidRDefault="00530CB3" w:rsidP="00530CB3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E373A17" w14:textId="77777777" w:rsidR="00530CB3" w:rsidRPr="00F51C68" w:rsidRDefault="00530CB3" w:rsidP="00E421B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bCs/>
          <w:sz w:val="24"/>
          <w:szCs w:val="24"/>
          <w:lang w:val="bg-BG"/>
        </w:rPr>
        <w:t>Заключителна разпоредба</w:t>
      </w:r>
    </w:p>
    <w:p w14:paraId="57BC835C" w14:textId="77777777" w:rsidR="00530CB3" w:rsidRPr="00F51C68" w:rsidRDefault="00530CB3" w:rsidP="00530C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0835C3" w14:textId="30EF554A" w:rsidR="00530CB3" w:rsidRDefault="00530CB3" w:rsidP="00530C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b/>
          <w:sz w:val="24"/>
          <w:szCs w:val="24"/>
          <w:lang w:val="bg-BG"/>
        </w:rPr>
        <w:t>Параграф единствен.</w:t>
      </w:r>
      <w:r w:rsidRPr="00F51C68">
        <w:rPr>
          <w:rFonts w:ascii="Times New Roman" w:hAnsi="Times New Roman"/>
          <w:sz w:val="24"/>
          <w:szCs w:val="24"/>
          <w:lang w:val="bg-BG"/>
        </w:rPr>
        <w:t xml:space="preserve"> Настоящата методика се утвърждава на основание чл. 10в от Закона за подпомагане на земеделските производители.</w:t>
      </w:r>
    </w:p>
    <w:p w14:paraId="68A7B53F" w14:textId="35DD85BF" w:rsidR="00E421B2" w:rsidRDefault="00E421B2" w:rsidP="00530C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60BB78" w14:textId="64BE9205" w:rsidR="00330A7D" w:rsidRDefault="00330A7D" w:rsidP="00530C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F4A4B3" w14:textId="77777777" w:rsidR="00014676" w:rsidRPr="00F51C68" w:rsidRDefault="00014676" w:rsidP="00530CB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CEC5ED5" w14:textId="77777777" w:rsidR="00DA0DD4" w:rsidRDefault="00387E49" w:rsidP="00DA0DD4">
      <w:pPr>
        <w:overflowPunct/>
        <w:spacing w:line="276" w:lineRule="auto"/>
        <w:ind w:firstLine="720"/>
        <w:jc w:val="right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 xml:space="preserve">Приложение </w:t>
      </w:r>
    </w:p>
    <w:p w14:paraId="3203E9B1" w14:textId="2D4A3FD6" w:rsidR="00387E49" w:rsidRDefault="00387E49" w:rsidP="00DA0DD4">
      <w:pPr>
        <w:overflowPunct/>
        <w:spacing w:line="276" w:lineRule="auto"/>
        <w:ind w:firstLine="720"/>
        <w:jc w:val="right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1C68">
        <w:rPr>
          <w:rFonts w:ascii="Times New Roman" w:hAnsi="Times New Roman"/>
          <w:sz w:val="24"/>
          <w:szCs w:val="24"/>
          <w:lang w:val="bg-BG"/>
        </w:rPr>
        <w:t xml:space="preserve">към чл. </w:t>
      </w:r>
      <w:r w:rsidR="00C41BF9" w:rsidRPr="00F51C68">
        <w:rPr>
          <w:rFonts w:ascii="Times New Roman" w:hAnsi="Times New Roman"/>
          <w:sz w:val="24"/>
          <w:szCs w:val="24"/>
          <w:lang w:val="bg-BG"/>
        </w:rPr>
        <w:t>5</w:t>
      </w:r>
    </w:p>
    <w:p w14:paraId="147FC9A4" w14:textId="77777777" w:rsidR="00330A7D" w:rsidRPr="00F51C68" w:rsidRDefault="00330A7D" w:rsidP="00DA0DD4">
      <w:pPr>
        <w:overflowPunct/>
        <w:spacing w:line="276" w:lineRule="auto"/>
        <w:ind w:firstLine="720"/>
        <w:jc w:val="right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051"/>
        <w:gridCol w:w="3023"/>
      </w:tblGrid>
      <w:tr w:rsidR="0076223E" w:rsidRPr="00F51C68" w14:paraId="08406707" w14:textId="77777777" w:rsidTr="0076223E">
        <w:tc>
          <w:tcPr>
            <w:tcW w:w="738" w:type="dxa"/>
            <w:shd w:val="clear" w:color="auto" w:fill="D9D9D9"/>
          </w:tcPr>
          <w:p w14:paraId="5088DE4F" w14:textId="26F5D81C" w:rsidR="0076223E" w:rsidRPr="0076223E" w:rsidRDefault="0076223E" w:rsidP="0076223E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bg-BG"/>
              </w:rPr>
            </w:pPr>
            <w:r w:rsidRPr="00F8576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Ред №</w:t>
            </w:r>
          </w:p>
        </w:tc>
        <w:tc>
          <w:tcPr>
            <w:tcW w:w="5051" w:type="dxa"/>
            <w:shd w:val="clear" w:color="auto" w:fill="D9D9D9"/>
          </w:tcPr>
          <w:p w14:paraId="2DC55C29" w14:textId="3A34E249" w:rsidR="0076223E" w:rsidRPr="0076223E" w:rsidRDefault="0076223E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Неспазвания на изисквания за управление за дейност/направление</w:t>
            </w:r>
          </w:p>
        </w:tc>
        <w:tc>
          <w:tcPr>
            <w:tcW w:w="3023" w:type="dxa"/>
            <w:shd w:val="clear" w:color="auto" w:fill="D9D9D9"/>
          </w:tcPr>
          <w:p w14:paraId="076D541C" w14:textId="77777777" w:rsidR="0076223E" w:rsidRPr="0076223E" w:rsidRDefault="0076223E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Степен на неспазване/процент на намаление/</w:t>
            </w:r>
          </w:p>
        </w:tc>
      </w:tr>
      <w:tr w:rsidR="00387E49" w:rsidRPr="00F51C68" w14:paraId="5BA09409" w14:textId="77777777" w:rsidTr="008A6C2E">
        <w:tc>
          <w:tcPr>
            <w:tcW w:w="8812" w:type="dxa"/>
            <w:gridSpan w:val="3"/>
          </w:tcPr>
          <w:p w14:paraId="29BD3B81" w14:textId="5E1E5273" w:rsidR="00387E49" w:rsidRPr="00F51C68" w:rsidRDefault="00387E49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Направление </w:t>
            </w:r>
            <w:r w:rsidR="008207C9"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„Биологично растениевъдство“</w:t>
            </w:r>
          </w:p>
        </w:tc>
      </w:tr>
      <w:tr w:rsidR="00387E49" w:rsidRPr="00F51C68" w14:paraId="275BF421" w14:textId="77777777" w:rsidTr="0076223E">
        <w:tc>
          <w:tcPr>
            <w:tcW w:w="738" w:type="dxa"/>
          </w:tcPr>
          <w:p w14:paraId="3A5C04BF" w14:textId="62244C41" w:rsidR="00387E49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4876FB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772EE74E" w14:textId="2846DCA2" w:rsidR="00387E49" w:rsidRPr="00F51C68" w:rsidRDefault="002E3584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530CB3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становени парцели, които не се контролират от контролиращото лице</w:t>
            </w:r>
          </w:p>
        </w:tc>
        <w:tc>
          <w:tcPr>
            <w:tcW w:w="3023" w:type="dxa"/>
            <w:shd w:val="clear" w:color="auto" w:fill="auto"/>
          </w:tcPr>
          <w:p w14:paraId="5D6C85F5" w14:textId="05656BA8" w:rsidR="00387E49" w:rsidRPr="00F51C68" w:rsidRDefault="00530CB3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100 на сто за </w:t>
            </w:r>
            <w:r w:rsidR="00472BF4" w:rsidRPr="007622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парцел </w:t>
            </w:r>
          </w:p>
        </w:tc>
      </w:tr>
      <w:tr w:rsidR="00387E49" w:rsidRPr="00F51C68" w14:paraId="7282DE13" w14:textId="77777777" w:rsidTr="0076223E">
        <w:tc>
          <w:tcPr>
            <w:tcW w:w="738" w:type="dxa"/>
          </w:tcPr>
          <w:p w14:paraId="0DB14D97" w14:textId="572173B0" w:rsidR="00387E49" w:rsidRPr="00F51C68" w:rsidRDefault="00387E49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4876FB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65FA44CA" w14:textId="2E9856F4" w:rsidR="00387E49" w:rsidRPr="00F51C68" w:rsidRDefault="00530CB3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Неспазване на изискванията на </w:t>
            </w:r>
            <w:r w:rsidR="00B6403A" w:rsidRPr="007622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Регламент (ЕС) 2018/848 на Европейския парламент и на Съвета от 30 май 2018 г. относно биологичното производство и етикетирането на биологични продукти и за отмяна на Регламент (ЕО) № 834/2007 на Съвета (ОВ, L 150 от 14 юни 2018 г.) (Регламент (ЕС) 2018/848) </w:t>
            </w: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целия блок на земеделското стопанство.</w:t>
            </w:r>
          </w:p>
        </w:tc>
        <w:tc>
          <w:tcPr>
            <w:tcW w:w="3023" w:type="dxa"/>
            <w:shd w:val="clear" w:color="auto" w:fill="auto"/>
          </w:tcPr>
          <w:p w14:paraId="4D2DD64B" w14:textId="219FD71E" w:rsidR="00387E49" w:rsidRPr="00F51C68" w:rsidRDefault="00530CB3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 за направлението</w:t>
            </w:r>
          </w:p>
        </w:tc>
      </w:tr>
      <w:tr w:rsidR="00387E49" w:rsidRPr="00F51C68" w14:paraId="0A1C1BD5" w14:textId="77777777" w:rsidTr="008A6C2E">
        <w:tc>
          <w:tcPr>
            <w:tcW w:w="8812" w:type="dxa"/>
            <w:gridSpan w:val="3"/>
          </w:tcPr>
          <w:p w14:paraId="66DEBD96" w14:textId="163A1140" w:rsidR="00387E49" w:rsidRPr="0076223E" w:rsidRDefault="00387E49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Направление „</w:t>
            </w:r>
            <w:r w:rsidR="00530CB3"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Биологично пчеларство“</w:t>
            </w:r>
          </w:p>
        </w:tc>
      </w:tr>
      <w:tr w:rsidR="00387E49" w:rsidRPr="00F51C68" w14:paraId="5BD39E3F" w14:textId="77777777" w:rsidTr="0076223E">
        <w:tc>
          <w:tcPr>
            <w:tcW w:w="738" w:type="dxa"/>
          </w:tcPr>
          <w:p w14:paraId="6E0618C9" w14:textId="655904F1" w:rsidR="00387E49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4876FB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7AF1BB58" w14:textId="45DDD03F" w:rsidR="00387E49" w:rsidRPr="00F51C68" w:rsidRDefault="00530CB3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При неспазване на изискванията на Регламент (ЕС) 2018/848</w:t>
            </w:r>
            <w:r w:rsidR="004876FB" w:rsidRPr="0076223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</w:tcPr>
          <w:p w14:paraId="26AD2791" w14:textId="5789AAE1" w:rsidR="00387E49" w:rsidRPr="00F51C68" w:rsidRDefault="00387E49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</w:t>
            </w:r>
            <w:r w:rsidR="00472BF4"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направлението </w:t>
            </w:r>
          </w:p>
        </w:tc>
      </w:tr>
      <w:tr w:rsidR="00387E49" w:rsidRPr="00F51C68" w14:paraId="5DCC3DA1" w14:textId="77777777" w:rsidTr="0076223E">
        <w:tc>
          <w:tcPr>
            <w:tcW w:w="738" w:type="dxa"/>
          </w:tcPr>
          <w:p w14:paraId="606AB60B" w14:textId="0A26CD00" w:rsidR="00387E49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387E49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78D6B80F" w14:textId="160EFFD9" w:rsidR="00387E49" w:rsidRPr="00F51C68" w:rsidRDefault="00530CB3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В периода на изпълнение на дейността, подпомаганото лице не отглежда всички пчелни семейства в стопанството по метода на биологично производство.</w:t>
            </w:r>
          </w:p>
        </w:tc>
        <w:tc>
          <w:tcPr>
            <w:tcW w:w="3023" w:type="dxa"/>
            <w:shd w:val="clear" w:color="auto" w:fill="auto"/>
          </w:tcPr>
          <w:p w14:paraId="605FFF26" w14:textId="52B75CCA" w:rsidR="00387E49" w:rsidRPr="00F51C68" w:rsidRDefault="00387E49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</w:t>
            </w:r>
            <w:r w:rsidR="00472BF4"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направлението </w:t>
            </w:r>
          </w:p>
        </w:tc>
      </w:tr>
      <w:tr w:rsidR="00530CB3" w:rsidRPr="00F51C68" w14:paraId="1DE51575" w14:textId="77777777" w:rsidTr="0076223E">
        <w:trPr>
          <w:trHeight w:val="570"/>
        </w:trPr>
        <w:tc>
          <w:tcPr>
            <w:tcW w:w="738" w:type="dxa"/>
          </w:tcPr>
          <w:p w14:paraId="7F6527BF" w14:textId="4D24AE56" w:rsidR="00530CB3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530CB3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66B2B78E" w14:textId="35C7A22E" w:rsidR="00530CB3" w:rsidRPr="00F51C68" w:rsidRDefault="00472BF4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530CB3"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зползват антибиотици</w:t>
            </w:r>
            <w:r w:rsidR="008A2A9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3CF4FEF0" w14:textId="6745CB8B" w:rsidR="00530CB3" w:rsidRPr="00F51C68" w:rsidRDefault="00530CB3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</w:t>
            </w:r>
            <w:r w:rsidR="00472BF4"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направлението </w:t>
            </w:r>
          </w:p>
        </w:tc>
      </w:tr>
      <w:tr w:rsidR="00530CB3" w:rsidRPr="00F51C68" w14:paraId="6F26927A" w14:textId="77777777" w:rsidTr="008A6C2E">
        <w:tc>
          <w:tcPr>
            <w:tcW w:w="8812" w:type="dxa"/>
            <w:gridSpan w:val="3"/>
          </w:tcPr>
          <w:p w14:paraId="36261CAB" w14:textId="56FB72F9" w:rsidR="00530CB3" w:rsidRPr="0076223E" w:rsidRDefault="00530CB3" w:rsidP="00AA655F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 „</w:t>
            </w:r>
            <w:r w:rsidR="005519AE" w:rsidRPr="007622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Биологично животновъдство</w:t>
            </w:r>
            <w:r w:rsidRPr="00F51C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</w:t>
            </w:r>
          </w:p>
        </w:tc>
      </w:tr>
      <w:tr w:rsidR="00530CB3" w:rsidRPr="00F51C68" w14:paraId="5699DE60" w14:textId="77777777" w:rsidTr="0076223E">
        <w:tc>
          <w:tcPr>
            <w:tcW w:w="738" w:type="dxa"/>
          </w:tcPr>
          <w:p w14:paraId="35CE41AA" w14:textId="1EC1F13D" w:rsidR="00530CB3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530CB3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44B9ED9A" w14:textId="508B216B" w:rsidR="00530CB3" w:rsidRPr="00F51C68" w:rsidRDefault="00530CB3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При неспазване на изискванията на Регламент (ЕС) 2018/848.</w:t>
            </w:r>
          </w:p>
        </w:tc>
        <w:tc>
          <w:tcPr>
            <w:tcW w:w="3023" w:type="dxa"/>
            <w:shd w:val="clear" w:color="auto" w:fill="auto"/>
          </w:tcPr>
          <w:p w14:paraId="2BDCF46E" w14:textId="1FDAFB37" w:rsidR="00530CB3" w:rsidRPr="00F51C68" w:rsidRDefault="00530CB3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</w:t>
            </w:r>
            <w:r w:rsidR="00472BF4"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направлението </w:t>
            </w:r>
          </w:p>
        </w:tc>
      </w:tr>
      <w:tr w:rsidR="00530CB3" w:rsidRPr="00F51C68" w14:paraId="25B6D103" w14:textId="77777777" w:rsidTr="0076223E">
        <w:tc>
          <w:tcPr>
            <w:tcW w:w="738" w:type="dxa"/>
          </w:tcPr>
          <w:p w14:paraId="67F4EE7A" w14:textId="26828FE0" w:rsidR="00530CB3" w:rsidRPr="00F51C68" w:rsidRDefault="0010642F" w:rsidP="007622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B6403A" w:rsidRPr="00F51C6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051" w:type="dxa"/>
            <w:shd w:val="clear" w:color="auto" w:fill="auto"/>
          </w:tcPr>
          <w:p w14:paraId="3A6DA3D9" w14:textId="254CA20A" w:rsidR="00530CB3" w:rsidRPr="00F51C68" w:rsidRDefault="00530CB3" w:rsidP="0076223E">
            <w:pPr>
              <w:overflowPunct/>
              <w:autoSpaceDE/>
              <w:autoSpaceDN/>
              <w:adjustRightInd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23E">
              <w:rPr>
                <w:rFonts w:ascii="Times New Roman" w:hAnsi="Times New Roman"/>
                <w:sz w:val="24"/>
                <w:szCs w:val="24"/>
                <w:lang w:val="bg-BG"/>
              </w:rPr>
              <w:t>В периода на изпълнение на дейността, подпомаганото лице не отглежда в стопанството си всички животни от заявения за подпомагане вид по метода на биологично производство</w:t>
            </w:r>
            <w:r w:rsidR="00B6403A" w:rsidRPr="0076223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1B339A65" w14:textId="6F778A4E" w:rsidR="00530CB3" w:rsidRPr="00F51C68" w:rsidRDefault="00530CB3" w:rsidP="0076223E">
            <w:pPr>
              <w:overflowPunct/>
              <w:autoSpaceDE/>
              <w:autoSpaceDN/>
              <w:adjustRightInd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C68">
              <w:rPr>
                <w:rFonts w:ascii="Times New Roman" w:hAnsi="Times New Roman"/>
                <w:sz w:val="24"/>
                <w:szCs w:val="24"/>
                <w:lang w:val="bg-BG"/>
              </w:rPr>
              <w:t>100 на сто</w:t>
            </w:r>
            <w:r w:rsidR="00472BF4" w:rsidRPr="00F51C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направлението </w:t>
            </w:r>
          </w:p>
        </w:tc>
      </w:tr>
    </w:tbl>
    <w:p w14:paraId="040E608A" w14:textId="77777777" w:rsidR="00387E49" w:rsidRPr="00F51C68" w:rsidRDefault="00387E49" w:rsidP="007622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D78816" w14:textId="77777777" w:rsidR="00387E49" w:rsidRPr="00F51C68" w:rsidRDefault="00387E49" w:rsidP="002C427B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FC192F" w14:textId="64F096C6" w:rsidR="00293F67" w:rsidRDefault="00293F67" w:rsidP="007622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D50650" w14:textId="77777777" w:rsidR="00330A7D" w:rsidRPr="00F51C68" w:rsidRDefault="00330A7D" w:rsidP="007622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3" w:name="_GoBack"/>
      <w:bookmarkEnd w:id="3"/>
    </w:p>
    <w:sectPr w:rsidR="00330A7D" w:rsidRPr="00F51C68" w:rsidSect="00F51C68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EB73" w14:textId="77777777" w:rsidR="00BC5564" w:rsidRDefault="00BC5564">
      <w:r>
        <w:separator/>
      </w:r>
    </w:p>
  </w:endnote>
  <w:endnote w:type="continuationSeparator" w:id="0">
    <w:p w14:paraId="6804A93F" w14:textId="77777777" w:rsidR="00BC5564" w:rsidRDefault="00B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927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31DA4B1" w14:textId="6B88CDF7" w:rsidR="00E876C3" w:rsidRPr="003856C6" w:rsidRDefault="00E876C3">
        <w:pPr>
          <w:pStyle w:val="Footer"/>
          <w:jc w:val="right"/>
          <w:rPr>
            <w:rFonts w:ascii="Times New Roman" w:hAnsi="Times New Roman"/>
          </w:rPr>
        </w:pPr>
        <w:r w:rsidRPr="003856C6">
          <w:rPr>
            <w:rFonts w:ascii="Times New Roman" w:hAnsi="Times New Roman"/>
          </w:rPr>
          <w:fldChar w:fldCharType="begin"/>
        </w:r>
        <w:r w:rsidRPr="003856C6">
          <w:rPr>
            <w:rFonts w:ascii="Times New Roman" w:hAnsi="Times New Roman"/>
          </w:rPr>
          <w:instrText xml:space="preserve"> PAGE   \* MERGEFORMAT </w:instrText>
        </w:r>
        <w:r w:rsidRPr="003856C6">
          <w:rPr>
            <w:rFonts w:ascii="Times New Roman" w:hAnsi="Times New Roman"/>
          </w:rPr>
          <w:fldChar w:fldCharType="separate"/>
        </w:r>
        <w:r w:rsidR="00F77E9E">
          <w:rPr>
            <w:rFonts w:ascii="Times New Roman" w:hAnsi="Times New Roman"/>
            <w:noProof/>
          </w:rPr>
          <w:t>6</w:t>
        </w:r>
        <w:r w:rsidRPr="003856C6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DB8B" w14:textId="77777777" w:rsidR="00BC5564" w:rsidRDefault="00BC5564">
      <w:r>
        <w:separator/>
      </w:r>
    </w:p>
  </w:footnote>
  <w:footnote w:type="continuationSeparator" w:id="0">
    <w:p w14:paraId="08227736" w14:textId="77777777" w:rsidR="00BC5564" w:rsidRDefault="00BC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F8CF" w14:textId="77777777" w:rsidR="003856C6" w:rsidRPr="00293F67" w:rsidRDefault="003856C6" w:rsidP="003856C6">
    <w:pPr>
      <w:tabs>
        <w:tab w:val="center" w:pos="4153"/>
        <w:tab w:val="right" w:pos="8306"/>
      </w:tabs>
      <w:jc w:val="right"/>
      <w:textAlignment w:val="auto"/>
      <w:rPr>
        <w:rFonts w:ascii="Times New Roman" w:hAnsi="Times New Roman"/>
        <w:lang w:val="bg-BG" w:eastAsia="bg-BG"/>
      </w:rPr>
    </w:pPr>
    <w:r w:rsidRPr="00293F67">
      <w:rPr>
        <w:rFonts w:ascii="Times New Roman" w:hAnsi="Times New Roman"/>
        <w:lang w:val="bg-BG" w:eastAsia="bg-BG"/>
      </w:rPr>
      <w:t>Класификация на информацията:</w:t>
    </w:r>
  </w:p>
  <w:p w14:paraId="426A0580" w14:textId="77777777" w:rsidR="003856C6" w:rsidRPr="00293F67" w:rsidRDefault="003856C6" w:rsidP="003856C6">
    <w:pPr>
      <w:tabs>
        <w:tab w:val="center" w:pos="4153"/>
        <w:tab w:val="right" w:pos="8306"/>
      </w:tabs>
      <w:jc w:val="right"/>
      <w:textAlignment w:val="auto"/>
      <w:rPr>
        <w:rFonts w:ascii="Times New Roman" w:hAnsi="Times New Roman"/>
        <w:lang w:val="ru-RU" w:eastAsia="bg-BG"/>
      </w:rPr>
    </w:pPr>
    <w:r w:rsidRPr="00293F67">
      <w:rPr>
        <w:rFonts w:ascii="Times New Roman" w:hAnsi="Times New Roman"/>
        <w:bCs/>
        <w:lang w:val="bg-BG" w:eastAsia="bg-BG"/>
      </w:rPr>
      <w:t>Ниво 0, TLP-</w:t>
    </w:r>
    <w:r w:rsidRPr="00293F67">
      <w:rPr>
        <w:rFonts w:ascii="Times New Roman" w:hAnsi="Times New Roman"/>
        <w:bCs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53B3"/>
    <w:multiLevelType w:val="hybridMultilevel"/>
    <w:tmpl w:val="77E2945A"/>
    <w:lvl w:ilvl="0" w:tplc="AE163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D3629"/>
    <w:multiLevelType w:val="hybridMultilevel"/>
    <w:tmpl w:val="FB72E3F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3CB1"/>
    <w:multiLevelType w:val="hybridMultilevel"/>
    <w:tmpl w:val="62FE04B2"/>
    <w:lvl w:ilvl="0" w:tplc="B3462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BC3"/>
    <w:rsid w:val="00005A0F"/>
    <w:rsid w:val="00005BB5"/>
    <w:rsid w:val="00006123"/>
    <w:rsid w:val="00006167"/>
    <w:rsid w:val="00007C29"/>
    <w:rsid w:val="00007F68"/>
    <w:rsid w:val="000137BC"/>
    <w:rsid w:val="00014676"/>
    <w:rsid w:val="0001763F"/>
    <w:rsid w:val="0001787B"/>
    <w:rsid w:val="000213AD"/>
    <w:rsid w:val="00022955"/>
    <w:rsid w:val="00024194"/>
    <w:rsid w:val="00027125"/>
    <w:rsid w:val="000302EB"/>
    <w:rsid w:val="00030312"/>
    <w:rsid w:val="00033397"/>
    <w:rsid w:val="00033D42"/>
    <w:rsid w:val="000353F4"/>
    <w:rsid w:val="00035749"/>
    <w:rsid w:val="00040AE6"/>
    <w:rsid w:val="0004237B"/>
    <w:rsid w:val="00042B25"/>
    <w:rsid w:val="00044CCB"/>
    <w:rsid w:val="00045ECB"/>
    <w:rsid w:val="00046471"/>
    <w:rsid w:val="00047267"/>
    <w:rsid w:val="000558A7"/>
    <w:rsid w:val="00055CAB"/>
    <w:rsid w:val="0005622F"/>
    <w:rsid w:val="00057EAE"/>
    <w:rsid w:val="00060D5B"/>
    <w:rsid w:val="0006668F"/>
    <w:rsid w:val="00067C1E"/>
    <w:rsid w:val="000740BB"/>
    <w:rsid w:val="00074665"/>
    <w:rsid w:val="000819FC"/>
    <w:rsid w:val="00081D3B"/>
    <w:rsid w:val="00082ED6"/>
    <w:rsid w:val="00082F62"/>
    <w:rsid w:val="000847FC"/>
    <w:rsid w:val="00086A51"/>
    <w:rsid w:val="000873A2"/>
    <w:rsid w:val="00087644"/>
    <w:rsid w:val="0008779A"/>
    <w:rsid w:val="00092751"/>
    <w:rsid w:val="00093E40"/>
    <w:rsid w:val="0009492E"/>
    <w:rsid w:val="00094E1F"/>
    <w:rsid w:val="000951E2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0D95"/>
    <w:rsid w:val="000C2A76"/>
    <w:rsid w:val="000C32E2"/>
    <w:rsid w:val="000C5CC6"/>
    <w:rsid w:val="000C5EAF"/>
    <w:rsid w:val="000C76A0"/>
    <w:rsid w:val="000D0499"/>
    <w:rsid w:val="000D22AD"/>
    <w:rsid w:val="000D48BA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69E5"/>
    <w:rsid w:val="000F6AD3"/>
    <w:rsid w:val="000F797C"/>
    <w:rsid w:val="000F7B09"/>
    <w:rsid w:val="00101D7E"/>
    <w:rsid w:val="00103CB8"/>
    <w:rsid w:val="00104725"/>
    <w:rsid w:val="00105D76"/>
    <w:rsid w:val="0010642F"/>
    <w:rsid w:val="0010708F"/>
    <w:rsid w:val="0010713E"/>
    <w:rsid w:val="00112174"/>
    <w:rsid w:val="00116782"/>
    <w:rsid w:val="0011684C"/>
    <w:rsid w:val="001234D8"/>
    <w:rsid w:val="0012472D"/>
    <w:rsid w:val="001261FA"/>
    <w:rsid w:val="001265B6"/>
    <w:rsid w:val="0012794A"/>
    <w:rsid w:val="00133147"/>
    <w:rsid w:val="00133CF0"/>
    <w:rsid w:val="00134339"/>
    <w:rsid w:val="00134B2C"/>
    <w:rsid w:val="00136816"/>
    <w:rsid w:val="00136FC8"/>
    <w:rsid w:val="001425AD"/>
    <w:rsid w:val="001474E6"/>
    <w:rsid w:val="00151550"/>
    <w:rsid w:val="00152467"/>
    <w:rsid w:val="00156703"/>
    <w:rsid w:val="00157D1E"/>
    <w:rsid w:val="00160281"/>
    <w:rsid w:val="001612F1"/>
    <w:rsid w:val="0016533D"/>
    <w:rsid w:val="00165C64"/>
    <w:rsid w:val="00170FEC"/>
    <w:rsid w:val="00172908"/>
    <w:rsid w:val="00176660"/>
    <w:rsid w:val="00177933"/>
    <w:rsid w:val="001834D8"/>
    <w:rsid w:val="00183D01"/>
    <w:rsid w:val="00193CC0"/>
    <w:rsid w:val="00197A45"/>
    <w:rsid w:val="001A09FB"/>
    <w:rsid w:val="001A0ED1"/>
    <w:rsid w:val="001A24A5"/>
    <w:rsid w:val="001A525E"/>
    <w:rsid w:val="001A78A9"/>
    <w:rsid w:val="001B23F1"/>
    <w:rsid w:val="001B53BA"/>
    <w:rsid w:val="001C39F1"/>
    <w:rsid w:val="001C5009"/>
    <w:rsid w:val="001C6474"/>
    <w:rsid w:val="001D0AB2"/>
    <w:rsid w:val="001D1C86"/>
    <w:rsid w:val="001D349E"/>
    <w:rsid w:val="001D34DB"/>
    <w:rsid w:val="001D37BF"/>
    <w:rsid w:val="001D763F"/>
    <w:rsid w:val="001E34E9"/>
    <w:rsid w:val="001F2797"/>
    <w:rsid w:val="001F29BD"/>
    <w:rsid w:val="001F5784"/>
    <w:rsid w:val="001F58FE"/>
    <w:rsid w:val="0020053A"/>
    <w:rsid w:val="00207371"/>
    <w:rsid w:val="00211FE4"/>
    <w:rsid w:val="00215593"/>
    <w:rsid w:val="0022165E"/>
    <w:rsid w:val="0022201B"/>
    <w:rsid w:val="00222D87"/>
    <w:rsid w:val="00224624"/>
    <w:rsid w:val="00225068"/>
    <w:rsid w:val="00227CC2"/>
    <w:rsid w:val="00227D38"/>
    <w:rsid w:val="00231E01"/>
    <w:rsid w:val="00234C91"/>
    <w:rsid w:val="002364A2"/>
    <w:rsid w:val="002402A1"/>
    <w:rsid w:val="00246C28"/>
    <w:rsid w:val="00247286"/>
    <w:rsid w:val="0025076E"/>
    <w:rsid w:val="002548C8"/>
    <w:rsid w:val="00257A98"/>
    <w:rsid w:val="00266D04"/>
    <w:rsid w:val="00266D1C"/>
    <w:rsid w:val="00266EB3"/>
    <w:rsid w:val="002678DB"/>
    <w:rsid w:val="00270C2C"/>
    <w:rsid w:val="00272206"/>
    <w:rsid w:val="00274DB4"/>
    <w:rsid w:val="00276008"/>
    <w:rsid w:val="00277EF9"/>
    <w:rsid w:val="0029029A"/>
    <w:rsid w:val="00290640"/>
    <w:rsid w:val="0029089C"/>
    <w:rsid w:val="00291E3F"/>
    <w:rsid w:val="002920C1"/>
    <w:rsid w:val="00292DA4"/>
    <w:rsid w:val="0029342B"/>
    <w:rsid w:val="0029392D"/>
    <w:rsid w:val="00293F67"/>
    <w:rsid w:val="0029615E"/>
    <w:rsid w:val="00297AFF"/>
    <w:rsid w:val="00297B87"/>
    <w:rsid w:val="00297D55"/>
    <w:rsid w:val="00297E29"/>
    <w:rsid w:val="002A1554"/>
    <w:rsid w:val="002A1ADA"/>
    <w:rsid w:val="002A2F22"/>
    <w:rsid w:val="002A5DF4"/>
    <w:rsid w:val="002A72D5"/>
    <w:rsid w:val="002A7C10"/>
    <w:rsid w:val="002A7D84"/>
    <w:rsid w:val="002B1771"/>
    <w:rsid w:val="002B3457"/>
    <w:rsid w:val="002B3977"/>
    <w:rsid w:val="002B4553"/>
    <w:rsid w:val="002B475B"/>
    <w:rsid w:val="002B70FB"/>
    <w:rsid w:val="002B7F46"/>
    <w:rsid w:val="002C0785"/>
    <w:rsid w:val="002C0FCE"/>
    <w:rsid w:val="002C427B"/>
    <w:rsid w:val="002C4526"/>
    <w:rsid w:val="002D0650"/>
    <w:rsid w:val="002D0828"/>
    <w:rsid w:val="002D0883"/>
    <w:rsid w:val="002D345C"/>
    <w:rsid w:val="002D39BA"/>
    <w:rsid w:val="002D7148"/>
    <w:rsid w:val="002E125A"/>
    <w:rsid w:val="002E2297"/>
    <w:rsid w:val="002E28AD"/>
    <w:rsid w:val="002E3584"/>
    <w:rsid w:val="002E3920"/>
    <w:rsid w:val="002E7198"/>
    <w:rsid w:val="002F4817"/>
    <w:rsid w:val="00302AFA"/>
    <w:rsid w:val="00302CFE"/>
    <w:rsid w:val="00310614"/>
    <w:rsid w:val="00315004"/>
    <w:rsid w:val="00315565"/>
    <w:rsid w:val="00315EF5"/>
    <w:rsid w:val="003163A2"/>
    <w:rsid w:val="003178D7"/>
    <w:rsid w:val="003229DF"/>
    <w:rsid w:val="003237F3"/>
    <w:rsid w:val="00325180"/>
    <w:rsid w:val="00325904"/>
    <w:rsid w:val="00327309"/>
    <w:rsid w:val="00330A7D"/>
    <w:rsid w:val="00332D52"/>
    <w:rsid w:val="003332E3"/>
    <w:rsid w:val="003333FC"/>
    <w:rsid w:val="00333667"/>
    <w:rsid w:val="003337CD"/>
    <w:rsid w:val="0033632C"/>
    <w:rsid w:val="003428A3"/>
    <w:rsid w:val="003442B3"/>
    <w:rsid w:val="003446CB"/>
    <w:rsid w:val="0034614A"/>
    <w:rsid w:val="00347C80"/>
    <w:rsid w:val="00351DC3"/>
    <w:rsid w:val="00357982"/>
    <w:rsid w:val="00360101"/>
    <w:rsid w:val="00362788"/>
    <w:rsid w:val="0036657F"/>
    <w:rsid w:val="00370410"/>
    <w:rsid w:val="00372943"/>
    <w:rsid w:val="00373306"/>
    <w:rsid w:val="00382DF0"/>
    <w:rsid w:val="00383B0B"/>
    <w:rsid w:val="003856C6"/>
    <w:rsid w:val="00385DB8"/>
    <w:rsid w:val="00386378"/>
    <w:rsid w:val="00386EAD"/>
    <w:rsid w:val="00387E49"/>
    <w:rsid w:val="00390B1E"/>
    <w:rsid w:val="00392562"/>
    <w:rsid w:val="00395543"/>
    <w:rsid w:val="00395545"/>
    <w:rsid w:val="003A3C4C"/>
    <w:rsid w:val="003A63CA"/>
    <w:rsid w:val="003B1A50"/>
    <w:rsid w:val="003B3030"/>
    <w:rsid w:val="003B3221"/>
    <w:rsid w:val="003B5863"/>
    <w:rsid w:val="003C0CB4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649A"/>
    <w:rsid w:val="003E7822"/>
    <w:rsid w:val="003F387C"/>
    <w:rsid w:val="003F6172"/>
    <w:rsid w:val="003F6B52"/>
    <w:rsid w:val="00400D39"/>
    <w:rsid w:val="00402E3D"/>
    <w:rsid w:val="004035B8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3CA2"/>
    <w:rsid w:val="00417EDD"/>
    <w:rsid w:val="00422BD0"/>
    <w:rsid w:val="004303E5"/>
    <w:rsid w:val="00430C8A"/>
    <w:rsid w:val="0043217E"/>
    <w:rsid w:val="00432A95"/>
    <w:rsid w:val="004356AF"/>
    <w:rsid w:val="00440AEB"/>
    <w:rsid w:val="00443D85"/>
    <w:rsid w:val="00444B18"/>
    <w:rsid w:val="00445100"/>
    <w:rsid w:val="004461C9"/>
    <w:rsid w:val="00450A13"/>
    <w:rsid w:val="00456A0C"/>
    <w:rsid w:val="00457055"/>
    <w:rsid w:val="00460A46"/>
    <w:rsid w:val="00462A6B"/>
    <w:rsid w:val="004643D4"/>
    <w:rsid w:val="00467A61"/>
    <w:rsid w:val="00470320"/>
    <w:rsid w:val="00471227"/>
    <w:rsid w:val="00472BF4"/>
    <w:rsid w:val="00473ED2"/>
    <w:rsid w:val="0047411F"/>
    <w:rsid w:val="00480440"/>
    <w:rsid w:val="00480A0E"/>
    <w:rsid w:val="00480EFA"/>
    <w:rsid w:val="00481695"/>
    <w:rsid w:val="0048278A"/>
    <w:rsid w:val="004876FB"/>
    <w:rsid w:val="004906C6"/>
    <w:rsid w:val="0049149A"/>
    <w:rsid w:val="00492EB9"/>
    <w:rsid w:val="0049377A"/>
    <w:rsid w:val="004A1C2B"/>
    <w:rsid w:val="004A211A"/>
    <w:rsid w:val="004A3297"/>
    <w:rsid w:val="004A456D"/>
    <w:rsid w:val="004A611A"/>
    <w:rsid w:val="004A7BDC"/>
    <w:rsid w:val="004B1FF9"/>
    <w:rsid w:val="004B4A9E"/>
    <w:rsid w:val="004B5031"/>
    <w:rsid w:val="004B6912"/>
    <w:rsid w:val="004C213A"/>
    <w:rsid w:val="004C2C33"/>
    <w:rsid w:val="004C3144"/>
    <w:rsid w:val="004D15D9"/>
    <w:rsid w:val="004D241E"/>
    <w:rsid w:val="004D2741"/>
    <w:rsid w:val="004E04D7"/>
    <w:rsid w:val="004E0713"/>
    <w:rsid w:val="004E15D0"/>
    <w:rsid w:val="004E2B29"/>
    <w:rsid w:val="004E332E"/>
    <w:rsid w:val="004E5C83"/>
    <w:rsid w:val="004F0A24"/>
    <w:rsid w:val="004F3D12"/>
    <w:rsid w:val="004F57A7"/>
    <w:rsid w:val="0050243E"/>
    <w:rsid w:val="00504229"/>
    <w:rsid w:val="005049D5"/>
    <w:rsid w:val="00506498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0CB3"/>
    <w:rsid w:val="005321D2"/>
    <w:rsid w:val="00532C04"/>
    <w:rsid w:val="00533301"/>
    <w:rsid w:val="005346DB"/>
    <w:rsid w:val="005353FA"/>
    <w:rsid w:val="00536C4F"/>
    <w:rsid w:val="00536D61"/>
    <w:rsid w:val="005433CD"/>
    <w:rsid w:val="0054379B"/>
    <w:rsid w:val="00546611"/>
    <w:rsid w:val="00550307"/>
    <w:rsid w:val="005519AE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5CF9"/>
    <w:rsid w:val="005662B6"/>
    <w:rsid w:val="00566430"/>
    <w:rsid w:val="00567E63"/>
    <w:rsid w:val="00573657"/>
    <w:rsid w:val="0057369B"/>
    <w:rsid w:val="00573FF3"/>
    <w:rsid w:val="005746AA"/>
    <w:rsid w:val="005753DC"/>
    <w:rsid w:val="005760DE"/>
    <w:rsid w:val="00577611"/>
    <w:rsid w:val="005817A8"/>
    <w:rsid w:val="0058443D"/>
    <w:rsid w:val="00584BE3"/>
    <w:rsid w:val="00586435"/>
    <w:rsid w:val="00586EC3"/>
    <w:rsid w:val="005921DE"/>
    <w:rsid w:val="005927EE"/>
    <w:rsid w:val="00597A67"/>
    <w:rsid w:val="005A17B9"/>
    <w:rsid w:val="005A29A4"/>
    <w:rsid w:val="005A3B17"/>
    <w:rsid w:val="005B0265"/>
    <w:rsid w:val="005B4489"/>
    <w:rsid w:val="005B7A97"/>
    <w:rsid w:val="005C1DE5"/>
    <w:rsid w:val="005C3FE6"/>
    <w:rsid w:val="005C4C52"/>
    <w:rsid w:val="005C5451"/>
    <w:rsid w:val="005C756B"/>
    <w:rsid w:val="005C7F6F"/>
    <w:rsid w:val="005D0789"/>
    <w:rsid w:val="005D1441"/>
    <w:rsid w:val="005D1BA7"/>
    <w:rsid w:val="005D1C55"/>
    <w:rsid w:val="005D27C7"/>
    <w:rsid w:val="005D3ED1"/>
    <w:rsid w:val="005D51CD"/>
    <w:rsid w:val="005D6A5F"/>
    <w:rsid w:val="005D7631"/>
    <w:rsid w:val="005D7788"/>
    <w:rsid w:val="005D7D2F"/>
    <w:rsid w:val="005E2564"/>
    <w:rsid w:val="005E3924"/>
    <w:rsid w:val="005E41ED"/>
    <w:rsid w:val="005E5850"/>
    <w:rsid w:val="005F1C56"/>
    <w:rsid w:val="005F2F66"/>
    <w:rsid w:val="005F6277"/>
    <w:rsid w:val="005F6780"/>
    <w:rsid w:val="005F7205"/>
    <w:rsid w:val="00600007"/>
    <w:rsid w:val="006012F4"/>
    <w:rsid w:val="00604B00"/>
    <w:rsid w:val="00604FA3"/>
    <w:rsid w:val="00606CB6"/>
    <w:rsid w:val="00610B91"/>
    <w:rsid w:val="0061741F"/>
    <w:rsid w:val="006224F7"/>
    <w:rsid w:val="00623F41"/>
    <w:rsid w:val="00624FC6"/>
    <w:rsid w:val="0062523F"/>
    <w:rsid w:val="00625F86"/>
    <w:rsid w:val="00627A1B"/>
    <w:rsid w:val="0063147E"/>
    <w:rsid w:val="00632DD5"/>
    <w:rsid w:val="00634987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2B17"/>
    <w:rsid w:val="00663EE8"/>
    <w:rsid w:val="00665433"/>
    <w:rsid w:val="00665FC3"/>
    <w:rsid w:val="00666523"/>
    <w:rsid w:val="00667FA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A30B4"/>
    <w:rsid w:val="006A63AE"/>
    <w:rsid w:val="006B09A5"/>
    <w:rsid w:val="006B32B8"/>
    <w:rsid w:val="006B79E1"/>
    <w:rsid w:val="006C0A31"/>
    <w:rsid w:val="006C2515"/>
    <w:rsid w:val="006C6329"/>
    <w:rsid w:val="006C6FBE"/>
    <w:rsid w:val="006C7172"/>
    <w:rsid w:val="006D002B"/>
    <w:rsid w:val="006D0985"/>
    <w:rsid w:val="006D5512"/>
    <w:rsid w:val="006E0EC1"/>
    <w:rsid w:val="006E1D7F"/>
    <w:rsid w:val="006E2AC5"/>
    <w:rsid w:val="006E3AC6"/>
    <w:rsid w:val="006E45DA"/>
    <w:rsid w:val="006E6683"/>
    <w:rsid w:val="006E6D74"/>
    <w:rsid w:val="006F06CC"/>
    <w:rsid w:val="006F5566"/>
    <w:rsid w:val="006F63CA"/>
    <w:rsid w:val="006F661C"/>
    <w:rsid w:val="007003E1"/>
    <w:rsid w:val="007032B8"/>
    <w:rsid w:val="00703A3D"/>
    <w:rsid w:val="00705024"/>
    <w:rsid w:val="007077BB"/>
    <w:rsid w:val="00710C48"/>
    <w:rsid w:val="0071106F"/>
    <w:rsid w:val="00712C17"/>
    <w:rsid w:val="007144F7"/>
    <w:rsid w:val="00714EDC"/>
    <w:rsid w:val="00715C7E"/>
    <w:rsid w:val="00717933"/>
    <w:rsid w:val="00720BD0"/>
    <w:rsid w:val="0072179C"/>
    <w:rsid w:val="00721B9F"/>
    <w:rsid w:val="00722338"/>
    <w:rsid w:val="00722E69"/>
    <w:rsid w:val="007233F0"/>
    <w:rsid w:val="0072668E"/>
    <w:rsid w:val="00730799"/>
    <w:rsid w:val="00735898"/>
    <w:rsid w:val="007408D5"/>
    <w:rsid w:val="00740C26"/>
    <w:rsid w:val="0074283D"/>
    <w:rsid w:val="00746929"/>
    <w:rsid w:val="007521F4"/>
    <w:rsid w:val="007544F7"/>
    <w:rsid w:val="00755EF6"/>
    <w:rsid w:val="007563EA"/>
    <w:rsid w:val="0076138E"/>
    <w:rsid w:val="0076223E"/>
    <w:rsid w:val="00762B27"/>
    <w:rsid w:val="00771BE3"/>
    <w:rsid w:val="00772D0C"/>
    <w:rsid w:val="00775511"/>
    <w:rsid w:val="00784336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44EA"/>
    <w:rsid w:val="007E793C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212"/>
    <w:rsid w:val="00814962"/>
    <w:rsid w:val="008203AA"/>
    <w:rsid w:val="00820530"/>
    <w:rsid w:val="008207C9"/>
    <w:rsid w:val="00821CB4"/>
    <w:rsid w:val="00821EC5"/>
    <w:rsid w:val="00827099"/>
    <w:rsid w:val="008275C7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836"/>
    <w:rsid w:val="00863B1D"/>
    <w:rsid w:val="00866E3E"/>
    <w:rsid w:val="00871AEA"/>
    <w:rsid w:val="00875331"/>
    <w:rsid w:val="00882049"/>
    <w:rsid w:val="00882450"/>
    <w:rsid w:val="008824F7"/>
    <w:rsid w:val="0088375E"/>
    <w:rsid w:val="008845CF"/>
    <w:rsid w:val="00886905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A90"/>
    <w:rsid w:val="008A2D81"/>
    <w:rsid w:val="008A2DD5"/>
    <w:rsid w:val="008A429D"/>
    <w:rsid w:val="008A614E"/>
    <w:rsid w:val="008A6975"/>
    <w:rsid w:val="008A6C2E"/>
    <w:rsid w:val="008B16A8"/>
    <w:rsid w:val="008B6FAA"/>
    <w:rsid w:val="008C0D09"/>
    <w:rsid w:val="008D303B"/>
    <w:rsid w:val="008D7999"/>
    <w:rsid w:val="008E0F71"/>
    <w:rsid w:val="008E365B"/>
    <w:rsid w:val="008E5906"/>
    <w:rsid w:val="008E5FED"/>
    <w:rsid w:val="008F136E"/>
    <w:rsid w:val="008F3B90"/>
    <w:rsid w:val="008F5374"/>
    <w:rsid w:val="008F57CD"/>
    <w:rsid w:val="008F5CE9"/>
    <w:rsid w:val="008F7D0E"/>
    <w:rsid w:val="00902080"/>
    <w:rsid w:val="00903BD3"/>
    <w:rsid w:val="00906777"/>
    <w:rsid w:val="00907551"/>
    <w:rsid w:val="00907FC7"/>
    <w:rsid w:val="00911C4F"/>
    <w:rsid w:val="00912515"/>
    <w:rsid w:val="00913F33"/>
    <w:rsid w:val="00916C19"/>
    <w:rsid w:val="00916DC6"/>
    <w:rsid w:val="00917434"/>
    <w:rsid w:val="00924EF8"/>
    <w:rsid w:val="0092782D"/>
    <w:rsid w:val="009305D2"/>
    <w:rsid w:val="00933167"/>
    <w:rsid w:val="00934363"/>
    <w:rsid w:val="00934637"/>
    <w:rsid w:val="00934BE4"/>
    <w:rsid w:val="0093691A"/>
    <w:rsid w:val="009404A6"/>
    <w:rsid w:val="00940CCD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56E17"/>
    <w:rsid w:val="009665CC"/>
    <w:rsid w:val="00967938"/>
    <w:rsid w:val="00976BFF"/>
    <w:rsid w:val="00984735"/>
    <w:rsid w:val="00984FBB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743"/>
    <w:rsid w:val="009B2D54"/>
    <w:rsid w:val="009B51E6"/>
    <w:rsid w:val="009B6C74"/>
    <w:rsid w:val="009D28DC"/>
    <w:rsid w:val="009D36FD"/>
    <w:rsid w:val="009D4D47"/>
    <w:rsid w:val="009D62A4"/>
    <w:rsid w:val="009D7AF1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5CA5"/>
    <w:rsid w:val="009F7519"/>
    <w:rsid w:val="00A00E9D"/>
    <w:rsid w:val="00A02303"/>
    <w:rsid w:val="00A0403D"/>
    <w:rsid w:val="00A0449D"/>
    <w:rsid w:val="00A107BA"/>
    <w:rsid w:val="00A13657"/>
    <w:rsid w:val="00A21DEE"/>
    <w:rsid w:val="00A27577"/>
    <w:rsid w:val="00A27B2A"/>
    <w:rsid w:val="00A30043"/>
    <w:rsid w:val="00A37760"/>
    <w:rsid w:val="00A40D8A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5497"/>
    <w:rsid w:val="00A900E1"/>
    <w:rsid w:val="00A910C4"/>
    <w:rsid w:val="00A914D2"/>
    <w:rsid w:val="00A9300D"/>
    <w:rsid w:val="00AA154D"/>
    <w:rsid w:val="00AA33D9"/>
    <w:rsid w:val="00AA33E6"/>
    <w:rsid w:val="00AA4236"/>
    <w:rsid w:val="00AA5C8D"/>
    <w:rsid w:val="00AA655F"/>
    <w:rsid w:val="00AA72CE"/>
    <w:rsid w:val="00AB5F73"/>
    <w:rsid w:val="00AB5FE3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4B2A"/>
    <w:rsid w:val="00AE7060"/>
    <w:rsid w:val="00AE7CE7"/>
    <w:rsid w:val="00AF2523"/>
    <w:rsid w:val="00AF2DC6"/>
    <w:rsid w:val="00AF5117"/>
    <w:rsid w:val="00B01256"/>
    <w:rsid w:val="00B018C1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3536C"/>
    <w:rsid w:val="00B41471"/>
    <w:rsid w:val="00B435D6"/>
    <w:rsid w:val="00B44223"/>
    <w:rsid w:val="00B46581"/>
    <w:rsid w:val="00B47A39"/>
    <w:rsid w:val="00B506A4"/>
    <w:rsid w:val="00B50D32"/>
    <w:rsid w:val="00B514E9"/>
    <w:rsid w:val="00B547F1"/>
    <w:rsid w:val="00B562D7"/>
    <w:rsid w:val="00B56C4A"/>
    <w:rsid w:val="00B57988"/>
    <w:rsid w:val="00B60587"/>
    <w:rsid w:val="00B605C3"/>
    <w:rsid w:val="00B62253"/>
    <w:rsid w:val="00B6403A"/>
    <w:rsid w:val="00B6432B"/>
    <w:rsid w:val="00B66DEB"/>
    <w:rsid w:val="00B7046C"/>
    <w:rsid w:val="00B74D02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572"/>
    <w:rsid w:val="00BB1882"/>
    <w:rsid w:val="00BB4B5D"/>
    <w:rsid w:val="00BB778D"/>
    <w:rsid w:val="00BC09E2"/>
    <w:rsid w:val="00BC377A"/>
    <w:rsid w:val="00BC3F23"/>
    <w:rsid w:val="00BC4367"/>
    <w:rsid w:val="00BC5564"/>
    <w:rsid w:val="00BC5741"/>
    <w:rsid w:val="00BD166D"/>
    <w:rsid w:val="00BD29A3"/>
    <w:rsid w:val="00BD3A49"/>
    <w:rsid w:val="00BE1C43"/>
    <w:rsid w:val="00BE3DAA"/>
    <w:rsid w:val="00BE6F37"/>
    <w:rsid w:val="00BF0A7B"/>
    <w:rsid w:val="00BF27EC"/>
    <w:rsid w:val="00BF6A70"/>
    <w:rsid w:val="00C00066"/>
    <w:rsid w:val="00C02CEE"/>
    <w:rsid w:val="00C03A4E"/>
    <w:rsid w:val="00C04EC7"/>
    <w:rsid w:val="00C07EF9"/>
    <w:rsid w:val="00C103B2"/>
    <w:rsid w:val="00C13CC1"/>
    <w:rsid w:val="00C2097A"/>
    <w:rsid w:val="00C20B94"/>
    <w:rsid w:val="00C21449"/>
    <w:rsid w:val="00C21FA9"/>
    <w:rsid w:val="00C2213F"/>
    <w:rsid w:val="00C2289E"/>
    <w:rsid w:val="00C23C12"/>
    <w:rsid w:val="00C24720"/>
    <w:rsid w:val="00C2673E"/>
    <w:rsid w:val="00C2735F"/>
    <w:rsid w:val="00C3274F"/>
    <w:rsid w:val="00C41091"/>
    <w:rsid w:val="00C410CD"/>
    <w:rsid w:val="00C41BF9"/>
    <w:rsid w:val="00C46CD2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784A"/>
    <w:rsid w:val="00C81707"/>
    <w:rsid w:val="00C85E9F"/>
    <w:rsid w:val="00C86177"/>
    <w:rsid w:val="00C8665F"/>
    <w:rsid w:val="00C97336"/>
    <w:rsid w:val="00CA06DC"/>
    <w:rsid w:val="00CA39BD"/>
    <w:rsid w:val="00CA3F91"/>
    <w:rsid w:val="00CA77B9"/>
    <w:rsid w:val="00CA7E8F"/>
    <w:rsid w:val="00CB25AD"/>
    <w:rsid w:val="00CB5AC3"/>
    <w:rsid w:val="00CB5D2F"/>
    <w:rsid w:val="00CB5E14"/>
    <w:rsid w:val="00CB7600"/>
    <w:rsid w:val="00CC0864"/>
    <w:rsid w:val="00CC1908"/>
    <w:rsid w:val="00CC1A01"/>
    <w:rsid w:val="00CC4E9A"/>
    <w:rsid w:val="00CC6587"/>
    <w:rsid w:val="00CC6B5F"/>
    <w:rsid w:val="00CC7782"/>
    <w:rsid w:val="00CD6318"/>
    <w:rsid w:val="00CD67CC"/>
    <w:rsid w:val="00CE13E4"/>
    <w:rsid w:val="00CE1F6D"/>
    <w:rsid w:val="00CE25DF"/>
    <w:rsid w:val="00CE2CC7"/>
    <w:rsid w:val="00CE44B1"/>
    <w:rsid w:val="00CE5499"/>
    <w:rsid w:val="00CE5935"/>
    <w:rsid w:val="00CE5FF2"/>
    <w:rsid w:val="00CF0147"/>
    <w:rsid w:val="00CF0939"/>
    <w:rsid w:val="00D04851"/>
    <w:rsid w:val="00D04CB7"/>
    <w:rsid w:val="00D061BC"/>
    <w:rsid w:val="00D07F72"/>
    <w:rsid w:val="00D13341"/>
    <w:rsid w:val="00D1774F"/>
    <w:rsid w:val="00D20D9D"/>
    <w:rsid w:val="00D258B5"/>
    <w:rsid w:val="00D25C35"/>
    <w:rsid w:val="00D2642E"/>
    <w:rsid w:val="00D368AA"/>
    <w:rsid w:val="00D3719C"/>
    <w:rsid w:val="00D43F85"/>
    <w:rsid w:val="00D57478"/>
    <w:rsid w:val="00D60A87"/>
    <w:rsid w:val="00D61AE4"/>
    <w:rsid w:val="00D67FB8"/>
    <w:rsid w:val="00D7073E"/>
    <w:rsid w:val="00D71277"/>
    <w:rsid w:val="00D749E1"/>
    <w:rsid w:val="00D75BC9"/>
    <w:rsid w:val="00D76604"/>
    <w:rsid w:val="00D76706"/>
    <w:rsid w:val="00D77347"/>
    <w:rsid w:val="00D7738B"/>
    <w:rsid w:val="00D77647"/>
    <w:rsid w:val="00D840CC"/>
    <w:rsid w:val="00D84B57"/>
    <w:rsid w:val="00D87AFB"/>
    <w:rsid w:val="00D87E24"/>
    <w:rsid w:val="00D94A8B"/>
    <w:rsid w:val="00D9542F"/>
    <w:rsid w:val="00D97300"/>
    <w:rsid w:val="00DA0B56"/>
    <w:rsid w:val="00DA0C1C"/>
    <w:rsid w:val="00DA0DD4"/>
    <w:rsid w:val="00DA1E7B"/>
    <w:rsid w:val="00DA224E"/>
    <w:rsid w:val="00DA7982"/>
    <w:rsid w:val="00DB0E91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4253"/>
    <w:rsid w:val="00DD7ACE"/>
    <w:rsid w:val="00DE4C9E"/>
    <w:rsid w:val="00DE5698"/>
    <w:rsid w:val="00DE6289"/>
    <w:rsid w:val="00DE736D"/>
    <w:rsid w:val="00DE7D8B"/>
    <w:rsid w:val="00DF1363"/>
    <w:rsid w:val="00DF6A62"/>
    <w:rsid w:val="00DF7FE1"/>
    <w:rsid w:val="00E0037C"/>
    <w:rsid w:val="00E008C3"/>
    <w:rsid w:val="00E04162"/>
    <w:rsid w:val="00E04243"/>
    <w:rsid w:val="00E0514A"/>
    <w:rsid w:val="00E06067"/>
    <w:rsid w:val="00E0649B"/>
    <w:rsid w:val="00E06EE4"/>
    <w:rsid w:val="00E07B83"/>
    <w:rsid w:val="00E13A8D"/>
    <w:rsid w:val="00E13C77"/>
    <w:rsid w:val="00E145C8"/>
    <w:rsid w:val="00E2071C"/>
    <w:rsid w:val="00E22774"/>
    <w:rsid w:val="00E229FF"/>
    <w:rsid w:val="00E22A0F"/>
    <w:rsid w:val="00E233ED"/>
    <w:rsid w:val="00E262D2"/>
    <w:rsid w:val="00E2675B"/>
    <w:rsid w:val="00E2765F"/>
    <w:rsid w:val="00E317D3"/>
    <w:rsid w:val="00E320FA"/>
    <w:rsid w:val="00E32CF6"/>
    <w:rsid w:val="00E3382B"/>
    <w:rsid w:val="00E3691B"/>
    <w:rsid w:val="00E4019D"/>
    <w:rsid w:val="00E41752"/>
    <w:rsid w:val="00E421B2"/>
    <w:rsid w:val="00E422A2"/>
    <w:rsid w:val="00E43827"/>
    <w:rsid w:val="00E43AAE"/>
    <w:rsid w:val="00E453A5"/>
    <w:rsid w:val="00E467D6"/>
    <w:rsid w:val="00E52C59"/>
    <w:rsid w:val="00E52D47"/>
    <w:rsid w:val="00E53007"/>
    <w:rsid w:val="00E53E7B"/>
    <w:rsid w:val="00E610A6"/>
    <w:rsid w:val="00E658C1"/>
    <w:rsid w:val="00E65D72"/>
    <w:rsid w:val="00E66661"/>
    <w:rsid w:val="00E66682"/>
    <w:rsid w:val="00E67AD4"/>
    <w:rsid w:val="00E67AF9"/>
    <w:rsid w:val="00E72BE5"/>
    <w:rsid w:val="00E73364"/>
    <w:rsid w:val="00E7506B"/>
    <w:rsid w:val="00E75E09"/>
    <w:rsid w:val="00E769D6"/>
    <w:rsid w:val="00E76AD1"/>
    <w:rsid w:val="00E81351"/>
    <w:rsid w:val="00E83686"/>
    <w:rsid w:val="00E85B1A"/>
    <w:rsid w:val="00E8691D"/>
    <w:rsid w:val="00E876C3"/>
    <w:rsid w:val="00E90E07"/>
    <w:rsid w:val="00E92BE5"/>
    <w:rsid w:val="00E92C7E"/>
    <w:rsid w:val="00E95EAD"/>
    <w:rsid w:val="00E960F8"/>
    <w:rsid w:val="00E96EC9"/>
    <w:rsid w:val="00E977E9"/>
    <w:rsid w:val="00EA137D"/>
    <w:rsid w:val="00EA1D52"/>
    <w:rsid w:val="00EA2888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C2A09"/>
    <w:rsid w:val="00ED0174"/>
    <w:rsid w:val="00ED077B"/>
    <w:rsid w:val="00ED22F6"/>
    <w:rsid w:val="00ED33D5"/>
    <w:rsid w:val="00ED3809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3006"/>
    <w:rsid w:val="00F26453"/>
    <w:rsid w:val="00F2645A"/>
    <w:rsid w:val="00F3279D"/>
    <w:rsid w:val="00F34CD2"/>
    <w:rsid w:val="00F3566E"/>
    <w:rsid w:val="00F406C6"/>
    <w:rsid w:val="00F41F2F"/>
    <w:rsid w:val="00F4338E"/>
    <w:rsid w:val="00F43414"/>
    <w:rsid w:val="00F478A5"/>
    <w:rsid w:val="00F51359"/>
    <w:rsid w:val="00F516D1"/>
    <w:rsid w:val="00F51C68"/>
    <w:rsid w:val="00F53E18"/>
    <w:rsid w:val="00F54593"/>
    <w:rsid w:val="00F55A4F"/>
    <w:rsid w:val="00F56A8F"/>
    <w:rsid w:val="00F60358"/>
    <w:rsid w:val="00F609EF"/>
    <w:rsid w:val="00F60CDC"/>
    <w:rsid w:val="00F61453"/>
    <w:rsid w:val="00F61D9A"/>
    <w:rsid w:val="00F62998"/>
    <w:rsid w:val="00F709EC"/>
    <w:rsid w:val="00F741B8"/>
    <w:rsid w:val="00F76D68"/>
    <w:rsid w:val="00F77E9E"/>
    <w:rsid w:val="00F815EB"/>
    <w:rsid w:val="00F84497"/>
    <w:rsid w:val="00F9188A"/>
    <w:rsid w:val="00F9212A"/>
    <w:rsid w:val="00F93E4A"/>
    <w:rsid w:val="00F94293"/>
    <w:rsid w:val="00F94F2F"/>
    <w:rsid w:val="00F96E05"/>
    <w:rsid w:val="00F97C28"/>
    <w:rsid w:val="00FA4DE4"/>
    <w:rsid w:val="00FA53C6"/>
    <w:rsid w:val="00FA567C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D4F6B"/>
    <w:rsid w:val="00FE1FD8"/>
    <w:rsid w:val="00FF064E"/>
    <w:rsid w:val="00FF1424"/>
    <w:rsid w:val="00FF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4624"/>
  <w15:docId w15:val="{95AA3D12-1857-44F0-BCC4-C4E418B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876C3"/>
    <w:rPr>
      <w:rFonts w:ascii="Arial" w:hAnsi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AUTO/?uri=celex:32014R0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7C95-9DC2-4D20-AFBF-8BFDC07B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12</cp:revision>
  <cp:lastPrinted>2023-01-23T09:02:00Z</cp:lastPrinted>
  <dcterms:created xsi:type="dcterms:W3CDTF">2023-03-17T16:41:00Z</dcterms:created>
  <dcterms:modified xsi:type="dcterms:W3CDTF">2023-03-22T13:01:00Z</dcterms:modified>
</cp:coreProperties>
</file>