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1" w:rsidRPr="000501C0" w:rsidRDefault="00346EBA" w:rsidP="00962805">
      <w:pPr>
        <w:rPr>
          <w:b/>
        </w:rPr>
      </w:pPr>
      <w:r w:rsidRPr="000501C0">
        <w:rPr>
          <w:b/>
        </w:rPr>
        <w:t>Преброяване на земеделските стопанства в Република България през 2020 г.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544"/>
      </w:tblGrid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490EF2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E13528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Контакт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before="150" w:after="15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Организация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Министерство на земеделието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Отдел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Агростатистика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Лице за контакт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694BF6" w:rsidRDefault="00694BF6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Радомира Брусева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Длъжност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186944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Д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ържавен експерт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Адрес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Б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ул. „Христо Ботев“ № 55, София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Електронна поща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694BF6" w:rsidRDefault="006C15AB" w:rsidP="00694BF6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</w:pPr>
            <w:hyperlink r:id="rId4" w:history="1">
              <w:r w:rsidR="00694BF6" w:rsidRPr="00261E44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val="en-GB" w:eastAsia="bg-BG"/>
                </w:rPr>
                <w:t>RBruseva</w:t>
              </w:r>
              <w:r w:rsidR="00694BF6" w:rsidRPr="00261E44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@mzh.government.bg</w:t>
              </w:r>
            </w:hyperlink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Телефон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694BF6" w:rsidRDefault="00346EBA" w:rsidP="00694BF6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+359 2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 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985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  <w:t xml:space="preserve"> 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11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  <w:t xml:space="preserve"> 848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Факс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0B677B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-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Актуализиране на метаданните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Дата на потвърждаване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97CFC" w:rsidP="00E13528">
            <w:pPr>
              <w:spacing w:after="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20 декември 2022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г.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Дата на публикуване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6C15AB" w:rsidP="005A004E">
            <w:pPr>
              <w:spacing w:after="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23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март</w:t>
            </w:r>
            <w:r w:rsidR="005A004E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2023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г.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 xml:space="preserve">Дата на последно </w:t>
            </w:r>
            <w:bookmarkStart w:id="0" w:name="_GoBack"/>
            <w:bookmarkEnd w:id="0"/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актуализиране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97CFC" w:rsidP="00E13528">
            <w:pPr>
              <w:spacing w:after="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20 декември 2022 г.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Статистическо представяне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Описание на данните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97CFC" w:rsidP="00694BF6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Данните описват структурата на земеделските стопанства, предоставяйки обща характеристика на стопанствата и техните стопани и информация за земята им, селскостопанските животни и работната сила. Данните също така описват производствените методи и агроекологичните аспекти, които разглеждат въздействието на селското стопанство върху околната среда. Данните проследяват промените в селскостопанския сектор и осигуряват основа за вземане на решения в Общата селскостопанска политика (ОСП) и други политики на Европейския съюз.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Използвани класификации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Класификация на териториалните единици за статистически цели в България (NUTS)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  <w:p w:rsidR="00397CFC" w:rsidRPr="000501C0" w:rsidRDefault="006C5709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Наборите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от данни са организирани в съответствие с Регламент (ЕС) 2018/1091 и имат нова структура, състояща се от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основни структурни данни 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 няколко модула. Регламентът обхваща събирането на данни през 2020 г. (преброяване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земеделските стопанства</w:t>
            </w:r>
            <w:r w:rsidR="00397CFC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), 2023 и 2026 г. Данните са възможно най-сравними и съгласувани с другите европейски държави.</w:t>
            </w:r>
            <w:r w:rsidR="00547E1D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 xml:space="preserve">Приложение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  <w:t xml:space="preserve">I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към </w:t>
            </w: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Регламент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за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изпълнение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(ЕС) 2018/1874 </w:t>
            </w: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на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0501C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Комисията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съдържа описание на променливите, използвани за основните структурни данни и за разширяването на рамката, в съответствие с приложение III към Регламент (ЕС) 2018/1091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Обхват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Обект на наблюдението са </w:t>
            </w:r>
            <w:r w:rsidR="00547E1D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земеделски стопанства, извършващи селскостопански дейности и отговарящи на минималните изисквания за покритие (прагове), посочени в </w:t>
            </w:r>
            <w:r w:rsidR="00547E1D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lastRenderedPageBreak/>
              <w:t>Приложение № 2 към Закона за преброяване на земеделските стопанства в Република България през 2020 г.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Понятия и дефиниции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Списъкът на основните променливи е определен в приложение III към Регламент (ЕС) 2018/1091 .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Описанията на основните променливи, както и списъците и описанията на променливите за модулите, събрани през 2020 г., са определени в Регламент за изпълне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ние (ЕС) 2018/1874 на Комисията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Следните групи променливи се събират през 2020 г.: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 xml:space="preserve">за 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основни структурни данни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: местоположение на стопанството, правосубектност на стопанството, управител, вид на владение на използваната земеделска площ, променливи на земята, биологично земеделие, напояване на открити площи, променливи на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селскостопанските животни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, методи на биологично производство,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вкл.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прилагани при животновъдството;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>за модул "Работна сил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 и други доходоносни дейности"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: управление на стопанство, семейна работ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 сила, не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семейна работна сила, други доходоносни дейности, пряко и несвързани пряко със земеделското стопанство;</w:t>
            </w:r>
          </w:p>
          <w:p w:rsidR="00547E1D" w:rsidRPr="000501C0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>за моду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л "Развитие на селските райони"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: подпомагане, получавано от земеделските стопанства чрез различни мерки за развитие на селските райони;</w:t>
            </w:r>
          </w:p>
          <w:p w:rsidR="00346EBA" w:rsidRDefault="00547E1D" w:rsidP="00E13528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 xml:space="preserve">за модула </w:t>
            </w:r>
            <w:r w:rsidR="00765C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Модул за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сгради з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а животни и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управление на оборския тор</w:t>
            </w:r>
            <w:r w:rsidR="00765C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: 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места з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а животни, използване на хранителни вещества и оборски тор </w:t>
            </w:r>
            <w:r w:rsidR="00B472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 стопанствата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 техники за прилагане на оборски тор, съоръжения за оборски тор.</w:t>
            </w:r>
          </w:p>
          <w:p w:rsidR="00CA7DD9" w:rsidRPr="00CA7DD9" w:rsidRDefault="00765C23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Земеделско</w:t>
            </w:r>
            <w:r w:rsidR="00CA7DD9"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стопанство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="00CA7DD9"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64769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означава отделна</w:t>
            </w:r>
            <w:r w:rsidR="00CA7DD9"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единица, както технически, така и икономически, която има едно управление и която извършва икономически дейности в селското стопанство в съответствие с Регламент (ЕО) № 1893/2006, принадлежащи към групи: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- A.01.1: Отглеждане на едногодишни култури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A.01.2: Отглеждане на </w:t>
            </w:r>
            <w:r w:rsidR="008850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многогодишни</w:t>
            </w: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насаждения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A.01.3: </w:t>
            </w:r>
            <w:r w:rsidR="008850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Дейности на разсадници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- A.01.4: Животновъдство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A.01.5: </w:t>
            </w:r>
            <w:r w:rsidR="008850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Комбинирано растениевъдно-животновъдно сто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</w:t>
            </w:r>
            <w:r w:rsidR="008850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анство</w:t>
            </w: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или</w:t>
            </w:r>
          </w:p>
          <w:p w:rsidR="00CA7DD9" w:rsidRPr="00CA7DD9" w:rsidRDefault="00CA7DD9" w:rsidP="00CA7DD9">
            <w:pPr>
              <w:spacing w:before="30" w:after="30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</w:t>
            </w:r>
            <w:r w:rsidR="00765C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Поддържането на земеделска земя в добро земеделско и екологично състояние</w:t>
            </w:r>
            <w:r w:rsidR="00765C2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"</w:t>
            </w: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от група A.01.6 в рамките на икономическата територия на Съюза, като негова основна или второстепенна дейност.</w:t>
            </w:r>
          </w:p>
          <w:p w:rsidR="00CA7DD9" w:rsidRPr="000501C0" w:rsidRDefault="00CA7DD9" w:rsidP="00694BF6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По отношение на дейностите от клас А.01.49 са включени само дейностите „Отглеждане и развъждане на </w:t>
            </w:r>
            <w:proofErr w:type="spellStart"/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полу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</w:t>
            </w:r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домашн</w:t>
            </w:r>
            <w:r w:rsidR="00694BF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ени</w:t>
            </w:r>
            <w:proofErr w:type="spellEnd"/>
            <w:r w:rsidRPr="00CA7DD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или други живи животни” (с изключение на отглеждане на насекоми) и „Пчеларство и производство на мед и пчелен восък”.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Статистическа единица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97CFC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Статистическата единица е земеделското стопанство</w:t>
            </w:r>
            <w:r w:rsidR="0049343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Статистическа съвкупност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Обект на наблюдението са всички</w:t>
            </w:r>
            <w:r w:rsidR="00313D2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земеделски стопанства на територията на Българ</w:t>
            </w:r>
            <w:r w:rsidR="0049343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</w:t>
            </w:r>
            <w:r w:rsidR="00313D2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я, отговарящи на определените прагове. В наблюдението са включени и стопанства с по-ниски прагове от посочените в Регламент (ЕС) 2018/1091 (разширена рамка).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Географски обхват (територия)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За територията на Република България</w:t>
            </w:r>
          </w:p>
          <w:p w:rsidR="00603838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За определяне на местоположението на стопанствата е избран смесен подход. 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lastRenderedPageBreak/>
              <w:t xml:space="preserve">Критерии за определяне на местоположението на стопанствата: 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Ако стопанството разполага със селскостопанска сграда (жи</w:t>
            </w:r>
            <w:r w:rsidR="000B677B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вотновъдна сграда, зърнохранилищ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а, машини и др.), местоположението на стопанството се определя от: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1. Разположението на основната селскостопанска сграда;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Ако стопанството не разполага със селскостопанска сграда, местоположението на стопанството се определя от: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2. Местоположението на по-голямата част от площта на стопанството;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3. Местоположението на най-важния парцел, избран по физически размер;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4. Местоположението на най-важния парцел, избран по икономически размер (обработваема земя, трайни насаждения, пасища);</w:t>
            </w:r>
          </w:p>
          <w:p w:rsidR="00661673" w:rsidRPr="000501C0" w:rsidRDefault="0066167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5. Местоположението на жилището на </w:t>
            </w:r>
            <w:r w:rsidR="006038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стопанина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, ако не е по-далеч от 5 км от </w:t>
            </w:r>
            <w:r w:rsidR="006038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стопанството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  <w:p w:rsidR="00661673" w:rsidRPr="000501C0" w:rsidRDefault="00661673" w:rsidP="0060383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При определяне на местоположението на </w:t>
            </w:r>
            <w:r w:rsidR="006038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стопанствата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са използвани </w:t>
            </w:r>
            <w:r w:rsidR="006038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и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пространствени данни за декларираната площ в ИСАК, по парцели.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Времеви обхват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661673" w:rsidP="009A022B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Статистиката за структурата на </w:t>
            </w:r>
            <w:r w:rsidR="009A022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земеделските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стопанствата </w:t>
            </w:r>
            <w:r w:rsidR="009A022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 България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обхваща п</w:t>
            </w:r>
            <w:r w:rsidR="009A022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ериода от 2019/2020 г.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Базисен период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Не се прилага.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Мерна единица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40303" w:rsidRPr="000501C0" w:rsidRDefault="0084030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Обикновено се използват следните единици:</w:t>
            </w:r>
          </w:p>
          <w:p w:rsidR="00840303" w:rsidRPr="000501C0" w:rsidRDefault="0084030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>единиците за измерване на променливите (площ в хектари, животни в брой или LSU (живот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инск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и единици), работна сила в брой лица или ГРЕ (годишни работни единици), стандартна продукция </w:t>
            </w:r>
            <w:r w:rsidR="00E4279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(СП)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 хил. евро, места за настаняване на животни и т.н.) и</w:t>
            </w:r>
          </w:p>
          <w:p w:rsidR="00346EBA" w:rsidRPr="000501C0" w:rsidRDefault="0084030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•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ab/>
              <w:t>брой на земеделските стопанства.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Отчетен период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840303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Ползването на земята се отнася за референтната 2019/2020 година. В случай на последователни култури </w:t>
            </w:r>
            <w:r w:rsidR="00827BA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 един и същ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827BA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парцел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земя, използването на земята се отнася до култура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 която е събрана през референтната година, независимо кога е засята. 12-месечният период завършва на 31.08.2020 г. в рамките на референтната 2020 г.</w:t>
            </w:r>
          </w:p>
          <w:p w:rsidR="00840303" w:rsidRPr="000501C0" w:rsidRDefault="00840303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Референтен период за променливи относно практиките за напояване е 12-месечният период, завършващ на 31.08.2020 г. в рамките на референтната 2020 г.</w:t>
            </w:r>
          </w:p>
          <w:p w:rsidR="00840303" w:rsidRPr="000501C0" w:rsidRDefault="00840303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Референтен ден за променливи относно животните и помещенията за животни е референтният ден 31.08.2020 г. в рамките на референтната 2020 г.</w:t>
            </w:r>
          </w:p>
          <w:p w:rsidR="00840303" w:rsidRPr="000501C0" w:rsidRDefault="00840303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Референтен период за променливи относно управлението на оборския тор е 12-месечният период, приключващ на 31.08.2020 г. Този период включва референтния ден, използван за животните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 места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за настаняване на животни.</w:t>
            </w:r>
          </w:p>
          <w:p w:rsidR="00840303" w:rsidRPr="000501C0" w:rsidRDefault="00840303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lastRenderedPageBreak/>
              <w:t>Референтен период за променливите за работната сила е 12-месечният период, завършващ на 31.08.2020 г. в рамките на референтната 2020 г.</w:t>
            </w:r>
          </w:p>
          <w:p w:rsidR="00840303" w:rsidRPr="000501C0" w:rsidRDefault="00840303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Референтен ден за всички други променливи е референтният ден 31.08.2020 г. в рамките на референтната 2020 г.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Нормативна база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Нормативни документи и други споразумения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F82B6B" w:rsidRDefault="00F82B6B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F82B6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-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hyperlink r:id="rId5" w:history="1">
              <w:r w:rsidR="00346EBA" w:rsidRPr="00F82B6B">
                <w:rPr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Закон за статистиката</w:t>
              </w:r>
            </w:hyperlink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;</w:t>
            </w:r>
          </w:p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-</w:t>
            </w:r>
            <w:r w:rsidR="00F82B6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0B677B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Закон за преброяване на земеделските стопанства в Република България през 2020 г.</w:t>
            </w:r>
            <w:r w:rsidR="00F82B6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;</w:t>
            </w:r>
          </w:p>
          <w:p w:rsidR="00346EBA" w:rsidRDefault="00F82B6B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</w:t>
            </w:r>
            <w:r w:rsidRPr="00F82B6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Национална статистическа програма (НСП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);</w:t>
            </w:r>
          </w:p>
          <w:p w:rsidR="00F82B6B" w:rsidRDefault="00F82B6B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</w:t>
            </w:r>
            <w:r w:rsidRPr="00F82B6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Регламент (ЕС) 2018/1091 на Европейския парламент и на Съвета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;</w:t>
            </w:r>
          </w:p>
          <w:p w:rsidR="00F82B6B" w:rsidRPr="000501C0" w:rsidRDefault="0055074F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- </w:t>
            </w:r>
            <w:r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Р</w:t>
            </w:r>
            <w:r w:rsidRPr="0055074F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егламент</w:t>
            </w:r>
            <w:r w:rsidRPr="0055074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55074F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за</w:t>
            </w:r>
            <w:r w:rsidRPr="0055074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55074F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изпълнение</w:t>
            </w:r>
            <w:r w:rsidRPr="0055074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(ЕС) 2018/1874 </w:t>
            </w:r>
            <w:r w:rsidRPr="0055074F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на</w:t>
            </w:r>
            <w:r w:rsidRPr="0055074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К</w:t>
            </w:r>
            <w:r w:rsidRPr="0055074F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омисията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Споделяне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BC7B38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 рамките на споразумения</w:t>
            </w: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се предо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ставят данни от преброяването от страна на</w:t>
            </w: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Министерството на земеделието на Евростат и НСИ.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Конфиденциалност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Конфиденциалност - политика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C7B38" w:rsidRPr="000501C0" w:rsidRDefault="00BC7B38" w:rsidP="00CB3CD6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Индивидуалните данни са поверителни и не се разпространяват като такива.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Регламент (ЕС) № 223/2009 от 11 март 2009 г. дефинира общи правила за определяне и з</w:t>
            </w:r>
            <w:r w:rsidR="00CB3CD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ащита на конфиденциалните данни.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Законът за статистиката също гарантира опазването на статистическата тайна и използването на индивидуалните данни само за статистически цели.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В </w:t>
            </w: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Закона за преброяването на земеделските стопанства в Република България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през 2020 г.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също има текст относно статистическата тайна</w:t>
            </w: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 Участниците в преброяването попълват клетвени декларации</w:t>
            </w:r>
            <w:r w:rsidR="00CB3CD6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за опазване на статистическата тайна</w:t>
            </w:r>
            <w:r w:rsidRPr="00BC7B3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Конфиденциалност - защита на данните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410B6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Съгласно Закона за статистиката и Европейското законодателство конфиденциални са инди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видуалните (първичните) данни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 За да се гарантира тяхната защита и невъзможността да бъдат идентифицирани, агрегираните показатели също се определят като конфиденциални, когато:</w:t>
            </w:r>
          </w:p>
          <w:p w:rsidR="00346EBA" w:rsidRPr="000501C0" w:rsidRDefault="00346EBA" w:rsidP="00410B6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Критерий А – да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ден показател е формиран от една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или две 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единици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;</w:t>
            </w:r>
          </w:p>
          <w:p w:rsidR="00346EBA" w:rsidRPr="000501C0" w:rsidRDefault="00FC7B78" w:rsidP="00410B6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· Критерий В – една единица 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доминира в стойността на показателя с дял равен на или по-голям от 85%.</w:t>
            </w:r>
          </w:p>
          <w:p w:rsidR="00346EBA" w:rsidRPr="000501C0" w:rsidRDefault="00E45C9A" w:rsidP="00B4255F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Данни, които според З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акона за статистиката са конфиденциални не се публикуват. Разпространението на индивидуални данни 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 допустимо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само съгласно чл. 26 от Закона за статистиката.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Политика по разпространение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Календар за разпространение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Датата за публикуване на статистическата информация е посочена в Календара за разпространение на резултатите от статистическите изследвания на </w:t>
            </w:r>
            <w:r w:rsidR="0049647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Министерството на земеделието (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МЗм</w:t>
            </w:r>
            <w:r w:rsidR="0049647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Достъп до календара за разпространение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C7B78" w:rsidRPr="000501C0" w:rsidRDefault="00346EBA" w:rsidP="00FC7B7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Календарът е на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личен на интернет сайта на МЗм</w:t>
            </w:r>
            <w:r w:rsidR="00FC7B78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hyperlink r:id="rId6" w:history="1">
              <w:r w:rsidR="00FC7B78"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https://www.mzh.government.bg/bg/statistika-i-analizi/</w:t>
              </w:r>
            </w:hyperlink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Достъп на потребителите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Данните се публикуват на интернет сайта на 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МЗм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 са достъпни</w:t>
            </w:r>
            <w:r w:rsidR="00FC7B7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безплатно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за всички потребители на статистическа информация.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Честота на разпространение</w:t>
            </w:r>
          </w:p>
        </w:tc>
      </w:tr>
      <w:tr w:rsidR="00346EBA" w:rsidRPr="000501C0" w:rsidTr="004F7E34">
        <w:trPr>
          <w:trHeight w:val="283"/>
          <w:jc w:val="center"/>
        </w:trPr>
        <w:tc>
          <w:tcPr>
            <w:tcW w:w="9522" w:type="dxa"/>
            <w:gridSpan w:val="2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FB37B6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B537C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За преброяване на всеки 10 години, за извадкови изследвания за 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интегрирана статистика на земеделските стопанства (</w:t>
            </w:r>
            <w:r w:rsidRPr="00B537C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IFS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</w:t>
            </w:r>
            <w:r w:rsidRPr="00B537C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всеки 3 години.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Достъпност и яснота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Прессъобщения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A21DA" w:rsidRPr="00E45C9A" w:rsidRDefault="00BA21DA" w:rsidP="00FD23D6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highlight w:val="yellow"/>
                <w:lang w:eastAsia="bg-BG"/>
              </w:rPr>
            </w:pPr>
            <w:r w:rsidRPr="00BA21DA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П</w:t>
            </w:r>
            <w:r w:rsidRPr="00BA21D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убликувано на </w:t>
            </w:r>
            <w:hyperlink r:id="rId7" w:history="1">
              <w:r w:rsidRPr="00FB1DD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https://www.mzh.government.bg/bg/press-center/novini/nalice-e-trajna-tendenciya-za-uvelichavane-na-razm/</w:t>
              </w:r>
            </w:hyperlink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Публикации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C75F4B" w:rsidP="00B4255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Електронна публикация и таблици с резултати, публикувани на интернет сайта на МЗм </w:t>
            </w:r>
            <w:hyperlink r:id="rId8" w:history="1">
              <w:r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https://www.mzh.government.bg/bg/statistika-i-analizi/prebroyavane-na-zemedelskite-stopanstva-prez-2020-g/</w:t>
              </w:r>
            </w:hyperlink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Онлайн база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E4259" w:rsidRDefault="000E4259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Националната база данни</w:t>
            </w:r>
            <w:r w:rsidR="000843C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може да се достъпи на адрес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: </w:t>
            </w:r>
            <w:hyperlink r:id="rId9" w:history="1">
              <w:r w:rsidRPr="003425AB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https://www.agrostat.bg/ISASPublic/Structure</w:t>
              </w:r>
            </w:hyperlink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  <w:p w:rsidR="00346EBA" w:rsidRPr="000501C0" w:rsidRDefault="002D546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Базата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данни на Евростат може да се достъпи на адрес: </w:t>
            </w:r>
            <w:hyperlink r:id="rId10" w:history="1">
              <w:r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https://ec.europa.eu/eurostat/en/web/main/data/database</w:t>
              </w:r>
            </w:hyperlink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Достъп до микроданни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2D546A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Микро данни не са разпространявани и не са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предоставяни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потребителите.</w:t>
            </w:r>
            <w:r w:rsidR="00B4255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62390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Достъп до микроданни </w:t>
            </w:r>
            <w:r w:rsidR="00B4255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 възможно в зависимост от предвидените случай в Закона за статистиката.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Други формати на разпространение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2D546A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Допълнителна обобщена информация може да бъде предоставена по искане чрез официално писмо до Главна дирекция „Земеделие и регионална политика“, отдел „Агростатистика“ на МЗм.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Методологични документи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Default="007613B0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Методологията е описана в Наръчник </w:t>
            </w:r>
            <w:r w:rsidR="002D546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 Евростат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, достъпен на </w:t>
            </w:r>
          </w:p>
          <w:p w:rsidR="00BF7776" w:rsidRPr="00BF7776" w:rsidRDefault="006C15AB" w:rsidP="007613B0">
            <w:pPr>
              <w:spacing w:after="288" w:line="240" w:lineRule="auto"/>
              <w:rPr>
                <w:rStyle w:val="Hyperlink"/>
              </w:rPr>
            </w:pPr>
            <w:hyperlink r:id="rId11" w:history="1">
              <w:r w:rsidR="00BF7776"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https://ec.europa.eu/eurostat/documents/3859598/11495053/KS-GQ-20-009-EN-N.pdf/6f2e2660-9923-4780-a75c-c53651438948?t=1604911800000</w:t>
              </w:r>
            </w:hyperlink>
            <w:r w:rsidR="00BF7776" w:rsidRPr="00BF7776">
              <w:rPr>
                <w:rStyle w:val="Hyperlink"/>
              </w:rPr>
              <w:t xml:space="preserve"> </w:t>
            </w:r>
          </w:p>
          <w:p w:rsidR="00BE5B3C" w:rsidRDefault="00332A61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На сайта на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инистерство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то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на земеделието е налично 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Ръководство за въвеждане на данни в информационната</w:t>
            </w:r>
            <w:r w:rsidR="0062390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система за агростатистика (ИСАС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 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Програма на преброяването на земеделските стопанства през 2020 година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  <w:p w:rsidR="00332A61" w:rsidRPr="00332A61" w:rsidRDefault="006C15AB" w:rsidP="00332A61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hyperlink r:id="rId12" w:history="1">
              <w:r w:rsidR="00BE5B3C"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https://www.mzh.government.bg/bg/statistika-i-analizi/prebroyavane-na-zemedelskite-stopanstva-prez-2020-g/</w:t>
              </w:r>
            </w:hyperlink>
            <w:r w:rsidR="00BE5B3C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  <w:p w:rsidR="00332A61" w:rsidRPr="000501C0" w:rsidRDefault="00332A61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Наличн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и са следните 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печатн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издани</w:t>
            </w:r>
            <w:r w:rsidR="00E45C9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я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:</w:t>
            </w:r>
            <w:r w:rsidRPr="00332A6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Ръководство за контрол при попълване на статистическия въпросник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 Инструкция на анкетьора</w:t>
            </w:r>
            <w:r w:rsidR="00E56E0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Документация за качеството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2D546A" w:rsidRDefault="002D546A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val="en-GB"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Отдел „Агростатистика“ е предоставил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Евростат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доклад за качеството на данните, които е публикуван на: </w:t>
            </w:r>
            <w:hyperlink r:id="rId13" w:history="1">
              <w:r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https://ec.europa.eu/eurostat/cache/metadata/EN/ef_simsif_bg.htm</w:t>
              </w:r>
            </w:hyperlink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Управление на качеството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Осигуряване на качеството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45C9A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Съгласно чл. 2 ал.</w:t>
            </w:r>
            <w:r w:rsidR="00E45C9A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 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3 от Закона за статистиката статистическата информация се произвежда при спазване на определени критерии за качество като адекватност, точност, навременност, пунктуалност, достъпност и яснота, сравнимост и логическа обвързаност.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Оценка на качеството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634311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Отдел „Агростатистика“</w:t>
            </w:r>
            <w:r w:rsidR="00346EBA"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изготвя и предоставя на Евростат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доклад за качеството на данните съгласно </w:t>
            </w:r>
            <w:r w:rsidRPr="0063431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Регламент (ЕС) 2018/1091 на Европейския парламент и на Съвета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Приложимост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Потребности на потребителите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Основни потребители на данните са:</w:t>
            </w:r>
          </w:p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Евростат и други международни организации;</w:t>
            </w:r>
          </w:p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Държавни институции;</w:t>
            </w:r>
          </w:p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Научни институти, университети, икономически анализатори и студенти;</w:t>
            </w:r>
          </w:p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Частни неправителствени организации, агенции, сдружения, медии и др.;</w:t>
            </w:r>
          </w:p>
          <w:p w:rsidR="00346EBA" w:rsidRDefault="00634311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· Дирекции/отдели в НСИ;</w:t>
            </w:r>
          </w:p>
          <w:p w:rsidR="00634311" w:rsidRPr="000501C0" w:rsidRDefault="00634311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 Дирекции/отдели в МЗм</w:t>
            </w:r>
            <w:r w:rsidR="00D97DEE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 др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Удовлетвореност на потребителите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Не е правено проучване на удовлетвореността на потребителите от предоставяната информация</w:t>
            </w:r>
            <w:r w:rsidR="007613B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 МЗм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провежда регулярно изследване за удовлетвореността на потребителите от предлаганите статистически информационни </w:t>
            </w:r>
            <w:hyperlink r:id="rId14" w:history="1">
              <w:r w:rsidR="007613B0" w:rsidRPr="00370B97">
                <w:rPr>
                  <w:rStyle w:val="Hyperlink"/>
                  <w:rFonts w:ascii="Ubuntu" w:eastAsia="Times New Roman" w:hAnsi="Ubuntu" w:cs="Lucida Sans Unicode"/>
                  <w:sz w:val="19"/>
                  <w:szCs w:val="19"/>
                  <w:lang w:eastAsia="bg-BG"/>
                </w:rPr>
                <w:t>https://www.mzh.government.bg/bg/statistika-i-analizi/anketna-karta/</w:t>
              </w:r>
            </w:hyperlink>
            <w:r w:rsidR="007613B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Пълнота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4E215B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4E215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Информация за променливите с ниско и нулево разпространение е налична на:</w:t>
            </w:r>
            <w:r w:rsidRPr="007031DA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7031DA">
              <w:rPr>
                <w:rStyle w:val="Hyperlink"/>
                <w:rFonts w:ascii="Ubuntu" w:hAnsi="Ubuntu" w:cs="Lucida Sans Unicode"/>
                <w:sz w:val="19"/>
                <w:szCs w:val="19"/>
                <w:lang w:eastAsia="bg-BG"/>
              </w:rPr>
              <w:t xml:space="preserve">уебсайта на Евростат </w:t>
            </w:r>
            <w:r w:rsidRPr="007031DA">
              <w:rPr>
                <w:rStyle w:val="Hyperlink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Точност и надеждност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Обща точност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F7776" w:rsidRPr="000501C0" w:rsidRDefault="00346EBA" w:rsidP="0062390F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Статистическите данни са с добра точност и надеждност.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Извадкови грешки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7031DA" w:rsidRDefault="00BF7776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През 2020 г. изследването е под формата на преброяване и няма 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извадкова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грешка.</w:t>
            </w:r>
            <w:r w:rsidRPr="007031DA">
              <w:rPr>
                <w:sz w:val="19"/>
                <w:szCs w:val="19"/>
              </w:rPr>
              <w:t xml:space="preserve"> 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Няма разминаване в точността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,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изисквана от Регламента, тъй като през 2020 г. беше </w:t>
            </w:r>
            <w:r w:rsidR="0062390F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проведено 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пълно преброяване.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Неизвадкови грешки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A034D" w:rsidRPr="007031DA" w:rsidRDefault="00BF7776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Коефициентът на 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свръхобхват</w:t>
            </w:r>
            <w:r w:rsidR="003A034D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през 2020 г. е 33.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9%. </w:t>
            </w:r>
          </w:p>
          <w:p w:rsidR="003A034D" w:rsidRPr="007031DA" w:rsidRDefault="00BF7776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Високият коефициент на свръхобхват се дължи на: </w:t>
            </w:r>
          </w:p>
          <w:p w:rsidR="003A034D" w:rsidRPr="007031DA" w:rsidRDefault="00BF7776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В резултат на голямата динамика на земеделските структури в страната (окрупняване на стопанствата и прекратяване на дейността на малките) не е достигнат предвиде</w:t>
            </w:r>
            <w:r w:rsidR="003A034D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ният брой стопанства. </w:t>
            </w:r>
          </w:p>
          <w:p w:rsidR="003A034D" w:rsidRPr="007031DA" w:rsidRDefault="003A034D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 </w:t>
            </w:r>
            <w:r w:rsidR="00BF7776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Тенденцията към обезлюдяване на селата и застаряването на население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то в селските райони</w:t>
            </w:r>
            <w:r w:rsidR="00BF7776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са основните причини за големия брой 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прекратени стопанства</w:t>
            </w:r>
            <w:r w:rsidR="00BF7776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. </w:t>
            </w:r>
          </w:p>
          <w:p w:rsidR="003A034D" w:rsidRPr="007031DA" w:rsidRDefault="00BF7776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proofErr w:type="spellStart"/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Пандемичната</w:t>
            </w:r>
            <w:proofErr w:type="spellEnd"/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ситуация, дължаща се на Корона</w:t>
            </w:r>
            <w:r w:rsidR="003A034D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вируса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, повлия на актуализирането на списъка</w:t>
            </w:r>
            <w:r w:rsidR="003A034D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и на земеделието като цяло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. </w:t>
            </w:r>
          </w:p>
          <w:p w:rsidR="00346EBA" w:rsidRPr="007031DA" w:rsidRDefault="00BF7776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Заедно с други фактори, оформящи картината в селското стопанство, появата на силно заразни заболявания през последните години по селскостопанските животни и птици доведе до ликвидацията на голям брой </w:t>
            </w:r>
            <w:r w:rsidR="003A034D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стопанства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през 2019 и 2020 г.</w:t>
            </w:r>
          </w:p>
          <w:p w:rsidR="00D0281F" w:rsidRPr="007031DA" w:rsidRDefault="00D0281F" w:rsidP="003A034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Събирането на данни основно с хартиен въпросник предполага технически грешки. За да се ограничат тези грешки, в компютърната система са зададени множество контроли по време на въвеждане на данни. Данните са валидирани и чрез инструмент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,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предоставен от Евростат.</w:t>
            </w:r>
          </w:p>
          <w:p w:rsidR="00D0281F" w:rsidRPr="007031DA" w:rsidRDefault="00D0281F" w:rsidP="004A111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Респондентите могат, съзнателно или несъзнателно, да дадат грешни данни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и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поради т</w:t>
            </w:r>
            <w:r w:rsidR="00C85130"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>ази причина</w:t>
            </w: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t xml:space="preserve"> индивидуалните данни се сравняват и уточняват при необходимост с второ интервю.</w:t>
            </w:r>
          </w:p>
          <w:p w:rsidR="00D0281F" w:rsidRPr="007031DA" w:rsidRDefault="00D0281F" w:rsidP="004A111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  <w:r w:rsidRPr="007031DA"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  <w:lastRenderedPageBreak/>
              <w:t>За отстраняване на грешките в измерването са извършени проверки за логическа връзка и съпоставка с административни данни.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Навременност и точност на представяне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Навременност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D0281F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П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редварителни резултати са публикувани </w:t>
            </w:r>
            <w:r w:rsidRP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4 месеца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след референтния период</w:t>
            </w:r>
            <w:r w:rsidRP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 април 2021</w:t>
            </w:r>
            <w:r w:rsidR="00C85130">
              <w:rPr>
                <w:rFonts w:ascii="Ubuntu" w:eastAsia="Times New Roman" w:hAnsi="Ubuntu" w:cs="Lucida Sans Unicode" w:hint="eastAsia"/>
                <w:sz w:val="19"/>
                <w:szCs w:val="19"/>
                <w:lang w:eastAsia="bg-BG"/>
              </w:rPr>
              <w:t> </w:t>
            </w:r>
            <w:r w:rsidRP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г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 Окончателни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те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резултати са публикувани ноември 2022 г.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Точност на представяне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4A1117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Стриктно се спазват нормативно определените срокове за </w:t>
            </w:r>
            <w:r w:rsid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предаване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данните</w:t>
            </w:r>
            <w:r w:rsid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Евростат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  <w:r w:rsidR="00D0281F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След валидиране на данните от Евростат те са обработени и подготвени за разпространение.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Съгласуваност и сравнимост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Географска сравнимост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1B4A1B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бщата земя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 използвана за колективна паша на животните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е предварително разпределена към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стопанствата с тревопасни животни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, което се отразява на 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типа на земеделието, стандартната продукция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, 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използваната земеделска площ (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ИЗП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) и постоянно затревените площи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В предишното структурно изследване големи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те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стопанства (над определени критерии)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развиващи дейност 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 територията на повече от една административна област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са отчетени отделно за всяка област (NUTS3). През 2020 г. </w:t>
            </w:r>
            <w:r w:rsidR="006C4CA3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е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наличен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по 1 запис на стопанство, независимо от размера на стопанството и географското местоположение на дейността му – отглеждани култури и животни.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Сравнимост във времето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1B4A1B" w:rsidP="006C4CA3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Има нова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нормативна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рамка за изследване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то през</w:t>
            </w:r>
            <w:r w:rsidRPr="001B4A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2020 г., която минимално променя праговете и променливите.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Съгласуваност между предметни области</w:t>
            </w:r>
          </w:p>
        </w:tc>
        <w:tc>
          <w:tcPr>
            <w:tcW w:w="7544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Default="00764732" w:rsidP="0055081D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proofErr w:type="spellStart"/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одгодишна</w:t>
            </w:r>
            <w:proofErr w:type="spellEnd"/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 годишна статистика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–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55081D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е е приложимо за интегрирана земеделска статистика, тъй като няма </w:t>
            </w:r>
            <w:proofErr w:type="spellStart"/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подгодишни</w:t>
            </w:r>
            <w:proofErr w:type="spellEnd"/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събирания на данни.</w:t>
            </w:r>
          </w:p>
          <w:p w:rsidR="00764732" w:rsidRDefault="00764732" w:rsidP="0055081D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Съгласуваност с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национални сметки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–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55081D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е е приложимо, тъй като интегрираната земеделска статистика няма отношение към националните сметки.</w:t>
            </w:r>
          </w:p>
          <w:p w:rsidR="00764732" w:rsidRPr="000501C0" w:rsidRDefault="00764732" w:rsidP="0055081D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Съгласуваност на </w:t>
            </w:r>
            <w:proofErr w:type="spellStart"/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микро</w:t>
            </w:r>
            <w:proofErr w:type="spellEnd"/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ниво със събирането на данни в други области на селското стопанство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–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д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анните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от преброяването и данните 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от ИСАК и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от </w:t>
            </w:r>
            <w:r w:rsidRPr="00764732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Годишната статистика са сравними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Вътрешна съгласуваност</w:t>
            </w:r>
          </w:p>
        </w:tc>
        <w:tc>
          <w:tcPr>
            <w:tcW w:w="75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B23A48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B23A4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Данните са вътрешно съгласувани. Това се осигурява чрез прилагане на широк набор от правила за валидиране.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B23A48" w:rsidRPr="0076317E" w:rsidRDefault="00346EBA" w:rsidP="00B23A4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Разходи и натовареност</w:t>
            </w:r>
          </w:p>
        </w:tc>
      </w:tr>
      <w:tr w:rsidR="0076317E" w:rsidRPr="000501C0" w:rsidTr="004F7E34">
        <w:trPr>
          <w:trHeight w:val="350"/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76317E" w:rsidRPr="000501C0" w:rsidRDefault="0076317E" w:rsidP="00754419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Н</w:t>
            </w: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атовареност</w:t>
            </w:r>
          </w:p>
        </w:tc>
        <w:tc>
          <w:tcPr>
            <w:tcW w:w="7542" w:type="dxa"/>
            <w:shd w:val="clear" w:color="auto" w:fill="FFFFFF" w:themeFill="background1"/>
          </w:tcPr>
          <w:p w:rsidR="0076317E" w:rsidRPr="000501C0" w:rsidRDefault="0076317E" w:rsidP="00C85130">
            <w:pPr>
              <w:spacing w:after="288" w:line="240" w:lineRule="auto"/>
              <w:ind w:left="129"/>
              <w:jc w:val="both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754419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Натовареността на респондентите се дължи на големия брой характеристики и специфичната и трудна материя.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Ревизия на данните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Ревизия на данните - политика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FD2536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Националната политика, както и тази на Евростат, допуска ревизирането на вече публикувани данни, ако има сериозни основания за това. Всички направени ревизии на националните данни се отразяват и в агрегираните данни за Европейския съюз.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Ревизия на данните - практика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FD2536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Ревизираните данни заместват вече публикуваните във възможно най-кратки срокове, след като е направена ревизията.</w:t>
            </w:r>
          </w:p>
        </w:tc>
      </w:tr>
      <w:tr w:rsidR="00346EBA" w:rsidRPr="000501C0" w:rsidTr="004F7E34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Статистическа обработка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lastRenderedPageBreak/>
              <w:t>Източници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B23A48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Информацията е </w:t>
            </w:r>
            <w:r w:rsidR="00C8513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събрана от земеделските стопани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чрез интервю. Използвани са и административни данни от ИСАК, ВетИС, </w:t>
            </w:r>
            <w:r w:rsidRPr="00B23A4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Регистъра на статистическите единици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</w:t>
            </w:r>
            <w:r w:rsidRPr="00B23A48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Националния осигурителен институт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, Био регистъра и др. с подходяща информация.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Честота на събиране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7E6B7C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</w:t>
            </w:r>
            <w:r w:rsidRPr="007E6B7C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реброяване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то на земеделските стопанства</w:t>
            </w:r>
            <w:r w:rsidRPr="007E6B7C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се провежда на всеки 10 години. </w:t>
            </w:r>
            <w:r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То</w:t>
            </w:r>
            <w:r w:rsidRPr="007E6B7C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се допълва от извадкови събирания на данни, организирани на всеки 3-4 години между тях.</w:t>
            </w:r>
          </w:p>
        </w:tc>
      </w:tr>
      <w:tr w:rsidR="00346EBA" w:rsidRPr="000501C0" w:rsidTr="004F7E34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Събиране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C427E7" w:rsidRDefault="00E355D1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Данните са събрани чрез </w:t>
            </w:r>
            <w:r w:rsidR="00C85130"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онлайн попълване на въпросника от респондентите или чрез </w:t>
            </w:r>
            <w:r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интервю с</w:t>
            </w:r>
            <w:r w:rsidR="00C85130"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ъс стопаните</w:t>
            </w:r>
            <w:r w:rsidR="000F3D1B"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посредством анкетьори</w:t>
            </w:r>
            <w:r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  <w:p w:rsidR="000F3D1B" w:rsidRPr="000501C0" w:rsidRDefault="000F3D1B" w:rsidP="00C85130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C427E7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За част от променливите са използвани административни данни.</w:t>
            </w:r>
          </w:p>
        </w:tc>
      </w:tr>
      <w:tr w:rsidR="00346EBA" w:rsidRPr="000501C0" w:rsidTr="00FD2536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Валидиране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026FC">
            <w:pPr>
              <w:spacing w:after="288" w:line="240" w:lineRule="auto"/>
              <w:jc w:val="both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Преди </w:t>
            </w:r>
            <w:r w:rsidR="00E355D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предаване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данните на Евростат се извършва валидиране</w:t>
            </w:r>
            <w:r w:rsidR="00E026FC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то им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от гледна точка </w:t>
            </w:r>
            <w:r w:rsidR="00E355D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на 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съгласуваност на променливите, пълнота</w:t>
            </w:r>
            <w:r w:rsidR="00E355D1" w:rsidRPr="000F3D1B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и</w:t>
            </w:r>
            <w:r w:rsidR="00E355D1">
              <w:t xml:space="preserve"> </w:t>
            </w:r>
            <w:r w:rsidR="00E355D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</w:t>
            </w:r>
            <w:r w:rsidR="00E355D1" w:rsidRPr="00E355D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роверки на </w:t>
            </w:r>
            <w:r w:rsidR="007D0A4D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структурата</w:t>
            </w:r>
            <w:r w:rsidR="00E355D1" w:rsidRPr="00E355D1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 xml:space="preserve"> на данните</w:t>
            </w: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FD2536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Обработка на данни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7D0A4D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При обработка на данните се използват различни средства и техники. Разработени са специални ИТ решения</w:t>
            </w:r>
            <w:r w:rsidR="007D0A4D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.</w:t>
            </w:r>
          </w:p>
        </w:tc>
      </w:tr>
      <w:tr w:rsidR="00346EBA" w:rsidRPr="000501C0" w:rsidTr="00FD2536">
        <w:trPr>
          <w:jc w:val="center"/>
        </w:trPr>
        <w:tc>
          <w:tcPr>
            <w:tcW w:w="1980" w:type="dxa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Pr="000501C0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Изглаждане</w:t>
            </w:r>
          </w:p>
        </w:tc>
        <w:tc>
          <w:tcPr>
            <w:tcW w:w="7544" w:type="dxa"/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346EBA" w:rsidRPr="000501C0" w:rsidRDefault="00346EBA" w:rsidP="00E13528">
            <w:pPr>
              <w:spacing w:after="288" w:line="240" w:lineRule="auto"/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sz w:val="19"/>
                <w:szCs w:val="19"/>
                <w:lang w:eastAsia="bg-BG"/>
              </w:rPr>
              <w:t>Не се прилага</w:t>
            </w:r>
          </w:p>
        </w:tc>
      </w:tr>
      <w:tr w:rsidR="00346EBA" w:rsidRPr="000501C0" w:rsidTr="00FD2536">
        <w:trPr>
          <w:jc w:val="center"/>
        </w:trPr>
        <w:tc>
          <w:tcPr>
            <w:tcW w:w="9522" w:type="dxa"/>
            <w:gridSpan w:val="2"/>
            <w:shd w:val="clear" w:color="auto" w:fill="D8F4E1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346EBA" w:rsidRDefault="00346EBA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</w:pPr>
            <w:r w:rsidRPr="000501C0"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eastAsia="bg-BG"/>
              </w:rPr>
              <w:t>Коментар</w:t>
            </w:r>
          </w:p>
          <w:p w:rsidR="00FD23D6" w:rsidRPr="00BF335B" w:rsidRDefault="00FD23D6" w:rsidP="00E13528">
            <w:pPr>
              <w:spacing w:after="0" w:line="240" w:lineRule="auto"/>
              <w:rPr>
                <w:rFonts w:ascii="Ubuntu" w:eastAsia="Times New Roman" w:hAnsi="Ubuntu" w:cs="Lucida Sans Unicode"/>
                <w:b/>
                <w:bCs/>
                <w:sz w:val="19"/>
                <w:szCs w:val="19"/>
                <w:lang w:val="en-GB" w:eastAsia="bg-BG"/>
              </w:rPr>
            </w:pPr>
          </w:p>
        </w:tc>
      </w:tr>
    </w:tbl>
    <w:p w:rsidR="00346EBA" w:rsidRPr="000501C0" w:rsidRDefault="00346EBA" w:rsidP="00E13528"/>
    <w:sectPr w:rsidR="00346EBA" w:rsidRPr="000501C0" w:rsidSect="0055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A"/>
    <w:rsid w:val="00036CFC"/>
    <w:rsid w:val="000501C0"/>
    <w:rsid w:val="000843C8"/>
    <w:rsid w:val="000B677B"/>
    <w:rsid w:val="000E4259"/>
    <w:rsid w:val="000F3D1B"/>
    <w:rsid w:val="000F4D0E"/>
    <w:rsid w:val="00161B48"/>
    <w:rsid w:val="00186944"/>
    <w:rsid w:val="001B4A1B"/>
    <w:rsid w:val="00244C8C"/>
    <w:rsid w:val="00255A80"/>
    <w:rsid w:val="002D1313"/>
    <w:rsid w:val="002D546A"/>
    <w:rsid w:val="00313D2A"/>
    <w:rsid w:val="00332A61"/>
    <w:rsid w:val="00346EBA"/>
    <w:rsid w:val="00397CFC"/>
    <w:rsid w:val="003A034D"/>
    <w:rsid w:val="00410B60"/>
    <w:rsid w:val="00490EF2"/>
    <w:rsid w:val="0049343B"/>
    <w:rsid w:val="00496470"/>
    <w:rsid w:val="004A1117"/>
    <w:rsid w:val="004A4E4A"/>
    <w:rsid w:val="004E215B"/>
    <w:rsid w:val="004F7E34"/>
    <w:rsid w:val="00547E1D"/>
    <w:rsid w:val="0055074F"/>
    <w:rsid w:val="0055081D"/>
    <w:rsid w:val="005A004E"/>
    <w:rsid w:val="00603838"/>
    <w:rsid w:val="0062390F"/>
    <w:rsid w:val="00634311"/>
    <w:rsid w:val="0064769F"/>
    <w:rsid w:val="00661673"/>
    <w:rsid w:val="00674541"/>
    <w:rsid w:val="00694BF6"/>
    <w:rsid w:val="006C15AB"/>
    <w:rsid w:val="006C4CA3"/>
    <w:rsid w:val="006C5709"/>
    <w:rsid w:val="007031DA"/>
    <w:rsid w:val="00754419"/>
    <w:rsid w:val="00756831"/>
    <w:rsid w:val="007613B0"/>
    <w:rsid w:val="0076317E"/>
    <w:rsid w:val="00764732"/>
    <w:rsid w:val="00765C23"/>
    <w:rsid w:val="00772DD2"/>
    <w:rsid w:val="007D0A4D"/>
    <w:rsid w:val="007D76FC"/>
    <w:rsid w:val="007E6B7C"/>
    <w:rsid w:val="00827BA8"/>
    <w:rsid w:val="00840303"/>
    <w:rsid w:val="00855ABA"/>
    <w:rsid w:val="00864003"/>
    <w:rsid w:val="00885061"/>
    <w:rsid w:val="00962805"/>
    <w:rsid w:val="009752EA"/>
    <w:rsid w:val="009A022B"/>
    <w:rsid w:val="00AA23D3"/>
    <w:rsid w:val="00B23A48"/>
    <w:rsid w:val="00B4255F"/>
    <w:rsid w:val="00B47223"/>
    <w:rsid w:val="00B537C7"/>
    <w:rsid w:val="00BA21DA"/>
    <w:rsid w:val="00BA4FDA"/>
    <w:rsid w:val="00BC7B38"/>
    <w:rsid w:val="00BE5B3C"/>
    <w:rsid w:val="00BF335B"/>
    <w:rsid w:val="00BF7776"/>
    <w:rsid w:val="00C427E7"/>
    <w:rsid w:val="00C75F4B"/>
    <w:rsid w:val="00C85130"/>
    <w:rsid w:val="00CA6B2C"/>
    <w:rsid w:val="00CA7DD9"/>
    <w:rsid w:val="00CB3CD6"/>
    <w:rsid w:val="00CC1618"/>
    <w:rsid w:val="00CD12D5"/>
    <w:rsid w:val="00D0281F"/>
    <w:rsid w:val="00D227BA"/>
    <w:rsid w:val="00D97DEE"/>
    <w:rsid w:val="00DF17D5"/>
    <w:rsid w:val="00E026FC"/>
    <w:rsid w:val="00E13528"/>
    <w:rsid w:val="00E355D1"/>
    <w:rsid w:val="00E42798"/>
    <w:rsid w:val="00E45C9A"/>
    <w:rsid w:val="00E56E03"/>
    <w:rsid w:val="00F82B6B"/>
    <w:rsid w:val="00FB37B6"/>
    <w:rsid w:val="00FC7B78"/>
    <w:rsid w:val="00FD23D6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C0396"/>
  <w15:chartTrackingRefBased/>
  <w15:docId w15:val="{9C2ED9B7-5C5F-4C25-8E0F-1247134A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7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statistika-i-analizi/prebroyavane-na-zemedelskite-stopanstva-prez-2020-g/" TargetMode="External"/><Relationship Id="rId13" Type="http://schemas.openxmlformats.org/officeDocument/2006/relationships/hyperlink" Target="https://ec.europa.eu/eurostat/cache/metadata/EN/ef_simsif_b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zh.government.bg/bg/press-center/novini/nalice-e-trajna-tendenciya-za-uvelichavane-na-razm/" TargetMode="External"/><Relationship Id="rId12" Type="http://schemas.openxmlformats.org/officeDocument/2006/relationships/hyperlink" Target="https://www.mzh.government.bg/bg/statistika-i-analizi/prebroyavane-na-zemedelskite-stopanstva-prez-2020-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zh.government.bg/bg/statistika-i-analizi/" TargetMode="External"/><Relationship Id="rId11" Type="http://schemas.openxmlformats.org/officeDocument/2006/relationships/hyperlink" Target="https://ec.europa.eu/eurostat/documents/3859598/11495053/KS-GQ-20-009-EN-N.pdf/6f2e2660-9923-4780-a75c-c53651438948?t=1604911800000" TargetMode="External"/><Relationship Id="rId5" Type="http://schemas.openxmlformats.org/officeDocument/2006/relationships/hyperlink" Target="https://www.nsi.bg/bg/content/553/basic-page/%D0%B7%D0%B0%D0%BA%D0%BE%D0%BD-%D0%B7%D0%B0-%D1%81%D1%82%D0%B0%D1%82%D0%B8%D1%81%D1%82%D0%B8%D0%BA%D0%B0%D1%82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en/web/main/data/database" TargetMode="External"/><Relationship Id="rId4" Type="http://schemas.openxmlformats.org/officeDocument/2006/relationships/hyperlink" Target="mailto:RBruseva@mzh.government.bg" TargetMode="External"/><Relationship Id="rId9" Type="http://schemas.openxmlformats.org/officeDocument/2006/relationships/hyperlink" Target="https://www.agrostat.bg/ISASPublic/Structure" TargetMode="External"/><Relationship Id="rId14" Type="http://schemas.openxmlformats.org/officeDocument/2006/relationships/hyperlink" Target="https://www.mzh.government.bg/bg/statistika-i-analizi/anketna-ka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Radomira Bruseva</dc:creator>
  <cp:keywords/>
  <dc:description/>
  <cp:lastModifiedBy>Radomira Bruseva</cp:lastModifiedBy>
  <cp:revision>8</cp:revision>
  <dcterms:created xsi:type="dcterms:W3CDTF">2023-03-20T14:02:00Z</dcterms:created>
  <dcterms:modified xsi:type="dcterms:W3CDTF">2023-03-23T08:11:00Z</dcterms:modified>
</cp:coreProperties>
</file>